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9.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header12.xml" ContentType="application/vnd.openxmlformats-officedocument.wordprocessingml.header+xml"/>
  <Override PartName="/word/footer70.xml" ContentType="application/vnd.openxmlformats-officedocument.wordprocessingml.footer+xml"/>
  <Override PartName="/word/header13.xml" ContentType="application/vnd.openxmlformats-officedocument.wordprocessingml.header+xml"/>
  <Override PartName="/word/footer7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4"/>
        <w:rPr>
          <w:rFonts w:ascii="Times New Roman" w:hAnsi="Times New Roman" w:cs="Times New Roman" w:eastAsia="Times New Roman" w:hint="default"/>
          <w:sz w:val="13"/>
          <w:szCs w:val="13"/>
        </w:rPr>
      </w:pPr>
    </w:p>
    <w:p>
      <w:pPr>
        <w:spacing w:line="240" w:lineRule="auto"/>
        <w:ind w:left="3785"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782277" cy="1173479"/>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82277" cy="1173479"/>
                    </a:xfrm>
                    <a:prstGeom prst="rect">
                      <a:avLst/>
                    </a:prstGeom>
                  </pic:spPr>
                </pic:pic>
              </a:graphicData>
            </a:graphic>
          </wp:inline>
        </w:drawing>
      </w:r>
      <w:r>
        <w:rPr>
          <w:rFonts w:ascii="Times New Roman" w:hAnsi="Times New Roman" w:cs="Times New Roman" w:eastAsia="Times New Roman" w:hint="default"/>
          <w:sz w:val="20"/>
          <w:szCs w:val="20"/>
        </w:rPr>
      </w:r>
    </w:p>
    <w:p>
      <w:pPr>
        <w:pStyle w:val="Heading1"/>
        <w:spacing w:line="276" w:lineRule="auto" w:before="33"/>
        <w:ind w:left="1953" w:right="1943" w:firstLine="1168"/>
        <w:jc w:val="left"/>
        <w:rPr>
          <w:b w:val="0"/>
          <w:bCs w:val="0"/>
        </w:rPr>
      </w:pPr>
      <w:r>
        <w:rPr/>
        <w:t>РЕПУБЛИКА СРБИЈА ДРЖАВНА РЕВИЗОРСКА</w:t>
      </w:r>
      <w:r>
        <w:rPr>
          <w:spacing w:val="-9"/>
        </w:rPr>
        <w:t> </w:t>
      </w:r>
      <w:r>
        <w:rPr/>
        <w:t>ИНСТИТУЦИЈА</w:t>
      </w:r>
      <w:r>
        <w:rPr>
          <w:b w:val="0"/>
        </w:rPr>
      </w: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before="182"/>
        <w:ind w:left="471" w:right="470" w:firstLine="0"/>
        <w:jc w:val="center"/>
        <w:rPr>
          <w:rFonts w:ascii="Times New Roman" w:hAnsi="Times New Roman" w:cs="Times New Roman" w:eastAsia="Times New Roman" w:hint="default"/>
          <w:sz w:val="24"/>
          <w:szCs w:val="24"/>
        </w:rPr>
      </w:pPr>
      <w:r>
        <w:rPr>
          <w:rFonts w:ascii="Times New Roman" w:hAnsi="Times New Roman"/>
          <w:b/>
          <w:sz w:val="24"/>
        </w:rPr>
        <w:t>ИЗВЕШТАЈ</w:t>
      </w:r>
      <w:r>
        <w:rPr>
          <w:rFonts w:ascii="Times New Roman" w:hAnsi="Times New Roman"/>
          <w:sz w:val="24"/>
        </w:rPr>
      </w:r>
    </w:p>
    <w:p>
      <w:pPr>
        <w:spacing w:line="276" w:lineRule="auto" w:before="41"/>
        <w:ind w:left="471" w:right="471" w:firstLine="0"/>
        <w:jc w:val="center"/>
        <w:rPr>
          <w:rFonts w:ascii="Times New Roman" w:hAnsi="Times New Roman" w:cs="Times New Roman" w:eastAsia="Times New Roman" w:hint="default"/>
          <w:sz w:val="24"/>
          <w:szCs w:val="24"/>
        </w:rPr>
      </w:pPr>
      <w:r>
        <w:rPr>
          <w:rFonts w:ascii="Times New Roman" w:hAnsi="Times New Roman"/>
          <w:b/>
          <w:sz w:val="24"/>
        </w:rPr>
        <w:t>О РЕВИЗИЈИ КОНСОЛИДОВАНИХ ФИНАНСИЈСКИХ</w:t>
      </w:r>
      <w:r>
        <w:rPr>
          <w:rFonts w:ascii="Times New Roman" w:hAnsi="Times New Roman"/>
          <w:b/>
          <w:spacing w:val="-11"/>
          <w:sz w:val="24"/>
        </w:rPr>
        <w:t> </w:t>
      </w:r>
      <w:r>
        <w:rPr>
          <w:rFonts w:ascii="Times New Roman" w:hAnsi="Times New Roman"/>
          <w:b/>
          <w:sz w:val="24"/>
        </w:rPr>
        <w:t>ИЗВЕШТАЈА </w:t>
      </w:r>
      <w:r>
        <w:rPr>
          <w:rFonts w:ascii="Times New Roman" w:hAnsi="Times New Roman"/>
          <w:b/>
          <w:sz w:val="24"/>
        </w:rPr>
        <w:t>ЗАВРШНОГ РАЧУНА БУЏЕТА И ПРАВИЛНОСТИ ПОСЛОВАЊА ГРАДА НИША ЗА 201</w:t>
      </w:r>
      <w:r>
        <w:rPr>
          <w:rFonts w:ascii="Times New Roman" w:hAnsi="Times New Roman"/>
          <w:b/>
          <w:sz w:val="24"/>
        </w:rPr>
        <w:t>4</w:t>
      </w:r>
      <w:r>
        <w:rPr>
          <w:rFonts w:ascii="Times New Roman" w:hAnsi="Times New Roman"/>
          <w:b/>
          <w:sz w:val="24"/>
        </w:rPr>
        <w:t>.</w:t>
      </w:r>
      <w:r>
        <w:rPr>
          <w:rFonts w:ascii="Times New Roman" w:hAnsi="Times New Roman"/>
          <w:b/>
          <w:spacing w:val="-2"/>
          <w:sz w:val="24"/>
        </w:rPr>
        <w:t> </w:t>
      </w:r>
      <w:r>
        <w:rPr>
          <w:rFonts w:ascii="Times New Roman" w:hAnsi="Times New Roman"/>
          <w:b/>
          <w:sz w:val="24"/>
        </w:rPr>
        <w:t>ГОДИНУ</w:t>
      </w:r>
      <w:r>
        <w:rPr>
          <w:rFonts w:ascii="Times New Roman" w:hAnsi="Times New Roman"/>
          <w:sz w:val="24"/>
        </w:rPr>
      </w: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before="189"/>
        <w:ind w:left="471" w:right="469" w:firstLine="0"/>
        <w:jc w:val="center"/>
        <w:rPr>
          <w:rFonts w:ascii="Times New Roman" w:hAnsi="Times New Roman" w:cs="Times New Roman" w:eastAsia="Times New Roman" w:hint="default"/>
          <w:sz w:val="24"/>
          <w:szCs w:val="24"/>
        </w:rPr>
      </w:pPr>
      <w:r>
        <w:rPr>
          <w:rFonts w:ascii="Times New Roman" w:hAnsi="Times New Roman"/>
          <w:b/>
          <w:sz w:val="24"/>
        </w:rPr>
        <w:t>Број:</w:t>
      </w:r>
      <w:r>
        <w:rPr>
          <w:rFonts w:ascii="Times New Roman" w:hAnsi="Times New Roman"/>
          <w:b/>
          <w:spacing w:val="-3"/>
          <w:sz w:val="24"/>
        </w:rPr>
        <w:t> </w:t>
      </w:r>
      <w:r>
        <w:rPr>
          <w:rFonts w:ascii="Times New Roman" w:hAnsi="Times New Roman"/>
          <w:b/>
          <w:sz w:val="24"/>
        </w:rPr>
        <w:t>400</w:t>
      </w:r>
      <w:r>
        <w:rPr>
          <w:rFonts w:ascii="Times New Roman" w:hAnsi="Times New Roman"/>
          <w:b/>
          <w:sz w:val="24"/>
        </w:rPr>
        <w:t>-389/2015-04</w:t>
      </w:r>
      <w:r>
        <w:rPr>
          <w:rFonts w:ascii="Times New Roman" w:hAnsi="Times New Roman"/>
          <w:sz w:val="24"/>
        </w:rPr>
      </w:r>
    </w:p>
    <w:p>
      <w:pPr>
        <w:spacing w:before="41"/>
        <w:ind w:left="471" w:right="469" w:firstLine="0"/>
        <w:jc w:val="center"/>
        <w:rPr>
          <w:rFonts w:ascii="Times New Roman" w:hAnsi="Times New Roman" w:cs="Times New Roman" w:eastAsia="Times New Roman" w:hint="default"/>
          <w:sz w:val="24"/>
          <w:szCs w:val="24"/>
        </w:rPr>
      </w:pPr>
      <w:r>
        <w:rPr>
          <w:rFonts w:ascii="Times New Roman" w:hAnsi="Times New Roman"/>
          <w:b/>
          <w:sz w:val="24"/>
        </w:rPr>
        <w:t>Београд, </w:t>
      </w:r>
      <w:r>
        <w:rPr>
          <w:rFonts w:ascii="Times New Roman" w:hAnsi="Times New Roman"/>
          <w:b/>
          <w:sz w:val="24"/>
        </w:rPr>
        <w:t>22. </w:t>
      </w:r>
      <w:r>
        <w:rPr>
          <w:rFonts w:ascii="Times New Roman" w:hAnsi="Times New Roman"/>
          <w:b/>
          <w:sz w:val="24"/>
        </w:rPr>
        <w:t>децембар </w:t>
      </w:r>
      <w:r>
        <w:rPr>
          <w:rFonts w:ascii="Times New Roman" w:hAnsi="Times New Roman"/>
          <w:b/>
          <w:sz w:val="24"/>
        </w:rPr>
        <w:t>2015</w:t>
      </w:r>
      <w:r>
        <w:rPr>
          <w:rFonts w:ascii="Times New Roman" w:hAnsi="Times New Roman"/>
          <w:b/>
          <w:sz w:val="24"/>
        </w:rPr>
        <w:t>.</w:t>
      </w:r>
      <w:r>
        <w:rPr>
          <w:rFonts w:ascii="Times New Roman" w:hAnsi="Times New Roman"/>
          <w:b/>
          <w:spacing w:val="-7"/>
          <w:sz w:val="24"/>
        </w:rPr>
        <w:t> </w:t>
      </w:r>
      <w:r>
        <w:rPr>
          <w:rFonts w:ascii="Times New Roman" w:hAnsi="Times New Roman"/>
          <w:b/>
          <w:sz w:val="24"/>
        </w:rPr>
        <w:t>године</w:t>
      </w:r>
      <w:r>
        <w:rPr>
          <w:rFonts w:ascii="Times New Roman" w:hAnsi="Times New Roman"/>
          <w:sz w:val="24"/>
        </w:rPr>
      </w:r>
    </w:p>
    <w:p>
      <w:pPr>
        <w:spacing w:after="0"/>
        <w:jc w:val="center"/>
        <w:rPr>
          <w:rFonts w:ascii="Times New Roman" w:hAnsi="Times New Roman" w:cs="Times New Roman" w:eastAsia="Times New Roman" w:hint="default"/>
          <w:sz w:val="24"/>
          <w:szCs w:val="24"/>
        </w:rPr>
        <w:sectPr>
          <w:type w:val="continuous"/>
          <w:pgSz w:w="12240" w:h="15840"/>
          <w:pgMar w:top="1500" w:bottom="280" w:left="1720" w:right="1720"/>
        </w:sectPr>
      </w:pPr>
    </w:p>
    <w:p>
      <w:pPr>
        <w:spacing w:line="240" w:lineRule="auto" w:before="0"/>
        <w:rPr>
          <w:rFonts w:ascii="Times New Roman" w:hAnsi="Times New Roman" w:cs="Times New Roman" w:eastAsia="Times New Roman" w:hint="default"/>
          <w:b/>
          <w:bCs/>
          <w:sz w:val="20"/>
          <w:szCs w:val="20"/>
        </w:rPr>
      </w:pPr>
    </w:p>
    <w:p>
      <w:pPr>
        <w:spacing w:line="240" w:lineRule="auto" w:before="0"/>
        <w:rPr>
          <w:rFonts w:ascii="Times New Roman" w:hAnsi="Times New Roman" w:cs="Times New Roman" w:eastAsia="Times New Roman" w:hint="default"/>
          <w:b/>
          <w:bCs/>
          <w:sz w:val="20"/>
          <w:szCs w:val="20"/>
        </w:rPr>
      </w:pPr>
    </w:p>
    <w:p>
      <w:pPr>
        <w:spacing w:line="240" w:lineRule="auto" w:before="0"/>
        <w:rPr>
          <w:rFonts w:ascii="Times New Roman" w:hAnsi="Times New Roman" w:cs="Times New Roman" w:eastAsia="Times New Roman" w:hint="default"/>
          <w:b/>
          <w:bCs/>
          <w:sz w:val="20"/>
          <w:szCs w:val="20"/>
        </w:rPr>
      </w:pPr>
    </w:p>
    <w:p>
      <w:pPr>
        <w:spacing w:line="240" w:lineRule="auto" w:before="0"/>
        <w:rPr>
          <w:rFonts w:ascii="Times New Roman" w:hAnsi="Times New Roman" w:cs="Times New Roman" w:eastAsia="Times New Roman" w:hint="default"/>
          <w:b/>
          <w:bCs/>
          <w:sz w:val="20"/>
          <w:szCs w:val="20"/>
        </w:rPr>
      </w:pPr>
    </w:p>
    <w:p>
      <w:pPr>
        <w:spacing w:line="240" w:lineRule="auto" w:before="1"/>
        <w:rPr>
          <w:rFonts w:ascii="Times New Roman" w:hAnsi="Times New Roman" w:cs="Times New Roman" w:eastAsia="Times New Roman" w:hint="default"/>
          <w:b/>
          <w:bCs/>
          <w:sz w:val="18"/>
          <w:szCs w:val="18"/>
        </w:rPr>
      </w:pPr>
    </w:p>
    <w:p>
      <w:pPr>
        <w:pStyle w:val="BodyText"/>
        <w:spacing w:line="240" w:lineRule="auto" w:before="69"/>
        <w:ind w:right="0"/>
        <w:jc w:val="left"/>
      </w:pPr>
      <w:r>
        <w:rPr/>
        <w:t>САДРЖАЈ</w:t>
      </w:r>
    </w:p>
    <w:p>
      <w:pPr>
        <w:tabs>
          <w:tab w:pos="9392" w:val="left" w:leader="dot"/>
        </w:tabs>
        <w:spacing w:before="280"/>
        <w:ind w:left="160" w:right="0" w:firstLine="0"/>
        <w:jc w:val="left"/>
        <w:rPr>
          <w:rFonts w:ascii="Times New Roman" w:hAnsi="Times New Roman" w:cs="Times New Roman" w:eastAsia="Times New Roman" w:hint="default"/>
          <w:sz w:val="22"/>
          <w:szCs w:val="22"/>
        </w:rPr>
      </w:pPr>
      <w:r>
        <w:rPr>
          <w:rFonts w:ascii="Times New Roman" w:hAnsi="Times New Roman"/>
          <w:sz w:val="22"/>
        </w:rPr>
        <w:t>ИЗВЕШТАЈ   ДРЖАВНЕ РЕВИЗОРСКЕ ИНСТИТУЦИЈЕ</w:t>
      </w:r>
      <w:r>
        <w:rPr>
          <w:rFonts w:ascii="Times New Roman" w:hAnsi="Times New Roman"/>
          <w:spacing w:val="38"/>
          <w:sz w:val="22"/>
        </w:rPr>
        <w:t> </w:t>
      </w:r>
      <w:r>
        <w:rPr>
          <w:rFonts w:ascii="Times New Roman" w:hAnsi="Times New Roman"/>
          <w:sz w:val="22"/>
        </w:rPr>
        <w:t>РЕПУБЛИКЕ</w:t>
      </w:r>
      <w:r>
        <w:rPr>
          <w:rFonts w:ascii="Times New Roman" w:hAnsi="Times New Roman"/>
          <w:spacing w:val="18"/>
          <w:sz w:val="22"/>
        </w:rPr>
        <w:t> </w:t>
      </w:r>
      <w:r>
        <w:rPr>
          <w:rFonts w:ascii="Times New Roman" w:hAnsi="Times New Roman"/>
          <w:sz w:val="22"/>
        </w:rPr>
        <w:t>СРБИЈЕ</w:t>
      </w:r>
      <w:r>
        <w:rPr>
          <w:rFonts w:ascii="Times New Roman" w:hAnsi="Times New Roman"/>
          <w:sz w:val="22"/>
        </w:rPr>
        <w:tab/>
        <w:t>2</w:t>
      </w:r>
    </w:p>
    <w:p>
      <w:pPr>
        <w:pStyle w:val="ListParagraph"/>
        <w:numPr>
          <w:ilvl w:val="0"/>
          <w:numId w:val="1"/>
        </w:numPr>
        <w:tabs>
          <w:tab w:pos="382" w:val="left" w:leader="none"/>
          <w:tab w:pos="9414" w:val="left" w:leader="dot"/>
        </w:tabs>
        <w:spacing w:line="240" w:lineRule="auto" w:before="361" w:after="0"/>
        <w:ind w:left="381" w:right="0" w:hanging="221"/>
        <w:jc w:val="left"/>
        <w:rPr>
          <w:rFonts w:ascii="Times New Roman" w:hAnsi="Times New Roman" w:cs="Times New Roman" w:eastAsia="Times New Roman" w:hint="default"/>
          <w:sz w:val="22"/>
          <w:szCs w:val="22"/>
        </w:rPr>
      </w:pPr>
      <w:r>
        <w:rPr>
          <w:rFonts w:ascii="Times New Roman" w:hAnsi="Times New Roman"/>
          <w:sz w:val="22"/>
        </w:rPr>
        <w:t>Извештај о ревизији консолидованих </w:t>
      </w:r>
      <w:r>
        <w:rPr>
          <w:rFonts w:ascii="Times New Roman" w:hAnsi="Times New Roman"/>
          <w:spacing w:val="36"/>
          <w:sz w:val="22"/>
        </w:rPr>
        <w:t> </w:t>
      </w:r>
      <w:r>
        <w:rPr>
          <w:rFonts w:ascii="Times New Roman" w:hAnsi="Times New Roman"/>
          <w:sz w:val="22"/>
        </w:rPr>
        <w:t>финансијских</w:t>
      </w:r>
      <w:r>
        <w:rPr>
          <w:rFonts w:ascii="Times New Roman" w:hAnsi="Times New Roman"/>
          <w:spacing w:val="23"/>
          <w:sz w:val="22"/>
        </w:rPr>
        <w:t> </w:t>
      </w:r>
      <w:r>
        <w:rPr>
          <w:rFonts w:ascii="Times New Roman" w:hAnsi="Times New Roman"/>
          <w:sz w:val="22"/>
        </w:rPr>
        <w:t>извештаја</w:t>
      </w:r>
      <w:r>
        <w:rPr>
          <w:rFonts w:ascii="Times New Roman" w:hAnsi="Times New Roman"/>
          <w:sz w:val="22"/>
        </w:rPr>
        <w:tab/>
        <w:t>2</w:t>
      </w:r>
    </w:p>
    <w:p>
      <w:pPr>
        <w:pStyle w:val="ListParagraph"/>
        <w:numPr>
          <w:ilvl w:val="0"/>
          <w:numId w:val="1"/>
        </w:numPr>
        <w:tabs>
          <w:tab w:pos="382" w:val="left" w:leader="none"/>
          <w:tab w:pos="9383" w:val="left" w:leader="dot"/>
        </w:tabs>
        <w:spacing w:line="240" w:lineRule="auto" w:before="359" w:after="0"/>
        <w:ind w:left="381" w:right="0" w:hanging="221"/>
        <w:jc w:val="left"/>
        <w:rPr>
          <w:rFonts w:ascii="Times New Roman" w:hAnsi="Times New Roman" w:cs="Times New Roman" w:eastAsia="Times New Roman" w:hint="default"/>
          <w:sz w:val="22"/>
          <w:szCs w:val="22"/>
        </w:rPr>
      </w:pPr>
      <w:r>
        <w:rPr>
          <w:rFonts w:ascii="Times New Roman" w:hAnsi="Times New Roman"/>
          <w:sz w:val="22"/>
        </w:rPr>
        <w:t>Извештај  о ревизији</w:t>
      </w:r>
      <w:r>
        <w:rPr>
          <w:rFonts w:ascii="Times New Roman" w:hAnsi="Times New Roman"/>
          <w:spacing w:val="36"/>
          <w:sz w:val="22"/>
        </w:rPr>
        <w:t> </w:t>
      </w:r>
      <w:r>
        <w:rPr>
          <w:rFonts w:ascii="Times New Roman" w:hAnsi="Times New Roman"/>
          <w:sz w:val="22"/>
        </w:rPr>
        <w:t>правилности</w:t>
      </w:r>
      <w:r>
        <w:rPr>
          <w:rFonts w:ascii="Times New Roman" w:hAnsi="Times New Roman"/>
          <w:spacing w:val="28"/>
          <w:sz w:val="22"/>
        </w:rPr>
        <w:t> </w:t>
      </w:r>
      <w:r>
        <w:rPr>
          <w:rFonts w:ascii="Times New Roman" w:hAnsi="Times New Roman"/>
          <w:sz w:val="22"/>
        </w:rPr>
        <w:t>пословања</w:t>
      </w:r>
      <w:r>
        <w:rPr>
          <w:rFonts w:ascii="Times New Roman" w:hAnsi="Times New Roman"/>
          <w:sz w:val="22"/>
        </w:rPr>
        <w:tab/>
        <w:t>4</w:t>
      </w:r>
    </w:p>
    <w:p>
      <w:pPr>
        <w:tabs>
          <w:tab w:pos="1547" w:val="left" w:leader="none"/>
          <w:tab w:pos="9399" w:val="left" w:leader="dot"/>
        </w:tabs>
        <w:spacing w:before="283"/>
        <w:ind w:left="160" w:right="0" w:firstLine="0"/>
        <w:jc w:val="left"/>
        <w:rPr>
          <w:rFonts w:ascii="Times New Roman" w:hAnsi="Times New Roman" w:cs="Times New Roman" w:eastAsia="Times New Roman" w:hint="default"/>
          <w:sz w:val="22"/>
          <w:szCs w:val="22"/>
        </w:rPr>
      </w:pPr>
      <w:r>
        <w:rPr>
          <w:rFonts w:ascii="Times New Roman" w:hAnsi="Times New Roman"/>
          <w:sz w:val="22"/>
        </w:rPr>
        <w:t>ПРИЛОГ    </w:t>
      </w:r>
      <w:r>
        <w:rPr>
          <w:rFonts w:ascii="Times New Roman" w:hAnsi="Times New Roman"/>
          <w:spacing w:val="14"/>
          <w:sz w:val="22"/>
        </w:rPr>
        <w:t> </w:t>
      </w:r>
      <w:r>
        <w:rPr>
          <w:rFonts w:ascii="Times New Roman" w:hAnsi="Times New Roman"/>
          <w:sz w:val="22"/>
        </w:rPr>
        <w:t>I</w:t>
        <w:tab/>
        <w:t>КЉУЧНЕ  НЕПРАВИЛНОСТИ</w:t>
      </w:r>
      <w:r>
        <w:rPr>
          <w:rFonts w:ascii="Times New Roman" w:hAnsi="Times New Roman"/>
          <w:spacing w:val="24"/>
          <w:sz w:val="22"/>
        </w:rPr>
        <w:t> </w:t>
      </w:r>
      <w:r>
        <w:rPr>
          <w:rFonts w:ascii="Times New Roman" w:hAnsi="Times New Roman"/>
          <w:sz w:val="22"/>
        </w:rPr>
        <w:t>И</w:t>
      </w:r>
      <w:r>
        <w:rPr>
          <w:rFonts w:ascii="Times New Roman" w:hAnsi="Times New Roman"/>
          <w:spacing w:val="39"/>
          <w:sz w:val="22"/>
        </w:rPr>
        <w:t> </w:t>
      </w:r>
      <w:r>
        <w:rPr>
          <w:rFonts w:ascii="Times New Roman" w:hAnsi="Times New Roman"/>
          <w:sz w:val="22"/>
        </w:rPr>
        <w:t>ПРЕПОРУКЕ.</w:t>
      </w:r>
      <w:r>
        <w:rPr>
          <w:rFonts w:ascii="Times New Roman" w:hAnsi="Times New Roman"/>
          <w:sz w:val="22"/>
        </w:rPr>
        <w:tab/>
        <w:t>7</w:t>
      </w:r>
    </w:p>
    <w:p>
      <w:pPr>
        <w:tabs>
          <w:tab w:pos="1511" w:val="left" w:leader="none"/>
          <w:tab w:pos="9255" w:val="left" w:leader="dot"/>
        </w:tabs>
        <w:spacing w:before="280"/>
        <w:ind w:left="1600" w:right="218" w:hanging="1440"/>
        <w:jc w:val="left"/>
        <w:rPr>
          <w:rFonts w:ascii="Times New Roman" w:hAnsi="Times New Roman" w:cs="Times New Roman" w:eastAsia="Times New Roman" w:hint="default"/>
          <w:sz w:val="22"/>
          <w:szCs w:val="22"/>
        </w:rPr>
      </w:pPr>
      <w:r>
        <w:rPr>
          <w:rFonts w:ascii="Times New Roman" w:hAnsi="Times New Roman"/>
          <w:sz w:val="22"/>
        </w:rPr>
        <w:t>ПРИЛОГ   </w:t>
      </w:r>
      <w:r>
        <w:rPr>
          <w:rFonts w:ascii="Times New Roman" w:hAnsi="Times New Roman"/>
          <w:spacing w:val="13"/>
          <w:sz w:val="22"/>
        </w:rPr>
        <w:t> </w:t>
      </w:r>
      <w:r>
        <w:rPr>
          <w:rFonts w:ascii="Times New Roman" w:hAnsi="Times New Roman"/>
          <w:sz w:val="22"/>
        </w:rPr>
        <w:t>II</w:t>
        <w:tab/>
        <w:t>НАПОМЕНЕ УЗ  ИЗВЕШТAJ О</w:t>
      </w:r>
      <w:r>
        <w:rPr>
          <w:rFonts w:ascii="Times New Roman" w:hAnsi="Times New Roman"/>
          <w:spacing w:val="-17"/>
          <w:sz w:val="22"/>
        </w:rPr>
        <w:t> </w:t>
      </w:r>
      <w:r>
        <w:rPr>
          <w:rFonts w:ascii="Times New Roman" w:hAnsi="Times New Roman"/>
          <w:sz w:val="22"/>
        </w:rPr>
        <w:t>РЕВИЗИЈИ</w:t>
      </w:r>
      <w:r>
        <w:rPr>
          <w:rFonts w:ascii="Times New Roman" w:hAnsi="Times New Roman"/>
          <w:spacing w:val="-5"/>
          <w:sz w:val="22"/>
        </w:rPr>
        <w:t> </w:t>
      </w:r>
      <w:r>
        <w:rPr>
          <w:rFonts w:ascii="Times New Roman" w:hAnsi="Times New Roman"/>
          <w:sz w:val="22"/>
        </w:rPr>
        <w:t>КОНСОЛИДОВАНИХ</w:t>
      </w:r>
      <w:r>
        <w:rPr>
          <w:rFonts w:ascii="Times New Roman" w:hAnsi="Times New Roman"/>
          <w:w w:val="100"/>
          <w:sz w:val="22"/>
        </w:rPr>
        <w:t> </w:t>
      </w:r>
      <w:r>
        <w:rPr>
          <w:rFonts w:ascii="Times New Roman" w:hAnsi="Times New Roman"/>
          <w:sz w:val="22"/>
        </w:rPr>
        <w:t>ФИНАНСИЈСКИХ ИЗВЕШТАЈА ЗАВРШНОГ РАЧУНА БУЏЕТА И </w:t>
      </w:r>
      <w:r>
        <w:rPr>
          <w:rFonts w:ascii="Times New Roman" w:hAnsi="Times New Roman"/>
          <w:sz w:val="22"/>
        </w:rPr>
        <w:t>ПРАВИЛНОСТИ ПОСЛОВАЊА ГРАДА НИША ЗА </w:t>
      </w:r>
      <w:r>
        <w:rPr>
          <w:rFonts w:ascii="Times New Roman" w:hAnsi="Times New Roman"/>
          <w:spacing w:val="36"/>
          <w:sz w:val="22"/>
        </w:rPr>
        <w:t> </w:t>
      </w:r>
      <w:r>
        <w:rPr>
          <w:rFonts w:ascii="Times New Roman" w:hAnsi="Times New Roman"/>
          <w:sz w:val="22"/>
        </w:rPr>
        <w:t>2014.</w:t>
      </w:r>
      <w:r>
        <w:rPr>
          <w:rFonts w:ascii="Times New Roman" w:hAnsi="Times New Roman"/>
          <w:spacing w:val="19"/>
          <w:sz w:val="22"/>
        </w:rPr>
        <w:t> </w:t>
      </w:r>
      <w:r>
        <w:rPr>
          <w:rFonts w:ascii="Times New Roman" w:hAnsi="Times New Roman"/>
          <w:sz w:val="22"/>
        </w:rPr>
        <w:t>ГОДИНУ.</w:t>
      </w:r>
      <w:r>
        <w:rPr>
          <w:rFonts w:ascii="Times New Roman" w:hAnsi="Times New Roman"/>
          <w:sz w:val="22"/>
        </w:rPr>
        <w:tab/>
      </w:r>
      <w:r>
        <w:rPr>
          <w:rFonts w:ascii="Times New Roman" w:hAnsi="Times New Roman"/>
          <w:sz w:val="22"/>
        </w:rPr>
        <w:t>2</w:t>
      </w:r>
      <w:r>
        <w:rPr>
          <w:rFonts w:ascii="Times New Roman" w:hAnsi="Times New Roman"/>
          <w:sz w:val="22"/>
        </w:rPr>
        <w:t>7</w:t>
      </w:r>
    </w:p>
    <w:p>
      <w:pPr>
        <w:tabs>
          <w:tab w:pos="1528" w:val="left" w:leader="none"/>
          <w:tab w:pos="9135" w:val="left" w:leader="dot"/>
        </w:tabs>
        <w:spacing w:before="253"/>
        <w:ind w:left="1600" w:right="230" w:hanging="1440"/>
        <w:jc w:val="left"/>
        <w:rPr>
          <w:rFonts w:ascii="Times New Roman" w:hAnsi="Times New Roman" w:cs="Times New Roman" w:eastAsia="Times New Roman" w:hint="default"/>
          <w:sz w:val="22"/>
          <w:szCs w:val="22"/>
        </w:rPr>
      </w:pPr>
      <w:r>
        <w:rPr>
          <w:rFonts w:ascii="Times New Roman" w:hAnsi="Times New Roman"/>
          <w:sz w:val="22"/>
        </w:rPr>
        <w:t>ПРИЛОГ  </w:t>
      </w:r>
      <w:r>
        <w:rPr>
          <w:rFonts w:ascii="Times New Roman" w:hAnsi="Times New Roman"/>
          <w:spacing w:val="10"/>
          <w:sz w:val="22"/>
        </w:rPr>
        <w:t> </w:t>
      </w:r>
      <w:r>
        <w:rPr>
          <w:rFonts w:ascii="Times New Roman" w:hAnsi="Times New Roman"/>
          <w:sz w:val="22"/>
        </w:rPr>
        <w:t>III</w:t>
        <w:tab/>
        <w:t>КОНСОЛИДОВАНИ ФИНАНСИЈСКИ ИЗВЕШТАЈИ</w:t>
      </w:r>
      <w:r>
        <w:rPr>
          <w:rFonts w:ascii="Times New Roman" w:hAnsi="Times New Roman"/>
          <w:spacing w:val="-14"/>
          <w:sz w:val="22"/>
        </w:rPr>
        <w:t> </w:t>
      </w:r>
      <w:r>
        <w:rPr>
          <w:rFonts w:ascii="Times New Roman" w:hAnsi="Times New Roman"/>
          <w:sz w:val="22"/>
        </w:rPr>
        <w:t>ЗАВРШНОГ</w:t>
      </w:r>
      <w:r>
        <w:rPr>
          <w:rFonts w:ascii="Times New Roman" w:hAnsi="Times New Roman"/>
          <w:spacing w:val="-4"/>
          <w:sz w:val="22"/>
        </w:rPr>
        <w:t> </w:t>
      </w:r>
      <w:r>
        <w:rPr>
          <w:rFonts w:ascii="Times New Roman" w:hAnsi="Times New Roman"/>
          <w:sz w:val="22"/>
        </w:rPr>
        <w:t>РАЧУНА</w:t>
      </w:r>
      <w:r>
        <w:rPr>
          <w:rFonts w:ascii="Times New Roman" w:hAnsi="Times New Roman"/>
          <w:w w:val="100"/>
          <w:sz w:val="22"/>
        </w:rPr>
        <w:t> </w:t>
      </w:r>
      <w:r>
        <w:rPr>
          <w:rFonts w:ascii="Times New Roman" w:hAnsi="Times New Roman"/>
          <w:sz w:val="22"/>
        </w:rPr>
        <w:t>БУЏЕТА ГРАДА НИША ЗА </w:t>
      </w:r>
      <w:r>
        <w:rPr>
          <w:rFonts w:ascii="Times New Roman" w:hAnsi="Times New Roman"/>
          <w:spacing w:val="41"/>
          <w:sz w:val="22"/>
        </w:rPr>
        <w:t> </w:t>
      </w:r>
      <w:r>
        <w:rPr>
          <w:rFonts w:ascii="Times New Roman" w:hAnsi="Times New Roman"/>
          <w:sz w:val="22"/>
        </w:rPr>
        <w:t>2014.</w:t>
      </w:r>
      <w:r>
        <w:rPr>
          <w:rFonts w:ascii="Times New Roman" w:hAnsi="Times New Roman"/>
          <w:spacing w:val="26"/>
          <w:sz w:val="22"/>
        </w:rPr>
        <w:t> </w:t>
      </w:r>
      <w:r>
        <w:rPr>
          <w:rFonts w:ascii="Times New Roman" w:hAnsi="Times New Roman"/>
          <w:sz w:val="22"/>
        </w:rPr>
        <w:t>ГОДИНУ</w:t>
      </w:r>
      <w:r>
        <w:rPr>
          <w:rFonts w:ascii="Times New Roman" w:hAnsi="Times New Roman"/>
          <w:sz w:val="22"/>
        </w:rPr>
        <w:tab/>
        <w:t>367</w:t>
      </w:r>
    </w:p>
    <w:p>
      <w:pPr>
        <w:spacing w:after="0"/>
        <w:jc w:val="left"/>
        <w:rPr>
          <w:rFonts w:ascii="Times New Roman" w:hAnsi="Times New Roman" w:cs="Times New Roman" w:eastAsia="Times New Roman" w:hint="default"/>
          <w:sz w:val="22"/>
          <w:szCs w:val="22"/>
        </w:rPr>
        <w:sectPr>
          <w:headerReference w:type="default" r:id="rId6"/>
          <w:footerReference w:type="default" r:id="rId7"/>
          <w:pgSz w:w="12240" w:h="15840"/>
          <w:pgMar w:header="687" w:footer="861" w:top="1220" w:bottom="1060" w:left="1280" w:right="1260"/>
          <w:pgNumType w:start="1"/>
        </w:sectPr>
      </w:pPr>
    </w:p>
    <w:p>
      <w:pPr>
        <w:spacing w:line="240" w:lineRule="auto" w:before="0"/>
        <w:rPr>
          <w:rFonts w:ascii="Times New Roman" w:hAnsi="Times New Roman" w:cs="Times New Roman" w:eastAsia="Times New Roman" w:hint="default"/>
          <w:sz w:val="24"/>
          <w:szCs w:val="24"/>
        </w:rPr>
      </w:pPr>
    </w:p>
    <w:p>
      <w:pPr>
        <w:spacing w:line="240" w:lineRule="auto" w:before="6"/>
        <w:rPr>
          <w:rFonts w:ascii="Times New Roman" w:hAnsi="Times New Roman" w:cs="Times New Roman" w:eastAsia="Times New Roman" w:hint="default"/>
          <w:sz w:val="32"/>
          <w:szCs w:val="32"/>
        </w:rPr>
      </w:pPr>
    </w:p>
    <w:p>
      <w:pPr>
        <w:pStyle w:val="Heading1"/>
        <w:spacing w:line="240" w:lineRule="auto" w:before="0"/>
        <w:ind w:left="1708" w:right="1723"/>
        <w:jc w:val="center"/>
        <w:rPr>
          <w:b w:val="0"/>
          <w:bCs w:val="0"/>
        </w:rPr>
      </w:pPr>
      <w:r>
        <w:rPr/>
        <w:t>ИЗВЕШТАЈ ДРЖАВНЕ РЕВИЗОРСКЕ</w:t>
      </w:r>
      <w:r>
        <w:rPr>
          <w:spacing w:val="-9"/>
        </w:rPr>
        <w:t> </w:t>
      </w:r>
      <w:r>
        <w:rPr/>
        <w:t>ИНСТИТУЦИЈЕ </w:t>
      </w:r>
      <w:r>
        <w:rPr/>
        <w:t>РЕПУБЛИКЕ</w:t>
      </w:r>
      <w:r>
        <w:rPr>
          <w:spacing w:val="-6"/>
        </w:rPr>
        <w:t> </w:t>
      </w:r>
      <w:r>
        <w:rPr/>
        <w:t>СРБИЈЕ</w:t>
      </w:r>
      <w:r>
        <w:rPr>
          <w:b w:val="0"/>
        </w:rPr>
      </w: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before="0"/>
        <w:ind w:left="1708" w:right="1592" w:firstLine="0"/>
        <w:jc w:val="center"/>
        <w:rPr>
          <w:rFonts w:ascii="Times New Roman" w:hAnsi="Times New Roman" w:cs="Times New Roman" w:eastAsia="Times New Roman" w:hint="default"/>
          <w:sz w:val="24"/>
          <w:szCs w:val="24"/>
        </w:rPr>
      </w:pPr>
      <w:r>
        <w:rPr>
          <w:rFonts w:ascii="Times New Roman" w:hAnsi="Times New Roman"/>
          <w:b/>
          <w:sz w:val="24"/>
        </w:rPr>
        <w:t>ГРАД</w:t>
      </w:r>
      <w:r>
        <w:rPr>
          <w:rFonts w:ascii="Times New Roman" w:hAnsi="Times New Roman"/>
          <w:b/>
          <w:spacing w:val="-3"/>
          <w:sz w:val="24"/>
        </w:rPr>
        <w:t> </w:t>
      </w:r>
      <w:r>
        <w:rPr>
          <w:rFonts w:ascii="Times New Roman" w:hAnsi="Times New Roman"/>
          <w:b/>
          <w:sz w:val="24"/>
        </w:rPr>
        <w:t>НИШ</w:t>
      </w:r>
      <w:r>
        <w:rPr>
          <w:rFonts w:ascii="Times New Roman" w:hAnsi="Times New Roman"/>
          <w:sz w:val="24"/>
        </w:rPr>
      </w: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pStyle w:val="ListParagraph"/>
        <w:numPr>
          <w:ilvl w:val="1"/>
          <w:numId w:val="1"/>
        </w:numPr>
        <w:tabs>
          <w:tab w:pos="1013" w:val="left" w:leader="none"/>
        </w:tabs>
        <w:spacing w:line="274" w:lineRule="exact" w:before="0" w:after="0"/>
        <w:ind w:left="1012" w:right="0" w:hanging="286"/>
        <w:jc w:val="left"/>
        <w:rPr>
          <w:rFonts w:ascii="Times New Roman" w:hAnsi="Times New Roman" w:cs="Times New Roman" w:eastAsia="Times New Roman" w:hint="default"/>
          <w:sz w:val="24"/>
          <w:szCs w:val="24"/>
        </w:rPr>
      </w:pPr>
      <w:r>
        <w:rPr>
          <w:rFonts w:ascii="Times New Roman" w:hAnsi="Times New Roman"/>
          <w:b/>
          <w:sz w:val="24"/>
        </w:rPr>
        <w:t>Извештај  о ревизији консолидованих финансијских</w:t>
      </w:r>
      <w:r>
        <w:rPr>
          <w:rFonts w:ascii="Times New Roman" w:hAnsi="Times New Roman"/>
          <w:b/>
          <w:spacing w:val="-19"/>
          <w:sz w:val="24"/>
        </w:rPr>
        <w:t> </w:t>
      </w:r>
      <w:r>
        <w:rPr>
          <w:rFonts w:ascii="Times New Roman" w:hAnsi="Times New Roman"/>
          <w:b/>
          <w:sz w:val="24"/>
        </w:rPr>
        <w:t>извештаја</w:t>
      </w:r>
      <w:r>
        <w:rPr>
          <w:rFonts w:ascii="Times New Roman" w:hAnsi="Times New Roman"/>
          <w:sz w:val="24"/>
        </w:rPr>
      </w:r>
    </w:p>
    <w:p>
      <w:pPr>
        <w:pStyle w:val="BodyText"/>
        <w:spacing w:line="276" w:lineRule="exact" w:before="1"/>
        <w:ind w:right="175" w:firstLine="566"/>
        <w:jc w:val="both"/>
      </w:pPr>
      <w:r>
        <w:rPr/>
        <w:t>Извршили смо ревизију консолидованих финансијских извештаја завршног рачуна буџета града Ниша у складу са Уставом Републике Србије</w:t>
      </w:r>
      <w:r>
        <w:rPr>
          <w:rFonts w:ascii="Times New Roman" w:hAnsi="Times New Roman" w:cs="Times New Roman" w:eastAsia="Times New Roman" w:hint="default"/>
          <w:position w:val="11"/>
          <w:sz w:val="16"/>
          <w:szCs w:val="16"/>
        </w:rPr>
        <w:t>1</w:t>
      </w:r>
      <w:r>
        <w:rPr/>
        <w:t>, Законом о Државној ревизорској институцији</w:t>
      </w:r>
      <w:r>
        <w:rPr>
          <w:rFonts w:ascii="Times New Roman" w:hAnsi="Times New Roman" w:cs="Times New Roman" w:eastAsia="Times New Roman" w:hint="default"/>
          <w:position w:val="11"/>
          <w:sz w:val="16"/>
          <w:szCs w:val="16"/>
        </w:rPr>
        <w:t>2 </w:t>
      </w:r>
      <w:r>
        <w:rPr/>
        <w:t>и Законом о буџетском систему</w:t>
      </w:r>
      <w:r>
        <w:rPr>
          <w:rFonts w:ascii="Times New Roman" w:hAnsi="Times New Roman" w:cs="Times New Roman" w:eastAsia="Times New Roman" w:hint="default"/>
          <w:position w:val="11"/>
          <w:sz w:val="16"/>
          <w:szCs w:val="16"/>
        </w:rPr>
        <w:t>3</w:t>
      </w:r>
      <w:r>
        <w:rPr/>
        <w:t>. Консолидовани финансијски извештаји се састоје од: Биланса стања на дан 31.12.2014. године – Образац 1, Биланса прихода и расхода – Образац 2, Извештаја о капиталним издацима и примањима –  Образац 3, Извештаја о новчаним токовима – Образац 4, Извештаја о извршењу буџета – Образац 5 за годину која се завршава на тај дан и осталих пратећих</w:t>
      </w:r>
      <w:r>
        <w:rPr>
          <w:spacing w:val="-24"/>
        </w:rPr>
        <w:t> </w:t>
      </w:r>
      <w:r>
        <w:rPr/>
        <w:t>извештаја.</w:t>
      </w:r>
    </w:p>
    <w:p>
      <w:pPr>
        <w:spacing w:line="240" w:lineRule="auto" w:before="2"/>
        <w:rPr>
          <w:rFonts w:ascii="Times New Roman" w:hAnsi="Times New Roman" w:cs="Times New Roman" w:eastAsia="Times New Roman" w:hint="default"/>
          <w:sz w:val="24"/>
          <w:szCs w:val="24"/>
        </w:rPr>
      </w:pPr>
    </w:p>
    <w:p>
      <w:pPr>
        <w:pStyle w:val="Heading1"/>
        <w:spacing w:line="256" w:lineRule="exact" w:before="0"/>
        <w:ind w:right="0"/>
        <w:jc w:val="left"/>
        <w:rPr>
          <w:b w:val="0"/>
          <w:bCs w:val="0"/>
        </w:rPr>
      </w:pPr>
      <w:r>
        <w:rPr/>
        <w:t>Одговорност руководства за консолидоване финансијске</w:t>
      </w:r>
      <w:r>
        <w:rPr>
          <w:spacing w:val="-17"/>
        </w:rPr>
        <w:t> </w:t>
      </w:r>
      <w:r>
        <w:rPr/>
        <w:t>извештаје</w:t>
      </w:r>
      <w:r>
        <w:rPr>
          <w:b w:val="0"/>
        </w:rPr>
      </w:r>
    </w:p>
    <w:p>
      <w:pPr>
        <w:pStyle w:val="BodyText"/>
        <w:spacing w:line="228" w:lineRule="auto"/>
        <w:ind w:right="171" w:firstLine="566"/>
        <w:jc w:val="both"/>
      </w:pPr>
      <w:r>
        <w:rPr/>
        <w:t>У складу са Законом о буџетском систему, Законом о локалној самоуправи</w:t>
      </w:r>
      <w:r>
        <w:rPr>
          <w:rFonts w:ascii="Times New Roman" w:hAnsi="Times New Roman"/>
          <w:position w:val="11"/>
          <w:sz w:val="16"/>
        </w:rPr>
        <w:t>4 </w:t>
      </w:r>
      <w:r>
        <w:rPr/>
        <w:t>и Статутом града Ниша</w:t>
      </w:r>
      <w:r>
        <w:rPr>
          <w:rFonts w:ascii="Times New Roman" w:hAnsi="Times New Roman"/>
          <w:position w:val="11"/>
          <w:sz w:val="16"/>
        </w:rPr>
        <w:t>5</w:t>
      </w:r>
      <w:r>
        <w:rPr/>
        <w:t>, руководство је одговорно за припрему и презентовање консолидованих финансијских извештаја у складу са Законом о буџетском систему, Уредбом о буџетском рачуноводству</w:t>
      </w:r>
      <w:r>
        <w:rPr>
          <w:rFonts w:ascii="Times New Roman" w:hAnsi="Times New Roman"/>
          <w:position w:val="11"/>
          <w:sz w:val="16"/>
        </w:rPr>
        <w:t>6</w:t>
      </w:r>
      <w:r>
        <w:rPr/>
        <w:t>, Правилником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буџетских фондова</w:t>
      </w:r>
      <w:r>
        <w:rPr>
          <w:rFonts w:ascii="Times New Roman" w:hAnsi="Times New Roman"/>
          <w:position w:val="11"/>
          <w:sz w:val="16"/>
        </w:rPr>
        <w:t>7 </w:t>
      </w:r>
      <w:r>
        <w:rPr/>
        <w:t>и Правилником о стандардном класификационом оквиру и контном плану за буџетски систем</w:t>
      </w:r>
      <w:r>
        <w:rPr>
          <w:rFonts w:ascii="Times New Roman" w:hAnsi="Times New Roman"/>
          <w:position w:val="11"/>
          <w:sz w:val="16"/>
        </w:rPr>
        <w:t>8</w:t>
      </w:r>
      <w:r>
        <w:rPr/>
        <w:t>. У ову одговорност спада осмишљавање, успостављање и одржавање интерних контрола које су релевантне за припрему и презентовање консолидованих финансијских извештаја које не садрже материјално значајне погрешне исказе, било да су настали услед преваре/криминалне радње или</w:t>
      </w:r>
      <w:r>
        <w:rPr>
          <w:spacing w:val="-9"/>
        </w:rPr>
        <w:t> </w:t>
      </w:r>
      <w:r>
        <w:rPr/>
        <w:t>грешке.</w:t>
      </w:r>
    </w:p>
    <w:p>
      <w:pPr>
        <w:spacing w:line="240" w:lineRule="auto" w:before="7"/>
        <w:rPr>
          <w:rFonts w:ascii="Times New Roman" w:hAnsi="Times New Roman" w:cs="Times New Roman" w:eastAsia="Times New Roman" w:hint="default"/>
          <w:sz w:val="24"/>
          <w:szCs w:val="24"/>
        </w:rPr>
      </w:pPr>
    </w:p>
    <w:p>
      <w:pPr>
        <w:pStyle w:val="Heading1"/>
        <w:spacing w:line="274" w:lineRule="exact" w:before="0"/>
        <w:ind w:right="0"/>
        <w:jc w:val="left"/>
        <w:rPr>
          <w:b w:val="0"/>
          <w:bCs w:val="0"/>
        </w:rPr>
      </w:pPr>
      <w:r>
        <w:rPr/>
        <w:t>Одговорност</w:t>
      </w:r>
      <w:r>
        <w:rPr>
          <w:spacing w:val="-4"/>
        </w:rPr>
        <w:t> </w:t>
      </w:r>
      <w:r>
        <w:rPr/>
        <w:t>ревизора</w:t>
      </w:r>
      <w:r>
        <w:rPr>
          <w:b w:val="0"/>
        </w:rPr>
      </w:r>
    </w:p>
    <w:p>
      <w:pPr>
        <w:pStyle w:val="BodyText"/>
        <w:spacing w:line="240" w:lineRule="auto"/>
        <w:ind w:right="184" w:firstLine="566"/>
        <w:jc w:val="both"/>
      </w:pPr>
      <w:r>
        <w:rPr/>
        <w:t>Наша одговорност је да, на основу извршене ревизије, изразимо мишљење о овим консолидованим финансијским извештајима. Ревизију смо извршили у складу са Међународним стандардима врховних ревизорских институција (ISSAI). Ови стандарди ревизије захтевају да поступамо у складу са етичким захтевима и да ревизију планирамо и извршимо на начин који омогућава да се, у разумној мери, уверимо да наведени консолидовани финансијски извештаји не садрже материјално значајне погрешне</w:t>
      </w:r>
      <w:r>
        <w:rPr>
          <w:spacing w:val="-26"/>
        </w:rPr>
        <w:t> </w:t>
      </w:r>
      <w:r>
        <w:rPr/>
        <w:t>исказе.</w:t>
      </w:r>
    </w:p>
    <w:p>
      <w:pPr>
        <w:pStyle w:val="BodyText"/>
        <w:spacing w:line="240" w:lineRule="auto"/>
        <w:ind w:right="181" w:firstLine="566"/>
        <w:jc w:val="both"/>
      </w:pPr>
      <w:r>
        <w:rPr/>
        <w:t>Ревизија укључује спровођење поступака у циљу прибављања ревизијских доказа о износима и обелодањивањима датим у консолидованим финансијским извештајима.</w:t>
      </w:r>
      <w:r>
        <w:rPr>
          <w:spacing w:val="-23"/>
        </w:rPr>
        <w:t> </w:t>
      </w:r>
      <w:r>
        <w:rPr/>
        <w:t>Избор</w:t>
      </w:r>
    </w:p>
    <w:p>
      <w:pPr>
        <w:spacing w:line="240" w:lineRule="auto" w:before="7"/>
        <w:rPr>
          <w:rFonts w:ascii="Times New Roman" w:hAnsi="Times New Roman" w:cs="Times New Roman" w:eastAsia="Times New Roman" w:hint="default"/>
          <w:sz w:val="11"/>
          <w:szCs w:val="11"/>
        </w:rPr>
      </w:pPr>
      <w:r>
        <w:rPr/>
        <w:pict>
          <v:group style="position:absolute;margin-left:72.024002pt;margin-top:7.904301pt;width:144.050pt;height:.1pt;mso-position-horizontal-relative:page;mso-position-vertical-relative:paragraph;z-index:0;mso-wrap-distance-left:0;mso-wrap-distance-right:0" coordorigin="1440,158" coordsize="2881,2">
            <v:shape style="position:absolute;left:1440;top:158;width:2881;height:2" coordorigin="1440,158" coordsize="2881,0" path="m1440,158l4321,158e" filled="false" stroked="true" strokeweight=".599980pt" strokecolor="#000000">
              <v:path arrowok="t"/>
            </v:shape>
            <w10:wrap type="topAndBottom"/>
          </v:group>
        </w:pict>
      </w:r>
    </w:p>
    <w:p>
      <w:pPr>
        <w:spacing w:line="191" w:lineRule="exact" w:before="50"/>
        <w:ind w:left="160" w:right="0"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1 </w:t>
      </w:r>
      <w:r>
        <w:rPr>
          <w:rFonts w:ascii="Times New Roman" w:hAnsi="Times New Roman" w:cs="Times New Roman" w:eastAsia="Times New Roman" w:hint="default"/>
          <w:sz w:val="16"/>
          <w:szCs w:val="16"/>
        </w:rPr>
        <w:t>„Службени гласник Републике Србије“ број</w:t>
      </w:r>
      <w:r>
        <w:rPr>
          <w:rFonts w:ascii="Times New Roman" w:hAnsi="Times New Roman" w:cs="Times New Roman" w:eastAsia="Times New Roman" w:hint="default"/>
          <w:spacing w:val="-7"/>
          <w:sz w:val="16"/>
          <w:szCs w:val="16"/>
        </w:rPr>
        <w:t> </w:t>
      </w:r>
      <w:r>
        <w:rPr>
          <w:rFonts w:ascii="Times New Roman" w:hAnsi="Times New Roman" w:cs="Times New Roman" w:eastAsia="Times New Roman" w:hint="default"/>
          <w:sz w:val="16"/>
          <w:szCs w:val="16"/>
        </w:rPr>
        <w:t>98/2006</w:t>
      </w:r>
    </w:p>
    <w:p>
      <w:pPr>
        <w:spacing w:line="185" w:lineRule="exact" w:before="0"/>
        <w:ind w:left="160" w:right="0"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2 </w:t>
      </w:r>
      <w:r>
        <w:rPr>
          <w:rFonts w:ascii="Times New Roman" w:hAnsi="Times New Roman" w:cs="Times New Roman" w:eastAsia="Times New Roman" w:hint="default"/>
          <w:sz w:val="16"/>
          <w:szCs w:val="16"/>
        </w:rPr>
        <w:t>„Службени гласник Републике Србије“ број 10/2005 и</w:t>
      </w:r>
      <w:r>
        <w:rPr>
          <w:rFonts w:ascii="Times New Roman" w:hAnsi="Times New Roman" w:cs="Times New Roman" w:eastAsia="Times New Roman" w:hint="default"/>
          <w:spacing w:val="-13"/>
          <w:sz w:val="16"/>
          <w:szCs w:val="16"/>
        </w:rPr>
        <w:t> </w:t>
      </w:r>
      <w:r>
        <w:rPr>
          <w:rFonts w:ascii="Times New Roman" w:hAnsi="Times New Roman" w:cs="Times New Roman" w:eastAsia="Times New Roman" w:hint="default"/>
          <w:sz w:val="16"/>
          <w:szCs w:val="16"/>
        </w:rPr>
        <w:t>54/2007</w:t>
      </w:r>
    </w:p>
    <w:p>
      <w:pPr>
        <w:spacing w:line="184" w:lineRule="exact" w:before="0"/>
        <w:ind w:left="160" w:right="0"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3</w:t>
      </w:r>
      <w:r>
        <w:rPr>
          <w:rFonts w:ascii="Times New Roman" w:hAnsi="Times New Roman" w:cs="Times New Roman" w:eastAsia="Times New Roman" w:hint="default"/>
          <w:spacing w:val="10"/>
          <w:position w:val="7"/>
          <w:sz w:val="10"/>
          <w:szCs w:val="10"/>
        </w:rPr>
        <w:t> </w:t>
      </w:r>
      <w:r>
        <w:rPr>
          <w:rFonts w:ascii="Times New Roman" w:hAnsi="Times New Roman" w:cs="Times New Roman" w:eastAsia="Times New Roman" w:hint="default"/>
          <w:sz w:val="16"/>
          <w:szCs w:val="16"/>
        </w:rPr>
        <w:t>„Службени</w:t>
      </w:r>
      <w:r>
        <w:rPr>
          <w:rFonts w:ascii="Times New Roman" w:hAnsi="Times New Roman" w:cs="Times New Roman" w:eastAsia="Times New Roman" w:hint="default"/>
          <w:spacing w:val="-4"/>
          <w:sz w:val="16"/>
          <w:szCs w:val="16"/>
        </w:rPr>
        <w:t> </w:t>
      </w:r>
      <w:r>
        <w:rPr>
          <w:rFonts w:ascii="Times New Roman" w:hAnsi="Times New Roman" w:cs="Times New Roman" w:eastAsia="Times New Roman" w:hint="default"/>
          <w:sz w:val="16"/>
          <w:szCs w:val="16"/>
        </w:rPr>
        <w:t>гласник</w:t>
      </w:r>
      <w:r>
        <w:rPr>
          <w:rFonts w:ascii="Times New Roman" w:hAnsi="Times New Roman" w:cs="Times New Roman" w:eastAsia="Times New Roman" w:hint="default"/>
          <w:spacing w:val="-4"/>
          <w:sz w:val="16"/>
          <w:szCs w:val="16"/>
        </w:rPr>
        <w:t> </w:t>
      </w:r>
      <w:r>
        <w:rPr>
          <w:rFonts w:ascii="Times New Roman" w:hAnsi="Times New Roman" w:cs="Times New Roman" w:eastAsia="Times New Roman" w:hint="default"/>
          <w:sz w:val="16"/>
          <w:szCs w:val="16"/>
        </w:rPr>
        <w:t>Републике</w:t>
      </w:r>
      <w:r>
        <w:rPr>
          <w:rFonts w:ascii="Times New Roman" w:hAnsi="Times New Roman" w:cs="Times New Roman" w:eastAsia="Times New Roman" w:hint="default"/>
          <w:spacing w:val="-7"/>
          <w:sz w:val="16"/>
          <w:szCs w:val="16"/>
        </w:rPr>
        <w:t> </w:t>
      </w:r>
      <w:r>
        <w:rPr>
          <w:rFonts w:ascii="Times New Roman" w:hAnsi="Times New Roman" w:cs="Times New Roman" w:eastAsia="Times New Roman" w:hint="default"/>
          <w:sz w:val="16"/>
          <w:szCs w:val="16"/>
        </w:rPr>
        <w:t>Србије“</w:t>
      </w:r>
      <w:r>
        <w:rPr>
          <w:rFonts w:ascii="Times New Roman" w:hAnsi="Times New Roman" w:cs="Times New Roman" w:eastAsia="Times New Roman" w:hint="default"/>
          <w:spacing w:val="-7"/>
          <w:sz w:val="16"/>
          <w:szCs w:val="16"/>
        </w:rPr>
        <w:t> </w:t>
      </w:r>
      <w:r>
        <w:rPr>
          <w:rFonts w:ascii="Times New Roman" w:hAnsi="Times New Roman" w:cs="Times New Roman" w:eastAsia="Times New Roman" w:hint="default"/>
          <w:sz w:val="16"/>
          <w:szCs w:val="16"/>
        </w:rPr>
        <w:t>број</w:t>
      </w:r>
      <w:r>
        <w:rPr>
          <w:rFonts w:ascii="Times New Roman" w:hAnsi="Times New Roman" w:cs="Times New Roman" w:eastAsia="Times New Roman" w:hint="default"/>
          <w:spacing w:val="-6"/>
          <w:sz w:val="16"/>
          <w:szCs w:val="16"/>
        </w:rPr>
        <w:t> </w:t>
      </w:r>
      <w:r>
        <w:rPr>
          <w:rFonts w:ascii="Times New Roman" w:hAnsi="Times New Roman" w:cs="Times New Roman" w:eastAsia="Times New Roman" w:hint="default"/>
          <w:sz w:val="16"/>
          <w:szCs w:val="16"/>
        </w:rPr>
        <w:t>54/2009,</w:t>
      </w:r>
      <w:r>
        <w:rPr>
          <w:rFonts w:ascii="Times New Roman" w:hAnsi="Times New Roman" w:cs="Times New Roman" w:eastAsia="Times New Roman" w:hint="default"/>
          <w:spacing w:val="-7"/>
          <w:sz w:val="16"/>
          <w:szCs w:val="16"/>
        </w:rPr>
        <w:t> </w:t>
      </w:r>
      <w:r>
        <w:rPr>
          <w:rFonts w:ascii="Times New Roman" w:hAnsi="Times New Roman" w:cs="Times New Roman" w:eastAsia="Times New Roman" w:hint="default"/>
          <w:sz w:val="16"/>
          <w:szCs w:val="16"/>
        </w:rPr>
        <w:t>73/2010,</w:t>
      </w:r>
      <w:r>
        <w:rPr>
          <w:rFonts w:ascii="Times New Roman" w:hAnsi="Times New Roman" w:cs="Times New Roman" w:eastAsia="Times New Roman" w:hint="default"/>
          <w:spacing w:val="-7"/>
          <w:sz w:val="16"/>
          <w:szCs w:val="16"/>
        </w:rPr>
        <w:t> </w:t>
      </w:r>
      <w:r>
        <w:rPr>
          <w:rFonts w:ascii="Times New Roman" w:hAnsi="Times New Roman" w:cs="Times New Roman" w:eastAsia="Times New Roman" w:hint="default"/>
          <w:sz w:val="16"/>
          <w:szCs w:val="16"/>
        </w:rPr>
        <w:t>101/20</w:t>
      </w:r>
      <w:r>
        <w:rPr>
          <w:rFonts w:ascii="Times New Roman" w:hAnsi="Times New Roman" w:cs="Times New Roman" w:eastAsia="Times New Roman" w:hint="default"/>
          <w:sz w:val="16"/>
          <w:szCs w:val="16"/>
        </w:rPr>
        <w:t>10,</w:t>
      </w:r>
      <w:r>
        <w:rPr>
          <w:rFonts w:ascii="Times New Roman" w:hAnsi="Times New Roman" w:cs="Times New Roman" w:eastAsia="Times New Roman" w:hint="default"/>
          <w:spacing w:val="-7"/>
          <w:sz w:val="16"/>
          <w:szCs w:val="16"/>
        </w:rPr>
        <w:t> </w:t>
      </w:r>
      <w:r>
        <w:rPr>
          <w:rFonts w:ascii="Times New Roman" w:hAnsi="Times New Roman" w:cs="Times New Roman" w:eastAsia="Times New Roman" w:hint="default"/>
          <w:sz w:val="16"/>
          <w:szCs w:val="16"/>
        </w:rPr>
        <w:t>101/2011,</w:t>
      </w:r>
      <w:r>
        <w:rPr>
          <w:rFonts w:ascii="Times New Roman" w:hAnsi="Times New Roman" w:cs="Times New Roman" w:eastAsia="Times New Roman" w:hint="default"/>
          <w:spacing w:val="-7"/>
          <w:sz w:val="16"/>
          <w:szCs w:val="16"/>
        </w:rPr>
        <w:t> </w:t>
      </w:r>
      <w:r>
        <w:rPr>
          <w:rFonts w:ascii="Times New Roman" w:hAnsi="Times New Roman" w:cs="Times New Roman" w:eastAsia="Times New Roman" w:hint="default"/>
          <w:sz w:val="16"/>
          <w:szCs w:val="16"/>
        </w:rPr>
        <w:t>93/2012,</w:t>
      </w:r>
      <w:r>
        <w:rPr>
          <w:rFonts w:ascii="Times New Roman" w:hAnsi="Times New Roman" w:cs="Times New Roman" w:eastAsia="Times New Roman" w:hint="default"/>
          <w:spacing w:val="-7"/>
          <w:sz w:val="16"/>
          <w:szCs w:val="16"/>
        </w:rPr>
        <w:t> </w:t>
      </w:r>
      <w:r>
        <w:rPr>
          <w:rFonts w:ascii="Times New Roman" w:hAnsi="Times New Roman" w:cs="Times New Roman" w:eastAsia="Times New Roman" w:hint="default"/>
          <w:sz w:val="16"/>
          <w:szCs w:val="16"/>
        </w:rPr>
        <w:t>62/2013,</w:t>
      </w:r>
      <w:r>
        <w:rPr>
          <w:rFonts w:ascii="Times New Roman" w:hAnsi="Times New Roman" w:cs="Times New Roman" w:eastAsia="Times New Roman" w:hint="default"/>
          <w:spacing w:val="-6"/>
          <w:sz w:val="16"/>
          <w:szCs w:val="16"/>
        </w:rPr>
        <w:t> </w:t>
      </w:r>
      <w:r>
        <w:rPr>
          <w:rFonts w:ascii="Times New Roman" w:hAnsi="Times New Roman" w:cs="Times New Roman" w:eastAsia="Times New Roman" w:hint="default"/>
          <w:sz w:val="16"/>
          <w:szCs w:val="16"/>
        </w:rPr>
        <w:t>63/2013-</w:t>
      </w:r>
      <w:r>
        <w:rPr>
          <w:rFonts w:ascii="Times New Roman" w:hAnsi="Times New Roman" w:cs="Times New Roman" w:eastAsia="Times New Roman" w:hint="default"/>
          <w:sz w:val="16"/>
          <w:szCs w:val="16"/>
        </w:rPr>
        <w:t>испр.</w:t>
      </w:r>
      <w:r>
        <w:rPr>
          <w:rFonts w:ascii="Times New Roman" w:hAnsi="Times New Roman" w:cs="Times New Roman" w:eastAsia="Times New Roman" w:hint="default"/>
          <w:sz w:val="16"/>
          <w:szCs w:val="16"/>
        </w:rPr>
        <w:t>,</w:t>
      </w:r>
      <w:r>
        <w:rPr>
          <w:rFonts w:ascii="Times New Roman" w:hAnsi="Times New Roman" w:cs="Times New Roman" w:eastAsia="Times New Roman" w:hint="default"/>
          <w:spacing w:val="-4"/>
          <w:sz w:val="16"/>
          <w:szCs w:val="16"/>
        </w:rPr>
        <w:t> </w:t>
      </w:r>
      <w:r>
        <w:rPr>
          <w:rFonts w:ascii="Times New Roman" w:hAnsi="Times New Roman" w:cs="Times New Roman" w:eastAsia="Times New Roman" w:hint="default"/>
          <w:sz w:val="16"/>
          <w:szCs w:val="16"/>
        </w:rPr>
        <w:t>108/2013,</w:t>
      </w:r>
      <w:r>
        <w:rPr>
          <w:rFonts w:ascii="Times New Roman" w:hAnsi="Times New Roman" w:cs="Times New Roman" w:eastAsia="Times New Roman" w:hint="default"/>
          <w:spacing w:val="-7"/>
          <w:sz w:val="16"/>
          <w:szCs w:val="16"/>
        </w:rPr>
        <w:t> </w:t>
      </w:r>
      <w:r>
        <w:rPr>
          <w:rFonts w:ascii="Times New Roman" w:hAnsi="Times New Roman" w:cs="Times New Roman" w:eastAsia="Times New Roman" w:hint="default"/>
          <w:sz w:val="16"/>
          <w:szCs w:val="16"/>
        </w:rPr>
        <w:t>142/2014</w:t>
      </w:r>
    </w:p>
    <w:p>
      <w:pPr>
        <w:spacing w:line="184" w:lineRule="exact" w:before="0"/>
        <w:ind w:left="160" w:right="0"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4 </w:t>
      </w:r>
      <w:r>
        <w:rPr>
          <w:rFonts w:ascii="Times New Roman" w:hAnsi="Times New Roman" w:cs="Times New Roman" w:eastAsia="Times New Roman" w:hint="default"/>
          <w:sz w:val="16"/>
          <w:szCs w:val="16"/>
        </w:rPr>
        <w:t>„Службени гласник Републике Србије“ број</w:t>
      </w:r>
      <w:r>
        <w:rPr>
          <w:rFonts w:ascii="Times New Roman" w:hAnsi="Times New Roman" w:cs="Times New Roman" w:eastAsia="Times New Roman" w:hint="default"/>
          <w:spacing w:val="-6"/>
          <w:sz w:val="16"/>
          <w:szCs w:val="16"/>
        </w:rPr>
        <w:t> </w:t>
      </w:r>
      <w:r>
        <w:rPr>
          <w:rFonts w:ascii="Times New Roman" w:hAnsi="Times New Roman" w:cs="Times New Roman" w:eastAsia="Times New Roman" w:hint="default"/>
          <w:sz w:val="16"/>
          <w:szCs w:val="16"/>
        </w:rPr>
        <w:t>129/2007</w:t>
      </w:r>
    </w:p>
    <w:p>
      <w:pPr>
        <w:spacing w:line="185" w:lineRule="exact" w:before="0"/>
        <w:ind w:left="160" w:right="0"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5  </w:t>
      </w:r>
      <w:r>
        <w:rPr>
          <w:rFonts w:ascii="Times New Roman" w:hAnsi="Times New Roman" w:cs="Times New Roman" w:eastAsia="Times New Roman" w:hint="default"/>
          <w:sz w:val="16"/>
          <w:szCs w:val="16"/>
        </w:rPr>
        <w:t>„Службени лист града Ниша“ број</w:t>
      </w:r>
      <w:r>
        <w:rPr>
          <w:rFonts w:ascii="Times New Roman" w:hAnsi="Times New Roman" w:cs="Times New Roman" w:eastAsia="Times New Roman" w:hint="default"/>
          <w:spacing w:val="-25"/>
          <w:sz w:val="16"/>
          <w:szCs w:val="16"/>
        </w:rPr>
        <w:t> </w:t>
      </w:r>
      <w:r>
        <w:rPr>
          <w:rFonts w:ascii="Times New Roman" w:hAnsi="Times New Roman" w:cs="Times New Roman" w:eastAsia="Times New Roman" w:hint="default"/>
          <w:sz w:val="16"/>
          <w:szCs w:val="16"/>
        </w:rPr>
        <w:t>88/2008</w:t>
      </w:r>
    </w:p>
    <w:p>
      <w:pPr>
        <w:spacing w:line="184" w:lineRule="exact" w:before="0"/>
        <w:ind w:left="160" w:right="0"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6 </w:t>
      </w:r>
      <w:r>
        <w:rPr>
          <w:rFonts w:ascii="Times New Roman" w:hAnsi="Times New Roman" w:cs="Times New Roman" w:eastAsia="Times New Roman" w:hint="default"/>
          <w:sz w:val="16"/>
          <w:szCs w:val="16"/>
        </w:rPr>
        <w:t>„Службени гласник Републике Србије“ број </w:t>
      </w:r>
      <w:r>
        <w:rPr>
          <w:rFonts w:ascii="Times New Roman" w:hAnsi="Times New Roman" w:cs="Times New Roman" w:eastAsia="Times New Roman" w:hint="default"/>
          <w:sz w:val="16"/>
          <w:szCs w:val="16"/>
        </w:rPr>
        <w:t>125/200</w:t>
      </w:r>
      <w:r>
        <w:rPr>
          <w:rFonts w:ascii="Times New Roman" w:hAnsi="Times New Roman" w:cs="Times New Roman" w:eastAsia="Times New Roman" w:hint="default"/>
          <w:sz w:val="16"/>
          <w:szCs w:val="16"/>
        </w:rPr>
        <w:t>3 и</w:t>
      </w:r>
      <w:r>
        <w:rPr>
          <w:rFonts w:ascii="Times New Roman" w:hAnsi="Times New Roman" w:cs="Times New Roman" w:eastAsia="Times New Roman" w:hint="default"/>
          <w:spacing w:val="-11"/>
          <w:sz w:val="16"/>
          <w:szCs w:val="16"/>
        </w:rPr>
        <w:t> </w:t>
      </w:r>
      <w:r>
        <w:rPr>
          <w:rFonts w:ascii="Times New Roman" w:hAnsi="Times New Roman" w:cs="Times New Roman" w:eastAsia="Times New Roman" w:hint="default"/>
          <w:sz w:val="16"/>
          <w:szCs w:val="16"/>
        </w:rPr>
        <w:t>12/2006</w:t>
      </w:r>
    </w:p>
    <w:p>
      <w:pPr>
        <w:spacing w:line="184" w:lineRule="exact" w:before="0"/>
        <w:ind w:left="160" w:right="0"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7 </w:t>
      </w:r>
      <w:r>
        <w:rPr>
          <w:rFonts w:ascii="Times New Roman" w:hAnsi="Times New Roman" w:cs="Times New Roman" w:eastAsia="Times New Roman" w:hint="default"/>
          <w:sz w:val="16"/>
          <w:szCs w:val="16"/>
        </w:rPr>
        <w:t>„Службени гласник Републике Србије“ број</w:t>
      </w:r>
      <w:r>
        <w:rPr>
          <w:rFonts w:ascii="Times New Roman" w:hAnsi="Times New Roman" w:cs="Times New Roman" w:eastAsia="Times New Roman" w:hint="default"/>
          <w:spacing w:val="-5"/>
          <w:sz w:val="16"/>
          <w:szCs w:val="16"/>
        </w:rPr>
        <w:t> </w:t>
      </w:r>
      <w:r>
        <w:rPr>
          <w:rFonts w:ascii="Times New Roman" w:hAnsi="Times New Roman" w:cs="Times New Roman" w:eastAsia="Times New Roman" w:hint="default"/>
          <w:sz w:val="16"/>
          <w:szCs w:val="16"/>
        </w:rPr>
        <w:t>18/2015</w:t>
      </w:r>
    </w:p>
    <w:p>
      <w:pPr>
        <w:spacing w:line="191" w:lineRule="exact" w:before="0"/>
        <w:ind w:left="160" w:right="0"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8 </w:t>
      </w:r>
      <w:r>
        <w:rPr>
          <w:rFonts w:ascii="Times New Roman" w:hAnsi="Times New Roman" w:cs="Times New Roman" w:eastAsia="Times New Roman" w:hint="default"/>
          <w:sz w:val="16"/>
          <w:szCs w:val="16"/>
        </w:rPr>
        <w:t>„Службени гласник Републике Србије“ број 10</w:t>
      </w:r>
      <w:r>
        <w:rPr>
          <w:rFonts w:ascii="Times New Roman" w:hAnsi="Times New Roman" w:cs="Times New Roman" w:eastAsia="Times New Roman" w:hint="default"/>
          <w:sz w:val="16"/>
          <w:szCs w:val="16"/>
        </w:rPr>
        <w:t>3/2011,</w:t>
      </w:r>
      <w:r>
        <w:rPr>
          <w:rFonts w:ascii="Times New Roman" w:hAnsi="Times New Roman" w:cs="Times New Roman" w:eastAsia="Times New Roman" w:hint="default"/>
          <w:spacing w:val="-14"/>
          <w:sz w:val="16"/>
          <w:szCs w:val="16"/>
        </w:rPr>
        <w:t> </w:t>
      </w:r>
      <w:r>
        <w:rPr>
          <w:rFonts w:ascii="Times New Roman" w:hAnsi="Times New Roman" w:cs="Times New Roman" w:eastAsia="Times New Roman" w:hint="default"/>
          <w:sz w:val="16"/>
          <w:szCs w:val="16"/>
        </w:rPr>
        <w:t>...131/2014</w:t>
      </w:r>
    </w:p>
    <w:p>
      <w:pPr>
        <w:spacing w:after="0" w:line="191" w:lineRule="exact"/>
        <w:jc w:val="left"/>
        <w:rPr>
          <w:rFonts w:ascii="Times New Roman" w:hAnsi="Times New Roman" w:cs="Times New Roman" w:eastAsia="Times New Roman" w:hint="default"/>
          <w:sz w:val="16"/>
          <w:szCs w:val="16"/>
        </w:rPr>
        <w:sectPr>
          <w:pgSz w:w="12240" w:h="15840"/>
          <w:pgMar w:header="687" w:footer="861" w:top="1220" w:bottom="1060" w:left="1280" w:right="1260"/>
        </w:sectPr>
      </w:pPr>
    </w:p>
    <w:p>
      <w:pPr>
        <w:pStyle w:val="BodyText"/>
        <w:spacing w:line="240" w:lineRule="auto" w:before="93"/>
        <w:ind w:right="175"/>
        <w:jc w:val="both"/>
      </w:pPr>
      <w:r>
        <w:rPr/>
        <w:t>поступака је заснован на ревизорском просуђивању укључујући и процену ризика од материјално значајних погрешних исказа у консолидованим финансијским извештајима, насталим услед преваре/криминалне радње или грешке. Приликом процене ризика, ревизор разматра интерне контроле које су релевантне за припрему и презентацију консолидованих финансијских извештаја, у циљу осмишљавања ревизијских поступака који су одговарајући у датим околностима. Ревизија, такође, укључује процену адекватности примењених рачуноводствених политика и процена које је користило руководство, као и оцену опште презентације консолидованих финансијских</w:t>
      </w:r>
      <w:r>
        <w:rPr>
          <w:spacing w:val="-26"/>
        </w:rPr>
        <w:t> </w:t>
      </w:r>
      <w:r>
        <w:rPr/>
        <w:t>извештаја.</w:t>
      </w:r>
    </w:p>
    <w:p>
      <w:pPr>
        <w:pStyle w:val="BodyText"/>
        <w:spacing w:line="240" w:lineRule="auto"/>
        <w:ind w:right="0" w:firstLine="566"/>
        <w:jc w:val="left"/>
      </w:pPr>
      <w:r>
        <w:rPr/>
        <w:t>Сматрамо да су прибављени ревизијски докази довољни, адекватни и поуздани и да обезбеђују основу за ревизијско мишљење са</w:t>
      </w:r>
      <w:r>
        <w:rPr>
          <w:spacing w:val="-13"/>
        </w:rPr>
        <w:t> </w:t>
      </w:r>
      <w:r>
        <w:rPr/>
        <w:t>резервом.</w:t>
      </w:r>
    </w:p>
    <w:p>
      <w:pPr>
        <w:spacing w:line="240" w:lineRule="auto" w:before="5"/>
        <w:rPr>
          <w:rFonts w:ascii="Times New Roman" w:hAnsi="Times New Roman" w:cs="Times New Roman" w:eastAsia="Times New Roman" w:hint="default"/>
          <w:sz w:val="24"/>
          <w:szCs w:val="24"/>
        </w:rPr>
      </w:pPr>
    </w:p>
    <w:p>
      <w:pPr>
        <w:pStyle w:val="Heading1"/>
        <w:spacing w:line="274" w:lineRule="exact" w:before="0"/>
        <w:ind w:left="868" w:right="0"/>
        <w:jc w:val="left"/>
        <w:rPr>
          <w:b w:val="0"/>
          <w:bCs w:val="0"/>
        </w:rPr>
      </w:pPr>
      <w:r>
        <w:rPr/>
        <w:t>Основа за изражавање мишљења са</w:t>
      </w:r>
      <w:r>
        <w:rPr>
          <w:spacing w:val="-6"/>
        </w:rPr>
        <w:t> </w:t>
      </w:r>
      <w:r>
        <w:rPr/>
        <w:t>резервом</w:t>
      </w:r>
      <w:r>
        <w:rPr>
          <w:b w:val="0"/>
        </w:rPr>
      </w:r>
    </w:p>
    <w:p>
      <w:pPr>
        <w:pStyle w:val="BodyText"/>
        <w:spacing w:line="240" w:lineRule="auto"/>
        <w:ind w:right="178" w:firstLine="707"/>
        <w:jc w:val="both"/>
      </w:pPr>
      <w:r>
        <w:rPr/>
        <w:t>У консолидованим финансијским извештајима града Ниша</w:t>
      </w:r>
      <w:r>
        <w:rPr>
          <w:rFonts w:ascii="Times New Roman" w:hAnsi="Times New Roman"/>
        </w:rPr>
        <w:t>: </w:t>
      </w:r>
      <w:r>
        <w:rPr/>
        <w:t>приходи су мање исказани у износу од 21.027 хиљада динара у односу на налаз ревизије; део прихода и примања није правилно планиран и остварен према одговарајућој економској класификацији, јер приходи и примања у финансијским извештајима су укупно </w:t>
      </w:r>
      <w:r>
        <w:rPr>
          <w:spacing w:val="49"/>
        </w:rPr>
        <w:t> </w:t>
      </w:r>
      <w:r>
        <w:rPr/>
        <w:t>исказани:</w:t>
      </w:r>
    </w:p>
    <w:p>
      <w:pPr>
        <w:pStyle w:val="BodyText"/>
        <w:spacing w:line="240" w:lineRule="auto"/>
        <w:ind w:right="175"/>
        <w:jc w:val="both"/>
      </w:pPr>
      <w:r>
        <w:rPr/>
        <w:t>(1) у већем износу од износа утврђеног налазом ревизије у износу од 11.929 хиљада  динара и (2) у мањем износу од износа утврђеног налазом ревизије у износу од 11.929 хиљада динара; расходи буџета града Ниша нису евидентирани у износу од </w:t>
      </w:r>
      <w:r>
        <w:rPr>
          <w:rFonts w:ascii="Times New Roman" w:hAnsi="Times New Roman"/>
        </w:rPr>
        <w:t>25.903 </w:t>
      </w:r>
      <w:r>
        <w:rPr/>
        <w:t>хиљаде динара;</w:t>
      </w:r>
      <w:r>
        <w:rPr>
          <w:spacing w:val="54"/>
        </w:rPr>
        <w:t> </w:t>
      </w:r>
      <w:r>
        <w:rPr/>
        <w:t>део</w:t>
      </w:r>
      <w:r>
        <w:rPr>
          <w:spacing w:val="52"/>
        </w:rPr>
        <w:t> </w:t>
      </w:r>
      <w:r>
        <w:rPr/>
        <w:t>расхода</w:t>
      </w:r>
      <w:r>
        <w:rPr>
          <w:spacing w:val="49"/>
        </w:rPr>
        <w:t> </w:t>
      </w:r>
      <w:r>
        <w:rPr/>
        <w:t>и</w:t>
      </w:r>
      <w:r>
        <w:rPr>
          <w:spacing w:val="51"/>
        </w:rPr>
        <w:t> </w:t>
      </w:r>
      <w:r>
        <w:rPr/>
        <w:t>издатака</w:t>
      </w:r>
      <w:r>
        <w:rPr>
          <w:spacing w:val="52"/>
        </w:rPr>
        <w:t> </w:t>
      </w:r>
      <w:r>
        <w:rPr/>
        <w:t>је</w:t>
      </w:r>
      <w:r>
        <w:rPr>
          <w:spacing w:val="52"/>
        </w:rPr>
        <w:t> </w:t>
      </w:r>
      <w:r>
        <w:rPr/>
        <w:t>више</w:t>
      </w:r>
      <w:r>
        <w:rPr>
          <w:spacing w:val="52"/>
        </w:rPr>
        <w:t> </w:t>
      </w:r>
      <w:r>
        <w:rPr/>
        <w:t>исказан</w:t>
      </w:r>
      <w:r>
        <w:rPr>
          <w:spacing w:val="53"/>
        </w:rPr>
        <w:t> </w:t>
      </w:r>
      <w:r>
        <w:rPr/>
        <w:t>за</w:t>
      </w:r>
      <w:r>
        <w:rPr>
          <w:spacing w:val="57"/>
        </w:rPr>
        <w:t> </w:t>
      </w:r>
      <w:r>
        <w:rPr>
          <w:rFonts w:ascii="Times New Roman" w:hAnsi="Times New Roman"/>
        </w:rPr>
        <w:t>563.355</w:t>
      </w:r>
      <w:r>
        <w:rPr>
          <w:rFonts w:ascii="Times New Roman" w:hAnsi="Times New Roman"/>
          <w:spacing w:val="51"/>
        </w:rPr>
        <w:t> </w:t>
      </w:r>
      <w:r>
        <w:rPr/>
        <w:t>хиљада</w:t>
      </w:r>
      <w:r>
        <w:rPr>
          <w:spacing w:val="52"/>
        </w:rPr>
        <w:t> </w:t>
      </w:r>
      <w:r>
        <w:rPr/>
        <w:t>динара</w:t>
      </w:r>
      <w:r>
        <w:rPr>
          <w:spacing w:val="52"/>
        </w:rPr>
        <w:t> </w:t>
      </w:r>
      <w:r>
        <w:rPr/>
        <w:t>и</w:t>
      </w:r>
      <w:r>
        <w:rPr>
          <w:spacing w:val="53"/>
        </w:rPr>
        <w:t> </w:t>
      </w:r>
      <w:r>
        <w:rPr/>
        <w:t>мање</w:t>
      </w:r>
      <w:r>
        <w:rPr>
          <w:spacing w:val="51"/>
        </w:rPr>
        <w:t> </w:t>
      </w:r>
      <w:r>
        <w:rPr/>
        <w:t>за</w:t>
      </w:r>
    </w:p>
    <w:p>
      <w:pPr>
        <w:pStyle w:val="BodyText"/>
        <w:spacing w:line="240" w:lineRule="auto"/>
        <w:ind w:right="177"/>
        <w:jc w:val="both"/>
      </w:pPr>
      <w:r>
        <w:rPr>
          <w:rFonts w:ascii="Times New Roman" w:hAnsi="Times New Roman"/>
        </w:rPr>
        <w:t>563.247 </w:t>
      </w:r>
      <w:r>
        <w:rPr/>
        <w:t>хиљада динара у односу на налаз ревизије; део расхода и издатака није правилно планиран и извршен према одговарајућој организационој</w:t>
      </w:r>
      <w:r>
        <w:rPr>
          <w:spacing w:val="-26"/>
        </w:rPr>
        <w:t> </w:t>
      </w:r>
      <w:r>
        <w:rPr/>
        <w:t>класификацији.</w:t>
      </w:r>
    </w:p>
    <w:p>
      <w:pPr>
        <w:spacing w:line="240" w:lineRule="auto" w:before="0"/>
        <w:rPr>
          <w:rFonts w:ascii="Times New Roman" w:hAnsi="Times New Roman" w:cs="Times New Roman" w:eastAsia="Times New Roman" w:hint="default"/>
          <w:sz w:val="24"/>
          <w:szCs w:val="24"/>
        </w:rPr>
      </w:pPr>
    </w:p>
    <w:p>
      <w:pPr>
        <w:pStyle w:val="BodyText"/>
        <w:spacing w:line="240" w:lineRule="auto"/>
        <w:ind w:left="880" w:right="0"/>
        <w:jc w:val="left"/>
      </w:pPr>
      <w:r>
        <w:rPr/>
        <w:t>У Консолидованом Билансу стања на дан 31.12.2014.</w:t>
      </w:r>
      <w:r>
        <w:rPr>
          <w:spacing w:val="-14"/>
        </w:rPr>
        <w:t> </w:t>
      </w:r>
      <w:r>
        <w:rPr/>
        <w:t>године:</w:t>
      </w:r>
    </w:p>
    <w:p>
      <w:pPr>
        <w:pStyle w:val="ListParagraph"/>
        <w:numPr>
          <w:ilvl w:val="0"/>
          <w:numId w:val="2"/>
        </w:numPr>
        <w:tabs>
          <w:tab w:pos="303"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није исказано следеће: зграде и грађевински објекти чију вредност у поступку ревизије нисмо могли да утврдимо, 42 стана која </w:t>
      </w:r>
      <w:r>
        <w:rPr>
          <w:rFonts w:ascii="Times New Roman" w:hAnsi="Times New Roman"/>
          <w:spacing w:val="2"/>
          <w:sz w:val="24"/>
        </w:rPr>
        <w:t>су </w:t>
      </w:r>
      <w:r>
        <w:rPr>
          <w:rFonts w:ascii="Times New Roman" w:hAnsi="Times New Roman"/>
          <w:sz w:val="24"/>
        </w:rPr>
        <w:t>дата у закуп чију вредност у поступку ревизије </w:t>
      </w:r>
      <w:r>
        <w:rPr>
          <w:rFonts w:ascii="Times New Roman" w:hAnsi="Times New Roman"/>
          <w:sz w:val="24"/>
        </w:rPr>
        <w:t>нисмо могли да утврдимо, зграде и грађевински објекти у укупном износу од 71.493 хиљаде динара; опрема у износу од 3.202 хиљаде динара, нефинансијска имовина у припреми у износу од </w:t>
      </w:r>
      <w:r>
        <w:rPr>
          <w:rFonts w:ascii="Times New Roman" w:hAnsi="Times New Roman"/>
          <w:sz w:val="24"/>
        </w:rPr>
        <w:t>24.485 </w:t>
      </w:r>
      <w:r>
        <w:rPr>
          <w:rFonts w:ascii="Times New Roman" w:hAnsi="Times New Roman"/>
          <w:sz w:val="24"/>
        </w:rPr>
        <w:t>хиљада динара, земљиште у износу од 15.716 хиљада динара, дугорочна домаћа финансијска имовина у износу од 2.063.389 хиљада динара, новчана средства у износу од 28.500 хиљада динара, краткорочна потраживања у износу од 386.769 хиљада динара, краткорочни пласмани у износу од </w:t>
      </w:r>
      <w:r>
        <w:rPr>
          <w:rFonts w:ascii="Times New Roman" w:hAnsi="Times New Roman"/>
          <w:sz w:val="24"/>
        </w:rPr>
        <w:t>39.384 </w:t>
      </w:r>
      <w:r>
        <w:rPr>
          <w:rFonts w:ascii="Times New Roman" w:hAnsi="Times New Roman"/>
          <w:sz w:val="24"/>
        </w:rPr>
        <w:t>хиљаде динара, ванбилансна актива у износу од 195.371 хиљаде динара, обавезе у укупном износу од </w:t>
      </w:r>
      <w:r>
        <w:rPr>
          <w:rFonts w:ascii="Times New Roman" w:hAnsi="Times New Roman"/>
          <w:sz w:val="24"/>
        </w:rPr>
        <w:t>1.501.370 </w:t>
      </w:r>
      <w:r>
        <w:rPr>
          <w:rFonts w:ascii="Times New Roman" w:hAnsi="Times New Roman"/>
          <w:sz w:val="24"/>
        </w:rPr>
        <w:t>хиљада динара, нефинансијска имовина у сталним средствима у износу од 102.320 хиљада динара, финансијска имовина у износу од 2.153.223 хиљаде</w:t>
      </w:r>
      <w:r>
        <w:rPr>
          <w:rFonts w:ascii="Times New Roman" w:hAnsi="Times New Roman"/>
          <w:spacing w:val="-15"/>
          <w:sz w:val="24"/>
        </w:rPr>
        <w:t> </w:t>
      </w:r>
      <w:r>
        <w:rPr>
          <w:rFonts w:ascii="Times New Roman" w:hAnsi="Times New Roman"/>
          <w:sz w:val="24"/>
        </w:rPr>
        <w:t>динара;</w:t>
      </w:r>
    </w:p>
    <w:p>
      <w:pPr>
        <w:pStyle w:val="ListParagraph"/>
        <w:numPr>
          <w:ilvl w:val="0"/>
          <w:numId w:val="2"/>
        </w:numPr>
        <w:tabs>
          <w:tab w:pos="303" w:val="left" w:leader="none"/>
        </w:tabs>
        <w:spacing w:line="240" w:lineRule="auto" w:before="0" w:after="0"/>
        <w:ind w:left="160" w:right="173" w:firstLine="0"/>
        <w:jc w:val="left"/>
        <w:rPr>
          <w:rFonts w:ascii="Times New Roman" w:hAnsi="Times New Roman" w:cs="Times New Roman" w:eastAsia="Times New Roman" w:hint="default"/>
          <w:sz w:val="22"/>
          <w:szCs w:val="22"/>
        </w:rPr>
      </w:pPr>
      <w:r>
        <w:rPr>
          <w:rFonts w:ascii="Times New Roman" w:hAnsi="Times New Roman"/>
          <w:sz w:val="24"/>
        </w:rPr>
        <w:t>више је исказано следеће: зграде и грађевински објекти у износу од 146.027 хиљада динара, опрема у износу од </w:t>
      </w:r>
      <w:r>
        <w:rPr>
          <w:rFonts w:ascii="Times New Roman" w:hAnsi="Times New Roman"/>
          <w:sz w:val="24"/>
        </w:rPr>
        <w:t>10.120 </w:t>
      </w:r>
      <w:r>
        <w:rPr>
          <w:rFonts w:ascii="Times New Roman" w:hAnsi="Times New Roman"/>
          <w:sz w:val="24"/>
        </w:rPr>
        <w:t>хиљада динара, земљиште у износу од 10.019 хиљада динара, нефинансијска имовина у припреми у износу од 56.539 хиљада динара, аванси за нефинансијску имовину у износу од 130 хиљада динара, нематеријална имовина у износу од 166 хиљада динара, дугорочна домаћа финансијска имовина у износу од 5.784 хиљаде динара, краткорочна потраживања у износу од 30.071 хиљаде динара, краткорочни пласмани у износу од 1.345 хиљада динара, обавезе у укупном износу од 337.912 хиљада динара, нефинансијска имовина у сталним средствима у износу од 221.299 хиљада динара, нефинансијска имовина у залихама у износу од 56 хиљада динара, финансијска имовина</w:t>
      </w:r>
      <w:r>
        <w:rPr>
          <w:rFonts w:ascii="Times New Roman" w:hAnsi="Times New Roman"/>
          <w:spacing w:val="-26"/>
          <w:sz w:val="24"/>
        </w:rPr>
        <w:t> </w:t>
      </w:r>
      <w:r>
        <w:rPr>
          <w:rFonts w:ascii="Times New Roman" w:hAnsi="Times New Roman"/>
          <w:sz w:val="24"/>
        </w:rPr>
        <w:t>у</w:t>
      </w:r>
    </w:p>
    <w:p>
      <w:pPr>
        <w:spacing w:after="0" w:line="240" w:lineRule="auto"/>
        <w:jc w:val="left"/>
        <w:rPr>
          <w:rFonts w:ascii="Times New Roman" w:hAnsi="Times New Roman" w:cs="Times New Roman" w:eastAsia="Times New Roman" w:hint="default"/>
          <w:sz w:val="22"/>
          <w:szCs w:val="22"/>
        </w:rPr>
        <w:sectPr>
          <w:pgSz w:w="12240" w:h="15840"/>
          <w:pgMar w:header="687" w:footer="861" w:top="1220" w:bottom="1060" w:left="1280" w:right="1260"/>
        </w:sectPr>
      </w:pPr>
    </w:p>
    <w:p>
      <w:pPr>
        <w:pStyle w:val="BodyText"/>
        <w:spacing w:line="240" w:lineRule="auto" w:before="93"/>
        <w:ind w:right="185"/>
        <w:jc w:val="both"/>
      </w:pPr>
      <w:r>
        <w:rPr/>
        <w:t>износу од 5.784 хиљаде динара, извори новчаних средстава, пренета неутрошена средства и остали сопствени извори у износу од 7.654 хиљаде</w:t>
      </w:r>
      <w:r>
        <w:rPr>
          <w:spacing w:val="-20"/>
        </w:rPr>
        <w:t> </w:t>
      </w:r>
      <w:r>
        <w:rPr/>
        <w:t>динара;</w:t>
      </w:r>
    </w:p>
    <w:p>
      <w:pPr>
        <w:pStyle w:val="ListParagraph"/>
        <w:numPr>
          <w:ilvl w:val="0"/>
          <w:numId w:val="2"/>
        </w:numPr>
        <w:tabs>
          <w:tab w:pos="303" w:val="left" w:leader="none"/>
        </w:tabs>
        <w:spacing w:line="240" w:lineRule="auto" w:before="0" w:after="0"/>
        <w:ind w:left="160" w:right="18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вишак прихода и примања – суфицит, неправилно је исказан за износ који у поступку ревизије нисмо могли да утврдимо, нераспоређени вишак прихода и примања из ранијих година неправилно је исказан у износу од најмање 289.344 хиљаде динара, дефицит из ранијих година исказан је у износу од 290.121 хиљаде динара, који је у целости неправилно</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исказан.</w:t>
      </w:r>
    </w:p>
    <w:p>
      <w:pPr>
        <w:pStyle w:val="BodyText"/>
        <w:spacing w:line="240" w:lineRule="auto" w:before="185"/>
        <w:ind w:right="172" w:firstLine="719"/>
        <w:jc w:val="both"/>
      </w:pPr>
      <w:r>
        <w:rPr/>
        <w:t>У Консолидованом Извештају о капиталним издацима и примањима </w:t>
      </w:r>
      <w:r>
        <w:rPr>
          <w:rFonts w:ascii="Times New Roman" w:hAnsi="Times New Roman"/>
        </w:rPr>
        <w:t>- </w:t>
      </w:r>
      <w:r>
        <w:rPr/>
        <w:t>Образац 3 у периоду од 01.01. до 31.12.2014. године: издаци за набавку финансијске имовине мање су исказани у износу од 100.051 хиљаде динара и издаци за набавку финансијске имовине више су исказани у износу од 1.650 хиљада</w:t>
      </w:r>
      <w:r>
        <w:rPr>
          <w:spacing w:val="-15"/>
        </w:rPr>
        <w:t> </w:t>
      </w:r>
      <w:r>
        <w:rPr/>
        <w:t>динара.</w:t>
      </w:r>
    </w:p>
    <w:p>
      <w:pPr>
        <w:spacing w:line="240" w:lineRule="auto" w:before="0"/>
        <w:rPr>
          <w:rFonts w:ascii="Times New Roman" w:hAnsi="Times New Roman" w:cs="Times New Roman" w:eastAsia="Times New Roman" w:hint="default"/>
          <w:sz w:val="24"/>
          <w:szCs w:val="24"/>
        </w:rPr>
      </w:pPr>
    </w:p>
    <w:p>
      <w:pPr>
        <w:pStyle w:val="BodyText"/>
        <w:spacing w:line="240" w:lineRule="auto"/>
        <w:ind w:left="880" w:right="0"/>
        <w:jc w:val="left"/>
      </w:pPr>
      <w:r>
        <w:rPr/>
        <w:t>У  Консолидованом  Извештају  о  новчаним  токовима  –  Образац  4  у  периоду</w:t>
      </w:r>
      <w:r>
        <w:rPr>
          <w:spacing w:val="-8"/>
        </w:rPr>
        <w:t> </w:t>
      </w:r>
      <w:r>
        <w:rPr/>
        <w:t>од</w:t>
      </w:r>
    </w:p>
    <w:p>
      <w:pPr>
        <w:pStyle w:val="BodyText"/>
        <w:spacing w:line="240" w:lineRule="auto"/>
        <w:ind w:right="177"/>
        <w:jc w:val="both"/>
      </w:pPr>
      <w:r>
        <w:rPr/>
        <w:t>01.01. до 31.12.2014. године: текући приходи исказани су у мањем износу за 21.027 хиљада; текући расходи и издаци за нефинансијску имовину су мање исказани у износу за 25.795 хиљада динара; постоји неслагање између колоне претходна година у којој је салдо готовине на крају године исказан у износу од 105.861 хиљаде динара и колоне текућа година у којој је салдо готовине на почетку године исказан у износу од 143.141 хиљаде динара; салдо готовине на крају године је исказан у мањем износу за 56.877 хиљада динара; корекција новчаних одлива више је исказана за износ од 146.000 хиљада</w:t>
      </w:r>
      <w:r>
        <w:rPr>
          <w:spacing w:val="-21"/>
        </w:rPr>
        <w:t> </w:t>
      </w:r>
      <w:r>
        <w:rPr/>
        <w:t>динара.</w:t>
      </w:r>
    </w:p>
    <w:p>
      <w:pPr>
        <w:spacing w:line="240" w:lineRule="auto" w:before="0"/>
        <w:rPr>
          <w:rFonts w:ascii="Times New Roman" w:hAnsi="Times New Roman" w:cs="Times New Roman" w:eastAsia="Times New Roman" w:hint="default"/>
          <w:sz w:val="24"/>
          <w:szCs w:val="24"/>
        </w:rPr>
      </w:pPr>
    </w:p>
    <w:p>
      <w:pPr>
        <w:pStyle w:val="BodyText"/>
        <w:spacing w:line="240" w:lineRule="auto"/>
        <w:ind w:right="173" w:firstLine="719"/>
        <w:jc w:val="both"/>
      </w:pPr>
      <w:r>
        <w:rPr/>
        <w:t>У Консолидованом Извештају о извршењу буџета – Образац 5 у периоду од 01.01. до 31.12.2014. године: исказана је разлика између података из Консолидованог обрасца 5 (колона 8) и закључног листа буџета Града и то: на категорији 410000 – Расходи за запослене у износу од </w:t>
      </w:r>
      <w:r>
        <w:rPr>
          <w:rFonts w:ascii="Times New Roman" w:hAnsi="Times New Roman" w:cs="Times New Roman" w:eastAsia="Times New Roman" w:hint="default"/>
        </w:rPr>
        <w:t>244 </w:t>
      </w:r>
      <w:r>
        <w:rPr/>
        <w:t>хиљаде динара, на категорији 420000 – Коришћење услуга и роба у износу од </w:t>
      </w:r>
      <w:r>
        <w:rPr>
          <w:rFonts w:ascii="Times New Roman" w:hAnsi="Times New Roman" w:cs="Times New Roman" w:eastAsia="Times New Roman" w:hint="default"/>
        </w:rPr>
        <w:t>223 </w:t>
      </w:r>
      <w:r>
        <w:rPr/>
        <w:t>хиљаде динара, на категорији 480000 – остали расходи у износу од 233 хиљаде динара, на категорији 510000 – основна средства у износу од 167 хиљада динара.</w:t>
      </w:r>
    </w:p>
    <w:p>
      <w:pPr>
        <w:spacing w:line="240" w:lineRule="auto" w:before="5"/>
        <w:rPr>
          <w:rFonts w:ascii="Times New Roman" w:hAnsi="Times New Roman" w:cs="Times New Roman" w:eastAsia="Times New Roman" w:hint="default"/>
          <w:sz w:val="24"/>
          <w:szCs w:val="24"/>
        </w:rPr>
      </w:pPr>
    </w:p>
    <w:p>
      <w:pPr>
        <w:pStyle w:val="Heading1"/>
        <w:spacing w:line="240" w:lineRule="auto" w:before="0"/>
        <w:ind w:right="0"/>
        <w:jc w:val="left"/>
        <w:rPr>
          <w:b w:val="0"/>
          <w:bCs w:val="0"/>
        </w:rPr>
      </w:pPr>
      <w:r>
        <w:rPr/>
        <w:t>Мишљење са</w:t>
      </w:r>
      <w:r>
        <w:rPr>
          <w:spacing w:val="-4"/>
        </w:rPr>
        <w:t> </w:t>
      </w:r>
      <w:r>
        <w:rPr/>
        <w:t>резервом</w:t>
      </w:r>
      <w:r>
        <w:rPr>
          <w:b w:val="0"/>
        </w:rPr>
      </w:r>
    </w:p>
    <w:p>
      <w:pPr>
        <w:spacing w:before="0"/>
        <w:ind w:left="160" w:right="174" w:firstLine="566"/>
        <w:jc w:val="both"/>
        <w:rPr>
          <w:rFonts w:ascii="Times New Roman" w:hAnsi="Times New Roman" w:cs="Times New Roman" w:eastAsia="Times New Roman" w:hint="default"/>
          <w:sz w:val="24"/>
          <w:szCs w:val="24"/>
        </w:rPr>
      </w:pPr>
      <w:r>
        <w:rPr>
          <w:rFonts w:ascii="Times New Roman" w:hAnsi="Times New Roman"/>
          <w:b/>
          <w:sz w:val="24"/>
        </w:rPr>
        <w:t>По нашем мишљењу, осим за ефекте које на консолидоване финансијске извештаје имају питања наведена у Основи за изражавање мишљења са резервом, консолидовани финансијски извештаји завршног рачуна буџета града Ниша истинито и објективно приказују његово финансијско стање на </w:t>
      </w:r>
      <w:r>
        <w:rPr>
          <w:rFonts w:ascii="Times New Roman" w:hAnsi="Times New Roman"/>
          <w:b/>
          <w:spacing w:val="3"/>
          <w:sz w:val="24"/>
        </w:rPr>
        <w:t>дан </w:t>
      </w:r>
      <w:r>
        <w:rPr>
          <w:rFonts w:ascii="Times New Roman" w:hAnsi="Times New Roman"/>
          <w:b/>
          <w:sz w:val="24"/>
        </w:rPr>
        <w:t>31.12.2014. </w:t>
      </w:r>
      <w:r>
        <w:rPr>
          <w:rFonts w:ascii="Times New Roman" w:hAnsi="Times New Roman"/>
          <w:b/>
          <w:sz w:val="24"/>
        </w:rPr>
        <w:t>године, резултате пословања и новчане токове за годину која се завршава на тај дан, у складу са применљивим оквиром финансијског извештавања у Републици</w:t>
      </w:r>
      <w:r>
        <w:rPr>
          <w:rFonts w:ascii="Times New Roman" w:hAnsi="Times New Roman"/>
          <w:b/>
          <w:spacing w:val="-15"/>
          <w:sz w:val="24"/>
        </w:rPr>
        <w:t> </w:t>
      </w:r>
      <w:r>
        <w:rPr>
          <w:rFonts w:ascii="Times New Roman" w:hAnsi="Times New Roman"/>
          <w:b/>
          <w:sz w:val="24"/>
        </w:rPr>
        <w:t>Србији</w:t>
      </w:r>
      <w:r>
        <w:rPr>
          <w:rFonts w:ascii="Times New Roman" w:hAnsi="Times New Roman"/>
          <w:b/>
          <w:sz w:val="24"/>
        </w:rPr>
        <w:t>.</w:t>
      </w:r>
      <w:r>
        <w:rPr>
          <w:rFonts w:ascii="Times New Roman" w:hAnsi="Times New Roman"/>
          <w:sz w:val="24"/>
        </w:rPr>
      </w:r>
    </w:p>
    <w:p>
      <w:pPr>
        <w:spacing w:line="240" w:lineRule="auto" w:before="7"/>
        <w:rPr>
          <w:rFonts w:ascii="Times New Roman" w:hAnsi="Times New Roman" w:cs="Times New Roman" w:eastAsia="Times New Roman" w:hint="default"/>
          <w:b/>
          <w:bCs/>
          <w:sz w:val="23"/>
          <w:szCs w:val="23"/>
        </w:rPr>
      </w:pPr>
    </w:p>
    <w:p>
      <w:pPr>
        <w:spacing w:before="0"/>
        <w:ind w:left="160" w:right="182" w:firstLine="566"/>
        <w:jc w:val="both"/>
        <w:rPr>
          <w:rFonts w:ascii="Times New Roman" w:hAnsi="Times New Roman" w:cs="Times New Roman" w:eastAsia="Times New Roman" w:hint="default"/>
          <w:sz w:val="24"/>
          <w:szCs w:val="24"/>
        </w:rPr>
      </w:pPr>
      <w:r>
        <w:rPr>
          <w:rFonts w:ascii="Times New Roman" w:hAnsi="Times New Roman"/>
          <w:i/>
          <w:sz w:val="24"/>
        </w:rPr>
        <w:t>Детаљнија објашњења о овим и осталим питањима налазе се у Прилогу I и Прилогу </w:t>
      </w:r>
      <w:r>
        <w:rPr>
          <w:rFonts w:ascii="Times New Roman" w:hAnsi="Times New Roman"/>
          <w:i/>
          <w:sz w:val="24"/>
        </w:rPr>
        <w:t>I</w:t>
      </w:r>
      <w:r>
        <w:rPr>
          <w:rFonts w:ascii="Times New Roman" w:hAnsi="Times New Roman"/>
          <w:i/>
          <w:sz w:val="24"/>
        </w:rPr>
        <w:t>I који су саставни део овог</w:t>
      </w:r>
      <w:r>
        <w:rPr>
          <w:rFonts w:ascii="Times New Roman" w:hAnsi="Times New Roman"/>
          <w:i/>
          <w:spacing w:val="-7"/>
          <w:sz w:val="24"/>
        </w:rPr>
        <w:t> </w:t>
      </w:r>
      <w:r>
        <w:rPr>
          <w:rFonts w:ascii="Times New Roman" w:hAnsi="Times New Roman"/>
          <w:i/>
          <w:sz w:val="24"/>
        </w:rPr>
        <w:t>извештаја.</w:t>
      </w:r>
      <w:r>
        <w:rPr>
          <w:rFonts w:ascii="Times New Roman" w:hAnsi="Times New Roman"/>
          <w:sz w:val="24"/>
        </w:rPr>
      </w:r>
    </w:p>
    <w:p>
      <w:pPr>
        <w:spacing w:line="240" w:lineRule="auto" w:before="5"/>
        <w:rPr>
          <w:rFonts w:ascii="Times New Roman" w:hAnsi="Times New Roman" w:cs="Times New Roman" w:eastAsia="Times New Roman" w:hint="default"/>
          <w:i/>
          <w:sz w:val="24"/>
          <w:szCs w:val="24"/>
        </w:rPr>
      </w:pPr>
    </w:p>
    <w:p>
      <w:pPr>
        <w:pStyle w:val="Heading1"/>
        <w:numPr>
          <w:ilvl w:val="1"/>
          <w:numId w:val="1"/>
        </w:numPr>
        <w:tabs>
          <w:tab w:pos="1013" w:val="left" w:leader="none"/>
        </w:tabs>
        <w:spacing w:line="274" w:lineRule="exact" w:before="0" w:after="0"/>
        <w:ind w:left="1012" w:right="0" w:hanging="286"/>
        <w:jc w:val="left"/>
        <w:rPr>
          <w:b w:val="0"/>
          <w:bCs w:val="0"/>
        </w:rPr>
      </w:pPr>
      <w:r>
        <w:rPr/>
        <w:t>Извештај о ревизији правилности</w:t>
      </w:r>
      <w:r>
        <w:rPr>
          <w:spacing w:val="-13"/>
        </w:rPr>
        <w:t> </w:t>
      </w:r>
      <w:r>
        <w:rPr/>
        <w:t>пословања</w:t>
      </w:r>
      <w:r>
        <w:rPr>
          <w:b w:val="0"/>
        </w:rPr>
      </w:r>
    </w:p>
    <w:p>
      <w:pPr>
        <w:pStyle w:val="BodyText"/>
        <w:spacing w:line="240" w:lineRule="auto"/>
        <w:ind w:right="182" w:firstLine="566"/>
        <w:jc w:val="both"/>
      </w:pPr>
      <w:r>
        <w:rPr/>
        <w:t>Извршили смо ревизију правилности пословања града Ниша за 2014. годину која обухвата ревизију активности, финансијске трансакције и информације, које су укључене у консолидоване финансијске извештаје завршног рачуна буџета града Ниша за 2014. годину.</w:t>
      </w:r>
    </w:p>
    <w:p>
      <w:pPr>
        <w:spacing w:after="0" w:line="240" w:lineRule="auto"/>
        <w:jc w:val="both"/>
        <w:sectPr>
          <w:pgSz w:w="12240" w:h="15840"/>
          <w:pgMar w:header="687" w:footer="861" w:top="1220" w:bottom="1060" w:left="1280" w:right="1260"/>
        </w:sectPr>
      </w:pPr>
    </w:p>
    <w:p>
      <w:pPr>
        <w:pStyle w:val="Heading1"/>
        <w:spacing w:line="274" w:lineRule="exact" w:before="98"/>
        <w:ind w:right="0"/>
        <w:jc w:val="left"/>
        <w:rPr>
          <w:b w:val="0"/>
          <w:bCs w:val="0"/>
        </w:rPr>
      </w:pPr>
      <w:r>
        <w:rPr/>
        <w:t>Одговорност руководства за правилност</w:t>
      </w:r>
      <w:r>
        <w:rPr>
          <w:spacing w:val="-15"/>
        </w:rPr>
        <w:t> </w:t>
      </w:r>
      <w:r>
        <w:rPr/>
        <w:t>пословања</w:t>
      </w:r>
      <w:r>
        <w:rPr>
          <w:b w:val="0"/>
        </w:rPr>
      </w:r>
    </w:p>
    <w:p>
      <w:pPr>
        <w:pStyle w:val="BodyText"/>
        <w:spacing w:line="240" w:lineRule="auto"/>
        <w:ind w:right="178" w:firstLine="566"/>
        <w:jc w:val="both"/>
      </w:pPr>
      <w:r>
        <w:rPr/>
        <w:t>Поред одговорности за припрему и презентовање консолидованих финансијских извештаја, описаних у претходном тексту, руководство је такође дужно да обезбеди да активности, финансијске трансакције и информације, укључене у консолидоване финансијске извештаје, буду усклађене са прописима који их</w:t>
      </w:r>
      <w:r>
        <w:rPr>
          <w:spacing w:val="-26"/>
        </w:rPr>
        <w:t> </w:t>
      </w:r>
      <w:r>
        <w:rPr/>
        <w:t>уређују.</w:t>
      </w:r>
    </w:p>
    <w:p>
      <w:pPr>
        <w:spacing w:line="240" w:lineRule="auto" w:before="5"/>
        <w:rPr>
          <w:rFonts w:ascii="Times New Roman" w:hAnsi="Times New Roman" w:cs="Times New Roman" w:eastAsia="Times New Roman" w:hint="default"/>
          <w:sz w:val="24"/>
          <w:szCs w:val="24"/>
        </w:rPr>
      </w:pPr>
    </w:p>
    <w:p>
      <w:pPr>
        <w:pStyle w:val="Heading1"/>
        <w:spacing w:line="274" w:lineRule="exact" w:before="0"/>
        <w:ind w:right="0"/>
        <w:jc w:val="left"/>
        <w:rPr>
          <w:b w:val="0"/>
          <w:bCs w:val="0"/>
        </w:rPr>
      </w:pPr>
      <w:r>
        <w:rPr/>
        <w:t>Одговорност</w:t>
      </w:r>
      <w:r>
        <w:rPr>
          <w:spacing w:val="-4"/>
        </w:rPr>
        <w:t> </w:t>
      </w:r>
      <w:r>
        <w:rPr/>
        <w:t>ревизора</w:t>
      </w:r>
      <w:r>
        <w:rPr>
          <w:b w:val="0"/>
        </w:rPr>
      </w:r>
    </w:p>
    <w:p>
      <w:pPr>
        <w:pStyle w:val="BodyText"/>
        <w:spacing w:line="240" w:lineRule="auto"/>
        <w:ind w:right="172" w:firstLine="566"/>
        <w:jc w:val="both"/>
      </w:pPr>
      <w:r>
        <w:rPr/>
        <w:t>Поред одговорности да изразимо мишљење о консолидованим финансијским извештајима описаним у претходном тексту, наша одговорност је и да изразимо мишљење о томе да ли су активности, финансијске трансакције и информације, које су обелодањене у консолидованим финансијским извештајима завршног рачуна буџета града Ниша  за 2014. годину, по свим материјално значајним питањима, у складу са прописима који их уређују. Ова одговорност подразумева вршење поступака у циљу прибављања ревизијских доказа да би се утврдило да ли су приходи и примања и расходи и издаци у складу са намером законодавца. Ови поступци укључују и процену ризика материјално значајне неусклађености са</w:t>
      </w:r>
      <w:r>
        <w:rPr>
          <w:spacing w:val="-12"/>
        </w:rPr>
        <w:t> </w:t>
      </w:r>
      <w:r>
        <w:rPr/>
        <w:t>прописима.</w:t>
      </w:r>
    </w:p>
    <w:p>
      <w:pPr>
        <w:pStyle w:val="BodyText"/>
        <w:spacing w:line="240" w:lineRule="auto"/>
        <w:ind w:right="186" w:firstLine="566"/>
        <w:jc w:val="both"/>
      </w:pPr>
      <w:r>
        <w:rPr/>
        <w:t>Сматрамо да су прибављени ревизијски докази довољни, адекватни и поуздани и да обезбеђују основу за ревизијско мишљење са</w:t>
      </w:r>
      <w:r>
        <w:rPr>
          <w:spacing w:val="-14"/>
        </w:rPr>
        <w:t> </w:t>
      </w:r>
      <w:r>
        <w:rPr/>
        <w:t>резервом.</w:t>
      </w:r>
    </w:p>
    <w:p>
      <w:pPr>
        <w:spacing w:line="240" w:lineRule="auto" w:before="5"/>
        <w:rPr>
          <w:rFonts w:ascii="Times New Roman" w:hAnsi="Times New Roman" w:cs="Times New Roman" w:eastAsia="Times New Roman" w:hint="default"/>
          <w:sz w:val="24"/>
          <w:szCs w:val="24"/>
        </w:rPr>
      </w:pPr>
    </w:p>
    <w:p>
      <w:pPr>
        <w:pStyle w:val="Heading1"/>
        <w:spacing w:line="274" w:lineRule="exact" w:before="0"/>
        <w:ind w:right="0"/>
        <w:jc w:val="left"/>
        <w:rPr>
          <w:b w:val="0"/>
          <w:bCs w:val="0"/>
        </w:rPr>
      </w:pPr>
      <w:r>
        <w:rPr/>
        <w:t>Основа за изражавање мишљења са</w:t>
      </w:r>
      <w:r>
        <w:rPr>
          <w:spacing w:val="-7"/>
        </w:rPr>
        <w:t> </w:t>
      </w:r>
      <w:r>
        <w:rPr/>
        <w:t>резервом</w:t>
      </w:r>
      <w:r>
        <w:rPr>
          <w:b w:val="0"/>
        </w:rPr>
      </w:r>
    </w:p>
    <w:p>
      <w:pPr>
        <w:pStyle w:val="BodyText"/>
        <w:spacing w:line="240" w:lineRule="auto"/>
        <w:ind w:right="175" w:firstLine="566"/>
        <w:jc w:val="both"/>
      </w:pPr>
      <w:r>
        <w:rPr/>
        <w:t>Као што је наведено у кључним неправилностима и шире објашњено у Напоменама </w:t>
      </w:r>
      <w:r>
        <w:rPr>
          <w:spacing w:val="-3"/>
        </w:rPr>
        <w:t>уз </w:t>
      </w:r>
      <w:r>
        <w:rPr/>
        <w:t>Извештај о ревизији, град Ниш је неправилно створио обавезе и извршио расходе и </w:t>
      </w:r>
      <w:r>
        <w:rPr/>
        <w:t>издатке у износу од најмање </w:t>
      </w:r>
      <w:r>
        <w:rPr>
          <w:rFonts w:ascii="Times New Roman" w:hAnsi="Times New Roman"/>
        </w:rPr>
        <w:t>1.606.319 </w:t>
      </w:r>
      <w:r>
        <w:rPr/>
        <w:t>хиљада динара, и то: ненаменски је искористио средства од наменских јавних прихода и примања у укупном износу од најмање </w:t>
      </w:r>
      <w:r>
        <w:rPr>
          <w:rFonts w:ascii="Times New Roman" w:hAnsi="Times New Roman"/>
        </w:rPr>
        <w:t>96.283 </w:t>
      </w:r>
      <w:r>
        <w:rPr/>
        <w:t>хиљаде динара; за плате, додатке, накнаде и социјалне доприносе на терет послодавца и накнаде по уговорима у износу од 67.962 хиљад</w:t>
      </w:r>
      <w:r>
        <w:rPr>
          <w:rFonts w:ascii="Times New Roman" w:hAnsi="Times New Roman"/>
        </w:rPr>
        <w:t>e </w:t>
      </w:r>
      <w:r>
        <w:rPr/>
        <w:t>динара; без основа који је усклађен са прописима у износу од </w:t>
      </w:r>
      <w:r>
        <w:rPr>
          <w:rFonts w:ascii="Times New Roman" w:hAnsi="Times New Roman"/>
        </w:rPr>
        <w:t>302.929 </w:t>
      </w:r>
      <w:r>
        <w:rPr/>
        <w:t>хиљада динара; без валидне документације у износу од 235.666 хиљада динара; без спроведеног јавног конкурса у износу од </w:t>
      </w:r>
      <w:r>
        <w:rPr>
          <w:rFonts w:ascii="Times New Roman" w:hAnsi="Times New Roman"/>
        </w:rPr>
        <w:t>26.530 </w:t>
      </w:r>
      <w:r>
        <w:rPr/>
        <w:t>хиљада динара; без спроведеног поступка јавне набавке и без поштовања законских процедура у поступцима јавних набавки у износу од </w:t>
      </w:r>
      <w:r>
        <w:rPr>
          <w:rFonts w:ascii="Times New Roman" w:hAnsi="Times New Roman"/>
        </w:rPr>
        <w:t>84.301 </w:t>
      </w:r>
      <w:r>
        <w:rPr/>
        <w:t>хиљаде динара; за преузете обавезе изнад одобрене апропријације у износу од </w:t>
      </w:r>
      <w:r>
        <w:rPr>
          <w:rFonts w:ascii="Times New Roman" w:hAnsi="Times New Roman"/>
        </w:rPr>
        <w:t>780.263 </w:t>
      </w:r>
      <w:r>
        <w:rPr/>
        <w:t>хиљаде динара; за преузете и плаћене обавезе у износу већем од уговорене вредности за 12.385 хиљада динара; за преузете обавезе по основу уговора без уговорене</w:t>
      </w:r>
      <w:r>
        <w:rPr>
          <w:spacing w:val="-11"/>
        </w:rPr>
        <w:t> </w:t>
      </w:r>
      <w:r>
        <w:rPr/>
        <w:t>вредности.</w:t>
      </w:r>
    </w:p>
    <w:p>
      <w:pPr>
        <w:pStyle w:val="BodyText"/>
        <w:spacing w:line="240" w:lineRule="auto"/>
        <w:ind w:right="176" w:firstLine="566"/>
        <w:jc w:val="both"/>
      </w:pPr>
      <w:r>
        <w:rPr/>
        <w:t>Као што је наведено у кључним неправилностима и шире објашњено у Напоменама </w:t>
      </w:r>
      <w:r>
        <w:rPr>
          <w:spacing w:val="-3"/>
        </w:rPr>
        <w:t>уз </w:t>
      </w:r>
      <w:r>
        <w:rPr/>
        <w:t>Извештај о ревизији, град Ниш није у потпуности успоставио ефикасан систем  </w:t>
      </w:r>
      <w:r>
        <w:rPr/>
        <w:t>интерних контрола што је довело до настанка неправилности код: припреме и доношења буџета у вези надлежности, дужности и одговорности, затим нису планирани приходи и примања из свих извора и нису обухваћени сви приходи; припреме и вршења пописа имовине и обавеза које се огледају у непотпуности и неусклађености са важећим прописима; извођења радова на изградњи и одржавању зграда и грађевинских</w:t>
      </w:r>
      <w:r>
        <w:rPr>
          <w:spacing w:val="-22"/>
        </w:rPr>
        <w:t> </w:t>
      </w:r>
      <w:r>
        <w:rPr/>
        <w:t>објеката.</w:t>
      </w:r>
    </w:p>
    <w:p>
      <w:pPr>
        <w:spacing w:after="0" w:line="240" w:lineRule="auto"/>
        <w:jc w:val="both"/>
        <w:sectPr>
          <w:pgSz w:w="12240" w:h="15840"/>
          <w:pgMar w:header="687" w:footer="861" w:top="1220" w:bottom="1060" w:left="1280" w:right="1260"/>
        </w:sectPr>
      </w:pPr>
    </w:p>
    <w:p>
      <w:pPr>
        <w:pStyle w:val="Heading1"/>
        <w:spacing w:line="240" w:lineRule="auto" w:before="98"/>
        <w:ind w:right="0"/>
        <w:jc w:val="left"/>
        <w:rPr>
          <w:b w:val="0"/>
          <w:bCs w:val="0"/>
        </w:rPr>
      </w:pPr>
      <w:r>
        <w:rPr/>
        <w:t>Мишљење са резервом о правилности</w:t>
      </w:r>
      <w:r>
        <w:rPr>
          <w:spacing w:val="-11"/>
        </w:rPr>
        <w:t> </w:t>
      </w:r>
      <w:r>
        <w:rPr/>
        <w:t>пословања</w:t>
      </w:r>
      <w:r>
        <w:rPr>
          <w:b w:val="0"/>
        </w:rPr>
      </w:r>
    </w:p>
    <w:p>
      <w:pPr>
        <w:spacing w:before="0"/>
        <w:ind w:left="160" w:right="173" w:firstLine="566"/>
        <w:jc w:val="both"/>
        <w:rPr>
          <w:rFonts w:ascii="Times New Roman" w:hAnsi="Times New Roman" w:cs="Times New Roman" w:eastAsia="Times New Roman" w:hint="default"/>
          <w:sz w:val="24"/>
          <w:szCs w:val="24"/>
        </w:rPr>
      </w:pPr>
      <w:r>
        <w:rPr>
          <w:rFonts w:ascii="Times New Roman" w:hAnsi="Times New Roman"/>
          <w:b/>
          <w:sz w:val="24"/>
        </w:rPr>
        <w:t>Према нашем мишљењу, осим за приходе и примања буџета града</w:t>
      </w:r>
      <w:r>
        <w:rPr>
          <w:rFonts w:ascii="Times New Roman" w:hAnsi="Times New Roman"/>
          <w:b/>
          <w:sz w:val="24"/>
        </w:rPr>
        <w:t>, </w:t>
      </w:r>
      <w:r>
        <w:rPr>
          <w:rFonts w:ascii="Times New Roman" w:hAnsi="Times New Roman"/>
          <w:b/>
          <w:sz w:val="24"/>
        </w:rPr>
        <w:t>расходе и издатке, имовину и обавезе директних и индиректних корисника буџетских средстава, што је описано у Основи за изражавање мишљење са резервом, активности, финансијске трансакције и информације, укључене у консолидоване финансијске извештаје завршног рачуна буџета града Ниша за 2014. годину, у свим материјалним аспектима, усклађене су са прописима који их</w:t>
      </w:r>
      <w:r>
        <w:rPr>
          <w:rFonts w:ascii="Times New Roman" w:hAnsi="Times New Roman"/>
          <w:b/>
          <w:spacing w:val="-17"/>
          <w:sz w:val="24"/>
        </w:rPr>
        <w:t> </w:t>
      </w:r>
      <w:r>
        <w:rPr>
          <w:rFonts w:ascii="Times New Roman" w:hAnsi="Times New Roman"/>
          <w:b/>
          <w:sz w:val="24"/>
        </w:rPr>
        <w:t>уређују.</w:t>
      </w:r>
      <w:r>
        <w:rPr>
          <w:rFonts w:ascii="Times New Roman" w:hAnsi="Times New Roman"/>
          <w:sz w:val="24"/>
        </w:rPr>
      </w:r>
    </w:p>
    <w:p>
      <w:pPr>
        <w:spacing w:line="240" w:lineRule="auto" w:before="0"/>
        <w:rPr>
          <w:rFonts w:ascii="Times New Roman" w:hAnsi="Times New Roman" w:cs="Times New Roman" w:eastAsia="Times New Roman" w:hint="default"/>
          <w:b/>
          <w:bCs/>
          <w:sz w:val="24"/>
          <w:szCs w:val="24"/>
        </w:rPr>
      </w:pPr>
    </w:p>
    <w:p>
      <w:pPr>
        <w:spacing w:line="274" w:lineRule="exact" w:before="0"/>
        <w:ind w:left="726" w:right="0" w:firstLine="0"/>
        <w:jc w:val="left"/>
        <w:rPr>
          <w:rFonts w:ascii="Times New Roman" w:hAnsi="Times New Roman" w:cs="Times New Roman" w:eastAsia="Times New Roman" w:hint="default"/>
          <w:sz w:val="24"/>
          <w:szCs w:val="24"/>
        </w:rPr>
      </w:pPr>
      <w:r>
        <w:rPr>
          <w:rFonts w:ascii="Times New Roman" w:hAnsi="Times New Roman"/>
          <w:b/>
          <w:sz w:val="24"/>
        </w:rPr>
        <w:t>Скретање</w:t>
      </w:r>
      <w:r>
        <w:rPr>
          <w:rFonts w:ascii="Times New Roman" w:hAnsi="Times New Roman"/>
          <w:b/>
          <w:spacing w:val="-5"/>
          <w:sz w:val="24"/>
        </w:rPr>
        <w:t> </w:t>
      </w:r>
      <w:r>
        <w:rPr>
          <w:rFonts w:ascii="Times New Roman" w:hAnsi="Times New Roman"/>
          <w:b/>
          <w:sz w:val="24"/>
        </w:rPr>
        <w:t>пажње</w:t>
      </w:r>
      <w:r>
        <w:rPr>
          <w:rFonts w:ascii="Times New Roman" w:hAnsi="Times New Roman"/>
          <w:sz w:val="24"/>
        </w:rPr>
      </w:r>
    </w:p>
    <w:p>
      <w:pPr>
        <w:pStyle w:val="BodyText"/>
        <w:spacing w:line="240" w:lineRule="auto"/>
        <w:ind w:right="175" w:firstLine="566"/>
        <w:jc w:val="both"/>
        <w:rPr>
          <w:rFonts w:ascii="Times New Roman" w:hAnsi="Times New Roman" w:cs="Times New Roman" w:eastAsia="Times New Roman" w:hint="default"/>
        </w:rPr>
      </w:pPr>
      <w:r>
        <w:rPr/>
        <w:t>Скрећемо пажњу на чињеницу да је Законом о локалној самоуправи прописано да је помоћник градоначелника постављено лице у градској управи</w:t>
      </w:r>
      <w:r>
        <w:rPr>
          <w:rFonts w:ascii="Times New Roman" w:hAnsi="Times New Roman"/>
        </w:rPr>
        <w:t>, </w:t>
      </w:r>
      <w:r>
        <w:rPr/>
        <w:t>иако градоначелник поставља и разрешава помоћнике градоначелника и улога помоћника је саветодавна и од значаја за рад градоначелника, који је изабран за период од четири</w:t>
      </w:r>
      <w:r>
        <w:rPr>
          <w:spacing w:val="-14"/>
        </w:rPr>
        <w:t> </w:t>
      </w:r>
      <w:r>
        <w:rPr/>
        <w:t>године</w:t>
      </w:r>
      <w:r>
        <w:rPr>
          <w:rFonts w:ascii="Times New Roman" w:hAnsi="Times New Roman"/>
        </w:rPr>
        <w:t>.</w:t>
      </w:r>
    </w:p>
    <w:p>
      <w:pPr>
        <w:spacing w:line="240" w:lineRule="auto" w:before="0"/>
        <w:rPr>
          <w:rFonts w:ascii="Times New Roman" w:hAnsi="Times New Roman" w:cs="Times New Roman" w:eastAsia="Times New Roman" w:hint="default"/>
          <w:sz w:val="24"/>
          <w:szCs w:val="24"/>
        </w:rPr>
      </w:pPr>
    </w:p>
    <w:p>
      <w:pPr>
        <w:spacing w:before="0"/>
        <w:ind w:left="160" w:right="182" w:firstLine="566"/>
        <w:jc w:val="both"/>
        <w:rPr>
          <w:rFonts w:ascii="Times New Roman" w:hAnsi="Times New Roman" w:cs="Times New Roman" w:eastAsia="Times New Roman" w:hint="default"/>
          <w:sz w:val="24"/>
          <w:szCs w:val="24"/>
        </w:rPr>
      </w:pPr>
      <w:r>
        <w:rPr>
          <w:rFonts w:ascii="Times New Roman" w:hAnsi="Times New Roman"/>
          <w:i/>
          <w:sz w:val="24"/>
        </w:rPr>
        <w:t>Детаљнија објашњења о овим и осталим питањима налазе се у Прилогу I и Прилогу II који су саставни део овог</w:t>
      </w:r>
      <w:r>
        <w:rPr>
          <w:rFonts w:ascii="Times New Roman" w:hAnsi="Times New Roman"/>
          <w:i/>
          <w:spacing w:val="-8"/>
          <w:sz w:val="24"/>
        </w:rPr>
        <w:t> </w:t>
      </w:r>
      <w:r>
        <w:rPr>
          <w:rFonts w:ascii="Times New Roman" w:hAnsi="Times New Roman"/>
          <w:i/>
          <w:sz w:val="24"/>
        </w:rPr>
        <w:t>извештаја.</w:t>
      </w:r>
      <w:r>
        <w:rPr>
          <w:rFonts w:ascii="Times New Roman" w:hAnsi="Times New Roman"/>
          <w:sz w:val="24"/>
        </w:rPr>
      </w:r>
    </w:p>
    <w:p>
      <w:pPr>
        <w:spacing w:line="240" w:lineRule="auto" w:before="0"/>
        <w:rPr>
          <w:rFonts w:ascii="Times New Roman" w:hAnsi="Times New Roman" w:cs="Times New Roman" w:eastAsia="Times New Roman" w:hint="default"/>
          <w:i/>
          <w:sz w:val="24"/>
          <w:szCs w:val="24"/>
        </w:rPr>
      </w:pPr>
    </w:p>
    <w:p>
      <w:pPr>
        <w:spacing w:line="240" w:lineRule="auto" w:before="0"/>
        <w:rPr>
          <w:rFonts w:ascii="Times New Roman" w:hAnsi="Times New Roman" w:cs="Times New Roman" w:eastAsia="Times New Roman" w:hint="default"/>
          <w:i/>
          <w:sz w:val="24"/>
          <w:szCs w:val="24"/>
        </w:rPr>
      </w:pPr>
    </w:p>
    <w:p>
      <w:pPr>
        <w:spacing w:line="240" w:lineRule="auto" w:before="5"/>
        <w:rPr>
          <w:rFonts w:ascii="Times New Roman" w:hAnsi="Times New Roman" w:cs="Times New Roman" w:eastAsia="Times New Roman" w:hint="default"/>
          <w:i/>
          <w:sz w:val="24"/>
          <w:szCs w:val="24"/>
        </w:rPr>
      </w:pPr>
    </w:p>
    <w:p>
      <w:pPr>
        <w:pStyle w:val="Heading1"/>
        <w:spacing w:line="480" w:lineRule="auto" w:before="0"/>
        <w:ind w:left="280" w:right="6427" w:hanging="120"/>
        <w:jc w:val="left"/>
        <w:rPr>
          <w:b w:val="0"/>
          <w:bCs w:val="0"/>
        </w:rPr>
      </w:pPr>
      <w:r>
        <w:rPr/>
        <w:t>Генерални државни</w:t>
      </w:r>
      <w:r>
        <w:rPr>
          <w:spacing w:val="-9"/>
        </w:rPr>
        <w:t> </w:t>
      </w:r>
      <w:r>
        <w:rPr/>
        <w:t>ревизор </w:t>
      </w:r>
      <w:r>
        <w:rPr/>
        <w:t>Радослав</w:t>
      </w:r>
      <w:r>
        <w:rPr>
          <w:spacing w:val="-7"/>
        </w:rPr>
        <w:t> </w:t>
      </w:r>
      <w:r>
        <w:rPr/>
        <w:t>Сретеновић</w:t>
      </w:r>
      <w:r>
        <w:rPr>
          <w:b w:val="0"/>
        </w:rPr>
      </w:r>
    </w:p>
    <w:p>
      <w:pPr>
        <w:spacing w:line="240" w:lineRule="auto" w:before="11"/>
        <w:rPr>
          <w:rFonts w:ascii="Times New Roman" w:hAnsi="Times New Roman" w:cs="Times New Roman" w:eastAsia="Times New Roman" w:hint="default"/>
          <w:b/>
          <w:bCs/>
          <w:sz w:val="24"/>
          <w:szCs w:val="24"/>
        </w:rPr>
      </w:pPr>
    </w:p>
    <w:p>
      <w:pPr>
        <w:spacing w:before="0"/>
        <w:ind w:left="160" w:right="3833" w:firstLine="0"/>
        <w:jc w:val="left"/>
        <w:rPr>
          <w:rFonts w:ascii="Times New Roman" w:hAnsi="Times New Roman" w:cs="Times New Roman" w:eastAsia="Times New Roman" w:hint="default"/>
          <w:sz w:val="24"/>
          <w:szCs w:val="24"/>
        </w:rPr>
      </w:pPr>
      <w:r>
        <w:rPr>
          <w:rFonts w:ascii="Times New Roman" w:hAnsi="Times New Roman"/>
          <w:b/>
          <w:sz w:val="24"/>
        </w:rPr>
        <w:t>Државна ревизорска институција Републике</w:t>
      </w:r>
      <w:r>
        <w:rPr>
          <w:rFonts w:ascii="Times New Roman" w:hAnsi="Times New Roman"/>
          <w:b/>
          <w:spacing w:val="-11"/>
          <w:sz w:val="24"/>
        </w:rPr>
        <w:t> </w:t>
      </w:r>
      <w:r>
        <w:rPr>
          <w:rFonts w:ascii="Times New Roman" w:hAnsi="Times New Roman"/>
          <w:b/>
          <w:sz w:val="24"/>
        </w:rPr>
        <w:t>Србије </w:t>
      </w:r>
      <w:r>
        <w:rPr>
          <w:rFonts w:ascii="Times New Roman" w:hAnsi="Times New Roman"/>
          <w:b/>
          <w:sz w:val="24"/>
        </w:rPr>
        <w:t>Макензијева</w:t>
      </w:r>
      <w:r>
        <w:rPr>
          <w:rFonts w:ascii="Times New Roman" w:hAnsi="Times New Roman"/>
          <w:b/>
          <w:spacing w:val="-4"/>
          <w:sz w:val="24"/>
        </w:rPr>
        <w:t> </w:t>
      </w:r>
      <w:r>
        <w:rPr>
          <w:rFonts w:ascii="Times New Roman" w:hAnsi="Times New Roman"/>
          <w:b/>
          <w:sz w:val="24"/>
        </w:rPr>
        <w:t>41</w:t>
      </w:r>
      <w:r>
        <w:rPr>
          <w:rFonts w:ascii="Times New Roman" w:hAnsi="Times New Roman"/>
          <w:sz w:val="24"/>
        </w:rPr>
      </w:r>
    </w:p>
    <w:p>
      <w:pPr>
        <w:spacing w:before="0"/>
        <w:ind w:left="160" w:right="7990" w:firstLine="0"/>
        <w:jc w:val="left"/>
        <w:rPr>
          <w:rFonts w:ascii="Times New Roman" w:hAnsi="Times New Roman" w:cs="Times New Roman" w:eastAsia="Times New Roman" w:hint="default"/>
          <w:sz w:val="24"/>
          <w:szCs w:val="24"/>
        </w:rPr>
      </w:pPr>
      <w:r>
        <w:rPr>
          <w:rFonts w:ascii="Times New Roman" w:hAnsi="Times New Roman"/>
          <w:b/>
          <w:sz w:val="24"/>
        </w:rPr>
        <w:t>11000 Београд Србија</w:t>
      </w:r>
      <w:r>
        <w:rPr>
          <w:rFonts w:ascii="Times New Roman" w:hAnsi="Times New Roman"/>
          <w:sz w:val="24"/>
        </w:rPr>
      </w:r>
    </w:p>
    <w:p>
      <w:pPr>
        <w:spacing w:line="240" w:lineRule="auto" w:before="0"/>
        <w:rPr>
          <w:rFonts w:ascii="Times New Roman" w:hAnsi="Times New Roman" w:cs="Times New Roman" w:eastAsia="Times New Roman" w:hint="default"/>
          <w:b/>
          <w:bCs/>
          <w:sz w:val="24"/>
          <w:szCs w:val="24"/>
        </w:rPr>
      </w:pPr>
    </w:p>
    <w:p>
      <w:pPr>
        <w:spacing w:before="0"/>
        <w:ind w:left="160" w:right="0" w:firstLine="0"/>
        <w:jc w:val="left"/>
        <w:rPr>
          <w:rFonts w:ascii="Times New Roman" w:hAnsi="Times New Roman" w:cs="Times New Roman" w:eastAsia="Times New Roman" w:hint="default"/>
          <w:sz w:val="24"/>
          <w:szCs w:val="24"/>
        </w:rPr>
      </w:pPr>
      <w:r>
        <w:rPr>
          <w:rFonts w:ascii="Times New Roman" w:hAnsi="Times New Roman"/>
          <w:b/>
          <w:sz w:val="24"/>
        </w:rPr>
        <w:t>22. </w:t>
      </w:r>
      <w:r>
        <w:rPr>
          <w:rFonts w:ascii="Times New Roman" w:hAnsi="Times New Roman"/>
          <w:b/>
          <w:sz w:val="24"/>
        </w:rPr>
        <w:t>децембар 2015.</w:t>
      </w:r>
      <w:r>
        <w:rPr>
          <w:rFonts w:ascii="Times New Roman" w:hAnsi="Times New Roman"/>
          <w:b/>
          <w:spacing w:val="-3"/>
          <w:sz w:val="24"/>
        </w:rPr>
        <w:t> </w:t>
      </w:r>
      <w:r>
        <w:rPr>
          <w:rFonts w:ascii="Times New Roman" w:hAnsi="Times New Roman"/>
          <w:b/>
          <w:sz w:val="24"/>
        </w:rPr>
        <w:t>године</w:t>
      </w:r>
      <w:r>
        <w:rPr>
          <w:rFonts w:ascii="Times New Roman" w:hAnsi="Times New Roman"/>
          <w:sz w:val="24"/>
        </w:rPr>
      </w:r>
    </w:p>
    <w:p>
      <w:pPr>
        <w:spacing w:after="0"/>
        <w:jc w:val="left"/>
        <w:rPr>
          <w:rFonts w:ascii="Times New Roman" w:hAnsi="Times New Roman" w:cs="Times New Roman" w:eastAsia="Times New Roman" w:hint="default"/>
          <w:sz w:val="24"/>
          <w:szCs w:val="24"/>
        </w:rPr>
        <w:sectPr>
          <w:pgSz w:w="12240" w:h="15840"/>
          <w:pgMar w:header="687" w:footer="861" w:top="1220" w:bottom="1060" w:left="1280" w:right="1260"/>
        </w:sectPr>
      </w:pPr>
    </w:p>
    <w:p>
      <w:pPr>
        <w:spacing w:before="45"/>
        <w:ind w:left="0" w:right="115" w:firstLine="0"/>
        <w:jc w:val="right"/>
        <w:rPr>
          <w:rFonts w:ascii="Times New Roman" w:hAnsi="Times New Roman" w:cs="Times New Roman" w:eastAsia="Times New Roman" w:hint="default"/>
          <w:sz w:val="24"/>
          <w:szCs w:val="24"/>
        </w:rPr>
      </w:pPr>
      <w:r>
        <w:rPr>
          <w:rFonts w:ascii="Times New Roman" w:hAnsi="Times New Roman"/>
          <w:b/>
          <w:sz w:val="24"/>
        </w:rPr>
        <w:t>ПРИЛОГ </w:t>
      </w:r>
      <w:r>
        <w:rPr>
          <w:rFonts w:ascii="Times New Roman" w:hAnsi="Times New Roman"/>
          <w:b/>
          <w:sz w:val="24"/>
        </w:rPr>
        <w:t>I</w:t>
      </w:r>
      <w:r>
        <w:rPr>
          <w:rFonts w:ascii="Times New Roman" w:hAnsi="Times New Roman"/>
          <w:sz w:val="24"/>
        </w:rPr>
      </w:r>
    </w:p>
    <w:p>
      <w:pPr>
        <w:spacing w:line="240" w:lineRule="auto" w:before="0"/>
        <w:rPr>
          <w:rFonts w:ascii="Times New Roman" w:hAnsi="Times New Roman" w:cs="Times New Roman" w:eastAsia="Times New Roman" w:hint="default"/>
          <w:b/>
          <w:bCs/>
          <w:sz w:val="20"/>
          <w:szCs w:val="20"/>
        </w:rPr>
      </w:pPr>
    </w:p>
    <w:p>
      <w:pPr>
        <w:spacing w:line="240" w:lineRule="auto" w:before="0"/>
        <w:rPr>
          <w:rFonts w:ascii="Times New Roman" w:hAnsi="Times New Roman" w:cs="Times New Roman" w:eastAsia="Times New Roman" w:hint="default"/>
          <w:b/>
          <w:bCs/>
          <w:sz w:val="20"/>
          <w:szCs w:val="20"/>
        </w:rPr>
      </w:pPr>
    </w:p>
    <w:p>
      <w:pPr>
        <w:spacing w:line="240" w:lineRule="auto" w:before="0"/>
        <w:rPr>
          <w:rFonts w:ascii="Times New Roman" w:hAnsi="Times New Roman" w:cs="Times New Roman" w:eastAsia="Times New Roman" w:hint="default"/>
          <w:b/>
          <w:bCs/>
          <w:sz w:val="20"/>
          <w:szCs w:val="20"/>
        </w:rPr>
      </w:pPr>
    </w:p>
    <w:p>
      <w:pPr>
        <w:spacing w:line="240" w:lineRule="auto" w:before="0"/>
        <w:rPr>
          <w:rFonts w:ascii="Times New Roman" w:hAnsi="Times New Roman" w:cs="Times New Roman" w:eastAsia="Times New Roman" w:hint="default"/>
          <w:b/>
          <w:bCs/>
          <w:sz w:val="20"/>
          <w:szCs w:val="20"/>
        </w:rPr>
      </w:pPr>
    </w:p>
    <w:p>
      <w:pPr>
        <w:spacing w:line="240" w:lineRule="auto" w:before="0"/>
        <w:rPr>
          <w:rFonts w:ascii="Times New Roman" w:hAnsi="Times New Roman" w:cs="Times New Roman" w:eastAsia="Times New Roman" w:hint="default"/>
          <w:b/>
          <w:bCs/>
          <w:sz w:val="20"/>
          <w:szCs w:val="20"/>
        </w:rPr>
      </w:pPr>
    </w:p>
    <w:p>
      <w:pPr>
        <w:spacing w:line="240" w:lineRule="auto" w:before="0"/>
        <w:rPr>
          <w:rFonts w:ascii="Times New Roman" w:hAnsi="Times New Roman" w:cs="Times New Roman" w:eastAsia="Times New Roman" w:hint="default"/>
          <w:b/>
          <w:bCs/>
          <w:sz w:val="20"/>
          <w:szCs w:val="20"/>
        </w:rPr>
      </w:pPr>
    </w:p>
    <w:p>
      <w:pPr>
        <w:spacing w:line="240" w:lineRule="auto" w:before="0"/>
        <w:rPr>
          <w:rFonts w:ascii="Times New Roman" w:hAnsi="Times New Roman" w:cs="Times New Roman" w:eastAsia="Times New Roman" w:hint="default"/>
          <w:b/>
          <w:bCs/>
          <w:sz w:val="20"/>
          <w:szCs w:val="20"/>
        </w:rPr>
      </w:pPr>
    </w:p>
    <w:p>
      <w:pPr>
        <w:spacing w:line="240" w:lineRule="auto" w:before="0"/>
        <w:rPr>
          <w:rFonts w:ascii="Times New Roman" w:hAnsi="Times New Roman" w:cs="Times New Roman" w:eastAsia="Times New Roman" w:hint="default"/>
          <w:b/>
          <w:bCs/>
          <w:sz w:val="20"/>
          <w:szCs w:val="20"/>
        </w:rPr>
      </w:pPr>
    </w:p>
    <w:p>
      <w:pPr>
        <w:spacing w:line="240" w:lineRule="auto" w:before="0"/>
        <w:rPr>
          <w:rFonts w:ascii="Times New Roman" w:hAnsi="Times New Roman" w:cs="Times New Roman" w:eastAsia="Times New Roman" w:hint="default"/>
          <w:b/>
          <w:bCs/>
          <w:sz w:val="20"/>
          <w:szCs w:val="20"/>
        </w:rPr>
      </w:pPr>
    </w:p>
    <w:p>
      <w:pPr>
        <w:spacing w:line="240" w:lineRule="auto" w:before="0"/>
        <w:rPr>
          <w:rFonts w:ascii="Times New Roman" w:hAnsi="Times New Roman" w:cs="Times New Roman" w:eastAsia="Times New Roman" w:hint="default"/>
          <w:b/>
          <w:bCs/>
          <w:sz w:val="20"/>
          <w:szCs w:val="20"/>
        </w:rPr>
      </w:pPr>
    </w:p>
    <w:p>
      <w:pPr>
        <w:spacing w:line="240" w:lineRule="auto" w:before="0"/>
        <w:rPr>
          <w:rFonts w:ascii="Times New Roman" w:hAnsi="Times New Roman" w:cs="Times New Roman" w:eastAsia="Times New Roman" w:hint="default"/>
          <w:b/>
          <w:bCs/>
          <w:sz w:val="20"/>
          <w:szCs w:val="20"/>
        </w:rPr>
      </w:pPr>
    </w:p>
    <w:p>
      <w:pPr>
        <w:spacing w:line="240" w:lineRule="auto" w:before="0"/>
        <w:rPr>
          <w:rFonts w:ascii="Times New Roman" w:hAnsi="Times New Roman" w:cs="Times New Roman" w:eastAsia="Times New Roman" w:hint="default"/>
          <w:b/>
          <w:bCs/>
          <w:sz w:val="20"/>
          <w:szCs w:val="20"/>
        </w:rPr>
      </w:pPr>
    </w:p>
    <w:p>
      <w:pPr>
        <w:spacing w:line="240" w:lineRule="auto" w:before="0"/>
        <w:rPr>
          <w:rFonts w:ascii="Times New Roman" w:hAnsi="Times New Roman" w:cs="Times New Roman" w:eastAsia="Times New Roman" w:hint="default"/>
          <w:b/>
          <w:bCs/>
          <w:sz w:val="20"/>
          <w:szCs w:val="20"/>
        </w:rPr>
      </w:pPr>
    </w:p>
    <w:p>
      <w:pPr>
        <w:spacing w:line="240" w:lineRule="auto" w:before="0"/>
        <w:rPr>
          <w:rFonts w:ascii="Times New Roman" w:hAnsi="Times New Roman" w:cs="Times New Roman" w:eastAsia="Times New Roman" w:hint="default"/>
          <w:b/>
          <w:bCs/>
          <w:sz w:val="20"/>
          <w:szCs w:val="20"/>
        </w:rPr>
      </w:pPr>
    </w:p>
    <w:p>
      <w:pPr>
        <w:spacing w:line="240" w:lineRule="auto" w:before="0"/>
        <w:rPr>
          <w:rFonts w:ascii="Times New Roman" w:hAnsi="Times New Roman" w:cs="Times New Roman" w:eastAsia="Times New Roman" w:hint="default"/>
          <w:b/>
          <w:bCs/>
          <w:sz w:val="20"/>
          <w:szCs w:val="20"/>
        </w:rPr>
      </w:pPr>
    </w:p>
    <w:p>
      <w:pPr>
        <w:spacing w:line="240" w:lineRule="auto" w:before="0"/>
        <w:rPr>
          <w:rFonts w:ascii="Times New Roman" w:hAnsi="Times New Roman" w:cs="Times New Roman" w:eastAsia="Times New Roman" w:hint="default"/>
          <w:b/>
          <w:bCs/>
          <w:sz w:val="20"/>
          <w:szCs w:val="20"/>
        </w:rPr>
      </w:pPr>
    </w:p>
    <w:p>
      <w:pPr>
        <w:spacing w:line="240" w:lineRule="auto" w:before="0"/>
        <w:rPr>
          <w:rFonts w:ascii="Times New Roman" w:hAnsi="Times New Roman" w:cs="Times New Roman" w:eastAsia="Times New Roman" w:hint="default"/>
          <w:b/>
          <w:bCs/>
          <w:sz w:val="20"/>
          <w:szCs w:val="20"/>
        </w:rPr>
      </w:pPr>
    </w:p>
    <w:p>
      <w:pPr>
        <w:spacing w:line="240" w:lineRule="auto" w:before="0"/>
        <w:rPr>
          <w:rFonts w:ascii="Times New Roman" w:hAnsi="Times New Roman" w:cs="Times New Roman" w:eastAsia="Times New Roman" w:hint="default"/>
          <w:b/>
          <w:bCs/>
          <w:sz w:val="20"/>
          <w:szCs w:val="20"/>
        </w:rPr>
      </w:pPr>
    </w:p>
    <w:p>
      <w:pPr>
        <w:spacing w:line="240" w:lineRule="auto" w:before="0"/>
        <w:rPr>
          <w:rFonts w:ascii="Times New Roman" w:hAnsi="Times New Roman" w:cs="Times New Roman" w:eastAsia="Times New Roman" w:hint="default"/>
          <w:b/>
          <w:bCs/>
          <w:sz w:val="20"/>
          <w:szCs w:val="20"/>
        </w:rPr>
      </w:pPr>
    </w:p>
    <w:p>
      <w:pPr>
        <w:spacing w:line="240" w:lineRule="auto" w:before="0"/>
        <w:rPr>
          <w:rFonts w:ascii="Times New Roman" w:hAnsi="Times New Roman" w:cs="Times New Roman" w:eastAsia="Times New Roman" w:hint="default"/>
          <w:b/>
          <w:bCs/>
          <w:sz w:val="20"/>
          <w:szCs w:val="20"/>
        </w:rPr>
      </w:pPr>
    </w:p>
    <w:p>
      <w:pPr>
        <w:spacing w:line="240" w:lineRule="auto" w:before="0"/>
        <w:rPr>
          <w:rFonts w:ascii="Times New Roman" w:hAnsi="Times New Roman" w:cs="Times New Roman" w:eastAsia="Times New Roman" w:hint="default"/>
          <w:b/>
          <w:bCs/>
          <w:sz w:val="20"/>
          <w:szCs w:val="20"/>
        </w:rPr>
      </w:pPr>
    </w:p>
    <w:p>
      <w:pPr>
        <w:spacing w:line="240" w:lineRule="auto" w:before="0"/>
        <w:rPr>
          <w:rFonts w:ascii="Times New Roman" w:hAnsi="Times New Roman" w:cs="Times New Roman" w:eastAsia="Times New Roman" w:hint="default"/>
          <w:b/>
          <w:bCs/>
          <w:sz w:val="20"/>
          <w:szCs w:val="20"/>
        </w:rPr>
      </w:pPr>
    </w:p>
    <w:p>
      <w:pPr>
        <w:spacing w:line="240" w:lineRule="auto" w:before="0"/>
        <w:rPr>
          <w:rFonts w:ascii="Times New Roman" w:hAnsi="Times New Roman" w:cs="Times New Roman" w:eastAsia="Times New Roman" w:hint="default"/>
          <w:b/>
          <w:bCs/>
          <w:sz w:val="20"/>
          <w:szCs w:val="20"/>
        </w:rPr>
      </w:pPr>
    </w:p>
    <w:p>
      <w:pPr>
        <w:spacing w:line="240" w:lineRule="auto" w:before="0"/>
        <w:rPr>
          <w:rFonts w:ascii="Times New Roman" w:hAnsi="Times New Roman" w:cs="Times New Roman" w:eastAsia="Times New Roman" w:hint="default"/>
          <w:b/>
          <w:bCs/>
          <w:sz w:val="20"/>
          <w:szCs w:val="20"/>
        </w:rPr>
      </w:pPr>
    </w:p>
    <w:p>
      <w:pPr>
        <w:spacing w:line="240" w:lineRule="auto" w:before="1"/>
        <w:rPr>
          <w:rFonts w:ascii="Times New Roman" w:hAnsi="Times New Roman" w:cs="Times New Roman" w:eastAsia="Times New Roman" w:hint="default"/>
          <w:b/>
          <w:bCs/>
          <w:sz w:val="18"/>
          <w:szCs w:val="18"/>
        </w:rPr>
      </w:pPr>
    </w:p>
    <w:p>
      <w:pPr>
        <w:spacing w:before="69"/>
        <w:ind w:left="2181" w:right="0" w:firstLine="0"/>
        <w:jc w:val="left"/>
        <w:rPr>
          <w:rFonts w:ascii="Times New Roman" w:hAnsi="Times New Roman" w:cs="Times New Roman" w:eastAsia="Times New Roman" w:hint="default"/>
          <w:sz w:val="24"/>
          <w:szCs w:val="24"/>
        </w:rPr>
      </w:pPr>
      <w:r>
        <w:rPr>
          <w:rFonts w:ascii="Times New Roman" w:hAnsi="Times New Roman"/>
          <w:b/>
          <w:sz w:val="24"/>
        </w:rPr>
        <w:t>КЉУЧНЕ НЕПРАВИЛНОСТИ И</w:t>
      </w:r>
      <w:r>
        <w:rPr>
          <w:rFonts w:ascii="Times New Roman" w:hAnsi="Times New Roman"/>
          <w:b/>
          <w:spacing w:val="-13"/>
          <w:sz w:val="24"/>
        </w:rPr>
        <w:t> </w:t>
      </w:r>
      <w:r>
        <w:rPr>
          <w:rFonts w:ascii="Times New Roman" w:hAnsi="Times New Roman"/>
          <w:b/>
          <w:sz w:val="24"/>
        </w:rPr>
        <w:t>ПРЕПОРУКЕ</w:t>
      </w:r>
      <w:r>
        <w:rPr>
          <w:rFonts w:ascii="Times New Roman" w:hAnsi="Times New Roman"/>
          <w:sz w:val="24"/>
        </w:rPr>
      </w:r>
    </w:p>
    <w:p>
      <w:pPr>
        <w:spacing w:after="0"/>
        <w:jc w:val="left"/>
        <w:rPr>
          <w:rFonts w:ascii="Times New Roman" w:hAnsi="Times New Roman" w:cs="Times New Roman" w:eastAsia="Times New Roman" w:hint="default"/>
          <w:sz w:val="24"/>
          <w:szCs w:val="24"/>
        </w:rPr>
        <w:sectPr>
          <w:headerReference w:type="default" r:id="rId8"/>
          <w:footerReference w:type="default" r:id="rId9"/>
          <w:pgSz w:w="12240" w:h="15840"/>
          <w:pgMar w:header="0" w:footer="0" w:top="940" w:bottom="280" w:left="1720" w:right="1320"/>
        </w:sectPr>
      </w:pPr>
    </w:p>
    <w:p>
      <w:pPr>
        <w:spacing w:line="240" w:lineRule="auto" w:before="0"/>
        <w:rPr>
          <w:rFonts w:ascii="Times New Roman" w:hAnsi="Times New Roman" w:cs="Times New Roman" w:eastAsia="Times New Roman" w:hint="default"/>
          <w:b/>
          <w:bCs/>
          <w:sz w:val="20"/>
          <w:szCs w:val="20"/>
        </w:rPr>
      </w:pPr>
    </w:p>
    <w:p>
      <w:pPr>
        <w:spacing w:line="240" w:lineRule="auto" w:before="0"/>
        <w:rPr>
          <w:rFonts w:ascii="Times New Roman" w:hAnsi="Times New Roman" w:cs="Times New Roman" w:eastAsia="Times New Roman" w:hint="default"/>
          <w:b/>
          <w:bCs/>
          <w:sz w:val="20"/>
          <w:szCs w:val="20"/>
        </w:rPr>
      </w:pPr>
    </w:p>
    <w:p>
      <w:pPr>
        <w:spacing w:line="240" w:lineRule="auto" w:before="8"/>
        <w:rPr>
          <w:rFonts w:ascii="Times New Roman" w:hAnsi="Times New Roman" w:cs="Times New Roman" w:eastAsia="Times New Roman" w:hint="default"/>
          <w:b/>
          <w:bCs/>
          <w:sz w:val="24"/>
          <w:szCs w:val="24"/>
        </w:rPr>
      </w:pPr>
    </w:p>
    <w:p>
      <w:pPr>
        <w:pStyle w:val="BodyText"/>
        <w:spacing w:line="240" w:lineRule="auto" w:before="69"/>
        <w:ind w:right="141"/>
        <w:jc w:val="left"/>
      </w:pPr>
      <w:r>
        <w:rPr/>
        <w:t>САДРЖАЈ</w:t>
      </w:r>
    </w:p>
    <w:p>
      <w:pPr>
        <w:pStyle w:val="ListParagraph"/>
        <w:numPr>
          <w:ilvl w:val="0"/>
          <w:numId w:val="3"/>
        </w:numPr>
        <w:tabs>
          <w:tab w:pos="382" w:val="left" w:leader="none"/>
          <w:tab w:pos="9265" w:val="left" w:leader="dot"/>
        </w:tabs>
        <w:spacing w:line="240" w:lineRule="auto" w:before="232" w:after="0"/>
        <w:ind w:left="381" w:right="0" w:hanging="221"/>
        <w:jc w:val="left"/>
        <w:rPr>
          <w:rFonts w:ascii="Times New Roman" w:hAnsi="Times New Roman" w:cs="Times New Roman" w:eastAsia="Times New Roman" w:hint="default"/>
          <w:sz w:val="22"/>
          <w:szCs w:val="22"/>
        </w:rPr>
      </w:pPr>
      <w:r>
        <w:rPr>
          <w:rFonts w:ascii="Times New Roman" w:hAnsi="Times New Roman"/>
          <w:sz w:val="22"/>
        </w:rPr>
        <w:t>Кључне неправилности у ревизији консолидованих </w:t>
      </w:r>
      <w:r>
        <w:rPr>
          <w:rFonts w:ascii="Times New Roman" w:hAnsi="Times New Roman"/>
          <w:spacing w:val="39"/>
          <w:sz w:val="22"/>
        </w:rPr>
        <w:t> </w:t>
      </w:r>
      <w:r>
        <w:rPr>
          <w:rFonts w:ascii="Times New Roman" w:hAnsi="Times New Roman"/>
          <w:sz w:val="22"/>
        </w:rPr>
        <w:t>финансијских</w:t>
      </w:r>
      <w:r>
        <w:rPr>
          <w:rFonts w:ascii="Times New Roman" w:hAnsi="Times New Roman"/>
          <w:spacing w:val="20"/>
          <w:sz w:val="22"/>
        </w:rPr>
        <w:t> </w:t>
      </w:r>
      <w:r>
        <w:rPr>
          <w:rFonts w:ascii="Times New Roman" w:hAnsi="Times New Roman"/>
          <w:sz w:val="22"/>
        </w:rPr>
        <w:t>извештајa.</w:t>
      </w:r>
      <w:r>
        <w:rPr>
          <w:rFonts w:ascii="Times New Roman" w:hAnsi="Times New Roman"/>
          <w:sz w:val="22"/>
        </w:rPr>
        <w:tab/>
        <w:t>8</w:t>
      </w:r>
    </w:p>
    <w:p>
      <w:pPr>
        <w:pStyle w:val="ListParagraph"/>
        <w:numPr>
          <w:ilvl w:val="0"/>
          <w:numId w:val="3"/>
        </w:numPr>
        <w:tabs>
          <w:tab w:pos="382" w:val="left" w:leader="none"/>
          <w:tab w:pos="9171" w:val="left" w:leader="dot"/>
        </w:tabs>
        <w:spacing w:line="240" w:lineRule="auto" w:before="253" w:after="0"/>
        <w:ind w:left="381" w:right="0" w:hanging="221"/>
        <w:jc w:val="left"/>
        <w:rPr>
          <w:rFonts w:ascii="Times New Roman" w:hAnsi="Times New Roman" w:cs="Times New Roman" w:eastAsia="Times New Roman" w:hint="default"/>
          <w:sz w:val="22"/>
          <w:szCs w:val="22"/>
        </w:rPr>
      </w:pPr>
      <w:r>
        <w:rPr>
          <w:rFonts w:ascii="Times New Roman" w:hAnsi="Times New Roman"/>
          <w:sz w:val="22"/>
        </w:rPr>
        <w:t>Резиме датих препорука у ревизији консолидованих </w:t>
      </w:r>
      <w:r>
        <w:rPr>
          <w:rFonts w:ascii="Times New Roman" w:hAnsi="Times New Roman"/>
          <w:spacing w:val="39"/>
          <w:sz w:val="22"/>
        </w:rPr>
        <w:t> </w:t>
      </w:r>
      <w:r>
        <w:rPr>
          <w:rFonts w:ascii="Times New Roman" w:hAnsi="Times New Roman"/>
          <w:sz w:val="22"/>
        </w:rPr>
        <w:t>финансијских</w:t>
      </w:r>
      <w:r>
        <w:rPr>
          <w:rFonts w:ascii="Times New Roman" w:hAnsi="Times New Roman"/>
          <w:spacing w:val="17"/>
          <w:sz w:val="22"/>
        </w:rPr>
        <w:t> </w:t>
      </w:r>
      <w:r>
        <w:rPr>
          <w:rFonts w:ascii="Times New Roman" w:hAnsi="Times New Roman"/>
          <w:sz w:val="22"/>
        </w:rPr>
        <w:t>извештаја.</w:t>
      </w:r>
      <w:r>
        <w:rPr>
          <w:rFonts w:ascii="Times New Roman" w:hAnsi="Times New Roman"/>
          <w:sz w:val="22"/>
        </w:rPr>
        <w:tab/>
        <w:t>12</w:t>
      </w:r>
    </w:p>
    <w:p>
      <w:pPr>
        <w:pStyle w:val="ListParagraph"/>
        <w:numPr>
          <w:ilvl w:val="0"/>
          <w:numId w:val="3"/>
        </w:numPr>
        <w:tabs>
          <w:tab w:pos="382" w:val="left" w:leader="none"/>
          <w:tab w:pos="9181" w:val="left" w:leader="dot"/>
        </w:tabs>
        <w:spacing w:line="240" w:lineRule="auto" w:before="253" w:after="0"/>
        <w:ind w:left="381" w:right="0" w:hanging="221"/>
        <w:jc w:val="left"/>
        <w:rPr>
          <w:rFonts w:ascii="Times New Roman" w:hAnsi="Times New Roman" w:cs="Times New Roman" w:eastAsia="Times New Roman" w:hint="default"/>
          <w:sz w:val="22"/>
          <w:szCs w:val="22"/>
        </w:rPr>
      </w:pPr>
      <w:r>
        <w:rPr>
          <w:rFonts w:ascii="Times New Roman" w:hAnsi="Times New Roman"/>
          <w:sz w:val="22"/>
        </w:rPr>
        <w:t>Кључне неправилности у ревизији </w:t>
      </w:r>
      <w:r>
        <w:rPr>
          <w:rFonts w:ascii="Times New Roman" w:hAnsi="Times New Roman"/>
          <w:spacing w:val="44"/>
          <w:sz w:val="22"/>
        </w:rPr>
        <w:t> </w:t>
      </w:r>
      <w:r>
        <w:rPr>
          <w:rFonts w:ascii="Times New Roman" w:hAnsi="Times New Roman"/>
          <w:sz w:val="22"/>
        </w:rPr>
        <w:t>правилности</w:t>
      </w:r>
      <w:r>
        <w:rPr>
          <w:rFonts w:ascii="Times New Roman" w:hAnsi="Times New Roman"/>
          <w:spacing w:val="20"/>
          <w:sz w:val="22"/>
        </w:rPr>
        <w:t> </w:t>
      </w:r>
      <w:r>
        <w:rPr>
          <w:rFonts w:ascii="Times New Roman" w:hAnsi="Times New Roman"/>
          <w:sz w:val="22"/>
        </w:rPr>
        <w:t>пословања.</w:t>
      </w:r>
      <w:r>
        <w:rPr>
          <w:rFonts w:ascii="Times New Roman" w:hAnsi="Times New Roman"/>
          <w:sz w:val="22"/>
        </w:rPr>
        <w:tab/>
        <w:t>13</w:t>
      </w:r>
    </w:p>
    <w:p>
      <w:pPr>
        <w:pStyle w:val="ListParagraph"/>
        <w:numPr>
          <w:ilvl w:val="0"/>
          <w:numId w:val="3"/>
        </w:numPr>
        <w:tabs>
          <w:tab w:pos="382" w:val="left" w:leader="none"/>
          <w:tab w:pos="9143" w:val="left" w:leader="dot"/>
        </w:tabs>
        <w:spacing w:line="240" w:lineRule="auto" w:before="253" w:after="0"/>
        <w:ind w:left="381" w:right="0" w:hanging="221"/>
        <w:jc w:val="left"/>
        <w:rPr>
          <w:rFonts w:ascii="Times New Roman" w:hAnsi="Times New Roman" w:cs="Times New Roman" w:eastAsia="Times New Roman" w:hint="default"/>
          <w:sz w:val="22"/>
          <w:szCs w:val="22"/>
        </w:rPr>
      </w:pPr>
      <w:r>
        <w:rPr>
          <w:rFonts w:ascii="Times New Roman" w:hAnsi="Times New Roman"/>
          <w:sz w:val="22"/>
        </w:rPr>
        <w:t>Резиме датих препорука у ревизији </w:t>
      </w:r>
      <w:r>
        <w:rPr>
          <w:rFonts w:ascii="Times New Roman" w:hAnsi="Times New Roman"/>
          <w:spacing w:val="45"/>
          <w:sz w:val="22"/>
        </w:rPr>
        <w:t> </w:t>
      </w:r>
      <w:r>
        <w:rPr>
          <w:rFonts w:ascii="Times New Roman" w:hAnsi="Times New Roman"/>
          <w:sz w:val="22"/>
        </w:rPr>
        <w:t>правилности</w:t>
      </w:r>
      <w:r>
        <w:rPr>
          <w:rFonts w:ascii="Times New Roman" w:hAnsi="Times New Roman"/>
          <w:spacing w:val="17"/>
          <w:sz w:val="22"/>
        </w:rPr>
        <w:t> </w:t>
      </w:r>
      <w:r>
        <w:rPr>
          <w:rFonts w:ascii="Times New Roman" w:hAnsi="Times New Roman"/>
          <w:sz w:val="22"/>
        </w:rPr>
        <w:t>пословања.</w:t>
      </w:r>
      <w:r>
        <w:rPr>
          <w:rFonts w:ascii="Times New Roman" w:hAnsi="Times New Roman"/>
          <w:sz w:val="22"/>
        </w:rPr>
        <w:tab/>
        <w:t>24</w:t>
      </w:r>
    </w:p>
    <w:p>
      <w:pPr>
        <w:pStyle w:val="ListParagraph"/>
        <w:numPr>
          <w:ilvl w:val="0"/>
          <w:numId w:val="3"/>
        </w:numPr>
        <w:tabs>
          <w:tab w:pos="382" w:val="left" w:leader="none"/>
          <w:tab w:pos="9155" w:val="left" w:leader="dot"/>
        </w:tabs>
        <w:spacing w:line="240" w:lineRule="auto" w:before="251" w:after="0"/>
        <w:ind w:left="381" w:right="0" w:hanging="221"/>
        <w:jc w:val="left"/>
        <w:rPr>
          <w:rFonts w:ascii="Times New Roman" w:hAnsi="Times New Roman" w:cs="Times New Roman" w:eastAsia="Times New Roman" w:hint="default"/>
          <w:sz w:val="22"/>
          <w:szCs w:val="22"/>
        </w:rPr>
      </w:pPr>
      <w:r>
        <w:rPr>
          <w:rFonts w:ascii="Times New Roman" w:hAnsi="Times New Roman"/>
          <w:sz w:val="22"/>
        </w:rPr>
        <w:t>Резиме предузетих мера у </w:t>
      </w:r>
      <w:r>
        <w:rPr>
          <w:rFonts w:ascii="Times New Roman" w:hAnsi="Times New Roman"/>
          <w:spacing w:val="44"/>
          <w:sz w:val="22"/>
        </w:rPr>
        <w:t> </w:t>
      </w:r>
      <w:r>
        <w:rPr>
          <w:rFonts w:ascii="Times New Roman" w:hAnsi="Times New Roman"/>
          <w:sz w:val="22"/>
        </w:rPr>
        <w:t>поступку</w:t>
      </w:r>
      <w:r>
        <w:rPr>
          <w:rFonts w:ascii="Times New Roman" w:hAnsi="Times New Roman"/>
          <w:spacing w:val="22"/>
          <w:sz w:val="22"/>
        </w:rPr>
        <w:t> </w:t>
      </w:r>
      <w:r>
        <w:rPr>
          <w:rFonts w:ascii="Times New Roman" w:hAnsi="Times New Roman"/>
          <w:sz w:val="22"/>
        </w:rPr>
        <w:t>ревизије.</w:t>
      </w:r>
      <w:r>
        <w:rPr>
          <w:rFonts w:ascii="Times New Roman" w:hAnsi="Times New Roman"/>
          <w:sz w:val="22"/>
        </w:rPr>
        <w:tab/>
        <w:t>25</w:t>
      </w:r>
    </w:p>
    <w:p>
      <w:pPr>
        <w:spacing w:after="0" w:line="240" w:lineRule="auto"/>
        <w:jc w:val="left"/>
        <w:rPr>
          <w:rFonts w:ascii="Times New Roman" w:hAnsi="Times New Roman" w:cs="Times New Roman" w:eastAsia="Times New Roman" w:hint="default"/>
          <w:sz w:val="22"/>
          <w:szCs w:val="22"/>
        </w:rPr>
        <w:sectPr>
          <w:headerReference w:type="default" r:id="rId10"/>
          <w:footerReference w:type="default" r:id="rId11"/>
          <w:pgSz w:w="12240" w:h="15840"/>
          <w:pgMar w:header="740" w:footer="1466" w:top="1280" w:bottom="1660" w:left="1400" w:right="1260"/>
          <w:pgNumType w:start="7"/>
        </w:sectPr>
      </w:pPr>
    </w:p>
    <w:p>
      <w:pPr>
        <w:spacing w:line="240" w:lineRule="auto" w:before="1"/>
        <w:rPr>
          <w:rFonts w:ascii="Times New Roman" w:hAnsi="Times New Roman" w:cs="Times New Roman" w:eastAsia="Times New Roman" w:hint="default"/>
          <w:sz w:val="23"/>
          <w:szCs w:val="23"/>
        </w:rPr>
      </w:pPr>
    </w:p>
    <w:p>
      <w:pPr>
        <w:pStyle w:val="Heading1"/>
        <w:numPr>
          <w:ilvl w:val="1"/>
          <w:numId w:val="3"/>
        </w:numPr>
        <w:tabs>
          <w:tab w:pos="787" w:val="left" w:leader="none"/>
        </w:tabs>
        <w:spacing w:line="274" w:lineRule="exact" w:before="0" w:after="0"/>
        <w:ind w:left="786" w:right="0" w:hanging="266"/>
        <w:jc w:val="left"/>
        <w:rPr>
          <w:b w:val="0"/>
          <w:bCs w:val="0"/>
        </w:rPr>
      </w:pPr>
      <w:r>
        <w:rPr/>
        <w:t>Кључне неправилности у ревизији консолидованих финансијских</w:t>
      </w:r>
      <w:r>
        <w:rPr>
          <w:spacing w:val="-31"/>
        </w:rPr>
        <w:t> </w:t>
      </w:r>
      <w:r>
        <w:rPr/>
        <w:t>извештаја</w:t>
      </w:r>
      <w:r>
        <w:rPr>
          <w:b w:val="0"/>
        </w:rPr>
      </w:r>
    </w:p>
    <w:p>
      <w:pPr>
        <w:pStyle w:val="BodyText"/>
        <w:spacing w:line="240" w:lineRule="auto"/>
        <w:ind w:right="160" w:firstLine="566"/>
        <w:jc w:val="left"/>
      </w:pPr>
      <w:r>
        <w:rPr/>
        <w:t>Као што је објашњено у Напоменама </w:t>
      </w:r>
      <w:r>
        <w:rPr>
          <w:spacing w:val="-4"/>
        </w:rPr>
        <w:t>уз </w:t>
      </w:r>
      <w:r>
        <w:rPr/>
        <w:t>Извештај, у консолидованим финансијским </w:t>
      </w:r>
      <w:r>
        <w:rPr/>
        <w:t>извештајима града</w:t>
      </w:r>
      <w:r>
        <w:rPr>
          <w:spacing w:val="-7"/>
        </w:rPr>
        <w:t> </w:t>
      </w:r>
      <w:r>
        <w:rPr/>
        <w:t>Ниша:</w:t>
      </w:r>
    </w:p>
    <w:p>
      <w:pPr>
        <w:spacing w:line="240" w:lineRule="auto" w:before="0"/>
        <w:rPr>
          <w:rFonts w:ascii="Times New Roman" w:hAnsi="Times New Roman" w:cs="Times New Roman" w:eastAsia="Times New Roman" w:hint="default"/>
          <w:sz w:val="24"/>
          <w:szCs w:val="24"/>
        </w:rPr>
      </w:pPr>
    </w:p>
    <w:p>
      <w:pPr>
        <w:pStyle w:val="ListParagraph"/>
        <w:numPr>
          <w:ilvl w:val="0"/>
          <w:numId w:val="4"/>
        </w:numPr>
        <w:tabs>
          <w:tab w:pos="478" w:val="left" w:leader="none"/>
        </w:tabs>
        <w:spacing w:line="240" w:lineRule="auto" w:before="0" w:after="0"/>
        <w:ind w:left="160" w:right="122" w:firstLine="0"/>
        <w:jc w:val="both"/>
        <w:rPr>
          <w:rFonts w:ascii="Times New Roman" w:hAnsi="Times New Roman" w:cs="Times New Roman" w:eastAsia="Times New Roman" w:hint="default"/>
          <w:sz w:val="24"/>
          <w:szCs w:val="24"/>
        </w:rPr>
      </w:pPr>
      <w:r>
        <w:rPr>
          <w:rFonts w:ascii="Times New Roman" w:hAnsi="Times New Roman"/>
          <w:sz w:val="24"/>
        </w:rPr>
        <w:t>део прихода и примања није правилно планиран и остварен према одговарајућој економској класификацији, и</w:t>
      </w:r>
      <w:r>
        <w:rPr>
          <w:rFonts w:ascii="Times New Roman" w:hAnsi="Times New Roman"/>
          <w:spacing w:val="-10"/>
          <w:sz w:val="24"/>
        </w:rPr>
        <w:t> </w:t>
      </w:r>
      <w:r>
        <w:rPr>
          <w:rFonts w:ascii="Times New Roman" w:hAnsi="Times New Roman"/>
          <w:sz w:val="24"/>
        </w:rPr>
        <w:t>то:</w:t>
      </w:r>
    </w:p>
    <w:p>
      <w:pPr>
        <w:pStyle w:val="ListParagraph"/>
        <w:numPr>
          <w:ilvl w:val="0"/>
          <w:numId w:val="2"/>
        </w:numPr>
        <w:tabs>
          <w:tab w:pos="339" w:val="left" w:leader="none"/>
        </w:tabs>
        <w:spacing w:line="240" w:lineRule="auto" w:before="0" w:after="0"/>
        <w:ind w:left="160" w:right="220" w:firstLine="0"/>
        <w:jc w:val="both"/>
        <w:rPr>
          <w:rFonts w:ascii="Times New Roman" w:hAnsi="Times New Roman" w:cs="Times New Roman" w:eastAsia="Times New Roman" w:hint="default"/>
          <w:sz w:val="24"/>
          <w:szCs w:val="24"/>
        </w:rPr>
      </w:pPr>
      <w:r>
        <w:rPr>
          <w:rFonts w:ascii="Times New Roman" w:hAnsi="Times New Roman"/>
          <w:sz w:val="24"/>
        </w:rPr>
        <w:t>Приходи буџета града Ниша нису тачно исказани, јер нису евидентирани приходи у износу од </w:t>
      </w:r>
      <w:r>
        <w:rPr>
          <w:rFonts w:ascii="Times New Roman" w:hAnsi="Times New Roman"/>
          <w:sz w:val="24"/>
        </w:rPr>
        <w:t>21.027 </w:t>
      </w:r>
      <w:r>
        <w:rPr>
          <w:rFonts w:ascii="Times New Roman" w:hAnsi="Times New Roman"/>
          <w:sz w:val="24"/>
        </w:rPr>
        <w:t>хиљада динара и то приходи од донација који су уплаћени на девизни рачун и на подрачуне отворене по основу пројеката у оквиру консолидованог рачуна трезора (тачка 4.1.2.</w:t>
      </w:r>
      <w:r>
        <w:rPr>
          <w:rFonts w:ascii="Times New Roman" w:hAnsi="Times New Roman"/>
          <w:spacing w:val="-9"/>
          <w:sz w:val="24"/>
        </w:rPr>
        <w:t> </w:t>
      </w:r>
      <w:r>
        <w:rPr>
          <w:rFonts w:ascii="Times New Roman" w:hAnsi="Times New Roman"/>
          <w:sz w:val="24"/>
        </w:rPr>
        <w:t>Напомена);</w:t>
      </w:r>
    </w:p>
    <w:p>
      <w:pPr>
        <w:pStyle w:val="ListParagraph"/>
        <w:numPr>
          <w:ilvl w:val="0"/>
          <w:numId w:val="2"/>
        </w:numPr>
        <w:tabs>
          <w:tab w:pos="444" w:val="left" w:leader="none"/>
        </w:tabs>
        <w:spacing w:line="240" w:lineRule="auto" w:before="140" w:after="0"/>
        <w:ind w:left="160" w:right="107" w:firstLine="0"/>
        <w:jc w:val="both"/>
        <w:rPr>
          <w:rFonts w:ascii="Times New Roman" w:hAnsi="Times New Roman" w:cs="Times New Roman" w:eastAsia="Times New Roman" w:hint="default"/>
          <w:sz w:val="24"/>
          <w:szCs w:val="24"/>
        </w:rPr>
      </w:pPr>
      <w:r>
        <w:rPr>
          <w:rFonts w:ascii="Times New Roman" w:hAnsi="Times New Roman"/>
          <w:sz w:val="24"/>
        </w:rPr>
        <w:t>Део прихода и примања није правилно планиран и остварен према одговарајућој економској класификацији, јер приходи и примања у финансијским извештајима су  укупно исказани: (1) у већем износу од износа утврђеног налазом ревизије у износу од 11.929 хиљада динара и (2) у мањем износу од износа утврђеног налазом ревизије у  износу од 11.929 хиљада динара (табеле из тачака 4.1.2. и 4.1.3.</w:t>
      </w:r>
      <w:r>
        <w:rPr>
          <w:rFonts w:ascii="Times New Roman" w:hAnsi="Times New Roman"/>
          <w:spacing w:val="-23"/>
          <w:sz w:val="24"/>
        </w:rPr>
        <w:t> </w:t>
      </w:r>
      <w:r>
        <w:rPr>
          <w:rFonts w:ascii="Times New Roman" w:hAnsi="Times New Roman"/>
          <w:sz w:val="24"/>
        </w:rPr>
        <w:t>Напомена);</w:t>
      </w:r>
    </w:p>
    <w:p>
      <w:pPr>
        <w:spacing w:line="240" w:lineRule="auto" w:before="0"/>
        <w:rPr>
          <w:rFonts w:ascii="Times New Roman" w:hAnsi="Times New Roman" w:cs="Times New Roman" w:eastAsia="Times New Roman" w:hint="default"/>
          <w:sz w:val="24"/>
          <w:szCs w:val="24"/>
        </w:rPr>
      </w:pPr>
    </w:p>
    <w:p>
      <w:pPr>
        <w:pStyle w:val="ListParagraph"/>
        <w:numPr>
          <w:ilvl w:val="0"/>
          <w:numId w:val="4"/>
        </w:numPr>
        <w:tabs>
          <w:tab w:pos="444" w:val="left" w:leader="none"/>
        </w:tabs>
        <w:spacing w:line="240" w:lineRule="auto" w:before="0" w:after="0"/>
        <w:ind w:left="160" w:right="125" w:firstLine="0"/>
        <w:jc w:val="both"/>
        <w:rPr>
          <w:rFonts w:ascii="Times New Roman" w:hAnsi="Times New Roman" w:cs="Times New Roman" w:eastAsia="Times New Roman" w:hint="default"/>
          <w:sz w:val="24"/>
          <w:szCs w:val="24"/>
        </w:rPr>
      </w:pPr>
      <w:r>
        <w:rPr>
          <w:rFonts w:ascii="Times New Roman" w:hAnsi="Times New Roman"/>
          <w:sz w:val="24"/>
        </w:rPr>
        <w:t>део расхода и издатака није правилно планиран и извршен према одговарајућој економској и организационој класификацији, и</w:t>
      </w:r>
      <w:r>
        <w:rPr>
          <w:rFonts w:ascii="Times New Roman" w:hAnsi="Times New Roman"/>
          <w:spacing w:val="-19"/>
          <w:sz w:val="24"/>
        </w:rPr>
        <w:t> </w:t>
      </w:r>
      <w:r>
        <w:rPr>
          <w:rFonts w:ascii="Times New Roman" w:hAnsi="Times New Roman"/>
          <w:sz w:val="24"/>
        </w:rPr>
        <w:t>то:</w:t>
      </w:r>
    </w:p>
    <w:p>
      <w:pPr>
        <w:spacing w:line="240" w:lineRule="auto" w:before="11"/>
        <w:rPr>
          <w:rFonts w:ascii="Times New Roman" w:hAnsi="Times New Roman" w:cs="Times New Roman" w:eastAsia="Times New Roman" w:hint="default"/>
          <w:sz w:val="21"/>
          <w:szCs w:val="21"/>
        </w:rPr>
      </w:pPr>
    </w:p>
    <w:p>
      <w:pPr>
        <w:pStyle w:val="ListParagraph"/>
        <w:numPr>
          <w:ilvl w:val="0"/>
          <w:numId w:val="2"/>
        </w:numPr>
        <w:tabs>
          <w:tab w:pos="348" w:val="left" w:leader="none"/>
        </w:tabs>
        <w:spacing w:line="240" w:lineRule="auto" w:before="0" w:after="0"/>
        <w:ind w:left="160" w:right="215" w:firstLine="0"/>
        <w:jc w:val="both"/>
        <w:rPr>
          <w:rFonts w:ascii="Times New Roman" w:hAnsi="Times New Roman" w:cs="Times New Roman" w:eastAsia="Times New Roman" w:hint="default"/>
          <w:sz w:val="24"/>
          <w:szCs w:val="24"/>
        </w:rPr>
      </w:pPr>
      <w:r>
        <w:rPr>
          <w:rFonts w:ascii="Times New Roman" w:hAnsi="Times New Roman"/>
          <w:sz w:val="24"/>
        </w:rPr>
        <w:t>Расходи буџета града Ниша нису тачно исказани, јер нису евидентирани расходи у износу од </w:t>
      </w:r>
      <w:r>
        <w:rPr>
          <w:rFonts w:ascii="Times New Roman" w:hAnsi="Times New Roman"/>
          <w:sz w:val="24"/>
        </w:rPr>
        <w:t>25.903 </w:t>
      </w:r>
      <w:r>
        <w:rPr>
          <w:rFonts w:ascii="Times New Roman" w:hAnsi="Times New Roman"/>
          <w:sz w:val="24"/>
        </w:rPr>
        <w:t>хиљаде динара и то за извршење са подрачуна отворених по основу пројеката у оквиру консолидованог рачуна трезора (тачка 4.1.4.</w:t>
      </w:r>
      <w:r>
        <w:rPr>
          <w:rFonts w:ascii="Times New Roman" w:hAnsi="Times New Roman"/>
          <w:spacing w:val="-21"/>
          <w:sz w:val="24"/>
        </w:rPr>
        <w:t> </w:t>
      </w:r>
      <w:r>
        <w:rPr>
          <w:rFonts w:ascii="Times New Roman" w:hAnsi="Times New Roman"/>
          <w:sz w:val="24"/>
        </w:rPr>
        <w:t>Напомена);</w:t>
      </w:r>
    </w:p>
    <w:p>
      <w:pPr>
        <w:spacing w:line="240" w:lineRule="auto" w:before="11"/>
        <w:rPr>
          <w:rFonts w:ascii="Times New Roman" w:hAnsi="Times New Roman" w:cs="Times New Roman" w:eastAsia="Times New Roman" w:hint="default"/>
          <w:sz w:val="21"/>
          <w:szCs w:val="21"/>
        </w:rPr>
      </w:pPr>
    </w:p>
    <w:p>
      <w:pPr>
        <w:pStyle w:val="ListParagraph"/>
        <w:numPr>
          <w:ilvl w:val="0"/>
          <w:numId w:val="2"/>
        </w:numPr>
        <w:tabs>
          <w:tab w:pos="444" w:val="left" w:leader="none"/>
        </w:tabs>
        <w:spacing w:line="240" w:lineRule="auto" w:before="0" w:after="0"/>
        <w:ind w:left="160" w:right="116" w:firstLine="0"/>
        <w:jc w:val="both"/>
        <w:rPr>
          <w:rFonts w:ascii="Times New Roman" w:hAnsi="Times New Roman" w:cs="Times New Roman" w:eastAsia="Times New Roman" w:hint="default"/>
          <w:sz w:val="24"/>
          <w:szCs w:val="24"/>
        </w:rPr>
      </w:pPr>
      <w:r>
        <w:rPr>
          <w:rFonts w:ascii="Times New Roman" w:hAnsi="Times New Roman"/>
          <w:sz w:val="24"/>
        </w:rPr>
        <w:t>Део расхода и издатака није правилно планиран и извршен према одговарајућој економској класификацији, јер расходи и издаци у финансијским извештајима су укупно исказани: (1) у већем износу од износа утврђеног налазом ревизије у износу од 563.355 хиљада</w:t>
      </w:r>
      <w:r>
        <w:rPr>
          <w:rFonts w:ascii="Times New Roman" w:hAnsi="Times New Roman"/>
          <w:spacing w:val="38"/>
          <w:sz w:val="24"/>
        </w:rPr>
        <w:t> </w:t>
      </w:r>
      <w:r>
        <w:rPr>
          <w:rFonts w:ascii="Times New Roman" w:hAnsi="Times New Roman"/>
          <w:sz w:val="24"/>
        </w:rPr>
        <w:t>динара,</w:t>
      </w:r>
      <w:r>
        <w:rPr>
          <w:rFonts w:ascii="Times New Roman" w:hAnsi="Times New Roman"/>
          <w:spacing w:val="39"/>
          <w:sz w:val="24"/>
        </w:rPr>
        <w:t> </w:t>
      </w:r>
      <w:r>
        <w:rPr>
          <w:rFonts w:ascii="Times New Roman" w:hAnsi="Times New Roman"/>
          <w:sz w:val="24"/>
        </w:rPr>
        <w:t>(2)</w:t>
      </w:r>
      <w:r>
        <w:rPr>
          <w:rFonts w:ascii="Times New Roman" w:hAnsi="Times New Roman"/>
          <w:spacing w:val="42"/>
          <w:sz w:val="24"/>
        </w:rPr>
        <w:t> </w:t>
      </w:r>
      <w:r>
        <w:rPr>
          <w:rFonts w:ascii="Times New Roman" w:hAnsi="Times New Roman"/>
          <w:sz w:val="24"/>
        </w:rPr>
        <w:t>у</w:t>
      </w:r>
      <w:r>
        <w:rPr>
          <w:rFonts w:ascii="Times New Roman" w:hAnsi="Times New Roman"/>
          <w:spacing w:val="37"/>
          <w:sz w:val="24"/>
        </w:rPr>
        <w:t> </w:t>
      </w:r>
      <w:r>
        <w:rPr>
          <w:rFonts w:ascii="Times New Roman" w:hAnsi="Times New Roman"/>
          <w:sz w:val="24"/>
        </w:rPr>
        <w:t>мањем</w:t>
      </w:r>
      <w:r>
        <w:rPr>
          <w:rFonts w:ascii="Times New Roman" w:hAnsi="Times New Roman"/>
          <w:spacing w:val="38"/>
          <w:sz w:val="24"/>
        </w:rPr>
        <w:t> </w:t>
      </w:r>
      <w:r>
        <w:rPr>
          <w:rFonts w:ascii="Times New Roman" w:hAnsi="Times New Roman"/>
          <w:sz w:val="24"/>
        </w:rPr>
        <w:t>износу</w:t>
      </w:r>
      <w:r>
        <w:rPr>
          <w:rFonts w:ascii="Times New Roman" w:hAnsi="Times New Roman"/>
          <w:spacing w:val="34"/>
          <w:sz w:val="24"/>
        </w:rPr>
        <w:t> </w:t>
      </w:r>
      <w:r>
        <w:rPr>
          <w:rFonts w:ascii="Times New Roman" w:hAnsi="Times New Roman"/>
          <w:sz w:val="24"/>
        </w:rPr>
        <w:t>од</w:t>
      </w:r>
      <w:r>
        <w:rPr>
          <w:rFonts w:ascii="Times New Roman" w:hAnsi="Times New Roman"/>
          <w:spacing w:val="39"/>
          <w:sz w:val="24"/>
        </w:rPr>
        <w:t> </w:t>
      </w:r>
      <w:r>
        <w:rPr>
          <w:rFonts w:ascii="Times New Roman" w:hAnsi="Times New Roman"/>
          <w:sz w:val="24"/>
        </w:rPr>
        <w:t>износа</w:t>
      </w:r>
      <w:r>
        <w:rPr>
          <w:rFonts w:ascii="Times New Roman" w:hAnsi="Times New Roman"/>
          <w:spacing w:val="43"/>
          <w:sz w:val="24"/>
        </w:rPr>
        <w:t> </w:t>
      </w:r>
      <w:r>
        <w:rPr>
          <w:rFonts w:ascii="Times New Roman" w:hAnsi="Times New Roman"/>
          <w:sz w:val="24"/>
        </w:rPr>
        <w:t>утврђеног</w:t>
      </w:r>
      <w:r>
        <w:rPr>
          <w:rFonts w:ascii="Times New Roman" w:hAnsi="Times New Roman"/>
          <w:spacing w:val="39"/>
          <w:sz w:val="24"/>
        </w:rPr>
        <w:t> </w:t>
      </w:r>
      <w:r>
        <w:rPr>
          <w:rFonts w:ascii="Times New Roman" w:hAnsi="Times New Roman"/>
          <w:sz w:val="24"/>
        </w:rPr>
        <w:t>налазом</w:t>
      </w:r>
      <w:r>
        <w:rPr>
          <w:rFonts w:ascii="Times New Roman" w:hAnsi="Times New Roman"/>
          <w:spacing w:val="38"/>
          <w:sz w:val="24"/>
        </w:rPr>
        <w:t> </w:t>
      </w:r>
      <w:r>
        <w:rPr>
          <w:rFonts w:ascii="Times New Roman" w:hAnsi="Times New Roman"/>
          <w:sz w:val="24"/>
        </w:rPr>
        <w:t>ревизије</w:t>
      </w:r>
      <w:r>
        <w:rPr>
          <w:rFonts w:ascii="Times New Roman" w:hAnsi="Times New Roman"/>
          <w:spacing w:val="41"/>
          <w:sz w:val="24"/>
        </w:rPr>
        <w:t> </w:t>
      </w:r>
      <w:r>
        <w:rPr>
          <w:rFonts w:ascii="Times New Roman" w:hAnsi="Times New Roman"/>
          <w:sz w:val="24"/>
        </w:rPr>
        <w:t>у</w:t>
      </w:r>
      <w:r>
        <w:rPr>
          <w:rFonts w:ascii="Times New Roman" w:hAnsi="Times New Roman"/>
          <w:spacing w:val="43"/>
          <w:sz w:val="24"/>
        </w:rPr>
        <w:t> </w:t>
      </w:r>
      <w:r>
        <w:rPr>
          <w:rFonts w:ascii="Times New Roman" w:hAnsi="Times New Roman"/>
          <w:sz w:val="24"/>
        </w:rPr>
        <w:t>износу</w:t>
      </w:r>
      <w:r>
        <w:rPr>
          <w:rFonts w:ascii="Times New Roman" w:hAnsi="Times New Roman"/>
          <w:spacing w:val="34"/>
          <w:sz w:val="24"/>
        </w:rPr>
        <w:t> </w:t>
      </w:r>
      <w:r>
        <w:rPr>
          <w:rFonts w:ascii="Times New Roman" w:hAnsi="Times New Roman"/>
          <w:sz w:val="24"/>
        </w:rPr>
        <w:t>од</w:t>
      </w:r>
    </w:p>
    <w:p>
      <w:pPr>
        <w:pStyle w:val="BodyText"/>
        <w:spacing w:line="240" w:lineRule="auto"/>
        <w:ind w:right="124"/>
        <w:jc w:val="both"/>
      </w:pPr>
      <w:r>
        <w:rPr/>
        <w:t>563.247 хиљада динара (табеле из тачака 4.1.4. и 4.1.5. Напомена), а разлика у износу од 108 хиљада динара се односи на више евидентиран расход код ПУ</w:t>
      </w:r>
      <w:r>
        <w:rPr>
          <w:spacing w:val="-17"/>
        </w:rPr>
        <w:t> </w:t>
      </w:r>
      <w:r>
        <w:rPr/>
        <w:t>Пчелица;</w:t>
      </w:r>
    </w:p>
    <w:p>
      <w:pPr>
        <w:spacing w:line="240" w:lineRule="auto" w:before="1"/>
        <w:rPr>
          <w:rFonts w:ascii="Times New Roman" w:hAnsi="Times New Roman" w:cs="Times New Roman" w:eastAsia="Times New Roman" w:hint="default"/>
          <w:sz w:val="22"/>
          <w:szCs w:val="22"/>
        </w:rPr>
      </w:pPr>
    </w:p>
    <w:p>
      <w:pPr>
        <w:pStyle w:val="ListParagraph"/>
        <w:numPr>
          <w:ilvl w:val="0"/>
          <w:numId w:val="2"/>
        </w:numPr>
        <w:tabs>
          <w:tab w:pos="444" w:val="left" w:leader="none"/>
        </w:tabs>
        <w:spacing w:line="240" w:lineRule="auto" w:before="0" w:after="0"/>
        <w:ind w:left="160" w:right="217" w:firstLine="0"/>
        <w:jc w:val="both"/>
        <w:rPr>
          <w:rFonts w:ascii="Times New Roman" w:hAnsi="Times New Roman" w:cs="Times New Roman" w:eastAsia="Times New Roman" w:hint="default"/>
          <w:sz w:val="24"/>
          <w:szCs w:val="24"/>
        </w:rPr>
      </w:pPr>
      <w:r>
        <w:rPr>
          <w:rFonts w:ascii="Times New Roman" w:hAnsi="Times New Roman"/>
          <w:sz w:val="24"/>
        </w:rPr>
        <w:t>Део расхода и издатака није правилно планиран и извршен према одговарајућој организационој класификацији, јер са апропријација градоначелника извршен је расход за: посланички додатак (за накнаде помоћницима градоначелника) у износу од 3.625 хиљада динара (тачка 4.1.4.7.), финансирање и суфинансирање пројеката за младе у износу од 3.020 хиљада динара (тачка 4.1.4.10.), трансфере осталим нивоима власти у износу од 2.133 хиљаде динара (тачка 4.1.4.19.), дотације осталим непрофитним институцијама у износу од 2.991 хиљаде динара (тачка 4.1.4.23), затим са апропријација Управе за финансије у износу од 3.074 хиљаде динара за трансфере осталим нивоима власти (тачка</w:t>
      </w:r>
      <w:r>
        <w:rPr>
          <w:rFonts w:ascii="Times New Roman" w:hAnsi="Times New Roman"/>
          <w:spacing w:val="-8"/>
          <w:sz w:val="24"/>
        </w:rPr>
        <w:t> </w:t>
      </w:r>
      <w:r>
        <w:rPr>
          <w:rFonts w:ascii="Times New Roman" w:hAnsi="Times New Roman"/>
          <w:sz w:val="24"/>
        </w:rPr>
        <w:t>4.1.4.19.).</w:t>
      </w:r>
    </w:p>
    <w:p>
      <w:pPr>
        <w:pStyle w:val="BodyText"/>
        <w:spacing w:line="240" w:lineRule="auto"/>
        <w:ind w:right="160" w:firstLine="719"/>
        <w:jc w:val="left"/>
      </w:pPr>
      <w:r>
        <w:rPr/>
        <w:t>Као што је објашњено у тачкама 4.3. и 4.4. Напомена </w:t>
      </w:r>
      <w:r>
        <w:rPr>
          <w:spacing w:val="-4"/>
        </w:rPr>
        <w:t>уз </w:t>
      </w:r>
      <w:r>
        <w:rPr/>
        <w:t>Извештај утврђене су </w:t>
      </w:r>
      <w:r>
        <w:rPr/>
        <w:t>следеће</w:t>
      </w:r>
      <w:r>
        <w:rPr>
          <w:spacing w:val="-6"/>
        </w:rPr>
        <w:t> </w:t>
      </w:r>
      <w:r>
        <w:rPr/>
        <w:t>неправилности:</w:t>
      </w:r>
    </w:p>
    <w:p>
      <w:pPr>
        <w:pStyle w:val="ListParagraph"/>
        <w:numPr>
          <w:ilvl w:val="0"/>
          <w:numId w:val="4"/>
        </w:numPr>
        <w:tabs>
          <w:tab w:pos="403" w:val="left" w:leader="none"/>
        </w:tabs>
        <w:spacing w:line="240" w:lineRule="auto" w:before="120" w:after="0"/>
        <w:ind w:left="402" w:right="0" w:hanging="242"/>
        <w:jc w:val="both"/>
        <w:rPr>
          <w:rFonts w:ascii="Times New Roman" w:hAnsi="Times New Roman" w:cs="Times New Roman" w:eastAsia="Times New Roman" w:hint="default"/>
          <w:sz w:val="24"/>
          <w:szCs w:val="24"/>
        </w:rPr>
      </w:pPr>
      <w:r>
        <w:rPr>
          <w:rFonts w:ascii="Times New Roman" w:hAnsi="Times New Roman"/>
          <w:sz w:val="24"/>
        </w:rPr>
        <w:t>у консолидованим финансијским</w:t>
      </w:r>
      <w:r>
        <w:rPr>
          <w:rFonts w:ascii="Times New Roman" w:hAnsi="Times New Roman"/>
          <w:spacing w:val="-20"/>
          <w:sz w:val="24"/>
        </w:rPr>
        <w:t> </w:t>
      </w:r>
      <w:r>
        <w:rPr>
          <w:rFonts w:ascii="Times New Roman" w:hAnsi="Times New Roman"/>
          <w:sz w:val="24"/>
        </w:rPr>
        <w:t>извештајима:</w:t>
      </w:r>
    </w:p>
    <w:p>
      <w:pPr>
        <w:spacing w:after="0" w:line="240" w:lineRule="auto"/>
        <w:jc w:val="both"/>
        <w:rPr>
          <w:rFonts w:ascii="Times New Roman" w:hAnsi="Times New Roman" w:cs="Times New Roman" w:eastAsia="Times New Roman" w:hint="default"/>
          <w:sz w:val="24"/>
          <w:szCs w:val="24"/>
        </w:rPr>
        <w:sectPr>
          <w:pgSz w:w="12240" w:h="15840"/>
          <w:pgMar w:header="740" w:footer="1466" w:top="1280" w:bottom="1660" w:left="1400" w:right="1220"/>
        </w:sectPr>
      </w:pPr>
    </w:p>
    <w:p>
      <w:pPr>
        <w:spacing w:line="240" w:lineRule="auto" w:before="8"/>
        <w:rPr>
          <w:rFonts w:ascii="Times New Roman" w:hAnsi="Times New Roman" w:cs="Times New Roman" w:eastAsia="Times New Roman" w:hint="default"/>
          <w:sz w:val="16"/>
          <w:szCs w:val="16"/>
        </w:rPr>
      </w:pPr>
    </w:p>
    <w:p>
      <w:pPr>
        <w:pStyle w:val="BodyText"/>
        <w:spacing w:line="240" w:lineRule="auto" w:before="69"/>
        <w:ind w:left="880" w:right="141"/>
        <w:jc w:val="left"/>
      </w:pPr>
      <w:r>
        <w:rPr/>
        <w:t>У Консолидованом Билансу стања на дан 31.12.2014.</w:t>
      </w:r>
      <w:r>
        <w:rPr>
          <w:spacing w:val="-12"/>
        </w:rPr>
        <w:t> </w:t>
      </w:r>
      <w:r>
        <w:rPr/>
        <w:t>године:</w:t>
      </w:r>
    </w:p>
    <w:p>
      <w:pPr>
        <w:pStyle w:val="ListParagraph"/>
        <w:numPr>
          <w:ilvl w:val="0"/>
          <w:numId w:val="2"/>
        </w:numPr>
        <w:tabs>
          <w:tab w:pos="303" w:val="left" w:leader="none"/>
        </w:tabs>
        <w:spacing w:line="240" w:lineRule="auto" w:before="0"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није исказано</w:t>
      </w:r>
      <w:r>
        <w:rPr>
          <w:rFonts w:ascii="Times New Roman" w:hAnsi="Times New Roman"/>
          <w:spacing w:val="-7"/>
          <w:sz w:val="24"/>
        </w:rPr>
        <w:t> </w:t>
      </w:r>
      <w:r>
        <w:rPr>
          <w:rFonts w:ascii="Times New Roman" w:hAnsi="Times New Roman"/>
          <w:sz w:val="24"/>
        </w:rPr>
        <w:t>следеће:</w:t>
      </w:r>
    </w:p>
    <w:p>
      <w:pPr>
        <w:pStyle w:val="ListParagraph"/>
        <w:numPr>
          <w:ilvl w:val="1"/>
          <w:numId w:val="2"/>
        </w:numPr>
        <w:tabs>
          <w:tab w:pos="881" w:val="left" w:leader="none"/>
        </w:tabs>
        <w:spacing w:line="240" w:lineRule="auto" w:before="0" w:after="0"/>
        <w:ind w:left="160" w:right="182" w:firstLine="360"/>
        <w:jc w:val="both"/>
        <w:rPr>
          <w:rFonts w:ascii="Times New Roman" w:hAnsi="Times New Roman" w:cs="Times New Roman" w:eastAsia="Times New Roman" w:hint="default"/>
          <w:sz w:val="24"/>
          <w:szCs w:val="24"/>
        </w:rPr>
      </w:pPr>
      <w:r>
        <w:rPr>
          <w:rFonts w:ascii="Times New Roman" w:hAnsi="Times New Roman"/>
          <w:sz w:val="24"/>
        </w:rPr>
        <w:t>зграде и грађевински објекти чију вредност у поступку ревизије нисмо могли да утврдимо, 42 стана која су дата у закуп чију вредност у поступку ревизије нисмо могли да утврдимо, зграде и грађевински објекти у укупном износу од 71.493 хиљаде динара (у износу од  1.007 хиљада динара за пројекат  санације објекта код СЦ Чаир,  у износу   </w:t>
      </w:r>
      <w:r>
        <w:rPr>
          <w:rFonts w:ascii="Times New Roman" w:hAnsi="Times New Roman"/>
          <w:spacing w:val="43"/>
          <w:sz w:val="24"/>
        </w:rPr>
        <w:t> </w:t>
      </w:r>
      <w:r>
        <w:rPr>
          <w:rFonts w:ascii="Times New Roman" w:hAnsi="Times New Roman"/>
          <w:sz w:val="24"/>
        </w:rPr>
        <w:t>од</w:t>
      </w:r>
    </w:p>
    <w:p>
      <w:pPr>
        <w:pStyle w:val="BodyText"/>
        <w:spacing w:line="240" w:lineRule="auto"/>
        <w:ind w:right="177"/>
        <w:jc w:val="both"/>
      </w:pPr>
      <w:r>
        <w:rPr/>
        <w:t>66.594 хиљаде динара за радове на изградњи заштитне конструкције над Вилом на археолошком налазишту Медијана код Завода за заштиту споменика културе, у износу</w:t>
      </w:r>
      <w:r>
        <w:rPr>
          <w:spacing w:val="-17"/>
        </w:rPr>
        <w:t> </w:t>
      </w:r>
      <w:r>
        <w:rPr/>
        <w:t>од</w:t>
      </w:r>
    </w:p>
    <w:p>
      <w:pPr>
        <w:pStyle w:val="ListParagraph"/>
        <w:numPr>
          <w:ilvl w:val="1"/>
          <w:numId w:val="5"/>
        </w:numPr>
        <w:tabs>
          <w:tab w:pos="775" w:val="left" w:leader="none"/>
        </w:tabs>
        <w:spacing w:line="240" w:lineRule="auto" w:before="0"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хиљаде динара за капитално одржавање објеката и у износу од 330 хиљада динара за прикључак на гасоводну мрежу код ПУ Пчелица, у износу од 1.278 хиљада динара за капитално улагање на згради код Народног</w:t>
      </w:r>
      <w:r>
        <w:rPr>
          <w:rFonts w:ascii="Times New Roman" w:hAnsi="Times New Roman"/>
          <w:spacing w:val="-17"/>
          <w:sz w:val="24"/>
        </w:rPr>
        <w:t> </w:t>
      </w:r>
      <w:r>
        <w:rPr>
          <w:rFonts w:ascii="Times New Roman" w:hAnsi="Times New Roman"/>
          <w:sz w:val="24"/>
        </w:rPr>
        <w:t>позоришта);</w:t>
      </w:r>
    </w:p>
    <w:p>
      <w:pPr>
        <w:pStyle w:val="ListParagraph"/>
        <w:numPr>
          <w:ilvl w:val="2"/>
          <w:numId w:val="5"/>
        </w:numPr>
        <w:tabs>
          <w:tab w:pos="881" w:val="left" w:leader="none"/>
        </w:tabs>
        <w:spacing w:line="240" w:lineRule="auto" w:before="0" w:after="0"/>
        <w:ind w:left="160" w:right="175" w:firstLine="36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опрема у износу од 3.202 хиљаде динара (у износу од 1.101 хиљаде динара код Регионалног центра, у износу од 856 хиљада динара код Туристичке организације, у износу од 297 хиљада динара код ПУ Пчелица, у износу од 148 хиљада динара код СЦ Чаир, у износу од 800 хиљада динара по пројекту „1700 година Миланског едикта“ код Службе за одржавање и информатичко комуникационе</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технологије);</w:t>
      </w:r>
    </w:p>
    <w:p>
      <w:pPr>
        <w:pStyle w:val="ListParagraph"/>
        <w:numPr>
          <w:ilvl w:val="2"/>
          <w:numId w:val="5"/>
        </w:numPr>
        <w:tabs>
          <w:tab w:pos="881" w:val="left" w:leader="none"/>
        </w:tabs>
        <w:spacing w:line="240" w:lineRule="auto" w:before="0" w:after="0"/>
        <w:ind w:left="160" w:right="176" w:firstLine="360"/>
        <w:jc w:val="both"/>
        <w:rPr>
          <w:rFonts w:ascii="Times New Roman" w:hAnsi="Times New Roman" w:cs="Times New Roman" w:eastAsia="Times New Roman" w:hint="default"/>
          <w:sz w:val="24"/>
          <w:szCs w:val="24"/>
        </w:rPr>
      </w:pPr>
      <w:r>
        <w:rPr>
          <w:rFonts w:ascii="Times New Roman" w:hAnsi="Times New Roman"/>
          <w:sz w:val="24"/>
        </w:rPr>
        <w:t>нефинансијска имовина у припреми у износу од </w:t>
      </w:r>
      <w:r>
        <w:rPr>
          <w:rFonts w:ascii="Times New Roman" w:hAnsi="Times New Roman"/>
          <w:sz w:val="24"/>
        </w:rPr>
        <w:t>24.485 </w:t>
      </w:r>
      <w:r>
        <w:rPr>
          <w:rFonts w:ascii="Times New Roman" w:hAnsi="Times New Roman"/>
          <w:sz w:val="24"/>
        </w:rPr>
        <w:t>хиљада динара (генерални пројекат оправданости експлоатације индентификованих подземних вода у износу од 350 хиљада динара и за радове на изради шест истражно експлоатационих бунара у износу од 8.682 хиљаде динара код Управе за имовину, у износу од 549 хиљада динара код СЦ Чаир, у износу од 14.902 хиљаде динара код ЈП Градска стамбена агенција, у износу од две хиљаде динара код Галерије савремене ликовне</w:t>
      </w:r>
      <w:r>
        <w:rPr>
          <w:rFonts w:ascii="Times New Roman" w:hAnsi="Times New Roman"/>
          <w:spacing w:val="-15"/>
          <w:sz w:val="24"/>
        </w:rPr>
        <w:t> </w:t>
      </w:r>
      <w:r>
        <w:rPr>
          <w:rFonts w:ascii="Times New Roman" w:hAnsi="Times New Roman"/>
          <w:sz w:val="24"/>
        </w:rPr>
        <w:t>уметности);</w:t>
      </w:r>
    </w:p>
    <w:p>
      <w:pPr>
        <w:pStyle w:val="ListParagraph"/>
        <w:numPr>
          <w:ilvl w:val="2"/>
          <w:numId w:val="5"/>
        </w:numPr>
        <w:tabs>
          <w:tab w:pos="881" w:val="left" w:leader="none"/>
        </w:tabs>
        <w:spacing w:line="240" w:lineRule="auto" w:before="0" w:after="0"/>
        <w:ind w:left="160" w:right="182" w:firstLine="360"/>
        <w:jc w:val="both"/>
        <w:rPr>
          <w:rFonts w:ascii="Times New Roman" w:hAnsi="Times New Roman" w:cs="Times New Roman" w:eastAsia="Times New Roman" w:hint="default"/>
          <w:sz w:val="24"/>
          <w:szCs w:val="24"/>
        </w:rPr>
      </w:pPr>
      <w:r>
        <w:rPr>
          <w:rFonts w:ascii="Times New Roman" w:hAnsi="Times New Roman"/>
          <w:sz w:val="24"/>
        </w:rPr>
        <w:t>земљиште у износу од 15.716 хиљада динара (у износу од 2.631 хиљаде динара  код Управе за имовину, у износу од 13.085 хиљада динара код ЈП Градска стамбена агенција);</w:t>
      </w:r>
    </w:p>
    <w:p>
      <w:pPr>
        <w:pStyle w:val="ListParagraph"/>
        <w:numPr>
          <w:ilvl w:val="2"/>
          <w:numId w:val="5"/>
        </w:numPr>
        <w:tabs>
          <w:tab w:pos="881" w:val="left" w:leader="none"/>
        </w:tabs>
        <w:spacing w:line="240" w:lineRule="auto" w:before="0" w:after="0"/>
        <w:ind w:left="160" w:right="174" w:firstLine="360"/>
        <w:jc w:val="both"/>
        <w:rPr>
          <w:rFonts w:ascii="Times New Roman" w:hAnsi="Times New Roman" w:cs="Times New Roman" w:eastAsia="Times New Roman" w:hint="default"/>
          <w:sz w:val="24"/>
          <w:szCs w:val="24"/>
        </w:rPr>
      </w:pPr>
      <w:r>
        <w:rPr>
          <w:rFonts w:ascii="Times New Roman" w:hAnsi="Times New Roman"/>
          <w:sz w:val="24"/>
        </w:rPr>
        <w:t>дугорочна домаћа финансијска имовина у износу од најмање 2.063.389 хиљада динара (за 139 станова датих у откуп у износу који у поступку ревизије нисмо могли да утврдимо код Управе за имовину, у износу од 2.016.712 хиљада динара за учешће у капиталу јавних предузећа код Управе за финансије, у износу од 46.637 хиљада динара за стамбене кредите код ЈП Градска стамбена агенција и у износу од 40 хиљада динара за акције код АИК банке код СЦ</w:t>
      </w:r>
      <w:r>
        <w:rPr>
          <w:rFonts w:ascii="Times New Roman" w:hAnsi="Times New Roman"/>
          <w:spacing w:val="-11"/>
          <w:sz w:val="24"/>
        </w:rPr>
        <w:t> </w:t>
      </w:r>
      <w:r>
        <w:rPr>
          <w:rFonts w:ascii="Times New Roman" w:hAnsi="Times New Roman"/>
          <w:sz w:val="24"/>
        </w:rPr>
        <w:t>Чаир);</w:t>
      </w:r>
    </w:p>
    <w:p>
      <w:pPr>
        <w:pStyle w:val="ListParagraph"/>
        <w:numPr>
          <w:ilvl w:val="2"/>
          <w:numId w:val="5"/>
        </w:numPr>
        <w:tabs>
          <w:tab w:pos="881" w:val="left" w:leader="none"/>
        </w:tabs>
        <w:spacing w:line="240" w:lineRule="auto" w:before="0" w:after="0"/>
        <w:ind w:left="160" w:right="181" w:firstLine="360"/>
        <w:jc w:val="both"/>
        <w:rPr>
          <w:rFonts w:ascii="Times New Roman" w:hAnsi="Times New Roman" w:cs="Times New Roman" w:eastAsia="Times New Roman" w:hint="default"/>
          <w:sz w:val="24"/>
          <w:szCs w:val="24"/>
        </w:rPr>
      </w:pPr>
      <w:r>
        <w:rPr>
          <w:rFonts w:ascii="Times New Roman" w:hAnsi="Times New Roman"/>
          <w:sz w:val="24"/>
        </w:rPr>
        <w:t>новчана средства у износу од 28.500 хиљада динара (у износу од две хиљаде динара код Регионалног центра, у износу од 566 хиљада динара за готовину у благајни код ПУ Пчелица, у износу од три хиљаде динара за девизни рачун код Сигурне куће, у износу од 15.623 хиљаде динара за неевидентирана средства на подрачунима, у износу</w:t>
      </w:r>
      <w:r>
        <w:rPr>
          <w:rFonts w:ascii="Times New Roman" w:hAnsi="Times New Roman"/>
          <w:spacing w:val="-20"/>
          <w:sz w:val="24"/>
        </w:rPr>
        <w:t> </w:t>
      </w:r>
      <w:r>
        <w:rPr>
          <w:rFonts w:ascii="Times New Roman" w:hAnsi="Times New Roman"/>
          <w:sz w:val="24"/>
        </w:rPr>
        <w:t>од</w:t>
      </w:r>
    </w:p>
    <w:p>
      <w:pPr>
        <w:pStyle w:val="BodyText"/>
        <w:spacing w:line="240" w:lineRule="auto"/>
        <w:ind w:right="175"/>
        <w:jc w:val="both"/>
      </w:pPr>
      <w:r>
        <w:rPr/>
        <w:t>12.144 хиљаде динара за неевидентирана средства на девизном рачуну и у износу од 162 хиљаде динара за неевидентирана средства у девизној благајни код Управе за</w:t>
      </w:r>
      <w:r>
        <w:rPr>
          <w:spacing w:val="-18"/>
        </w:rPr>
        <w:t> </w:t>
      </w:r>
      <w:r>
        <w:rPr/>
        <w:t>финансије);</w:t>
      </w:r>
    </w:p>
    <w:p>
      <w:pPr>
        <w:pStyle w:val="BodyText"/>
        <w:spacing w:line="240" w:lineRule="auto"/>
        <w:ind w:right="180" w:firstLine="360"/>
        <w:jc w:val="both"/>
      </w:pPr>
      <w:r>
        <w:rPr>
          <w:rFonts w:ascii="Times New Roman" w:hAnsi="Times New Roman"/>
        </w:rPr>
        <w:t>- </w:t>
      </w:r>
      <w:r>
        <w:rPr/>
        <w:t>краткорочна потраживања у износу од 386.769 хиљада динара (у износу од 6.283 хиљаде динара за средства позајмљена Туристичкој организацији и Регионалном центру за развој малих и средњих предузећа и предузетништва доо Ниш </w:t>
      </w:r>
      <w:r>
        <w:rPr>
          <w:spacing w:val="-3"/>
        </w:rPr>
        <w:t>уз </w:t>
      </w:r>
      <w:r>
        <w:rPr/>
        <w:t>обавезу враћања код </w:t>
      </w:r>
      <w:r>
        <w:rPr/>
        <w:t>Управе за привреду, потраживања од купаца у износу од 380.486 хиљада динара, и то: у износу од 23.853 хиљаде динара код ПУ Пчелица, у износу од 1.102 хиљаде динара код Регионалног  центра  за  професионални  развој  запослених  у  образовању,  у  износу </w:t>
      </w:r>
      <w:r>
        <w:rPr>
          <w:spacing w:val="6"/>
        </w:rPr>
        <w:t> </w:t>
      </w:r>
      <w:r>
        <w:rPr/>
        <w:t>од</w:t>
      </w:r>
    </w:p>
    <w:p>
      <w:pPr>
        <w:pStyle w:val="ListParagraph"/>
        <w:numPr>
          <w:ilvl w:val="1"/>
          <w:numId w:val="6"/>
        </w:numPr>
        <w:tabs>
          <w:tab w:pos="1032" w:val="left" w:leader="none"/>
        </w:tabs>
        <w:spacing w:line="240" w:lineRule="auto" w:before="0"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хиљаде динара код ЈП Градска стамбена агенција, у износу од 248.489 хиљада динара  за  закуп  пословног  простора  код  Управе  за  имовину,  потраживања  за </w:t>
      </w:r>
      <w:r>
        <w:rPr>
          <w:rFonts w:ascii="Times New Roman" w:hAnsi="Times New Roman"/>
          <w:spacing w:val="34"/>
          <w:sz w:val="24"/>
        </w:rPr>
        <w:t> </w:t>
      </w:r>
      <w:r>
        <w:rPr>
          <w:rFonts w:ascii="Times New Roman" w:hAnsi="Times New Roman"/>
          <w:sz w:val="24"/>
        </w:rPr>
        <w:t>закуп</w:t>
      </w:r>
    </w:p>
    <w:p>
      <w:pPr>
        <w:spacing w:after="0" w:line="240" w:lineRule="auto"/>
        <w:jc w:val="both"/>
        <w:rPr>
          <w:rFonts w:ascii="Times New Roman" w:hAnsi="Times New Roman" w:cs="Times New Roman" w:eastAsia="Times New Roman" w:hint="default"/>
          <w:sz w:val="24"/>
          <w:szCs w:val="24"/>
        </w:rPr>
        <w:sectPr>
          <w:pgSz w:w="12240" w:h="15840"/>
          <w:pgMar w:header="740" w:footer="1466" w:top="1280" w:bottom="1660" w:left="1400" w:right="1260"/>
        </w:sectPr>
      </w:pPr>
    </w:p>
    <w:p>
      <w:pPr>
        <w:spacing w:line="240" w:lineRule="auto" w:before="8"/>
        <w:rPr>
          <w:rFonts w:ascii="Times New Roman" w:hAnsi="Times New Roman" w:cs="Times New Roman" w:eastAsia="Times New Roman" w:hint="default"/>
          <w:sz w:val="16"/>
          <w:szCs w:val="16"/>
        </w:rPr>
      </w:pPr>
    </w:p>
    <w:p>
      <w:pPr>
        <w:pStyle w:val="BodyText"/>
        <w:spacing w:line="240" w:lineRule="auto" w:before="69"/>
        <w:ind w:right="183"/>
        <w:jc w:val="both"/>
      </w:pPr>
      <w:r>
        <w:rPr/>
        <w:t>станова и потраживања за префактурисане материјалне трошкове корисника пословног простора чији износ у поступку ревизије нисмо могли да утврдимо код Управе за имовину);</w:t>
      </w:r>
    </w:p>
    <w:p>
      <w:pPr>
        <w:pStyle w:val="ListParagraph"/>
        <w:numPr>
          <w:ilvl w:val="2"/>
          <w:numId w:val="6"/>
        </w:numPr>
        <w:tabs>
          <w:tab w:pos="881" w:val="left" w:leader="none"/>
        </w:tabs>
        <w:spacing w:line="240" w:lineRule="auto" w:before="0" w:after="0"/>
        <w:ind w:left="160" w:right="181" w:firstLine="360"/>
        <w:jc w:val="both"/>
        <w:rPr>
          <w:rFonts w:ascii="Times New Roman" w:hAnsi="Times New Roman" w:cs="Times New Roman" w:eastAsia="Times New Roman" w:hint="default"/>
          <w:sz w:val="24"/>
          <w:szCs w:val="24"/>
        </w:rPr>
      </w:pPr>
      <w:r>
        <w:rPr>
          <w:rFonts w:ascii="Times New Roman" w:hAnsi="Times New Roman"/>
          <w:sz w:val="24"/>
        </w:rPr>
        <w:t>краткорочни пласмани у износу од 39.384 хиљаде динара (у износу од 39.316 хиљада динара за отписана утужена потраживања за које још судски процес није завршен код ЈП Градска стамбена агенција, у износу од 68 хиљада динара за неевидентиран дати аванс код Центра</w:t>
      </w:r>
      <w:r>
        <w:rPr>
          <w:rFonts w:ascii="Times New Roman" w:hAnsi="Times New Roman"/>
          <w:spacing w:val="-7"/>
          <w:sz w:val="24"/>
        </w:rPr>
        <w:t> </w:t>
      </w:r>
      <w:r>
        <w:rPr>
          <w:rFonts w:ascii="Times New Roman" w:hAnsi="Times New Roman"/>
          <w:sz w:val="24"/>
        </w:rPr>
        <w:t>Мара);</w:t>
      </w:r>
    </w:p>
    <w:p>
      <w:pPr>
        <w:pStyle w:val="ListParagraph"/>
        <w:numPr>
          <w:ilvl w:val="2"/>
          <w:numId w:val="6"/>
        </w:numPr>
        <w:tabs>
          <w:tab w:pos="881" w:val="left" w:leader="none"/>
        </w:tabs>
        <w:spacing w:line="240" w:lineRule="auto" w:before="0" w:after="0"/>
        <w:ind w:left="160" w:right="180" w:firstLine="360"/>
        <w:jc w:val="both"/>
        <w:rPr>
          <w:rFonts w:ascii="Times New Roman" w:hAnsi="Times New Roman" w:cs="Times New Roman" w:eastAsia="Times New Roman" w:hint="default"/>
          <w:sz w:val="24"/>
          <w:szCs w:val="24"/>
        </w:rPr>
      </w:pPr>
      <w:r>
        <w:rPr>
          <w:rFonts w:ascii="Times New Roman" w:hAnsi="Times New Roman"/>
          <w:sz w:val="24"/>
        </w:rPr>
        <w:t>ванбилансна актива у износу од 195.371 хиљаде динара за неевидентиране менице код директних и индиректних</w:t>
      </w:r>
      <w:r>
        <w:rPr>
          <w:rFonts w:ascii="Times New Roman" w:hAnsi="Times New Roman"/>
          <w:spacing w:val="-17"/>
          <w:sz w:val="24"/>
        </w:rPr>
        <w:t> </w:t>
      </w:r>
      <w:r>
        <w:rPr>
          <w:rFonts w:ascii="Times New Roman" w:hAnsi="Times New Roman"/>
          <w:sz w:val="24"/>
        </w:rPr>
        <w:t>корисника;</w:t>
      </w:r>
    </w:p>
    <w:p>
      <w:pPr>
        <w:pStyle w:val="ListParagraph"/>
        <w:numPr>
          <w:ilvl w:val="2"/>
          <w:numId w:val="6"/>
        </w:numPr>
        <w:tabs>
          <w:tab w:pos="881" w:val="left" w:leader="none"/>
        </w:tabs>
        <w:spacing w:line="240" w:lineRule="auto" w:before="0" w:after="0"/>
        <w:ind w:left="160" w:right="173" w:firstLine="360"/>
        <w:jc w:val="both"/>
        <w:rPr>
          <w:rFonts w:ascii="Times New Roman" w:hAnsi="Times New Roman" w:cs="Times New Roman" w:eastAsia="Times New Roman" w:hint="default"/>
          <w:sz w:val="24"/>
          <w:szCs w:val="24"/>
        </w:rPr>
      </w:pPr>
      <w:r>
        <w:rPr>
          <w:rFonts w:ascii="Times New Roman" w:hAnsi="Times New Roman"/>
          <w:sz w:val="24"/>
        </w:rPr>
        <w:t>обавезе у укупном износу од </w:t>
      </w:r>
      <w:r>
        <w:rPr>
          <w:rFonts w:ascii="Times New Roman" w:hAnsi="Times New Roman"/>
          <w:sz w:val="24"/>
        </w:rPr>
        <w:t>1.501.370 </w:t>
      </w:r>
      <w:r>
        <w:rPr>
          <w:rFonts w:ascii="Times New Roman" w:hAnsi="Times New Roman"/>
          <w:sz w:val="24"/>
        </w:rPr>
        <w:t>хиљад</w:t>
      </w:r>
      <w:r>
        <w:rPr>
          <w:rFonts w:ascii="Times New Roman" w:hAnsi="Times New Roman"/>
          <w:sz w:val="24"/>
        </w:rPr>
        <w:t>a </w:t>
      </w:r>
      <w:r>
        <w:rPr>
          <w:rFonts w:ascii="Times New Roman" w:hAnsi="Times New Roman"/>
          <w:sz w:val="24"/>
        </w:rPr>
        <w:t>динара (у износу од </w:t>
      </w:r>
      <w:r>
        <w:rPr>
          <w:rFonts w:ascii="Times New Roman" w:hAnsi="Times New Roman"/>
          <w:sz w:val="24"/>
        </w:rPr>
        <w:t>1.255.875 </w:t>
      </w:r>
      <w:r>
        <w:rPr>
          <w:rFonts w:ascii="Times New Roman" w:hAnsi="Times New Roman"/>
          <w:sz w:val="24"/>
        </w:rPr>
        <w:t>хиљада динара код директних корисника и у износу од 245.495 хиљада динара код индиректних</w:t>
      </w:r>
      <w:r>
        <w:rPr>
          <w:rFonts w:ascii="Times New Roman" w:hAnsi="Times New Roman"/>
          <w:spacing w:val="-13"/>
          <w:sz w:val="24"/>
        </w:rPr>
        <w:t> </w:t>
      </w:r>
      <w:r>
        <w:rPr>
          <w:rFonts w:ascii="Times New Roman" w:hAnsi="Times New Roman"/>
          <w:sz w:val="24"/>
        </w:rPr>
        <w:t>корисника);</w:t>
      </w:r>
    </w:p>
    <w:p>
      <w:pPr>
        <w:pStyle w:val="ListParagraph"/>
        <w:numPr>
          <w:ilvl w:val="2"/>
          <w:numId w:val="6"/>
        </w:numPr>
        <w:tabs>
          <w:tab w:pos="881" w:val="left" w:leader="none"/>
        </w:tabs>
        <w:spacing w:line="240" w:lineRule="auto" w:before="0" w:after="0"/>
        <w:ind w:left="160" w:right="173" w:firstLine="360"/>
        <w:jc w:val="both"/>
        <w:rPr>
          <w:rFonts w:ascii="Times New Roman" w:hAnsi="Times New Roman" w:cs="Times New Roman" w:eastAsia="Times New Roman" w:hint="default"/>
          <w:sz w:val="24"/>
          <w:szCs w:val="24"/>
        </w:rPr>
      </w:pPr>
      <w:r>
        <w:rPr>
          <w:rFonts w:ascii="Times New Roman" w:hAnsi="Times New Roman"/>
          <w:sz w:val="24"/>
        </w:rPr>
        <w:t>нефинансијска имовина у сталним средствима у износу од 102.320 хиљада динара (у износу од 1.070 хиљада динара код Сигурне куће, у износу од 2.911 хиљада динара код ПУ Пчелица, у износу од 1.091 хиљаде динара код Регионалног центра за професионални развој запослених у образовању, у износу од 1.155 хиљада динара код СЦ Чаир, у износу од 856 хиљада динара код Туристичке организације, у износу од 14.902 хиљаде динара код ЈП Градска стамбена агенција, у износу од 1.278 хиљада динара код Народног позоришта, у износу од 66.594 хиљаде динара код Завода за заштиту споменика културе, у износу од 12.463 хиљаде динара код надлежних</w:t>
      </w:r>
      <w:r>
        <w:rPr>
          <w:rFonts w:ascii="Times New Roman" w:hAnsi="Times New Roman"/>
          <w:spacing w:val="-18"/>
          <w:sz w:val="24"/>
        </w:rPr>
        <w:t> </w:t>
      </w:r>
      <w:r>
        <w:rPr>
          <w:rFonts w:ascii="Times New Roman" w:hAnsi="Times New Roman"/>
          <w:sz w:val="24"/>
        </w:rPr>
        <w:t>управа);</w:t>
      </w:r>
    </w:p>
    <w:p>
      <w:pPr>
        <w:pStyle w:val="ListParagraph"/>
        <w:numPr>
          <w:ilvl w:val="2"/>
          <w:numId w:val="6"/>
        </w:numPr>
        <w:tabs>
          <w:tab w:pos="881" w:val="left" w:leader="none"/>
        </w:tabs>
        <w:spacing w:line="240" w:lineRule="auto" w:before="0" w:after="0"/>
        <w:ind w:left="160" w:right="178" w:firstLine="360"/>
        <w:jc w:val="both"/>
        <w:rPr>
          <w:rFonts w:ascii="Times New Roman" w:hAnsi="Times New Roman" w:cs="Times New Roman" w:eastAsia="Times New Roman" w:hint="default"/>
          <w:sz w:val="24"/>
          <w:szCs w:val="24"/>
        </w:rPr>
      </w:pPr>
      <w:r>
        <w:rPr>
          <w:rFonts w:ascii="Times New Roman" w:hAnsi="Times New Roman"/>
          <w:sz w:val="24"/>
        </w:rPr>
        <w:t>финансијска имовина у износу од 2.153.223 хиљаде динара (у износу од 2.106.464 хиљаде динара код Управе за финансије, у износу од 122 хиљаде динара код СЦ Чаир и у износу од 46.637 хиљада динара код ЈП Градска стамбена</w:t>
      </w:r>
      <w:r>
        <w:rPr>
          <w:rFonts w:ascii="Times New Roman" w:hAnsi="Times New Roman"/>
          <w:spacing w:val="-22"/>
          <w:sz w:val="24"/>
        </w:rPr>
        <w:t> </w:t>
      </w:r>
      <w:r>
        <w:rPr>
          <w:rFonts w:ascii="Times New Roman" w:hAnsi="Times New Roman"/>
          <w:sz w:val="24"/>
        </w:rPr>
        <w:t>агенција);</w:t>
      </w:r>
    </w:p>
    <w:p>
      <w:pPr>
        <w:spacing w:line="240" w:lineRule="auto" w:before="0"/>
        <w:rPr>
          <w:rFonts w:ascii="Times New Roman" w:hAnsi="Times New Roman" w:cs="Times New Roman" w:eastAsia="Times New Roman" w:hint="default"/>
          <w:sz w:val="24"/>
          <w:szCs w:val="24"/>
        </w:rPr>
      </w:pPr>
    </w:p>
    <w:p>
      <w:pPr>
        <w:pStyle w:val="ListParagraph"/>
        <w:numPr>
          <w:ilvl w:val="0"/>
          <w:numId w:val="2"/>
        </w:numPr>
        <w:tabs>
          <w:tab w:pos="303" w:val="left" w:leader="none"/>
        </w:tabs>
        <w:spacing w:line="240" w:lineRule="auto" w:before="0"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више је</w:t>
      </w:r>
      <w:r>
        <w:rPr>
          <w:rFonts w:ascii="Times New Roman" w:hAnsi="Times New Roman"/>
          <w:spacing w:val="-4"/>
          <w:sz w:val="24"/>
        </w:rPr>
        <w:t> </w:t>
      </w:r>
      <w:r>
        <w:rPr>
          <w:rFonts w:ascii="Times New Roman" w:hAnsi="Times New Roman"/>
          <w:sz w:val="24"/>
        </w:rPr>
        <w:t>исказано:</w:t>
      </w:r>
    </w:p>
    <w:p>
      <w:pPr>
        <w:pStyle w:val="ListParagraph"/>
        <w:numPr>
          <w:ilvl w:val="1"/>
          <w:numId w:val="2"/>
        </w:numPr>
        <w:tabs>
          <w:tab w:pos="881" w:val="left" w:leader="none"/>
        </w:tabs>
        <w:spacing w:line="240" w:lineRule="auto" w:before="0" w:after="0"/>
        <w:ind w:left="160" w:right="177" w:firstLine="36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зграде и грађевински објекти у износу од 146.027 хиљада динара (у износу од 118.802 хиљаде динара за станове дате у откуп, у износу од 19.531 хиљаде динара за трафостаницу кардиохирургије, у износу од 6.748 хиљада динара за неправилно евидентирано увећање вредности зграда и објеката у 2014. години код „Буџета града“; у износу од 946 хиљада динара за објекте који су дати другим корисницима и објекте који су срушени код СЦ</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Чаир);</w:t>
      </w:r>
    </w:p>
    <w:p>
      <w:pPr>
        <w:pStyle w:val="ListParagraph"/>
        <w:numPr>
          <w:ilvl w:val="1"/>
          <w:numId w:val="2"/>
        </w:numPr>
        <w:tabs>
          <w:tab w:pos="881" w:val="left" w:leader="none"/>
        </w:tabs>
        <w:spacing w:line="240" w:lineRule="auto" w:before="0" w:after="0"/>
        <w:ind w:left="160" w:right="173" w:firstLine="360"/>
        <w:jc w:val="both"/>
        <w:rPr>
          <w:rFonts w:ascii="Times New Roman" w:hAnsi="Times New Roman" w:cs="Times New Roman" w:eastAsia="Times New Roman" w:hint="default"/>
          <w:sz w:val="24"/>
          <w:szCs w:val="24"/>
        </w:rPr>
      </w:pPr>
      <w:r>
        <w:rPr>
          <w:rFonts w:ascii="Times New Roman" w:hAnsi="Times New Roman"/>
          <w:sz w:val="24"/>
        </w:rPr>
        <w:t>опрема у износу од </w:t>
      </w:r>
      <w:r>
        <w:rPr>
          <w:rFonts w:ascii="Times New Roman" w:hAnsi="Times New Roman"/>
          <w:sz w:val="24"/>
        </w:rPr>
        <w:t>10.120 </w:t>
      </w:r>
      <w:r>
        <w:rPr>
          <w:rFonts w:ascii="Times New Roman" w:hAnsi="Times New Roman"/>
          <w:sz w:val="24"/>
        </w:rPr>
        <w:t>хиљада динара (у износу од 8.072 хиљаде динара за вредност противградних ракета код Управе за пољопривреду, у износу од </w:t>
      </w:r>
      <w:r>
        <w:rPr>
          <w:rFonts w:ascii="Times New Roman" w:hAnsi="Times New Roman"/>
          <w:sz w:val="24"/>
        </w:rPr>
        <w:t>2.048 </w:t>
      </w:r>
      <w:r>
        <w:rPr>
          <w:rFonts w:ascii="Times New Roman" w:hAnsi="Times New Roman"/>
          <w:sz w:val="24"/>
        </w:rPr>
        <w:t>хиљада динара за поклоњено возило код Управе за комуналне</w:t>
      </w:r>
      <w:r>
        <w:rPr>
          <w:rFonts w:ascii="Times New Roman" w:hAnsi="Times New Roman"/>
          <w:spacing w:val="-20"/>
          <w:sz w:val="24"/>
        </w:rPr>
        <w:t> </w:t>
      </w:r>
      <w:r>
        <w:rPr>
          <w:rFonts w:ascii="Times New Roman" w:hAnsi="Times New Roman"/>
          <w:sz w:val="24"/>
        </w:rPr>
        <w:t>делатности);</w:t>
      </w:r>
    </w:p>
    <w:p>
      <w:pPr>
        <w:pStyle w:val="ListParagraph"/>
        <w:numPr>
          <w:ilvl w:val="1"/>
          <w:numId w:val="2"/>
        </w:numPr>
        <w:tabs>
          <w:tab w:pos="881" w:val="left" w:leader="none"/>
        </w:tabs>
        <w:spacing w:line="240" w:lineRule="auto" w:before="0" w:after="0"/>
        <w:ind w:left="160" w:right="182" w:firstLine="36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земљиште у износу од 10.019 хиљада динара за неправилно евидентиране расходе за камату и трошкове извршења  код „Буџета</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града“;</w:t>
      </w:r>
    </w:p>
    <w:p>
      <w:pPr>
        <w:pStyle w:val="ListParagraph"/>
        <w:numPr>
          <w:ilvl w:val="1"/>
          <w:numId w:val="2"/>
        </w:numPr>
        <w:tabs>
          <w:tab w:pos="881" w:val="left" w:leader="none"/>
        </w:tabs>
        <w:spacing w:line="240" w:lineRule="auto" w:before="0" w:after="0"/>
        <w:ind w:left="160" w:right="181" w:firstLine="360"/>
        <w:jc w:val="both"/>
        <w:rPr>
          <w:rFonts w:ascii="Times New Roman" w:hAnsi="Times New Roman" w:cs="Times New Roman" w:eastAsia="Times New Roman" w:hint="default"/>
          <w:sz w:val="24"/>
          <w:szCs w:val="24"/>
        </w:rPr>
      </w:pPr>
      <w:r>
        <w:rPr>
          <w:rFonts w:ascii="Times New Roman" w:hAnsi="Times New Roman"/>
          <w:sz w:val="24"/>
        </w:rPr>
        <w:t>нефинансијска имовина у припреми у износу од 56.539 хиљада динара (у износу од 13.523 хиљаде динара за партерно уређење око зграде кардиохирургије и у износу  </w:t>
      </w:r>
      <w:r>
        <w:rPr>
          <w:rFonts w:ascii="Times New Roman" w:hAnsi="Times New Roman"/>
          <w:spacing w:val="38"/>
          <w:sz w:val="24"/>
        </w:rPr>
        <w:t> </w:t>
      </w:r>
      <w:r>
        <w:rPr>
          <w:rFonts w:ascii="Times New Roman" w:hAnsi="Times New Roman"/>
          <w:sz w:val="24"/>
        </w:rPr>
        <w:t>од</w:t>
      </w:r>
    </w:p>
    <w:p>
      <w:pPr>
        <w:pStyle w:val="ListParagraph"/>
        <w:numPr>
          <w:ilvl w:val="1"/>
          <w:numId w:val="7"/>
        </w:numPr>
        <w:tabs>
          <w:tab w:pos="986" w:val="left" w:leader="none"/>
        </w:tabs>
        <w:spacing w:line="240" w:lineRule="auto" w:before="0"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хиљада динара за објекте који нису започети и евидентиране расходе за отклањање дивљих депонија код ЈП Дирекција; у износу од 559 хиљада динара код Сигурне куће, у износу од 132 хиљаде динара код Народног</w:t>
      </w:r>
      <w:r>
        <w:rPr>
          <w:rFonts w:ascii="Times New Roman" w:hAnsi="Times New Roman"/>
          <w:spacing w:val="-18"/>
          <w:sz w:val="24"/>
        </w:rPr>
        <w:t> </w:t>
      </w:r>
      <w:r>
        <w:rPr>
          <w:rFonts w:ascii="Times New Roman" w:hAnsi="Times New Roman"/>
          <w:sz w:val="24"/>
        </w:rPr>
        <w:t>позоришта);</w:t>
      </w:r>
    </w:p>
    <w:p>
      <w:pPr>
        <w:pStyle w:val="ListParagraph"/>
        <w:numPr>
          <w:ilvl w:val="2"/>
          <w:numId w:val="7"/>
        </w:numPr>
        <w:tabs>
          <w:tab w:pos="881" w:val="left" w:leader="none"/>
        </w:tabs>
        <w:spacing w:line="240" w:lineRule="auto" w:before="0" w:after="0"/>
        <w:ind w:left="160" w:right="172" w:firstLine="360"/>
        <w:jc w:val="both"/>
        <w:rPr>
          <w:rFonts w:ascii="Times New Roman" w:hAnsi="Times New Roman" w:cs="Times New Roman" w:eastAsia="Times New Roman" w:hint="default"/>
          <w:sz w:val="24"/>
          <w:szCs w:val="24"/>
        </w:rPr>
      </w:pPr>
      <w:r>
        <w:rPr>
          <w:rFonts w:ascii="Times New Roman" w:hAnsi="Times New Roman"/>
          <w:sz w:val="24"/>
        </w:rPr>
        <w:t>аванси за нефинансијску имовину у износу од 130 хиљада динара (у износу од 92 хиљаде динара код Нишког културног центра и у износу од 38 хиљада динара код ЈП Дирекција);</w:t>
      </w:r>
    </w:p>
    <w:p>
      <w:pPr>
        <w:pStyle w:val="ListParagraph"/>
        <w:numPr>
          <w:ilvl w:val="2"/>
          <w:numId w:val="7"/>
        </w:numPr>
        <w:tabs>
          <w:tab w:pos="881" w:val="left" w:leader="none"/>
        </w:tabs>
        <w:spacing w:line="240" w:lineRule="auto" w:before="0" w:after="0"/>
        <w:ind w:left="880" w:right="0" w:hanging="360"/>
        <w:jc w:val="left"/>
        <w:rPr>
          <w:rFonts w:ascii="Times New Roman" w:hAnsi="Times New Roman" w:cs="Times New Roman" w:eastAsia="Times New Roman" w:hint="default"/>
          <w:sz w:val="24"/>
          <w:szCs w:val="24"/>
        </w:rPr>
      </w:pPr>
      <w:r>
        <w:rPr>
          <w:rFonts w:ascii="Times New Roman" w:hAnsi="Times New Roman"/>
          <w:sz w:val="24"/>
        </w:rPr>
        <w:t>нематеријална имовина у износу од 166 хиљада динара код Народне</w:t>
      </w:r>
      <w:r>
        <w:rPr>
          <w:rFonts w:ascii="Times New Roman" w:hAnsi="Times New Roman"/>
          <w:spacing w:val="-12"/>
          <w:sz w:val="24"/>
        </w:rPr>
        <w:t> </w:t>
      </w:r>
      <w:r>
        <w:rPr>
          <w:rFonts w:ascii="Times New Roman" w:hAnsi="Times New Roman"/>
          <w:sz w:val="24"/>
        </w:rPr>
        <w:t>библиотеке;</w:t>
      </w:r>
    </w:p>
    <w:p>
      <w:pPr>
        <w:spacing w:after="0" w:line="240" w:lineRule="auto"/>
        <w:jc w:val="left"/>
        <w:rPr>
          <w:rFonts w:ascii="Times New Roman" w:hAnsi="Times New Roman" w:cs="Times New Roman" w:eastAsia="Times New Roman" w:hint="default"/>
          <w:sz w:val="24"/>
          <w:szCs w:val="24"/>
        </w:rPr>
        <w:sectPr>
          <w:footerReference w:type="default" r:id="rId12"/>
          <w:pgSz w:w="12240" w:h="15840"/>
          <w:pgMar w:footer="1466" w:header="740" w:top="1280" w:bottom="1660" w:left="1400" w:right="1260"/>
        </w:sectPr>
      </w:pPr>
    </w:p>
    <w:p>
      <w:pPr>
        <w:spacing w:line="240" w:lineRule="auto" w:before="8"/>
        <w:rPr>
          <w:rFonts w:ascii="Times New Roman" w:hAnsi="Times New Roman" w:cs="Times New Roman" w:eastAsia="Times New Roman" w:hint="default"/>
          <w:sz w:val="16"/>
          <w:szCs w:val="16"/>
        </w:rPr>
      </w:pPr>
    </w:p>
    <w:p>
      <w:pPr>
        <w:pStyle w:val="ListParagraph"/>
        <w:numPr>
          <w:ilvl w:val="2"/>
          <w:numId w:val="7"/>
        </w:numPr>
        <w:tabs>
          <w:tab w:pos="881" w:val="left" w:leader="none"/>
        </w:tabs>
        <w:spacing w:line="240" w:lineRule="auto" w:before="69" w:after="0"/>
        <w:ind w:left="160" w:right="183" w:firstLine="360"/>
        <w:jc w:val="both"/>
        <w:rPr>
          <w:rFonts w:ascii="Times New Roman" w:hAnsi="Times New Roman" w:cs="Times New Roman" w:eastAsia="Times New Roman" w:hint="default"/>
          <w:sz w:val="24"/>
          <w:szCs w:val="24"/>
        </w:rPr>
      </w:pPr>
      <w:r>
        <w:rPr>
          <w:rFonts w:ascii="Times New Roman" w:hAnsi="Times New Roman"/>
          <w:sz w:val="24"/>
        </w:rPr>
        <w:t>залихе робе у износу од 56 хиљада динара за неправилно евидентирање код ПУ Пчелица;</w:t>
      </w:r>
    </w:p>
    <w:p>
      <w:pPr>
        <w:pStyle w:val="ListParagraph"/>
        <w:numPr>
          <w:ilvl w:val="2"/>
          <w:numId w:val="7"/>
        </w:numPr>
        <w:tabs>
          <w:tab w:pos="881" w:val="left" w:leader="none"/>
        </w:tabs>
        <w:spacing w:line="240" w:lineRule="auto" w:before="0" w:after="0"/>
        <w:ind w:left="160" w:right="172" w:firstLine="360"/>
        <w:jc w:val="both"/>
        <w:rPr>
          <w:rFonts w:ascii="Times New Roman" w:hAnsi="Times New Roman" w:cs="Times New Roman" w:eastAsia="Times New Roman" w:hint="default"/>
          <w:sz w:val="24"/>
          <w:szCs w:val="24"/>
        </w:rPr>
      </w:pPr>
      <w:r>
        <w:rPr>
          <w:rFonts w:ascii="Times New Roman" w:hAnsi="Times New Roman"/>
          <w:sz w:val="24"/>
        </w:rPr>
        <w:t>дугорочна домаћа финансијска имовина у износу од 5.784 хиљаде динара (у износу од 4.237 хиљада динара за учешће у капиталу код Сигурне куће и Слободне  </w:t>
      </w:r>
      <w:r>
        <w:rPr>
          <w:rFonts w:ascii="Times New Roman" w:hAnsi="Times New Roman"/>
          <w:spacing w:val="34"/>
          <w:sz w:val="24"/>
        </w:rPr>
        <w:t> </w:t>
      </w:r>
      <w:r>
        <w:rPr>
          <w:rFonts w:ascii="Times New Roman" w:hAnsi="Times New Roman"/>
          <w:sz w:val="24"/>
        </w:rPr>
        <w:t>зоне</w:t>
      </w:r>
    </w:p>
    <w:p>
      <w:pPr>
        <w:pStyle w:val="BodyText"/>
        <w:spacing w:line="240" w:lineRule="auto"/>
        <w:ind w:right="180"/>
        <w:jc w:val="both"/>
      </w:pPr>
      <w:r>
        <w:rPr/>
        <w:t>„Југ“ доо код Управе за финансије и у износу од 1.547 хиљада динара за учешће у капиталу</w:t>
      </w:r>
      <w:r>
        <w:rPr>
          <w:spacing w:val="31"/>
        </w:rPr>
        <w:t> </w:t>
      </w:r>
      <w:r>
        <w:rPr/>
        <w:t>код</w:t>
      </w:r>
      <w:r>
        <w:rPr>
          <w:spacing w:val="38"/>
        </w:rPr>
        <w:t> </w:t>
      </w:r>
      <w:r>
        <w:rPr/>
        <w:t>Слободне</w:t>
      </w:r>
      <w:r>
        <w:rPr>
          <w:spacing w:val="37"/>
        </w:rPr>
        <w:t> </w:t>
      </w:r>
      <w:r>
        <w:rPr/>
        <w:t>зоне</w:t>
      </w:r>
      <w:r>
        <w:rPr>
          <w:spacing w:val="35"/>
        </w:rPr>
        <w:t> </w:t>
      </w:r>
      <w:r>
        <w:rPr/>
        <w:t>„Југ“</w:t>
      </w:r>
      <w:r>
        <w:rPr>
          <w:spacing w:val="37"/>
        </w:rPr>
        <w:t> </w:t>
      </w:r>
      <w:r>
        <w:rPr/>
        <w:t>доо</w:t>
      </w:r>
      <w:r>
        <w:rPr>
          <w:spacing w:val="38"/>
        </w:rPr>
        <w:t> </w:t>
      </w:r>
      <w:r>
        <w:rPr/>
        <w:t>које</w:t>
      </w:r>
      <w:r>
        <w:rPr>
          <w:spacing w:val="38"/>
        </w:rPr>
        <w:t> </w:t>
      </w:r>
      <w:r>
        <w:rPr/>
        <w:t>је</w:t>
      </w:r>
      <w:r>
        <w:rPr>
          <w:spacing w:val="37"/>
        </w:rPr>
        <w:t> </w:t>
      </w:r>
      <w:r>
        <w:rPr/>
        <w:t>ликвидирано</w:t>
      </w:r>
      <w:r>
        <w:rPr>
          <w:spacing w:val="36"/>
        </w:rPr>
        <w:t> </w:t>
      </w:r>
      <w:r>
        <w:rPr/>
        <w:t>и</w:t>
      </w:r>
      <w:r>
        <w:rPr>
          <w:spacing w:val="37"/>
        </w:rPr>
        <w:t> </w:t>
      </w:r>
      <w:r>
        <w:rPr/>
        <w:t>престало</w:t>
      </w:r>
      <w:r>
        <w:rPr>
          <w:spacing w:val="38"/>
        </w:rPr>
        <w:t> </w:t>
      </w:r>
      <w:r>
        <w:rPr/>
        <w:t>да</w:t>
      </w:r>
      <w:r>
        <w:rPr>
          <w:spacing w:val="37"/>
        </w:rPr>
        <w:t> </w:t>
      </w:r>
      <w:r>
        <w:rPr/>
        <w:t>постоји</w:t>
      </w:r>
      <w:r>
        <w:rPr>
          <w:spacing w:val="37"/>
        </w:rPr>
        <w:t> </w:t>
      </w:r>
      <w:r>
        <w:rPr/>
        <w:t>код</w:t>
      </w:r>
    </w:p>
    <w:p>
      <w:pPr>
        <w:pStyle w:val="BodyText"/>
        <w:spacing w:line="240" w:lineRule="auto"/>
        <w:ind w:right="0"/>
        <w:jc w:val="both"/>
      </w:pPr>
      <w:r>
        <w:rPr/>
        <w:t>„Буџета</w:t>
      </w:r>
      <w:r>
        <w:rPr>
          <w:spacing w:val="-6"/>
        </w:rPr>
        <w:t> </w:t>
      </w:r>
      <w:r>
        <w:rPr/>
        <w:t>града“);</w:t>
      </w:r>
    </w:p>
    <w:p>
      <w:pPr>
        <w:pStyle w:val="ListParagraph"/>
        <w:numPr>
          <w:ilvl w:val="2"/>
          <w:numId w:val="7"/>
        </w:numPr>
        <w:tabs>
          <w:tab w:pos="727" w:val="left" w:leader="none"/>
        </w:tabs>
        <w:spacing w:line="240" w:lineRule="auto" w:before="0" w:after="0"/>
        <w:ind w:left="160" w:right="175" w:firstLine="360"/>
        <w:jc w:val="both"/>
        <w:rPr>
          <w:rFonts w:ascii="Times New Roman" w:hAnsi="Times New Roman" w:cs="Times New Roman" w:eastAsia="Times New Roman" w:hint="default"/>
          <w:sz w:val="24"/>
          <w:szCs w:val="24"/>
        </w:rPr>
      </w:pPr>
      <w:r>
        <w:rPr>
          <w:rFonts w:ascii="Times New Roman" w:hAnsi="Times New Roman"/>
          <w:sz w:val="24"/>
        </w:rPr>
        <w:t>краткорочна потраживања у износу од 30.071 хиљаде динара (у износу од 2</w:t>
      </w:r>
      <w:r>
        <w:rPr>
          <w:rFonts w:ascii="Times New Roman" w:hAnsi="Times New Roman"/>
          <w:sz w:val="24"/>
        </w:rPr>
        <w:t>3.899 </w:t>
      </w:r>
      <w:r>
        <w:rPr>
          <w:rFonts w:ascii="Times New Roman" w:hAnsi="Times New Roman"/>
          <w:sz w:val="24"/>
        </w:rPr>
        <w:t>хиљада динара за дупло евидентирано потраживање код Управе за финансије, у износу  од 365 хиљада динара за непрокњижене уплате купаца код ПУ Пчелица, у износу од 433 хиљаде динара због неправилног исказивања потраживања код Сигурне куће, у износу од </w:t>
      </w:r>
      <w:r>
        <w:rPr>
          <w:rFonts w:ascii="Times New Roman" w:hAnsi="Times New Roman"/>
          <w:sz w:val="24"/>
        </w:rPr>
        <w:t>4</w:t>
      </w:r>
      <w:r>
        <w:rPr>
          <w:rFonts w:ascii="Times New Roman" w:hAnsi="Times New Roman"/>
          <w:sz w:val="24"/>
        </w:rPr>
        <w:t>2 хиљаде динара код Галерије савремене ликовне уметности и у износу од 5.332 хиљаде динара за потраживања од буџета града евидентирана код Народног</w:t>
      </w:r>
      <w:r>
        <w:rPr>
          <w:rFonts w:ascii="Times New Roman" w:hAnsi="Times New Roman"/>
          <w:spacing w:val="-26"/>
          <w:sz w:val="24"/>
        </w:rPr>
        <w:t> </w:t>
      </w:r>
      <w:r>
        <w:rPr>
          <w:rFonts w:ascii="Times New Roman" w:hAnsi="Times New Roman"/>
          <w:sz w:val="24"/>
        </w:rPr>
        <w:t>музеја);</w:t>
      </w:r>
    </w:p>
    <w:p>
      <w:pPr>
        <w:pStyle w:val="ListParagraph"/>
        <w:numPr>
          <w:ilvl w:val="2"/>
          <w:numId w:val="7"/>
        </w:numPr>
        <w:tabs>
          <w:tab w:pos="727" w:val="left" w:leader="none"/>
        </w:tabs>
        <w:spacing w:line="240" w:lineRule="auto" w:before="0" w:after="0"/>
        <w:ind w:left="160" w:right="183" w:firstLine="360"/>
        <w:jc w:val="both"/>
        <w:rPr>
          <w:rFonts w:ascii="Times New Roman" w:hAnsi="Times New Roman" w:cs="Times New Roman" w:eastAsia="Times New Roman" w:hint="default"/>
          <w:sz w:val="24"/>
          <w:szCs w:val="24"/>
        </w:rPr>
      </w:pPr>
      <w:r>
        <w:rPr>
          <w:rFonts w:ascii="Times New Roman" w:hAnsi="Times New Roman"/>
          <w:sz w:val="24"/>
        </w:rPr>
        <w:t>краткорочни пласмани у износу од 1.345 хиљада динара за дупло евидентиране дате авансе код ЈП Градска стамбена</w:t>
      </w:r>
      <w:r>
        <w:rPr>
          <w:rFonts w:ascii="Times New Roman" w:hAnsi="Times New Roman"/>
          <w:spacing w:val="-10"/>
          <w:sz w:val="24"/>
        </w:rPr>
        <w:t> </w:t>
      </w:r>
      <w:r>
        <w:rPr>
          <w:rFonts w:ascii="Times New Roman" w:hAnsi="Times New Roman"/>
          <w:sz w:val="24"/>
        </w:rPr>
        <w:t>агенција;</w:t>
      </w:r>
    </w:p>
    <w:p>
      <w:pPr>
        <w:pStyle w:val="ListParagraph"/>
        <w:numPr>
          <w:ilvl w:val="2"/>
          <w:numId w:val="7"/>
        </w:numPr>
        <w:tabs>
          <w:tab w:pos="727" w:val="left" w:leader="none"/>
        </w:tabs>
        <w:spacing w:line="240" w:lineRule="auto" w:before="0" w:after="0"/>
        <w:ind w:left="160" w:right="182" w:firstLine="360"/>
        <w:jc w:val="both"/>
        <w:rPr>
          <w:rFonts w:ascii="Times New Roman" w:hAnsi="Times New Roman" w:cs="Times New Roman" w:eastAsia="Times New Roman" w:hint="default"/>
          <w:sz w:val="24"/>
          <w:szCs w:val="24"/>
        </w:rPr>
      </w:pPr>
      <w:r>
        <w:rPr>
          <w:rFonts w:ascii="Times New Roman" w:hAnsi="Times New Roman"/>
          <w:sz w:val="24"/>
        </w:rPr>
        <w:t>обавезе у укупном износу од 337.912 хиљада динара (у износу од 327.816 хиљада динара код директних корисника и у износу од 10.096 хиљада динара код индиректних корисника);</w:t>
      </w:r>
    </w:p>
    <w:p>
      <w:pPr>
        <w:pStyle w:val="ListParagraph"/>
        <w:numPr>
          <w:ilvl w:val="2"/>
          <w:numId w:val="7"/>
        </w:numPr>
        <w:tabs>
          <w:tab w:pos="727" w:val="left" w:leader="none"/>
        </w:tabs>
        <w:spacing w:line="240" w:lineRule="auto" w:before="0" w:after="0"/>
        <w:ind w:left="160" w:right="173" w:firstLine="36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нефинансијска имовина у сталним средствима у износу од 221.299 хиљада динара  (у износу од 2.279 хиљада динара код Управе за комунално, у износу од 55.848 хиљада динара код ЈП Дирекција, у износу од 155.100 хиљада динара код „Буџет града“, у износу од 8.072 хиљаде динара код Управе за</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пољопривреду);</w:t>
      </w:r>
    </w:p>
    <w:p>
      <w:pPr>
        <w:pStyle w:val="ListParagraph"/>
        <w:numPr>
          <w:ilvl w:val="2"/>
          <w:numId w:val="7"/>
        </w:numPr>
        <w:tabs>
          <w:tab w:pos="727" w:val="left" w:leader="none"/>
        </w:tabs>
        <w:spacing w:line="240" w:lineRule="auto" w:before="0" w:after="0"/>
        <w:ind w:left="726" w:right="0" w:hanging="206"/>
        <w:jc w:val="left"/>
        <w:rPr>
          <w:rFonts w:ascii="Times New Roman" w:hAnsi="Times New Roman" w:cs="Times New Roman" w:eastAsia="Times New Roman" w:hint="default"/>
          <w:sz w:val="24"/>
          <w:szCs w:val="24"/>
        </w:rPr>
      </w:pPr>
      <w:r>
        <w:rPr>
          <w:rFonts w:ascii="Times New Roman" w:hAnsi="Times New Roman"/>
          <w:sz w:val="24"/>
        </w:rPr>
        <w:t>нефинансијска имовина у залихама у износу од 56 хиљада динара код ПУ</w:t>
      </w:r>
      <w:r>
        <w:rPr>
          <w:rFonts w:ascii="Times New Roman" w:hAnsi="Times New Roman"/>
          <w:spacing w:val="-26"/>
          <w:sz w:val="24"/>
        </w:rPr>
        <w:t> </w:t>
      </w:r>
      <w:r>
        <w:rPr>
          <w:rFonts w:ascii="Times New Roman" w:hAnsi="Times New Roman"/>
          <w:sz w:val="24"/>
        </w:rPr>
        <w:t>Пчелица,</w:t>
      </w:r>
    </w:p>
    <w:p>
      <w:pPr>
        <w:pStyle w:val="ListParagraph"/>
        <w:numPr>
          <w:ilvl w:val="2"/>
          <w:numId w:val="7"/>
        </w:numPr>
        <w:tabs>
          <w:tab w:pos="727" w:val="left" w:leader="none"/>
        </w:tabs>
        <w:spacing w:line="240" w:lineRule="auto" w:before="0" w:after="0"/>
        <w:ind w:left="160" w:right="185" w:firstLine="36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финансијска имовина у износу од 5.784 хиљаде динара (у износу од 4.237 хиљада динара код Управе за финансије и у износу од 1.547 хиљада динара код „Буџет</w:t>
      </w:r>
      <w:r>
        <w:rPr>
          <w:rFonts w:ascii="Times New Roman" w:hAnsi="Times New Roman" w:cs="Times New Roman" w:eastAsia="Times New Roman" w:hint="default"/>
          <w:spacing w:val="-30"/>
          <w:sz w:val="24"/>
          <w:szCs w:val="24"/>
        </w:rPr>
        <w:t> </w:t>
      </w:r>
      <w:r>
        <w:rPr>
          <w:rFonts w:ascii="Times New Roman" w:hAnsi="Times New Roman" w:cs="Times New Roman" w:eastAsia="Times New Roman" w:hint="default"/>
          <w:sz w:val="24"/>
          <w:szCs w:val="24"/>
        </w:rPr>
        <w:t>града“);</w:t>
      </w:r>
    </w:p>
    <w:p>
      <w:pPr>
        <w:pStyle w:val="ListParagraph"/>
        <w:numPr>
          <w:ilvl w:val="2"/>
          <w:numId w:val="7"/>
        </w:numPr>
        <w:tabs>
          <w:tab w:pos="727" w:val="left" w:leader="none"/>
        </w:tabs>
        <w:spacing w:line="240" w:lineRule="auto" w:before="0" w:after="0"/>
        <w:ind w:left="160" w:right="180" w:firstLine="360"/>
        <w:jc w:val="both"/>
        <w:rPr>
          <w:rFonts w:ascii="Times New Roman" w:hAnsi="Times New Roman" w:cs="Times New Roman" w:eastAsia="Times New Roman" w:hint="default"/>
          <w:sz w:val="24"/>
          <w:szCs w:val="24"/>
        </w:rPr>
      </w:pPr>
      <w:r>
        <w:rPr>
          <w:rFonts w:ascii="Times New Roman" w:hAnsi="Times New Roman"/>
          <w:sz w:val="24"/>
        </w:rPr>
        <w:t>извори новчаних средстава, пренета неутрошена средства и остали сопствени извори у износу од 7.654 хиљаде динара код индиректних</w:t>
      </w:r>
      <w:r>
        <w:rPr>
          <w:rFonts w:ascii="Times New Roman" w:hAnsi="Times New Roman"/>
          <w:spacing w:val="-23"/>
          <w:sz w:val="24"/>
        </w:rPr>
        <w:t> </w:t>
      </w:r>
      <w:r>
        <w:rPr>
          <w:rFonts w:ascii="Times New Roman" w:hAnsi="Times New Roman"/>
          <w:sz w:val="24"/>
        </w:rPr>
        <w:t>корисника;</w:t>
      </w:r>
    </w:p>
    <w:p>
      <w:pPr>
        <w:pStyle w:val="ListParagraph"/>
        <w:numPr>
          <w:ilvl w:val="0"/>
          <w:numId w:val="2"/>
        </w:numPr>
        <w:tabs>
          <w:tab w:pos="303" w:val="left" w:leader="none"/>
        </w:tabs>
        <w:spacing w:line="240" w:lineRule="auto" w:before="139"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вишак прихода и примања – суфицит, неправилно је исказан за износ који у поступку ревизије нисмо могли да утврдимо због пребијања дефицита исказаног код појединих индиректних корисника са суфицитом исказаним код других корисника, због неевидентирања стања и промена на издвојеним динарским и девизним подрачунима, неевидентирана новчана средства у износу од 28.500 хиљада динара, што се одражава на износ коначног</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резултата;</w:t>
      </w:r>
    </w:p>
    <w:p>
      <w:pPr>
        <w:pStyle w:val="ListParagraph"/>
        <w:numPr>
          <w:ilvl w:val="0"/>
          <w:numId w:val="2"/>
        </w:numPr>
        <w:tabs>
          <w:tab w:pos="303"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нераспоређени вишак прихода и примања из ранијих година неправилно је исказан у износу од најмање 289.344 хиљаде динара због неправилног исказивања стања код индиректних корисника, као и за износ који у поступку ревизије нисмо могли да утврдимо због неевидентирања стања и промена на издвојеним подрачунима, динарским и девизним, које се одражава на износ нераспоређеног</w:t>
      </w:r>
      <w:r>
        <w:rPr>
          <w:rFonts w:ascii="Times New Roman" w:hAnsi="Times New Roman"/>
          <w:spacing w:val="-19"/>
          <w:sz w:val="24"/>
        </w:rPr>
        <w:t> </w:t>
      </w:r>
      <w:r>
        <w:rPr>
          <w:rFonts w:ascii="Times New Roman" w:hAnsi="Times New Roman"/>
          <w:sz w:val="24"/>
        </w:rPr>
        <w:t>вишка;</w:t>
      </w:r>
    </w:p>
    <w:p>
      <w:pPr>
        <w:pStyle w:val="ListParagraph"/>
        <w:numPr>
          <w:ilvl w:val="0"/>
          <w:numId w:val="2"/>
        </w:numPr>
        <w:tabs>
          <w:tab w:pos="303" w:val="left" w:leader="none"/>
        </w:tabs>
        <w:spacing w:line="274" w:lineRule="exact" w:before="5"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дефицит из ранијих година исказан је у износу од 290.121 хиљаде динара, који је у целости неправилно исказан због неправилног</w:t>
      </w:r>
      <w:r>
        <w:rPr>
          <w:rFonts w:ascii="Times New Roman" w:hAnsi="Times New Roman"/>
          <w:spacing w:val="-22"/>
          <w:sz w:val="24"/>
        </w:rPr>
        <w:t> </w:t>
      </w:r>
      <w:r>
        <w:rPr>
          <w:rFonts w:ascii="Times New Roman" w:hAnsi="Times New Roman"/>
          <w:sz w:val="24"/>
        </w:rPr>
        <w:t>евидентирања.</w:t>
      </w:r>
    </w:p>
    <w:p>
      <w:pPr>
        <w:spacing w:line="240" w:lineRule="auto" w:before="9"/>
        <w:rPr>
          <w:rFonts w:ascii="Times New Roman" w:hAnsi="Times New Roman" w:cs="Times New Roman" w:eastAsia="Times New Roman" w:hint="default"/>
          <w:sz w:val="23"/>
          <w:szCs w:val="23"/>
        </w:rPr>
      </w:pPr>
    </w:p>
    <w:p>
      <w:pPr>
        <w:pStyle w:val="BodyText"/>
        <w:spacing w:line="240" w:lineRule="auto"/>
        <w:ind w:right="141" w:firstLine="719"/>
        <w:jc w:val="left"/>
      </w:pPr>
      <w:r>
        <w:rPr/>
        <w:t>У Консолидованом Извештају о капиталним издацима и примањима </w:t>
      </w:r>
      <w:r>
        <w:rPr>
          <w:rFonts w:ascii="Times New Roman" w:hAnsi="Times New Roman"/>
        </w:rPr>
        <w:t>- </w:t>
      </w:r>
      <w:r>
        <w:rPr/>
        <w:t>Образац 3 у периоду од 01.01. до 31.12.2014.</w:t>
      </w:r>
      <w:r>
        <w:rPr>
          <w:spacing w:val="-5"/>
        </w:rPr>
        <w:t> </w:t>
      </w:r>
      <w:r>
        <w:rPr/>
        <w:t>године:</w:t>
      </w:r>
    </w:p>
    <w:p>
      <w:pPr>
        <w:spacing w:after="0" w:line="240" w:lineRule="auto"/>
        <w:jc w:val="left"/>
        <w:sectPr>
          <w:footerReference w:type="default" r:id="rId13"/>
          <w:pgSz w:w="12240" w:h="15840"/>
          <w:pgMar w:footer="1466" w:header="740" w:top="1280" w:bottom="1660" w:left="1400" w:right="1260"/>
          <w:pgNumType w:start="11"/>
        </w:sectPr>
      </w:pPr>
    </w:p>
    <w:p>
      <w:pPr>
        <w:spacing w:line="240" w:lineRule="auto" w:before="8"/>
        <w:rPr>
          <w:rFonts w:ascii="Times New Roman" w:hAnsi="Times New Roman" w:cs="Times New Roman" w:eastAsia="Times New Roman" w:hint="default"/>
          <w:sz w:val="16"/>
          <w:szCs w:val="16"/>
        </w:rPr>
      </w:pPr>
    </w:p>
    <w:p>
      <w:pPr>
        <w:pStyle w:val="ListParagraph"/>
        <w:numPr>
          <w:ilvl w:val="0"/>
          <w:numId w:val="2"/>
        </w:numPr>
        <w:tabs>
          <w:tab w:pos="341" w:val="left" w:leader="none"/>
        </w:tabs>
        <w:spacing w:line="240" w:lineRule="auto" w:before="69"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издаци за набавку финансијске имовине, мање су исказани у износу од 100.051 хиљаде динара, због неправилно евидентираних издатака на класи 400000 – расходи и неевидентираних издатака који су извршени у 2014.</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години;</w:t>
      </w:r>
    </w:p>
    <w:p>
      <w:pPr>
        <w:pStyle w:val="ListParagraph"/>
        <w:numPr>
          <w:ilvl w:val="0"/>
          <w:numId w:val="2"/>
        </w:numPr>
        <w:tabs>
          <w:tab w:pos="341"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издаци за набавку финансијске имовине, више су исказани у износу од 1.650 хиљада динара, због неправилно евидентираних субвенција датих Слободној </w:t>
      </w:r>
      <w:r>
        <w:rPr>
          <w:rFonts w:ascii="Times New Roman" w:hAnsi="Times New Roman" w:cs="Times New Roman" w:eastAsia="Times New Roman" w:hint="default"/>
          <w:spacing w:val="2"/>
          <w:sz w:val="24"/>
          <w:szCs w:val="24"/>
        </w:rPr>
        <w:t>зони </w:t>
      </w:r>
      <w:r>
        <w:rPr>
          <w:rFonts w:ascii="Times New Roman" w:hAnsi="Times New Roman" w:cs="Times New Roman" w:eastAsia="Times New Roman" w:hint="default"/>
          <w:sz w:val="24"/>
          <w:szCs w:val="24"/>
        </w:rPr>
        <w:t>„Југ“ доо Ниш </w:t>
      </w:r>
      <w:r>
        <w:rPr>
          <w:rFonts w:ascii="Times New Roman" w:hAnsi="Times New Roman" w:cs="Times New Roman" w:eastAsia="Times New Roman" w:hint="default"/>
          <w:sz w:val="24"/>
          <w:szCs w:val="24"/>
        </w:rPr>
        <w:t>на класи 600000 – издаци за отплату главнице и набавку финансијске</w:t>
      </w:r>
      <w:r>
        <w:rPr>
          <w:rFonts w:ascii="Times New Roman" w:hAnsi="Times New Roman" w:cs="Times New Roman" w:eastAsia="Times New Roman" w:hint="default"/>
          <w:spacing w:val="-28"/>
          <w:sz w:val="24"/>
          <w:szCs w:val="24"/>
        </w:rPr>
        <w:t> </w:t>
      </w:r>
      <w:r>
        <w:rPr>
          <w:rFonts w:ascii="Times New Roman" w:hAnsi="Times New Roman" w:cs="Times New Roman" w:eastAsia="Times New Roman" w:hint="default"/>
          <w:sz w:val="24"/>
          <w:szCs w:val="24"/>
        </w:rPr>
        <w:t>имовине.</w:t>
      </w:r>
    </w:p>
    <w:p>
      <w:pPr>
        <w:spacing w:line="240" w:lineRule="auto" w:before="0"/>
        <w:rPr>
          <w:rFonts w:ascii="Times New Roman" w:hAnsi="Times New Roman" w:cs="Times New Roman" w:eastAsia="Times New Roman" w:hint="default"/>
          <w:sz w:val="24"/>
          <w:szCs w:val="24"/>
        </w:rPr>
      </w:pPr>
    </w:p>
    <w:p>
      <w:pPr>
        <w:pStyle w:val="BodyText"/>
        <w:spacing w:line="240" w:lineRule="auto"/>
        <w:ind w:left="880" w:right="141"/>
        <w:jc w:val="left"/>
      </w:pPr>
      <w:r>
        <w:rPr/>
        <w:t>У  Консолидованом  Извештају о  новчаним  токовима  –  Образац  4  у периоду</w:t>
      </w:r>
      <w:r>
        <w:rPr>
          <w:spacing w:val="-9"/>
        </w:rPr>
        <w:t> </w:t>
      </w:r>
      <w:r>
        <w:rPr/>
        <w:t>од</w:t>
      </w:r>
    </w:p>
    <w:p>
      <w:pPr>
        <w:pStyle w:val="BodyText"/>
        <w:spacing w:line="240" w:lineRule="auto"/>
        <w:ind w:right="0"/>
        <w:jc w:val="both"/>
      </w:pPr>
      <w:r>
        <w:rPr/>
        <w:t>01.01. до 31.12.2014. године:</w:t>
      </w:r>
    </w:p>
    <w:p>
      <w:pPr>
        <w:pStyle w:val="ListParagraph"/>
        <w:numPr>
          <w:ilvl w:val="0"/>
          <w:numId w:val="2"/>
        </w:numPr>
        <w:tabs>
          <w:tab w:pos="303" w:val="left" w:leader="none"/>
        </w:tabs>
        <w:spacing w:line="240" w:lineRule="auto" w:before="0" w:after="0"/>
        <w:ind w:left="160" w:right="184" w:firstLine="0"/>
        <w:jc w:val="both"/>
        <w:rPr>
          <w:rFonts w:ascii="Times New Roman" w:hAnsi="Times New Roman" w:cs="Times New Roman" w:eastAsia="Times New Roman" w:hint="default"/>
          <w:sz w:val="24"/>
          <w:szCs w:val="24"/>
        </w:rPr>
      </w:pPr>
      <w:r>
        <w:rPr>
          <w:rFonts w:ascii="Times New Roman" w:hAnsi="Times New Roman"/>
          <w:sz w:val="24"/>
        </w:rPr>
        <w:t>текући приходи исказани су у мањем износу за 21.027 хиљада динара из разлога, што нису</w:t>
      </w:r>
      <w:r>
        <w:rPr>
          <w:rFonts w:ascii="Times New Roman" w:hAnsi="Times New Roman"/>
          <w:spacing w:val="21"/>
          <w:sz w:val="24"/>
        </w:rPr>
        <w:t> </w:t>
      </w:r>
      <w:r>
        <w:rPr>
          <w:rFonts w:ascii="Times New Roman" w:hAnsi="Times New Roman"/>
          <w:sz w:val="24"/>
        </w:rPr>
        <w:t>евидентирани</w:t>
      </w:r>
      <w:r>
        <w:rPr>
          <w:rFonts w:ascii="Times New Roman" w:hAnsi="Times New Roman"/>
          <w:spacing w:val="27"/>
          <w:sz w:val="24"/>
        </w:rPr>
        <w:t> </w:t>
      </w:r>
      <w:r>
        <w:rPr>
          <w:rFonts w:ascii="Times New Roman" w:hAnsi="Times New Roman"/>
          <w:sz w:val="24"/>
        </w:rPr>
        <w:t>приходи</w:t>
      </w:r>
      <w:r>
        <w:rPr>
          <w:rFonts w:ascii="Times New Roman" w:hAnsi="Times New Roman"/>
          <w:spacing w:val="27"/>
          <w:sz w:val="24"/>
        </w:rPr>
        <w:t> </w:t>
      </w:r>
      <w:r>
        <w:rPr>
          <w:rFonts w:ascii="Times New Roman" w:hAnsi="Times New Roman"/>
          <w:sz w:val="24"/>
        </w:rPr>
        <w:t>који</w:t>
      </w:r>
      <w:r>
        <w:rPr>
          <w:rFonts w:ascii="Times New Roman" w:hAnsi="Times New Roman"/>
          <w:spacing w:val="29"/>
          <w:sz w:val="24"/>
        </w:rPr>
        <w:t> </w:t>
      </w:r>
      <w:r>
        <w:rPr>
          <w:rFonts w:ascii="Times New Roman" w:hAnsi="Times New Roman"/>
          <w:sz w:val="24"/>
        </w:rPr>
        <w:t>су</w:t>
      </w:r>
      <w:r>
        <w:rPr>
          <w:rFonts w:ascii="Times New Roman" w:hAnsi="Times New Roman"/>
          <w:spacing w:val="26"/>
          <w:sz w:val="24"/>
        </w:rPr>
        <w:t> </w:t>
      </w:r>
      <w:r>
        <w:rPr>
          <w:rFonts w:ascii="Times New Roman" w:hAnsi="Times New Roman"/>
          <w:sz w:val="24"/>
        </w:rPr>
        <w:t>уплаћени</w:t>
      </w:r>
      <w:r>
        <w:rPr>
          <w:rFonts w:ascii="Times New Roman" w:hAnsi="Times New Roman"/>
          <w:spacing w:val="29"/>
          <w:sz w:val="24"/>
        </w:rPr>
        <w:t> </w:t>
      </w:r>
      <w:r>
        <w:rPr>
          <w:rFonts w:ascii="Times New Roman" w:hAnsi="Times New Roman"/>
          <w:sz w:val="24"/>
        </w:rPr>
        <w:t>на</w:t>
      </w:r>
      <w:r>
        <w:rPr>
          <w:rFonts w:ascii="Times New Roman" w:hAnsi="Times New Roman"/>
          <w:spacing w:val="25"/>
          <w:sz w:val="24"/>
        </w:rPr>
        <w:t> </w:t>
      </w:r>
      <w:r>
        <w:rPr>
          <w:rFonts w:ascii="Times New Roman" w:hAnsi="Times New Roman"/>
          <w:sz w:val="24"/>
        </w:rPr>
        <w:t>подрачуне</w:t>
      </w:r>
      <w:r>
        <w:rPr>
          <w:rFonts w:ascii="Times New Roman" w:hAnsi="Times New Roman"/>
          <w:spacing w:val="28"/>
          <w:sz w:val="24"/>
        </w:rPr>
        <w:t> </w:t>
      </w:r>
      <w:r>
        <w:rPr>
          <w:rFonts w:ascii="Times New Roman" w:hAnsi="Times New Roman"/>
          <w:sz w:val="24"/>
        </w:rPr>
        <w:t>за</w:t>
      </w:r>
      <w:r>
        <w:rPr>
          <w:rFonts w:ascii="Times New Roman" w:hAnsi="Times New Roman"/>
          <w:spacing w:val="28"/>
          <w:sz w:val="24"/>
        </w:rPr>
        <w:t> </w:t>
      </w:r>
      <w:r>
        <w:rPr>
          <w:rFonts w:ascii="Times New Roman" w:hAnsi="Times New Roman"/>
          <w:sz w:val="24"/>
        </w:rPr>
        <w:t>пројекте,</w:t>
      </w:r>
      <w:r>
        <w:rPr>
          <w:rFonts w:ascii="Times New Roman" w:hAnsi="Times New Roman"/>
          <w:spacing w:val="28"/>
          <w:sz w:val="24"/>
        </w:rPr>
        <w:t> </w:t>
      </w:r>
      <w:r>
        <w:rPr>
          <w:rFonts w:ascii="Times New Roman" w:hAnsi="Times New Roman"/>
          <w:sz w:val="24"/>
        </w:rPr>
        <w:t>и</w:t>
      </w:r>
      <w:r>
        <w:rPr>
          <w:rFonts w:ascii="Times New Roman" w:hAnsi="Times New Roman"/>
          <w:spacing w:val="27"/>
          <w:sz w:val="24"/>
        </w:rPr>
        <w:t> </w:t>
      </w:r>
      <w:r>
        <w:rPr>
          <w:rFonts w:ascii="Times New Roman" w:hAnsi="Times New Roman"/>
          <w:sz w:val="24"/>
        </w:rPr>
        <w:t>то:</w:t>
      </w:r>
      <w:r>
        <w:rPr>
          <w:rFonts w:ascii="Times New Roman" w:hAnsi="Times New Roman"/>
          <w:spacing w:val="27"/>
          <w:sz w:val="24"/>
        </w:rPr>
        <w:t> </w:t>
      </w:r>
      <w:r>
        <w:rPr>
          <w:rFonts w:ascii="Times New Roman" w:hAnsi="Times New Roman"/>
          <w:sz w:val="24"/>
        </w:rPr>
        <w:t>износ</w:t>
      </w:r>
      <w:r>
        <w:rPr>
          <w:rFonts w:ascii="Times New Roman" w:hAnsi="Times New Roman"/>
          <w:spacing w:val="28"/>
          <w:sz w:val="24"/>
        </w:rPr>
        <w:t> </w:t>
      </w:r>
      <w:r>
        <w:rPr>
          <w:rFonts w:ascii="Times New Roman" w:hAnsi="Times New Roman"/>
          <w:sz w:val="24"/>
        </w:rPr>
        <w:t>од</w:t>
      </w:r>
    </w:p>
    <w:p>
      <w:pPr>
        <w:pStyle w:val="BodyText"/>
        <w:spacing w:line="240" w:lineRule="auto"/>
        <w:ind w:right="178"/>
        <w:jc w:val="both"/>
      </w:pPr>
      <w:r>
        <w:rPr/>
        <w:t>6.489 хиљада динара од Комесаријата за избеглице и миграције Републике Србије и  износ од 2.593 хиљаде динара од Бугарске за Пројекат „Eco</w:t>
      </w:r>
      <w:r>
        <w:rPr>
          <w:rFonts w:ascii="Times New Roman" w:hAnsi="Times New Roman" w:cs="Times New Roman" w:eastAsia="Times New Roman" w:hint="default"/>
        </w:rPr>
        <w:t>-</w:t>
      </w:r>
      <w:r>
        <w:rPr/>
        <w:t>milk“ и у износу од 11.945 хиљада динара за пројекат „Имовина локалних самоуправа у процесу ЕУ</w:t>
      </w:r>
      <w:r>
        <w:rPr>
          <w:spacing w:val="-28"/>
        </w:rPr>
        <w:t> </w:t>
      </w:r>
      <w:r>
        <w:rPr/>
        <w:t>интеграција“;</w:t>
      </w:r>
    </w:p>
    <w:p>
      <w:pPr>
        <w:pStyle w:val="ListParagraph"/>
        <w:numPr>
          <w:ilvl w:val="0"/>
          <w:numId w:val="2"/>
        </w:numPr>
        <w:tabs>
          <w:tab w:pos="303"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текући расходи и издаци за нефинансијску имовину су мање исказани у износу за  25.685 хиљада динара из разлога што нису евидентирани расходи и издаци који су извршени са подрачуна за пројекте, и то: износ од 434 хиљаде динара по пројекту са Комесаријатом за избеглице, износ од 990 хиљада динара за Пројекат „Држава</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Црква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Друштво“, износ од 1.702 хиљаде динара за Пројекат „1700 година Миланског едикта“, износ од 3.209 хиљада динара за пројекат са Бугарском „</w:t>
      </w:r>
      <w:r>
        <w:rPr>
          <w:rFonts w:ascii="Times New Roman" w:hAnsi="Times New Roman" w:cs="Times New Roman" w:eastAsia="Times New Roman" w:hint="default"/>
          <w:sz w:val="24"/>
          <w:szCs w:val="24"/>
        </w:rPr>
        <w:t>Eco-milk</w:t>
      </w:r>
      <w:r>
        <w:rPr>
          <w:rFonts w:ascii="Times New Roman" w:hAnsi="Times New Roman" w:cs="Times New Roman" w:eastAsia="Times New Roman" w:hint="default"/>
          <w:sz w:val="24"/>
          <w:szCs w:val="24"/>
        </w:rPr>
        <w:t>“ и износ од 19.350 хиљада динара за изградњу социјалних станова од Републичке агенције за социјално становање;</w:t>
      </w:r>
    </w:p>
    <w:p>
      <w:pPr>
        <w:pStyle w:val="ListParagraph"/>
        <w:numPr>
          <w:ilvl w:val="0"/>
          <w:numId w:val="2"/>
        </w:numPr>
        <w:tabs>
          <w:tab w:pos="303"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постоји неслагање између колоне претходна година, салдо готовине на крају године исказан је у износу од 105.861 хиљаде динара и колоне текућа година, салдо готовине на почетку године исказан је у износу од 143.141 хиљада</w:t>
      </w:r>
      <w:r>
        <w:rPr>
          <w:rFonts w:ascii="Times New Roman" w:hAnsi="Times New Roman"/>
          <w:spacing w:val="-18"/>
          <w:sz w:val="24"/>
        </w:rPr>
        <w:t> </w:t>
      </w:r>
      <w:r>
        <w:rPr>
          <w:rFonts w:ascii="Times New Roman" w:hAnsi="Times New Roman"/>
          <w:sz w:val="24"/>
        </w:rPr>
        <w:t>динара;</w:t>
      </w:r>
    </w:p>
    <w:p>
      <w:pPr>
        <w:pStyle w:val="ListParagraph"/>
        <w:numPr>
          <w:ilvl w:val="0"/>
          <w:numId w:val="2"/>
        </w:numPr>
        <w:tabs>
          <w:tab w:pos="305" w:val="left" w:leader="none"/>
        </w:tabs>
        <w:spacing w:line="240" w:lineRule="auto" w:before="0"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на ознаци ОП4442 </w:t>
      </w:r>
      <w:r>
        <w:rPr>
          <w:rFonts w:ascii="Times New Roman" w:hAnsi="Times New Roman"/>
          <w:sz w:val="24"/>
        </w:rPr>
        <w:t>- </w:t>
      </w:r>
      <w:r>
        <w:rPr>
          <w:rFonts w:ascii="Times New Roman" w:hAnsi="Times New Roman"/>
          <w:sz w:val="24"/>
        </w:rPr>
        <w:t>салдо готовине на крају године је исказан у мањем износу за 56.877 хиљада</w:t>
      </w:r>
      <w:r>
        <w:rPr>
          <w:rFonts w:ascii="Times New Roman" w:hAnsi="Times New Roman"/>
          <w:spacing w:val="-3"/>
          <w:sz w:val="24"/>
        </w:rPr>
        <w:t> </w:t>
      </w:r>
      <w:r>
        <w:rPr>
          <w:rFonts w:ascii="Times New Roman" w:hAnsi="Times New Roman"/>
          <w:sz w:val="24"/>
        </w:rPr>
        <w:t>динара;</w:t>
      </w:r>
    </w:p>
    <w:p>
      <w:pPr>
        <w:pStyle w:val="ListParagraph"/>
        <w:numPr>
          <w:ilvl w:val="0"/>
          <w:numId w:val="2"/>
        </w:numPr>
        <w:tabs>
          <w:tab w:pos="329" w:val="left" w:leader="none"/>
        </w:tabs>
        <w:spacing w:line="240" w:lineRule="auto" w:before="0"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на ознаци ОП4441</w:t>
      </w:r>
      <w:r>
        <w:rPr>
          <w:rFonts w:ascii="Times New Roman" w:hAnsi="Times New Roman"/>
          <w:sz w:val="24"/>
        </w:rPr>
        <w:t>- </w:t>
      </w:r>
      <w:r>
        <w:rPr>
          <w:rFonts w:ascii="Times New Roman" w:hAnsi="Times New Roman"/>
          <w:sz w:val="24"/>
        </w:rPr>
        <w:t>Корекција новчаних одлива за износ плаћених расхода који се не евидентирају преко класе 400000, 500000 и 600000, више је исказана за износ од 146.000 хиљада динара, јер је исказана интерна позајмица која је враћена до краја 2014.</w:t>
      </w:r>
      <w:r>
        <w:rPr>
          <w:rFonts w:ascii="Times New Roman" w:hAnsi="Times New Roman"/>
          <w:spacing w:val="-20"/>
          <w:sz w:val="24"/>
        </w:rPr>
        <w:t> </w:t>
      </w:r>
      <w:r>
        <w:rPr>
          <w:rFonts w:ascii="Times New Roman" w:hAnsi="Times New Roman"/>
          <w:sz w:val="24"/>
        </w:rPr>
        <w:t>године.</w:t>
      </w:r>
    </w:p>
    <w:p>
      <w:pPr>
        <w:spacing w:line="240" w:lineRule="auto" w:before="0"/>
        <w:rPr>
          <w:rFonts w:ascii="Times New Roman" w:hAnsi="Times New Roman" w:cs="Times New Roman" w:eastAsia="Times New Roman" w:hint="default"/>
          <w:sz w:val="24"/>
          <w:szCs w:val="24"/>
        </w:rPr>
      </w:pPr>
    </w:p>
    <w:p>
      <w:pPr>
        <w:pStyle w:val="BodyText"/>
        <w:spacing w:line="240" w:lineRule="auto"/>
        <w:ind w:right="141" w:firstLine="719"/>
        <w:jc w:val="left"/>
      </w:pPr>
      <w:r>
        <w:rPr/>
        <w:t>У Консолидованом Извештају о извршењу буџета – Образац 5 у периоду од 01.01. до 31.12.2014. године:</w:t>
      </w:r>
    </w:p>
    <w:p>
      <w:pPr>
        <w:pStyle w:val="ListParagraph"/>
        <w:numPr>
          <w:ilvl w:val="0"/>
          <w:numId w:val="2"/>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исказана је разлика између података из Консолидованог обрасца 5 (колона 8) и закључног листа буџета Града и то: на категорији 410000 – Расходи за запослене у износу од </w:t>
      </w:r>
      <w:r>
        <w:rPr>
          <w:rFonts w:ascii="Times New Roman" w:hAnsi="Times New Roman" w:cs="Times New Roman" w:eastAsia="Times New Roman" w:hint="default"/>
          <w:sz w:val="24"/>
          <w:szCs w:val="24"/>
        </w:rPr>
        <w:t>244 </w:t>
      </w:r>
      <w:r>
        <w:rPr>
          <w:rFonts w:ascii="Times New Roman" w:hAnsi="Times New Roman" w:cs="Times New Roman" w:eastAsia="Times New Roman" w:hint="default"/>
          <w:sz w:val="24"/>
          <w:szCs w:val="24"/>
        </w:rPr>
        <w:t>хиљаде динара, на категорији 420000 – Коришћење услуга и роба у износу од </w:t>
      </w:r>
      <w:r>
        <w:rPr>
          <w:rFonts w:ascii="Times New Roman" w:hAnsi="Times New Roman" w:cs="Times New Roman" w:eastAsia="Times New Roman" w:hint="default"/>
          <w:sz w:val="24"/>
          <w:szCs w:val="24"/>
        </w:rPr>
        <w:t>223 </w:t>
      </w:r>
      <w:r>
        <w:rPr>
          <w:rFonts w:ascii="Times New Roman" w:hAnsi="Times New Roman" w:cs="Times New Roman" w:eastAsia="Times New Roman" w:hint="default"/>
          <w:sz w:val="24"/>
          <w:szCs w:val="24"/>
        </w:rPr>
        <w:t>хиљаде динара, на категорији 480000 – остали расходи у износу од 233 хиљаде динара, на категорији 510000 – основна средства у износу од 167 хиљада</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динара.</w:t>
      </w:r>
    </w:p>
    <w:p>
      <w:pPr>
        <w:spacing w:line="240" w:lineRule="auto" w:before="5"/>
        <w:rPr>
          <w:rFonts w:ascii="Times New Roman" w:hAnsi="Times New Roman" w:cs="Times New Roman" w:eastAsia="Times New Roman" w:hint="default"/>
          <w:sz w:val="24"/>
          <w:szCs w:val="24"/>
        </w:rPr>
      </w:pPr>
    </w:p>
    <w:p>
      <w:pPr>
        <w:pStyle w:val="Heading1"/>
        <w:numPr>
          <w:ilvl w:val="1"/>
          <w:numId w:val="3"/>
        </w:numPr>
        <w:tabs>
          <w:tab w:pos="881" w:val="left" w:leader="none"/>
        </w:tabs>
        <w:spacing w:line="240" w:lineRule="auto" w:before="0" w:after="0"/>
        <w:ind w:left="880" w:right="0" w:hanging="360"/>
        <w:jc w:val="left"/>
        <w:rPr>
          <w:b w:val="0"/>
          <w:bCs w:val="0"/>
        </w:rPr>
      </w:pPr>
      <w:r>
        <w:rPr/>
        <w:t>Резиме датих препорука у ревизији консолидованих финансијских</w:t>
      </w:r>
      <w:r>
        <w:rPr>
          <w:spacing w:val="-30"/>
        </w:rPr>
        <w:t> </w:t>
      </w:r>
      <w:r>
        <w:rPr/>
        <w:t>извештаја</w:t>
      </w:r>
      <w:r>
        <w:rPr>
          <w:b w:val="0"/>
        </w:rPr>
      </w:r>
    </w:p>
    <w:p>
      <w:pPr>
        <w:pStyle w:val="BodyText"/>
        <w:tabs>
          <w:tab w:pos="1379" w:val="left" w:leader="none"/>
          <w:tab w:pos="3194" w:val="left" w:leader="none"/>
          <w:tab w:pos="3583" w:val="left" w:leader="none"/>
          <w:tab w:pos="4741" w:val="left" w:leader="none"/>
          <w:tab w:pos="6693" w:val="left" w:leader="none"/>
          <w:tab w:pos="8384" w:val="left" w:leader="none"/>
        </w:tabs>
        <w:spacing w:line="240" w:lineRule="auto" w:before="132"/>
        <w:ind w:right="180" w:firstLine="719"/>
        <w:jc w:val="left"/>
      </w:pPr>
      <w:r>
        <w:rPr/>
        <w:t>За</w:t>
        <w:tab/>
        <w:t>неправилности</w:t>
        <w:tab/>
        <w:t>у</w:t>
        <w:tab/>
        <w:t>ревизији</w:t>
        <w:tab/>
        <w:t>консолидованих</w:t>
        <w:tab/>
        <w:t>финансијских</w:t>
        <w:tab/>
        <w:t>извештаја одговорним лицима града Ниша препоручујемо</w:t>
      </w:r>
      <w:r>
        <w:rPr>
          <w:spacing w:val="-12"/>
        </w:rPr>
        <w:t> </w:t>
      </w:r>
      <w:r>
        <w:rPr/>
        <w:t>да:</w:t>
      </w:r>
    </w:p>
    <w:p>
      <w:pPr>
        <w:pStyle w:val="ListParagraph"/>
        <w:numPr>
          <w:ilvl w:val="2"/>
          <w:numId w:val="3"/>
        </w:numPr>
        <w:tabs>
          <w:tab w:pos="1154" w:val="left" w:leader="none"/>
        </w:tabs>
        <w:spacing w:line="240" w:lineRule="auto" w:before="0" w:after="0"/>
        <w:ind w:left="160" w:right="177" w:firstLine="720"/>
        <w:jc w:val="left"/>
        <w:rPr>
          <w:rFonts w:ascii="Times New Roman" w:hAnsi="Times New Roman" w:cs="Times New Roman" w:eastAsia="Times New Roman" w:hint="default"/>
          <w:sz w:val="24"/>
          <w:szCs w:val="24"/>
        </w:rPr>
      </w:pPr>
      <w:r>
        <w:rPr>
          <w:rFonts w:ascii="Times New Roman" w:hAnsi="Times New Roman"/>
          <w:sz w:val="24"/>
        </w:rPr>
        <w:t>приходе и примања планирају на одговарајућим економским класификацијама  и евидентирају на одговарајућим економским класификацијама у оствареном</w:t>
      </w:r>
      <w:r>
        <w:rPr>
          <w:rFonts w:ascii="Times New Roman" w:hAnsi="Times New Roman"/>
          <w:spacing w:val="-33"/>
          <w:sz w:val="24"/>
        </w:rPr>
        <w:t> </w:t>
      </w:r>
      <w:r>
        <w:rPr>
          <w:rFonts w:ascii="Times New Roman" w:hAnsi="Times New Roman"/>
          <w:sz w:val="24"/>
        </w:rPr>
        <w:t>износу;</w:t>
      </w:r>
    </w:p>
    <w:p>
      <w:pPr>
        <w:spacing w:after="0" w:line="240" w:lineRule="auto"/>
        <w:jc w:val="left"/>
        <w:rPr>
          <w:rFonts w:ascii="Times New Roman" w:hAnsi="Times New Roman" w:cs="Times New Roman" w:eastAsia="Times New Roman" w:hint="default"/>
          <w:sz w:val="24"/>
          <w:szCs w:val="24"/>
        </w:rPr>
        <w:sectPr>
          <w:pgSz w:w="12240" w:h="15840"/>
          <w:pgMar w:header="740" w:footer="1466" w:top="1280" w:bottom="1660" w:left="1400" w:right="1260"/>
        </w:sectPr>
      </w:pPr>
    </w:p>
    <w:p>
      <w:pPr>
        <w:spacing w:line="240" w:lineRule="auto" w:before="8"/>
        <w:rPr>
          <w:rFonts w:ascii="Times New Roman" w:hAnsi="Times New Roman" w:cs="Times New Roman" w:eastAsia="Times New Roman" w:hint="default"/>
          <w:sz w:val="16"/>
          <w:szCs w:val="16"/>
        </w:rPr>
      </w:pPr>
    </w:p>
    <w:p>
      <w:pPr>
        <w:pStyle w:val="ListParagraph"/>
        <w:numPr>
          <w:ilvl w:val="2"/>
          <w:numId w:val="3"/>
        </w:numPr>
        <w:tabs>
          <w:tab w:pos="1154" w:val="left" w:leader="none"/>
        </w:tabs>
        <w:spacing w:line="240" w:lineRule="auto" w:before="69" w:after="0"/>
        <w:ind w:left="160" w:right="183" w:firstLine="720"/>
        <w:jc w:val="both"/>
        <w:rPr>
          <w:rFonts w:ascii="Times New Roman" w:hAnsi="Times New Roman" w:cs="Times New Roman" w:eastAsia="Times New Roman" w:hint="default"/>
          <w:sz w:val="24"/>
          <w:szCs w:val="24"/>
        </w:rPr>
      </w:pPr>
      <w:r>
        <w:rPr>
          <w:rFonts w:ascii="Times New Roman" w:hAnsi="Times New Roman"/>
          <w:sz w:val="24"/>
        </w:rPr>
        <w:t>расходе и издатке планирају и евидентирају на одговарајућим економским и организационим класификацијама у извршеним</w:t>
      </w:r>
      <w:r>
        <w:rPr>
          <w:rFonts w:ascii="Times New Roman" w:hAnsi="Times New Roman"/>
          <w:spacing w:val="-23"/>
          <w:sz w:val="24"/>
        </w:rPr>
        <w:t> </w:t>
      </w:r>
      <w:r>
        <w:rPr>
          <w:rFonts w:ascii="Times New Roman" w:hAnsi="Times New Roman"/>
          <w:sz w:val="24"/>
        </w:rPr>
        <w:t>износима;</w:t>
      </w:r>
    </w:p>
    <w:p>
      <w:pPr>
        <w:pStyle w:val="ListParagraph"/>
        <w:numPr>
          <w:ilvl w:val="2"/>
          <w:numId w:val="3"/>
        </w:numPr>
        <w:tabs>
          <w:tab w:pos="1154" w:val="left" w:leader="none"/>
        </w:tabs>
        <w:spacing w:line="240" w:lineRule="auto" w:before="0" w:after="0"/>
        <w:ind w:left="160" w:right="178" w:firstLine="720"/>
        <w:jc w:val="both"/>
        <w:rPr>
          <w:rFonts w:ascii="Times New Roman" w:hAnsi="Times New Roman" w:cs="Times New Roman" w:eastAsia="Times New Roman" w:hint="default"/>
          <w:sz w:val="24"/>
          <w:szCs w:val="24"/>
        </w:rPr>
      </w:pPr>
      <w:r>
        <w:rPr>
          <w:rFonts w:ascii="Times New Roman" w:hAnsi="Times New Roman"/>
          <w:sz w:val="24"/>
        </w:rPr>
        <w:t>идентификују, евидентирају и искажу целокупну нефинансијску и финансијску имовину, обавезе и капитал и финансијске извештаје сачињавају у складу са Правилником о начину припреме, састављања и подношења финансијских извештаја корисника буџетских средстава и корисника средстава организација за обавезно социјално осигурање и буџетских</w:t>
      </w:r>
      <w:r>
        <w:rPr>
          <w:rFonts w:ascii="Times New Roman" w:hAnsi="Times New Roman"/>
          <w:spacing w:val="-13"/>
          <w:sz w:val="24"/>
        </w:rPr>
        <w:t> </w:t>
      </w:r>
      <w:r>
        <w:rPr>
          <w:rFonts w:ascii="Times New Roman" w:hAnsi="Times New Roman"/>
          <w:sz w:val="24"/>
        </w:rPr>
        <w:t>фондова.</w:t>
      </w:r>
    </w:p>
    <w:p>
      <w:pPr>
        <w:spacing w:line="240" w:lineRule="auto" w:before="10"/>
        <w:rPr>
          <w:rFonts w:ascii="Times New Roman" w:hAnsi="Times New Roman" w:cs="Times New Roman" w:eastAsia="Times New Roman" w:hint="default"/>
          <w:sz w:val="24"/>
          <w:szCs w:val="24"/>
        </w:rPr>
      </w:pPr>
    </w:p>
    <w:p>
      <w:pPr>
        <w:pStyle w:val="Heading1"/>
        <w:numPr>
          <w:ilvl w:val="1"/>
          <w:numId w:val="3"/>
        </w:numPr>
        <w:tabs>
          <w:tab w:pos="1013" w:val="left" w:leader="none"/>
        </w:tabs>
        <w:spacing w:line="240" w:lineRule="auto" w:before="0" w:after="0"/>
        <w:ind w:left="1012" w:right="0" w:hanging="286"/>
        <w:jc w:val="left"/>
        <w:rPr>
          <w:b w:val="0"/>
          <w:bCs w:val="0"/>
        </w:rPr>
      </w:pPr>
      <w:r>
        <w:rPr/>
        <w:t>Кључне неправилности у ревизији правилности</w:t>
      </w:r>
      <w:r>
        <w:rPr>
          <w:spacing w:val="-15"/>
        </w:rPr>
        <w:t> </w:t>
      </w:r>
      <w:r>
        <w:rPr/>
        <w:t>пословања</w:t>
      </w:r>
      <w:r>
        <w:rPr>
          <w:b w:val="0"/>
        </w:rPr>
      </w:r>
    </w:p>
    <w:p>
      <w:pPr>
        <w:pStyle w:val="BodyText"/>
        <w:spacing w:line="240" w:lineRule="auto" w:before="132"/>
        <w:ind w:right="178" w:firstLine="566"/>
        <w:jc w:val="both"/>
      </w:pPr>
      <w:r>
        <w:rPr/>
        <w:t>Као што је објашњено у Напоменама </w:t>
      </w:r>
      <w:r>
        <w:rPr>
          <w:spacing w:val="-3"/>
        </w:rPr>
        <w:t>уз </w:t>
      </w:r>
      <w:r>
        <w:rPr/>
        <w:t>Извештај, град Ниш је неправилно преузео </w:t>
      </w:r>
      <w:r>
        <w:rPr/>
        <w:t>обавезу или неправилно преузео обавезу и извршио расходе и издатке, у износу од најмање </w:t>
      </w:r>
      <w:r>
        <w:rPr>
          <w:rFonts w:ascii="Times New Roman" w:hAnsi="Times New Roman"/>
        </w:rPr>
        <w:t>1.606.319 </w:t>
      </w:r>
      <w:r>
        <w:rPr/>
        <w:t>хиљада динара и</w:t>
      </w:r>
      <w:r>
        <w:rPr>
          <w:spacing w:val="-6"/>
        </w:rPr>
        <w:t> </w:t>
      </w:r>
      <w:r>
        <w:rPr/>
        <w:t>то:</w:t>
      </w:r>
    </w:p>
    <w:p>
      <w:pPr>
        <w:spacing w:line="240" w:lineRule="auto" w:before="0"/>
        <w:rPr>
          <w:rFonts w:ascii="Times New Roman" w:hAnsi="Times New Roman" w:cs="Times New Roman" w:eastAsia="Times New Roman" w:hint="default"/>
          <w:sz w:val="24"/>
          <w:szCs w:val="24"/>
        </w:rPr>
      </w:pPr>
    </w:p>
    <w:p>
      <w:pPr>
        <w:pStyle w:val="ListParagraph"/>
        <w:numPr>
          <w:ilvl w:val="0"/>
          <w:numId w:val="8"/>
        </w:numPr>
        <w:tabs>
          <w:tab w:pos="521"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ненаменски искористио наменске приходе и примања у укупном износу од </w:t>
      </w:r>
      <w:r>
        <w:rPr>
          <w:rFonts w:ascii="Times New Roman" w:hAnsi="Times New Roman"/>
          <w:sz w:val="24"/>
        </w:rPr>
        <w:t>96.283 </w:t>
      </w:r>
      <w:r>
        <w:rPr>
          <w:rFonts w:ascii="Times New Roman" w:hAnsi="Times New Roman"/>
          <w:sz w:val="24"/>
        </w:rPr>
        <w:t>хиљада динара (4.1.2, 4.1.3. и </w:t>
      </w:r>
      <w:r>
        <w:rPr>
          <w:rFonts w:ascii="Times New Roman" w:hAnsi="Times New Roman"/>
          <w:sz w:val="24"/>
        </w:rPr>
        <w:t>4.3.2.) </w:t>
      </w:r>
      <w:r>
        <w:rPr>
          <w:rFonts w:ascii="Times New Roman" w:hAnsi="Times New Roman"/>
          <w:sz w:val="24"/>
        </w:rPr>
        <w:t>и</w:t>
      </w:r>
      <w:r>
        <w:rPr>
          <w:rFonts w:ascii="Times New Roman" w:hAnsi="Times New Roman"/>
          <w:spacing w:val="-3"/>
          <w:sz w:val="24"/>
        </w:rPr>
        <w:t> </w:t>
      </w:r>
      <w:r>
        <w:rPr>
          <w:rFonts w:ascii="Times New Roman" w:hAnsi="Times New Roman"/>
          <w:sz w:val="24"/>
        </w:rPr>
        <w:t>то:</w:t>
      </w:r>
    </w:p>
    <w:p>
      <w:pPr>
        <w:pStyle w:val="ListParagraph"/>
        <w:numPr>
          <w:ilvl w:val="0"/>
          <w:numId w:val="2"/>
        </w:numPr>
        <w:tabs>
          <w:tab w:pos="521"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Управа за финансије, изворне приходе локалне самоуправе и јавне набавке у укупном износу од </w:t>
      </w:r>
      <w:r>
        <w:rPr>
          <w:rFonts w:ascii="Times New Roman" w:hAnsi="Times New Roman"/>
          <w:sz w:val="24"/>
        </w:rPr>
        <w:t>95.405 </w:t>
      </w:r>
      <w:r>
        <w:rPr>
          <w:rFonts w:ascii="Times New Roman" w:hAnsi="Times New Roman"/>
          <w:sz w:val="24"/>
        </w:rPr>
        <w:t>хиљад</w:t>
      </w:r>
      <w:r>
        <w:rPr>
          <w:rFonts w:ascii="Times New Roman" w:hAnsi="Times New Roman"/>
          <w:sz w:val="24"/>
        </w:rPr>
        <w:t>a </w:t>
      </w:r>
      <w:r>
        <w:rPr>
          <w:rFonts w:ascii="Times New Roman" w:hAnsi="Times New Roman"/>
          <w:sz w:val="24"/>
        </w:rPr>
        <w:t>динара и то: приход од посебне накнаде за заштиту животне средине у износу од 22.889 хиљада динара, наменски трансфер од Министарства грађевинарства, саобраћаја и инфраструктуре у износу од 5.000 хиљада динара за уклањање бесправно подигнутих објеката, наменски трансфер од Министарства финансија у износу од 3.750 хиљада динара за санирање штета од поплаве, наменски трансфер од Министарства културе за установе културе по пројектима у укупном износу од 53.933 хиљаде динара и средства принудно наплаћена за позајмљену робу из градских робних резерви у износу од 9.833 хиљаде</w:t>
      </w:r>
      <w:r>
        <w:rPr>
          <w:rFonts w:ascii="Times New Roman" w:hAnsi="Times New Roman"/>
          <w:spacing w:val="-15"/>
          <w:sz w:val="24"/>
        </w:rPr>
        <w:t> </w:t>
      </w:r>
      <w:r>
        <w:rPr>
          <w:rFonts w:ascii="Times New Roman" w:hAnsi="Times New Roman"/>
          <w:sz w:val="24"/>
        </w:rPr>
        <w:t>динара;</w:t>
      </w:r>
    </w:p>
    <w:p>
      <w:pPr>
        <w:pStyle w:val="ListParagraph"/>
        <w:numPr>
          <w:ilvl w:val="0"/>
          <w:numId w:val="2"/>
        </w:numPr>
        <w:tabs>
          <w:tab w:pos="521" w:val="left" w:leader="none"/>
        </w:tabs>
        <w:spacing w:line="240" w:lineRule="auto" w:before="0" w:after="0"/>
        <w:ind w:left="160" w:right="18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Народни музеј у износу од 878 хиљада динара наменска средства од Министарства културе по Пројекту „Изложба Константиново доба</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1700</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година“;</w:t>
      </w:r>
    </w:p>
    <w:p>
      <w:pPr>
        <w:spacing w:line="240" w:lineRule="auto" w:before="0"/>
        <w:rPr>
          <w:rFonts w:ascii="Times New Roman" w:hAnsi="Times New Roman" w:cs="Times New Roman" w:eastAsia="Times New Roman" w:hint="default"/>
          <w:sz w:val="24"/>
          <w:szCs w:val="24"/>
        </w:rPr>
      </w:pPr>
    </w:p>
    <w:p>
      <w:pPr>
        <w:pStyle w:val="ListParagraph"/>
        <w:numPr>
          <w:ilvl w:val="0"/>
          <w:numId w:val="8"/>
        </w:numPr>
        <w:tabs>
          <w:tab w:pos="406"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преузео обавезу и извршио расходе за плате, додатке, накнаде, социјалне доприносе на терет послодавца и накнаде по уговору у износу од 67.962 хиљаде динара (тачка  </w:t>
      </w:r>
      <w:r>
        <w:rPr>
          <w:rFonts w:ascii="Times New Roman" w:hAnsi="Times New Roman"/>
          <w:spacing w:val="58"/>
          <w:sz w:val="24"/>
        </w:rPr>
        <w:t> </w:t>
      </w:r>
      <w:r>
        <w:rPr>
          <w:rFonts w:ascii="Times New Roman" w:hAnsi="Times New Roman"/>
          <w:sz w:val="24"/>
        </w:rPr>
        <w:t>4.1.4.1,</w:t>
      </w:r>
    </w:p>
    <w:p>
      <w:pPr>
        <w:pStyle w:val="BodyText"/>
        <w:spacing w:line="240" w:lineRule="auto"/>
        <w:ind w:right="0"/>
        <w:jc w:val="both"/>
      </w:pPr>
      <w:r>
        <w:rPr/>
        <w:t>4.1.4.7. и 4.1.4.10.</w:t>
      </w:r>
      <w:r>
        <w:rPr>
          <w:spacing w:val="-5"/>
        </w:rPr>
        <w:t> </w:t>
      </w:r>
      <w:r>
        <w:rPr/>
        <w:t>Напомена):</w:t>
      </w:r>
    </w:p>
    <w:p>
      <w:pPr>
        <w:pStyle w:val="ListParagraph"/>
        <w:numPr>
          <w:ilvl w:val="0"/>
          <w:numId w:val="2"/>
        </w:numPr>
        <w:tabs>
          <w:tab w:pos="334" w:val="left" w:leader="none"/>
        </w:tabs>
        <w:spacing w:line="240" w:lineRule="auto" w:before="0" w:after="0"/>
        <w:ind w:left="160" w:right="171"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директни корисници буџетских средстава </w:t>
      </w:r>
      <w:r>
        <w:rPr>
          <w:rFonts w:ascii="Times New Roman" w:hAnsi="Times New Roman"/>
          <w:sz w:val="24"/>
        </w:rPr>
        <w:t>у износу од 47.900 хиљада динара и то: у </w:t>
      </w:r>
      <w:r>
        <w:rPr>
          <w:rFonts w:ascii="Times New Roman" w:hAnsi="Times New Roman"/>
          <w:sz w:val="24"/>
        </w:rPr>
        <w:t>износу од 24.615 хиљада динара за плате изабраних и постављених лица и запослених, у износу од 4.026 хиљада динара за накнаде изабраним лицима који нису на сталном раду  и у износу од 19.259 хиљада динара за накнаде за обављање повремених и привремених послова који по својој суштини нису повремени и привремени, већ такви да трају дуже  од 120 дана у календарској години и</w:t>
      </w:r>
      <w:r>
        <w:rPr>
          <w:rFonts w:ascii="Times New Roman" w:hAnsi="Times New Roman"/>
          <w:spacing w:val="-6"/>
          <w:sz w:val="24"/>
        </w:rPr>
        <w:t> </w:t>
      </w:r>
      <w:r>
        <w:rPr>
          <w:rFonts w:ascii="Times New Roman" w:hAnsi="Times New Roman"/>
          <w:sz w:val="24"/>
        </w:rPr>
        <w:t>то</w:t>
      </w:r>
      <w:r>
        <w:rPr>
          <w:rFonts w:ascii="Times New Roman" w:hAnsi="Times New Roman"/>
          <w:sz w:val="24"/>
        </w:rPr>
        <w:t>:</w:t>
      </w:r>
    </w:p>
    <w:p>
      <w:pPr>
        <w:spacing w:line="240" w:lineRule="auto" w:before="4"/>
        <w:rPr>
          <w:rFonts w:ascii="Times New Roman" w:hAnsi="Times New Roman" w:cs="Times New Roman" w:eastAsia="Times New Roman" w:hint="default"/>
          <w:sz w:val="24"/>
          <w:szCs w:val="24"/>
        </w:rPr>
      </w:pPr>
    </w:p>
    <w:p>
      <w:pPr>
        <w:pStyle w:val="ListParagraph"/>
        <w:numPr>
          <w:ilvl w:val="0"/>
          <w:numId w:val="9"/>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spacing w:val="-60"/>
          <w:w w:val="100"/>
          <w:sz w:val="24"/>
          <w:u w:val="single" w:color="000000"/>
        </w:rPr>
        <w:t> </w:t>
      </w:r>
      <w:r>
        <w:rPr>
          <w:rFonts w:ascii="Times New Roman" w:hAnsi="Times New Roman"/>
          <w:sz w:val="24"/>
          <w:u w:val="single" w:color="000000"/>
        </w:rPr>
        <w:t>Скупштина Града </w:t>
      </w:r>
      <w:r>
        <w:rPr>
          <w:rFonts w:ascii="Times New Roman" w:hAnsi="Times New Roman"/>
          <w:sz w:val="24"/>
        </w:rPr>
        <w:t>у износу од 5.368 хиљада динара: плате су више исплаћене за 2.864 </w:t>
      </w:r>
      <w:r>
        <w:rPr>
          <w:rFonts w:ascii="Times New Roman" w:hAnsi="Times New Roman"/>
          <w:sz w:val="24"/>
        </w:rPr>
        <w:t>хиљаде динара изабраним лицима на сталном раду по основу увећања основне плате за 30% на име вршења функције; истовремено су више обрачунати и исплаћени социјални доприноси на терет послодавца у износу од 513 хиљада динара; накнаде изабраним лицима који нису на сталном раду по основу увећања плате коју би примали да су на сталном раду за 30% на име вршења функције у износу од 1.633 хиљаде динара; накнаде за обављање повремених и привремених послова у износу од 358 хиљада</w:t>
      </w:r>
      <w:r>
        <w:rPr>
          <w:rFonts w:ascii="Times New Roman" w:hAnsi="Times New Roman"/>
          <w:spacing w:val="-20"/>
          <w:sz w:val="24"/>
        </w:rPr>
        <w:t> </w:t>
      </w:r>
      <w:r>
        <w:rPr>
          <w:rFonts w:ascii="Times New Roman" w:hAnsi="Times New Roman"/>
          <w:sz w:val="24"/>
        </w:rPr>
        <w:t>динара;</w:t>
      </w:r>
    </w:p>
    <w:p>
      <w:pPr>
        <w:spacing w:after="0" w:line="240" w:lineRule="auto"/>
        <w:jc w:val="both"/>
        <w:rPr>
          <w:rFonts w:ascii="Times New Roman" w:hAnsi="Times New Roman" w:cs="Times New Roman" w:eastAsia="Times New Roman" w:hint="default"/>
          <w:sz w:val="24"/>
          <w:szCs w:val="24"/>
        </w:rPr>
        <w:sectPr>
          <w:pgSz w:w="12240" w:h="15840"/>
          <w:pgMar w:header="740" w:footer="1466" w:top="1280" w:bottom="1660" w:left="1400" w:right="1260"/>
        </w:sectPr>
      </w:pPr>
    </w:p>
    <w:p>
      <w:pPr>
        <w:spacing w:line="240" w:lineRule="auto" w:before="0"/>
        <w:rPr>
          <w:rFonts w:ascii="Times New Roman" w:hAnsi="Times New Roman" w:cs="Times New Roman" w:eastAsia="Times New Roman" w:hint="default"/>
          <w:sz w:val="18"/>
          <w:szCs w:val="18"/>
        </w:rPr>
      </w:pPr>
    </w:p>
    <w:p>
      <w:pPr>
        <w:pStyle w:val="ListParagraph"/>
        <w:numPr>
          <w:ilvl w:val="0"/>
          <w:numId w:val="9"/>
        </w:numPr>
        <w:tabs>
          <w:tab w:pos="303" w:val="left" w:leader="none"/>
        </w:tabs>
        <w:spacing w:line="240" w:lineRule="auto" w:before="55" w:after="0"/>
        <w:ind w:left="160" w:right="174" w:firstLine="0"/>
        <w:jc w:val="both"/>
        <w:rPr>
          <w:rFonts w:ascii="Times New Roman" w:hAnsi="Times New Roman" w:cs="Times New Roman" w:eastAsia="Times New Roman" w:hint="default"/>
          <w:sz w:val="24"/>
          <w:szCs w:val="24"/>
        </w:rPr>
      </w:pPr>
      <w:r>
        <w:rPr>
          <w:rFonts w:ascii="Times New Roman" w:hAnsi="Times New Roman"/>
          <w:spacing w:val="-60"/>
          <w:w w:val="100"/>
          <w:sz w:val="24"/>
          <w:u w:val="single" w:color="000000"/>
        </w:rPr>
        <w:t> </w:t>
      </w:r>
      <w:r>
        <w:rPr>
          <w:rFonts w:ascii="Times New Roman" w:hAnsi="Times New Roman"/>
          <w:sz w:val="24"/>
          <w:u w:val="single" w:color="000000"/>
        </w:rPr>
        <w:t>Градоначелник </w:t>
      </w:r>
      <w:r>
        <w:rPr>
          <w:rFonts w:ascii="Times New Roman" w:hAnsi="Times New Roman"/>
          <w:sz w:val="24"/>
        </w:rPr>
        <w:t>у износу од 1.102 хиљаде динара: плате су више исплаћене за 935 </w:t>
      </w:r>
      <w:r>
        <w:rPr>
          <w:rFonts w:ascii="Times New Roman" w:hAnsi="Times New Roman"/>
          <w:sz w:val="24"/>
        </w:rPr>
        <w:t>хиљад</w:t>
      </w:r>
      <w:r>
        <w:rPr>
          <w:rFonts w:ascii="Times New Roman" w:hAnsi="Times New Roman"/>
          <w:sz w:val="24"/>
        </w:rPr>
        <w:t>a </w:t>
      </w:r>
      <w:r>
        <w:rPr>
          <w:rFonts w:ascii="Times New Roman" w:hAnsi="Times New Roman"/>
          <w:sz w:val="24"/>
        </w:rPr>
        <w:t>динара изабраним лицима по основу увећања основне плате за 30% на име вршења функције; истовремено су више обрачунати и исплаћени социјални доприноси на терет послодавца у износу од  167 хиљада</w:t>
      </w:r>
      <w:r>
        <w:rPr>
          <w:rFonts w:ascii="Times New Roman" w:hAnsi="Times New Roman"/>
          <w:spacing w:val="-15"/>
          <w:sz w:val="24"/>
        </w:rPr>
        <w:t> </w:t>
      </w:r>
      <w:r>
        <w:rPr>
          <w:rFonts w:ascii="Times New Roman" w:hAnsi="Times New Roman"/>
          <w:sz w:val="24"/>
        </w:rPr>
        <w:t>динара;</w:t>
      </w:r>
    </w:p>
    <w:p>
      <w:pPr>
        <w:pStyle w:val="ListParagraph"/>
        <w:numPr>
          <w:ilvl w:val="0"/>
          <w:numId w:val="9"/>
        </w:numPr>
        <w:tabs>
          <w:tab w:pos="303" w:val="left" w:leader="none"/>
        </w:tabs>
        <w:spacing w:line="240" w:lineRule="auto" w:before="2" w:after="0"/>
        <w:ind w:left="160" w:right="178" w:firstLine="0"/>
        <w:jc w:val="both"/>
        <w:rPr>
          <w:rFonts w:ascii="Times New Roman" w:hAnsi="Times New Roman" w:cs="Times New Roman" w:eastAsia="Times New Roman" w:hint="default"/>
          <w:sz w:val="24"/>
          <w:szCs w:val="24"/>
        </w:rPr>
      </w:pPr>
      <w:r>
        <w:rPr>
          <w:rFonts w:ascii="Times New Roman" w:hAnsi="Times New Roman"/>
          <w:spacing w:val="-60"/>
          <w:w w:val="100"/>
          <w:sz w:val="24"/>
          <w:u w:val="single" w:color="000000"/>
        </w:rPr>
        <w:t> </w:t>
      </w:r>
      <w:r>
        <w:rPr>
          <w:rFonts w:ascii="Times New Roman" w:hAnsi="Times New Roman"/>
          <w:sz w:val="24"/>
          <w:u w:val="single" w:color="000000"/>
        </w:rPr>
        <w:t>Градско веће </w:t>
      </w:r>
      <w:r>
        <w:rPr>
          <w:rFonts w:ascii="Times New Roman" w:hAnsi="Times New Roman"/>
          <w:sz w:val="24"/>
        </w:rPr>
        <w:t>у износу од 4.627 хиљада динара: плате су више исплаћене за  1.895 </w:t>
      </w:r>
      <w:r>
        <w:rPr>
          <w:rFonts w:ascii="Times New Roman" w:hAnsi="Times New Roman"/>
          <w:sz w:val="24"/>
        </w:rPr>
        <w:t>хиљада динара изабраним лицима по основу увећања основне плате за 30% на име вршења функције; истовремено су више обрачунати и исплаћени социјални доприноси на терет послодавца у износу од 339 хиљада динара; накнаде изабраним лицима који нису на сталном раду по основу увећања плате коју би примали да су на сталном раду за 30% на име вршења функције у износу од 2.393 хиљад</w:t>
      </w:r>
      <w:r>
        <w:rPr>
          <w:rFonts w:ascii="Times New Roman" w:hAnsi="Times New Roman"/>
          <w:sz w:val="24"/>
        </w:rPr>
        <w:t>e</w:t>
      </w:r>
      <w:r>
        <w:rPr>
          <w:rFonts w:ascii="Times New Roman" w:hAnsi="Times New Roman"/>
          <w:spacing w:val="-16"/>
          <w:sz w:val="24"/>
        </w:rPr>
        <w:t> </w:t>
      </w:r>
      <w:r>
        <w:rPr>
          <w:rFonts w:ascii="Times New Roman" w:hAnsi="Times New Roman"/>
          <w:sz w:val="24"/>
        </w:rPr>
        <w:t>динара;</w:t>
      </w:r>
    </w:p>
    <w:p>
      <w:pPr>
        <w:pStyle w:val="ListParagraph"/>
        <w:numPr>
          <w:ilvl w:val="0"/>
          <w:numId w:val="9"/>
        </w:numPr>
        <w:tabs>
          <w:tab w:pos="303" w:val="left" w:leader="none"/>
        </w:tabs>
        <w:spacing w:line="292" w:lineRule="exact" w:before="2" w:after="0"/>
        <w:ind w:left="302" w:right="0" w:hanging="142"/>
        <w:jc w:val="both"/>
        <w:rPr>
          <w:rFonts w:ascii="Times New Roman" w:hAnsi="Times New Roman" w:cs="Times New Roman" w:eastAsia="Times New Roman" w:hint="default"/>
          <w:sz w:val="24"/>
          <w:szCs w:val="24"/>
        </w:rPr>
      </w:pPr>
      <w:r>
        <w:rPr>
          <w:rFonts w:ascii="Times New Roman" w:hAnsi="Times New Roman"/>
          <w:spacing w:val="-60"/>
          <w:w w:val="100"/>
          <w:sz w:val="24"/>
          <w:u w:val="single" w:color="000000"/>
        </w:rPr>
        <w:t> </w:t>
      </w:r>
      <w:r>
        <w:rPr>
          <w:rFonts w:ascii="Times New Roman" w:hAnsi="Times New Roman"/>
          <w:sz w:val="24"/>
          <w:u w:val="single" w:color="000000"/>
        </w:rPr>
        <w:t>Управа за финансије, изворне приходе локалне самоуправе и јавне набавке </w:t>
      </w:r>
      <w:r>
        <w:rPr>
          <w:rFonts w:ascii="Times New Roman" w:hAnsi="Times New Roman"/>
          <w:sz w:val="24"/>
        </w:rPr>
        <w:t>у износу </w:t>
      </w:r>
      <w:r>
        <w:rPr>
          <w:rFonts w:ascii="Times New Roman" w:hAnsi="Times New Roman"/>
          <w:spacing w:val="59"/>
          <w:sz w:val="24"/>
        </w:rPr>
        <w:t> </w:t>
      </w:r>
      <w:r>
        <w:rPr>
          <w:rFonts w:ascii="Times New Roman" w:hAnsi="Times New Roman"/>
          <w:sz w:val="24"/>
        </w:rPr>
        <w:t>од</w:t>
      </w:r>
    </w:p>
    <w:p>
      <w:pPr>
        <w:pStyle w:val="BodyText"/>
        <w:spacing w:line="240" w:lineRule="auto"/>
        <w:ind w:right="174"/>
        <w:jc w:val="both"/>
      </w:pPr>
      <w:r>
        <w:rPr>
          <w:rFonts w:ascii="Times New Roman" w:hAnsi="Times New Roman"/>
        </w:rPr>
        <w:t>21.228 </w:t>
      </w:r>
      <w:r>
        <w:rPr/>
        <w:t>хиљада динара: плате су више исплаћене за 14.981 хиљаду динара запосленима са нижом и средњом стручном спремом по основу увећаног коефицијента; истовремено су више обрачунати и исплаћени социјални доприноси на терет послодавца у износу од 2.682 хиљад</w:t>
      </w:r>
      <w:r>
        <w:rPr>
          <w:rFonts w:ascii="Times New Roman" w:hAnsi="Times New Roman"/>
        </w:rPr>
        <w:t>e </w:t>
      </w:r>
      <w:r>
        <w:rPr/>
        <w:t>динара; накнаде за обављање повремених и привремених послова у износу од </w:t>
      </w:r>
      <w:r>
        <w:rPr>
          <w:rFonts w:ascii="Times New Roman" w:hAnsi="Times New Roman"/>
        </w:rPr>
        <w:t>3.565 </w:t>
      </w:r>
      <w:r>
        <w:rPr/>
        <w:t>хиљада</w:t>
      </w:r>
      <w:r>
        <w:rPr>
          <w:spacing w:val="-4"/>
        </w:rPr>
        <w:t> </w:t>
      </w:r>
      <w:r>
        <w:rPr/>
        <w:t>динара;</w:t>
      </w:r>
    </w:p>
    <w:p>
      <w:pPr>
        <w:pStyle w:val="ListParagraph"/>
        <w:numPr>
          <w:ilvl w:val="0"/>
          <w:numId w:val="9"/>
        </w:numPr>
        <w:tabs>
          <w:tab w:pos="303" w:val="left" w:leader="none"/>
        </w:tabs>
        <w:spacing w:line="274" w:lineRule="exact" w:before="24" w:after="0"/>
        <w:ind w:left="160" w:right="180" w:firstLine="0"/>
        <w:jc w:val="both"/>
        <w:rPr>
          <w:rFonts w:ascii="Times New Roman" w:hAnsi="Times New Roman" w:cs="Times New Roman" w:eastAsia="Times New Roman" w:hint="default"/>
          <w:sz w:val="24"/>
          <w:szCs w:val="24"/>
        </w:rPr>
      </w:pPr>
      <w:r>
        <w:rPr>
          <w:rFonts w:ascii="Times New Roman" w:hAnsi="Times New Roman"/>
          <w:spacing w:val="-60"/>
          <w:w w:val="100"/>
          <w:sz w:val="24"/>
          <w:u w:val="single" w:color="000000"/>
        </w:rPr>
        <w:t> </w:t>
      </w:r>
      <w:r>
        <w:rPr>
          <w:rFonts w:ascii="Times New Roman" w:hAnsi="Times New Roman"/>
          <w:sz w:val="24"/>
          <w:u w:val="single" w:color="000000"/>
        </w:rPr>
        <w:t>Служба за послове Градског већа </w:t>
      </w:r>
      <w:r>
        <w:rPr>
          <w:rFonts w:ascii="Times New Roman" w:hAnsi="Times New Roman"/>
          <w:sz w:val="24"/>
        </w:rPr>
        <w:t>накнаде за обављање повремених и привремених </w:t>
      </w:r>
      <w:r>
        <w:rPr>
          <w:rFonts w:ascii="Times New Roman" w:hAnsi="Times New Roman"/>
          <w:sz w:val="24"/>
        </w:rPr>
        <w:t>послова уизносу од 824 хиљаде</w:t>
      </w:r>
      <w:r>
        <w:rPr>
          <w:rFonts w:ascii="Times New Roman" w:hAnsi="Times New Roman"/>
          <w:spacing w:val="-11"/>
          <w:sz w:val="24"/>
        </w:rPr>
        <w:t> </w:t>
      </w:r>
      <w:r>
        <w:rPr>
          <w:rFonts w:ascii="Times New Roman" w:hAnsi="Times New Roman"/>
          <w:sz w:val="24"/>
        </w:rPr>
        <w:t>динара;</w:t>
      </w:r>
    </w:p>
    <w:p>
      <w:pPr>
        <w:pStyle w:val="ListParagraph"/>
        <w:numPr>
          <w:ilvl w:val="0"/>
          <w:numId w:val="9"/>
        </w:numPr>
        <w:tabs>
          <w:tab w:pos="303" w:val="left" w:leader="none"/>
        </w:tabs>
        <w:spacing w:line="274" w:lineRule="exact" w:before="21" w:after="0"/>
        <w:ind w:left="160" w:right="179" w:firstLine="0"/>
        <w:jc w:val="both"/>
        <w:rPr>
          <w:rFonts w:ascii="Times New Roman" w:hAnsi="Times New Roman" w:cs="Times New Roman" w:eastAsia="Times New Roman" w:hint="default"/>
          <w:sz w:val="24"/>
          <w:szCs w:val="24"/>
        </w:rPr>
      </w:pPr>
      <w:r>
        <w:rPr>
          <w:rFonts w:ascii="Times New Roman" w:hAnsi="Times New Roman"/>
          <w:spacing w:val="-60"/>
          <w:w w:val="100"/>
          <w:sz w:val="24"/>
          <w:u w:val="single" w:color="000000"/>
        </w:rPr>
        <w:t> </w:t>
      </w:r>
      <w:r>
        <w:rPr>
          <w:rFonts w:ascii="Times New Roman" w:hAnsi="Times New Roman"/>
          <w:sz w:val="24"/>
          <w:u w:val="single" w:color="000000"/>
        </w:rPr>
        <w:t>Служба за послове Градоначелника </w:t>
      </w:r>
      <w:r>
        <w:rPr>
          <w:rFonts w:ascii="Times New Roman" w:hAnsi="Times New Roman"/>
          <w:sz w:val="24"/>
        </w:rPr>
        <w:t>накнаде за обављање повремених и привремених </w:t>
      </w:r>
      <w:r>
        <w:rPr>
          <w:rFonts w:ascii="Times New Roman" w:hAnsi="Times New Roman"/>
          <w:sz w:val="24"/>
        </w:rPr>
        <w:t>послова уизносу од 3.674 хиљаде</w:t>
      </w:r>
      <w:r>
        <w:rPr>
          <w:rFonts w:ascii="Times New Roman" w:hAnsi="Times New Roman"/>
          <w:spacing w:val="-11"/>
          <w:sz w:val="24"/>
        </w:rPr>
        <w:t> </w:t>
      </w:r>
      <w:r>
        <w:rPr>
          <w:rFonts w:ascii="Times New Roman" w:hAnsi="Times New Roman"/>
          <w:sz w:val="24"/>
        </w:rPr>
        <w:t>динара;</w:t>
      </w:r>
    </w:p>
    <w:p>
      <w:pPr>
        <w:pStyle w:val="ListParagraph"/>
        <w:numPr>
          <w:ilvl w:val="0"/>
          <w:numId w:val="9"/>
        </w:numPr>
        <w:tabs>
          <w:tab w:pos="303"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pacing w:val="-60"/>
          <w:w w:val="100"/>
          <w:sz w:val="24"/>
          <w:u w:val="single" w:color="000000"/>
        </w:rPr>
        <w:t> </w:t>
      </w:r>
      <w:r>
        <w:rPr>
          <w:rFonts w:ascii="Times New Roman" w:hAnsi="Times New Roman"/>
          <w:sz w:val="24"/>
          <w:u w:val="single" w:color="000000"/>
        </w:rPr>
        <w:t>Заштитник грађана </w:t>
      </w:r>
      <w:r>
        <w:rPr>
          <w:rFonts w:ascii="Times New Roman" w:hAnsi="Times New Roman"/>
          <w:sz w:val="24"/>
        </w:rPr>
        <w:t>у износу од 40 хиљада динара: плате су више исплаћене за 34 </w:t>
      </w:r>
      <w:r>
        <w:rPr>
          <w:rFonts w:ascii="Times New Roman" w:hAnsi="Times New Roman"/>
          <w:sz w:val="24"/>
        </w:rPr>
        <w:t>хиљаде динара запосленима са нижом и средњом стручном спремом по основу увећаног коефицијента; истовремено су више обрачунати и исплаћени социјални доприноси на терет послодавца у износу од шест хиљада</w:t>
      </w:r>
      <w:r>
        <w:rPr>
          <w:rFonts w:ascii="Times New Roman" w:hAnsi="Times New Roman"/>
          <w:spacing w:val="-15"/>
          <w:sz w:val="24"/>
        </w:rPr>
        <w:t> </w:t>
      </w:r>
      <w:r>
        <w:rPr>
          <w:rFonts w:ascii="Times New Roman" w:hAnsi="Times New Roman"/>
          <w:sz w:val="24"/>
        </w:rPr>
        <w:t>динара;</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pacing w:val="-60"/>
          <w:w w:val="100"/>
          <w:sz w:val="24"/>
          <w:u w:val="single" w:color="000000"/>
        </w:rPr>
        <w:t> </w:t>
      </w:r>
      <w:r>
        <w:rPr>
          <w:rFonts w:ascii="Times New Roman" w:hAnsi="Times New Roman"/>
          <w:sz w:val="24"/>
          <w:u w:val="single" w:color="000000"/>
        </w:rPr>
        <w:t>Градско јавно правобранилаштво </w:t>
      </w:r>
      <w:r>
        <w:rPr>
          <w:rFonts w:ascii="Times New Roman" w:hAnsi="Times New Roman"/>
          <w:sz w:val="24"/>
        </w:rPr>
        <w:t>у износу од 540 хиљада динара: плате су више </w:t>
      </w:r>
      <w:r>
        <w:rPr>
          <w:rFonts w:ascii="Times New Roman" w:hAnsi="Times New Roman"/>
          <w:sz w:val="24"/>
        </w:rPr>
        <w:t>исплаћене за 169 хиљад</w:t>
      </w:r>
      <w:r>
        <w:rPr>
          <w:rFonts w:ascii="Times New Roman" w:hAnsi="Times New Roman"/>
          <w:sz w:val="24"/>
        </w:rPr>
        <w:t>a </w:t>
      </w:r>
      <w:r>
        <w:rPr>
          <w:rFonts w:ascii="Times New Roman" w:hAnsi="Times New Roman"/>
          <w:sz w:val="24"/>
        </w:rPr>
        <w:t>динара запосленима са нижом и средњом стручном спремом по основу увећаног коефицијента; истовремено су више обрачунати и исплаћени социјални доприноси на терет послодавца у износу од 30 хиљада динара; накнаде за обављање повремених и привремених послова у износу од 341 хиљад</w:t>
      </w:r>
      <w:r>
        <w:rPr>
          <w:rFonts w:ascii="Times New Roman" w:hAnsi="Times New Roman"/>
          <w:sz w:val="24"/>
        </w:rPr>
        <w:t>e</w:t>
      </w:r>
      <w:r>
        <w:rPr>
          <w:rFonts w:ascii="Times New Roman" w:hAnsi="Times New Roman"/>
          <w:spacing w:val="-18"/>
          <w:sz w:val="24"/>
        </w:rPr>
        <w:t> </w:t>
      </w:r>
      <w:r>
        <w:rPr>
          <w:rFonts w:ascii="Times New Roman" w:hAnsi="Times New Roman"/>
          <w:sz w:val="24"/>
        </w:rPr>
        <w:t>динара;</w:t>
      </w:r>
    </w:p>
    <w:p>
      <w:pPr>
        <w:pStyle w:val="ListParagraph"/>
        <w:numPr>
          <w:ilvl w:val="0"/>
          <w:numId w:val="9"/>
        </w:numPr>
        <w:tabs>
          <w:tab w:pos="303" w:val="left" w:leader="none"/>
        </w:tabs>
        <w:spacing w:line="240" w:lineRule="auto" w:before="2" w:after="0"/>
        <w:ind w:left="160" w:right="178" w:firstLine="0"/>
        <w:jc w:val="both"/>
        <w:rPr>
          <w:rFonts w:ascii="Times New Roman" w:hAnsi="Times New Roman" w:cs="Times New Roman" w:eastAsia="Times New Roman" w:hint="default"/>
          <w:sz w:val="24"/>
          <w:szCs w:val="24"/>
        </w:rPr>
      </w:pPr>
      <w:r>
        <w:rPr>
          <w:rFonts w:ascii="Times New Roman" w:hAnsi="Times New Roman"/>
          <w:spacing w:val="-60"/>
          <w:w w:val="100"/>
          <w:sz w:val="24"/>
          <w:u w:val="single" w:color="000000"/>
        </w:rPr>
        <w:t> </w:t>
      </w:r>
      <w:r>
        <w:rPr>
          <w:rFonts w:ascii="Times New Roman" w:hAnsi="Times New Roman"/>
          <w:sz w:val="24"/>
          <w:u w:val="single" w:color="000000"/>
        </w:rPr>
        <w:t>Управа за омладину и спорт</w:t>
      </w:r>
      <w:r>
        <w:rPr>
          <w:rFonts w:ascii="Times New Roman" w:hAnsi="Times New Roman"/>
          <w:sz w:val="24"/>
        </w:rPr>
      </w:r>
      <w:r>
        <w:rPr>
          <w:rFonts w:ascii="Times New Roman" w:hAnsi="Times New Roman"/>
          <w:sz w:val="24"/>
        </w:rPr>
        <w:t>: </w:t>
      </w:r>
      <w:r>
        <w:rPr>
          <w:rFonts w:ascii="Times New Roman" w:hAnsi="Times New Roman"/>
          <w:sz w:val="24"/>
        </w:rPr>
        <w:t>накнаде за обављање повремених и привремених послова  у износу од 57 хиљада</w:t>
      </w:r>
      <w:r>
        <w:rPr>
          <w:rFonts w:ascii="Times New Roman" w:hAnsi="Times New Roman"/>
          <w:spacing w:val="-8"/>
          <w:sz w:val="24"/>
        </w:rPr>
        <w:t> </w:t>
      </w:r>
      <w:r>
        <w:rPr>
          <w:rFonts w:ascii="Times New Roman" w:hAnsi="Times New Roman"/>
          <w:sz w:val="24"/>
        </w:rPr>
        <w:t>динара;</w:t>
      </w:r>
    </w:p>
    <w:p>
      <w:pPr>
        <w:pStyle w:val="ListParagraph"/>
        <w:numPr>
          <w:ilvl w:val="0"/>
          <w:numId w:val="9"/>
        </w:numPr>
        <w:tabs>
          <w:tab w:pos="303" w:val="left" w:leader="none"/>
        </w:tabs>
        <w:spacing w:line="274" w:lineRule="exact" w:before="24" w:after="0"/>
        <w:ind w:left="160" w:right="176" w:firstLine="0"/>
        <w:jc w:val="both"/>
        <w:rPr>
          <w:rFonts w:ascii="Times New Roman" w:hAnsi="Times New Roman" w:cs="Times New Roman" w:eastAsia="Times New Roman" w:hint="default"/>
          <w:sz w:val="24"/>
          <w:szCs w:val="24"/>
        </w:rPr>
      </w:pPr>
      <w:r>
        <w:rPr>
          <w:rFonts w:ascii="Times New Roman" w:hAnsi="Times New Roman"/>
          <w:spacing w:val="-60"/>
          <w:w w:val="100"/>
          <w:sz w:val="24"/>
          <w:u w:val="single" w:color="000000"/>
        </w:rPr>
        <w:t> </w:t>
      </w:r>
      <w:r>
        <w:rPr>
          <w:rFonts w:ascii="Times New Roman" w:hAnsi="Times New Roman"/>
          <w:sz w:val="24"/>
          <w:u w:val="single" w:color="000000"/>
        </w:rPr>
        <w:t>Управа за дечију, социјалну и примарну здравствену заштиту</w:t>
      </w:r>
      <w:r>
        <w:rPr>
          <w:rFonts w:ascii="Times New Roman" w:hAnsi="Times New Roman"/>
          <w:sz w:val="24"/>
        </w:rPr>
      </w:r>
      <w:r>
        <w:rPr>
          <w:rFonts w:ascii="Times New Roman" w:hAnsi="Times New Roman"/>
          <w:sz w:val="24"/>
        </w:rPr>
        <w:t>: </w:t>
      </w:r>
      <w:r>
        <w:rPr>
          <w:rFonts w:ascii="Times New Roman" w:hAnsi="Times New Roman"/>
          <w:sz w:val="24"/>
        </w:rPr>
        <w:t>накнаде за обављање повремених и привремених послова у износу од 1.567 хиљада</w:t>
      </w:r>
      <w:r>
        <w:rPr>
          <w:rFonts w:ascii="Times New Roman" w:hAnsi="Times New Roman"/>
          <w:spacing w:val="-20"/>
          <w:sz w:val="24"/>
        </w:rPr>
        <w:t> </w:t>
      </w:r>
      <w:r>
        <w:rPr>
          <w:rFonts w:ascii="Times New Roman" w:hAnsi="Times New Roman"/>
          <w:sz w:val="24"/>
        </w:rPr>
        <w:t>динара;</w:t>
      </w:r>
    </w:p>
    <w:p>
      <w:pPr>
        <w:pStyle w:val="ListParagraph"/>
        <w:numPr>
          <w:ilvl w:val="0"/>
          <w:numId w:val="9"/>
        </w:numPr>
        <w:tabs>
          <w:tab w:pos="303" w:val="left" w:leader="none"/>
        </w:tabs>
        <w:spacing w:line="274" w:lineRule="exact" w:before="21" w:after="0"/>
        <w:ind w:left="160" w:right="178" w:firstLine="0"/>
        <w:jc w:val="both"/>
        <w:rPr>
          <w:rFonts w:ascii="Times New Roman" w:hAnsi="Times New Roman" w:cs="Times New Roman" w:eastAsia="Times New Roman" w:hint="default"/>
          <w:sz w:val="24"/>
          <w:szCs w:val="24"/>
        </w:rPr>
      </w:pPr>
      <w:r>
        <w:rPr>
          <w:rFonts w:ascii="Times New Roman" w:hAnsi="Times New Roman"/>
          <w:spacing w:val="-60"/>
          <w:w w:val="100"/>
          <w:sz w:val="24"/>
          <w:u w:val="single" w:color="000000"/>
        </w:rPr>
        <w:t> </w:t>
      </w:r>
      <w:r>
        <w:rPr>
          <w:rFonts w:ascii="Times New Roman" w:hAnsi="Times New Roman"/>
          <w:sz w:val="24"/>
          <w:u w:val="single" w:color="000000"/>
        </w:rPr>
        <w:t>Управа за грађанска стања и опште послове</w:t>
      </w:r>
      <w:r>
        <w:rPr>
          <w:rFonts w:ascii="Times New Roman" w:hAnsi="Times New Roman"/>
          <w:sz w:val="24"/>
        </w:rPr>
      </w:r>
      <w:r>
        <w:rPr>
          <w:rFonts w:ascii="Times New Roman" w:hAnsi="Times New Roman"/>
          <w:sz w:val="24"/>
        </w:rPr>
        <w:t>: </w:t>
      </w:r>
      <w:r>
        <w:rPr>
          <w:rFonts w:ascii="Times New Roman" w:hAnsi="Times New Roman"/>
          <w:sz w:val="24"/>
        </w:rPr>
        <w:t>накнаде за обављање повремених и привремених послова у износу од 292 хиљад</w:t>
      </w:r>
      <w:r>
        <w:rPr>
          <w:rFonts w:ascii="Times New Roman" w:hAnsi="Times New Roman"/>
          <w:sz w:val="24"/>
        </w:rPr>
        <w:t>e</w:t>
      </w:r>
      <w:r>
        <w:rPr>
          <w:rFonts w:ascii="Times New Roman" w:hAnsi="Times New Roman"/>
          <w:spacing w:val="-12"/>
          <w:sz w:val="24"/>
        </w:rPr>
        <w:t> </w:t>
      </w:r>
      <w:r>
        <w:rPr>
          <w:rFonts w:ascii="Times New Roman" w:hAnsi="Times New Roman"/>
          <w:sz w:val="24"/>
        </w:rPr>
        <w:t>динара;</w:t>
      </w:r>
    </w:p>
    <w:p>
      <w:pPr>
        <w:pStyle w:val="ListParagraph"/>
        <w:numPr>
          <w:ilvl w:val="0"/>
          <w:numId w:val="9"/>
        </w:numPr>
        <w:tabs>
          <w:tab w:pos="303" w:val="left" w:leader="none"/>
        </w:tabs>
        <w:spacing w:line="274" w:lineRule="exact" w:before="21" w:after="0"/>
        <w:ind w:left="160" w:right="178" w:firstLine="0"/>
        <w:jc w:val="both"/>
        <w:rPr>
          <w:rFonts w:ascii="Times New Roman" w:hAnsi="Times New Roman" w:cs="Times New Roman" w:eastAsia="Times New Roman" w:hint="default"/>
          <w:sz w:val="24"/>
          <w:szCs w:val="24"/>
        </w:rPr>
      </w:pPr>
      <w:r>
        <w:rPr>
          <w:rFonts w:ascii="Times New Roman" w:hAnsi="Times New Roman"/>
          <w:spacing w:val="-60"/>
          <w:w w:val="100"/>
          <w:sz w:val="24"/>
          <w:u w:val="single" w:color="000000"/>
        </w:rPr>
        <w:t> </w:t>
      </w:r>
      <w:r>
        <w:rPr>
          <w:rFonts w:ascii="Times New Roman" w:hAnsi="Times New Roman"/>
          <w:sz w:val="24"/>
          <w:u w:val="single" w:color="000000"/>
        </w:rPr>
        <w:t>Управа за имовину и инспекцијске послове</w:t>
      </w:r>
      <w:r>
        <w:rPr>
          <w:rFonts w:ascii="Times New Roman" w:hAnsi="Times New Roman"/>
          <w:sz w:val="24"/>
        </w:rPr>
      </w:r>
      <w:r>
        <w:rPr>
          <w:rFonts w:ascii="Times New Roman" w:hAnsi="Times New Roman"/>
          <w:sz w:val="24"/>
        </w:rPr>
        <w:t>: </w:t>
      </w:r>
      <w:r>
        <w:rPr>
          <w:rFonts w:ascii="Times New Roman" w:hAnsi="Times New Roman"/>
          <w:sz w:val="24"/>
        </w:rPr>
        <w:t>накнаде за обављање повремених и привремених послова у износу од 2.354 хиљад</w:t>
      </w:r>
      <w:r>
        <w:rPr>
          <w:rFonts w:ascii="Times New Roman" w:hAnsi="Times New Roman"/>
          <w:sz w:val="24"/>
        </w:rPr>
        <w:t>e</w:t>
      </w:r>
      <w:r>
        <w:rPr>
          <w:rFonts w:ascii="Times New Roman" w:hAnsi="Times New Roman"/>
          <w:spacing w:val="-15"/>
          <w:sz w:val="24"/>
        </w:rPr>
        <w:t> </w:t>
      </w:r>
      <w:r>
        <w:rPr>
          <w:rFonts w:ascii="Times New Roman" w:hAnsi="Times New Roman"/>
          <w:sz w:val="24"/>
        </w:rPr>
        <w:t>динара;</w:t>
      </w:r>
    </w:p>
    <w:p>
      <w:pPr>
        <w:pStyle w:val="ListParagraph"/>
        <w:numPr>
          <w:ilvl w:val="0"/>
          <w:numId w:val="9"/>
        </w:numPr>
        <w:tabs>
          <w:tab w:pos="303" w:val="left" w:leader="none"/>
        </w:tabs>
        <w:spacing w:line="274" w:lineRule="exact" w:before="21" w:after="0"/>
        <w:ind w:left="160" w:right="176" w:firstLine="0"/>
        <w:jc w:val="both"/>
        <w:rPr>
          <w:rFonts w:ascii="Times New Roman" w:hAnsi="Times New Roman" w:cs="Times New Roman" w:eastAsia="Times New Roman" w:hint="default"/>
          <w:sz w:val="24"/>
          <w:szCs w:val="24"/>
        </w:rPr>
      </w:pPr>
      <w:r>
        <w:rPr>
          <w:rFonts w:ascii="Times New Roman" w:hAnsi="Times New Roman"/>
          <w:spacing w:val="-60"/>
          <w:w w:val="100"/>
          <w:sz w:val="24"/>
          <w:u w:val="single" w:color="000000"/>
        </w:rPr>
        <w:t> </w:t>
      </w:r>
      <w:r>
        <w:rPr>
          <w:rFonts w:ascii="Times New Roman" w:hAnsi="Times New Roman"/>
          <w:sz w:val="24"/>
          <w:u w:val="single" w:color="000000"/>
        </w:rPr>
        <w:t>Управа за комуналне делатности, енергетику и саобраћај</w:t>
      </w:r>
      <w:r>
        <w:rPr>
          <w:rFonts w:ascii="Times New Roman" w:hAnsi="Times New Roman"/>
          <w:sz w:val="24"/>
        </w:rPr>
      </w:r>
      <w:r>
        <w:rPr>
          <w:rFonts w:ascii="Times New Roman" w:hAnsi="Times New Roman"/>
          <w:sz w:val="24"/>
        </w:rPr>
        <w:t>: </w:t>
      </w:r>
      <w:r>
        <w:rPr>
          <w:rFonts w:ascii="Times New Roman" w:hAnsi="Times New Roman"/>
          <w:sz w:val="24"/>
        </w:rPr>
        <w:t>накнаде за обављање повремених и привремених послова у износу од 6.227 хиљада</w:t>
      </w:r>
      <w:r>
        <w:rPr>
          <w:rFonts w:ascii="Times New Roman" w:hAnsi="Times New Roman"/>
          <w:spacing w:val="-20"/>
          <w:sz w:val="24"/>
        </w:rPr>
        <w:t> </w:t>
      </w:r>
      <w:r>
        <w:rPr>
          <w:rFonts w:ascii="Times New Roman" w:hAnsi="Times New Roman"/>
          <w:sz w:val="24"/>
        </w:rPr>
        <w:t>динара;</w:t>
      </w:r>
    </w:p>
    <w:p>
      <w:pPr>
        <w:pStyle w:val="ListParagraph"/>
        <w:numPr>
          <w:ilvl w:val="0"/>
          <w:numId w:val="2"/>
        </w:numPr>
        <w:tabs>
          <w:tab w:pos="348" w:val="left" w:leader="none"/>
        </w:tabs>
        <w:spacing w:line="240" w:lineRule="auto" w:before="136"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индиректни корисници буџетских средстава </w:t>
      </w:r>
      <w:r>
        <w:rPr>
          <w:rFonts w:ascii="Times New Roman" w:hAnsi="Times New Roman" w:cs="Times New Roman" w:eastAsia="Times New Roman" w:hint="default"/>
          <w:sz w:val="24"/>
          <w:szCs w:val="24"/>
        </w:rPr>
        <w:t>– у износу од 20.062 хиљаде динара за </w:t>
      </w:r>
      <w:r>
        <w:rPr>
          <w:rFonts w:ascii="Times New Roman" w:hAnsi="Times New Roman" w:cs="Times New Roman" w:eastAsia="Times New Roman" w:hint="default"/>
          <w:sz w:val="24"/>
          <w:szCs w:val="24"/>
        </w:rPr>
        <w:t>плате именованих и запослених</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лица:</w:t>
      </w:r>
    </w:p>
    <w:p>
      <w:pPr>
        <w:pStyle w:val="ListParagraph"/>
        <w:numPr>
          <w:ilvl w:val="0"/>
          <w:numId w:val="9"/>
        </w:numPr>
        <w:tabs>
          <w:tab w:pos="303" w:val="left" w:leader="none"/>
        </w:tabs>
        <w:spacing w:line="237" w:lineRule="auto" w:before="5" w:after="0"/>
        <w:ind w:left="160" w:right="178" w:firstLine="0"/>
        <w:jc w:val="both"/>
        <w:rPr>
          <w:rFonts w:ascii="Times New Roman" w:hAnsi="Times New Roman" w:cs="Times New Roman" w:eastAsia="Times New Roman" w:hint="default"/>
          <w:sz w:val="24"/>
          <w:szCs w:val="24"/>
        </w:rPr>
      </w:pPr>
      <w:r>
        <w:rPr>
          <w:rFonts w:ascii="Times New Roman" w:hAnsi="Times New Roman"/>
          <w:spacing w:val="-60"/>
          <w:w w:val="100"/>
          <w:sz w:val="24"/>
          <w:u w:val="single" w:color="000000"/>
        </w:rPr>
        <w:t> </w:t>
      </w:r>
      <w:r>
        <w:rPr>
          <w:rFonts w:ascii="Times New Roman" w:hAnsi="Times New Roman"/>
          <w:sz w:val="24"/>
          <w:u w:val="single" w:color="000000"/>
        </w:rPr>
        <w:t>ПУ Пчелица </w:t>
      </w:r>
      <w:r>
        <w:rPr>
          <w:rFonts w:ascii="Times New Roman" w:hAnsi="Times New Roman"/>
          <w:sz w:val="24"/>
        </w:rPr>
        <w:t>у износу од 17.422 хиљаде динара: плате су више исплаћене за 14.690 </w:t>
      </w:r>
      <w:r>
        <w:rPr>
          <w:rFonts w:ascii="Times New Roman" w:hAnsi="Times New Roman"/>
          <w:sz w:val="24"/>
        </w:rPr>
        <w:t>хиљада динара запосленима по основу увећања плате; истовремено су више обрачунати и исплаћени социјални доприноси на терет послодавца у износу од 2.630 хиљада динара;</w:t>
      </w:r>
      <w:r>
        <w:rPr>
          <w:rFonts w:ascii="Times New Roman" w:hAnsi="Times New Roman"/>
          <w:spacing w:val="-7"/>
          <w:sz w:val="24"/>
        </w:rPr>
        <w:t> </w:t>
      </w:r>
      <w:r>
        <w:rPr>
          <w:rFonts w:ascii="Times New Roman" w:hAnsi="Times New Roman"/>
          <w:sz w:val="24"/>
        </w:rPr>
        <w:t>за</w:t>
      </w:r>
    </w:p>
    <w:p>
      <w:pPr>
        <w:spacing w:after="0" w:line="237" w:lineRule="auto"/>
        <w:jc w:val="both"/>
        <w:rPr>
          <w:rFonts w:ascii="Times New Roman" w:hAnsi="Times New Roman" w:cs="Times New Roman" w:eastAsia="Times New Roman" w:hint="default"/>
          <w:sz w:val="24"/>
          <w:szCs w:val="24"/>
        </w:rPr>
        <w:sectPr>
          <w:pgSz w:w="12240" w:h="15840"/>
          <w:pgMar w:header="740" w:footer="1466" w:top="1280" w:bottom="1660" w:left="1400" w:right="1260"/>
        </w:sectPr>
      </w:pPr>
    </w:p>
    <w:p>
      <w:pPr>
        <w:spacing w:line="240" w:lineRule="auto" w:before="8"/>
        <w:rPr>
          <w:rFonts w:ascii="Times New Roman" w:hAnsi="Times New Roman" w:cs="Times New Roman" w:eastAsia="Times New Roman" w:hint="default"/>
          <w:sz w:val="16"/>
          <w:szCs w:val="16"/>
        </w:rPr>
      </w:pPr>
    </w:p>
    <w:p>
      <w:pPr>
        <w:pStyle w:val="BodyText"/>
        <w:spacing w:line="240" w:lineRule="auto" w:before="69"/>
        <w:ind w:right="185"/>
        <w:jc w:val="both"/>
      </w:pPr>
      <w:r>
        <w:rPr/>
        <w:t>процентуално увећање плата на име доктората, положеног правосудног испита и магистратуре у износу од 102 хиљаде</w:t>
      </w:r>
      <w:r>
        <w:rPr>
          <w:spacing w:val="-11"/>
        </w:rPr>
        <w:t> </w:t>
      </w:r>
      <w:r>
        <w:rPr/>
        <w:t>динара;</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pacing w:val="-60"/>
          <w:w w:val="100"/>
          <w:sz w:val="24"/>
          <w:u w:val="single" w:color="000000"/>
        </w:rPr>
        <w:t> </w:t>
      </w:r>
      <w:r>
        <w:rPr>
          <w:rFonts w:ascii="Times New Roman" w:hAnsi="Times New Roman"/>
          <w:sz w:val="24"/>
          <w:u w:val="single" w:color="000000"/>
        </w:rPr>
        <w:t>ЈП Дирекција за изградњу града Ниша </w:t>
      </w:r>
      <w:r>
        <w:rPr>
          <w:rFonts w:ascii="Times New Roman" w:hAnsi="Times New Roman"/>
          <w:sz w:val="24"/>
        </w:rPr>
        <w:t>у износу од 2.640 хиљада динара: плате и </w:t>
      </w:r>
      <w:r>
        <w:rPr>
          <w:rFonts w:ascii="Times New Roman" w:hAnsi="Times New Roman"/>
          <w:sz w:val="24"/>
        </w:rPr>
        <w:t>социјални доприноси на терет послодавца су више исплаћени по основу минулог рада у износу од 744 хиљад</w:t>
      </w:r>
      <w:r>
        <w:rPr>
          <w:rFonts w:ascii="Times New Roman" w:hAnsi="Times New Roman"/>
          <w:sz w:val="24"/>
        </w:rPr>
        <w:t>e </w:t>
      </w:r>
      <w:r>
        <w:rPr>
          <w:rFonts w:ascii="Times New Roman" w:hAnsi="Times New Roman"/>
          <w:sz w:val="24"/>
        </w:rPr>
        <w:t>динара, неправилно утврђеног коефицијента у износу од 79 хиљада динара, топлог оброка у износу од 1.680 хиљада динара и накнаде по основу боловања у износу од 137 хиљада</w:t>
      </w:r>
      <w:r>
        <w:rPr>
          <w:rFonts w:ascii="Times New Roman" w:hAnsi="Times New Roman"/>
          <w:spacing w:val="-8"/>
          <w:sz w:val="24"/>
        </w:rPr>
        <w:t> </w:t>
      </w:r>
      <w:r>
        <w:rPr>
          <w:rFonts w:ascii="Times New Roman" w:hAnsi="Times New Roman"/>
          <w:sz w:val="24"/>
        </w:rPr>
        <w:t>динара.</w:t>
      </w:r>
    </w:p>
    <w:p>
      <w:pPr>
        <w:pStyle w:val="ListParagraph"/>
        <w:numPr>
          <w:ilvl w:val="0"/>
          <w:numId w:val="2"/>
        </w:numPr>
        <w:tabs>
          <w:tab w:pos="300" w:val="left" w:leader="none"/>
        </w:tabs>
        <w:spacing w:line="274" w:lineRule="exact" w:before="0" w:after="0"/>
        <w:ind w:left="299" w:right="0" w:hanging="139"/>
        <w:jc w:val="both"/>
        <w:rPr>
          <w:rFonts w:ascii="Times New Roman" w:hAnsi="Times New Roman" w:cs="Times New Roman" w:eastAsia="Times New Roman" w:hint="default"/>
          <w:sz w:val="24"/>
          <w:szCs w:val="24"/>
        </w:rPr>
      </w:pPr>
      <w:r>
        <w:rPr>
          <w:rFonts w:ascii="Times New Roman" w:hAnsi="Times New Roman"/>
          <w:sz w:val="24"/>
        </w:rPr>
        <w:t>Град Ниш има 289 запослених на неодређено више од дозвољеног</w:t>
      </w:r>
      <w:r>
        <w:rPr>
          <w:rFonts w:ascii="Times New Roman" w:hAnsi="Times New Roman"/>
          <w:spacing w:val="-13"/>
          <w:sz w:val="24"/>
        </w:rPr>
        <w:t> </w:t>
      </w:r>
      <w:r>
        <w:rPr>
          <w:rFonts w:ascii="Times New Roman" w:hAnsi="Times New Roman"/>
          <w:sz w:val="24"/>
        </w:rPr>
        <w:t>броја</w:t>
      </w:r>
      <w:r>
        <w:rPr>
          <w:rFonts w:ascii="Times New Roman" w:hAnsi="Times New Roman"/>
          <w:sz w:val="24"/>
        </w:rPr>
        <w:t>.</w:t>
      </w:r>
    </w:p>
    <w:p>
      <w:pPr>
        <w:pStyle w:val="BodyText"/>
        <w:spacing w:line="240" w:lineRule="auto" w:before="115"/>
        <w:ind w:right="177"/>
        <w:jc w:val="both"/>
      </w:pPr>
      <w:r>
        <w:rPr/>
        <w:t>3.преузео обавезу и извршио расходе и издатке у износу од </w:t>
      </w:r>
      <w:r>
        <w:rPr>
          <w:rFonts w:ascii="Times New Roman" w:hAnsi="Times New Roman"/>
        </w:rPr>
        <w:t>302.929 </w:t>
      </w:r>
      <w:r>
        <w:rPr/>
        <w:t>хиљада динара, а да основ за извршење ових расхода није у складу са важећим законским и другим прописима:</w:t>
      </w:r>
    </w:p>
    <w:p>
      <w:pPr>
        <w:pStyle w:val="BodyText"/>
        <w:spacing w:line="240" w:lineRule="auto"/>
        <w:ind w:right="181"/>
        <w:jc w:val="both"/>
      </w:pPr>
      <w:r>
        <w:rPr/>
        <w:pict>
          <v:group style="position:absolute;margin-left:81.984001pt;margin-top:12.823115pt;width:92.35pt;height:.1pt;mso-position-horizontal-relative:page;mso-position-vertical-relative:paragraph;z-index:-773632" coordorigin="1640,256" coordsize="1847,2">
            <v:shape style="position:absolute;left:1640;top:256;width:1847;height:2" coordorigin="1640,256" coordsize="1847,0" path="m1640,256l3486,256e" filled="false" stroked="true" strokeweight=".600010pt" strokecolor="#000000">
              <v:path arrowok="t"/>
            </v:shape>
            <w10:wrap type="none"/>
          </v:group>
        </w:pict>
      </w:r>
      <w:r>
        <w:rPr>
          <w:rFonts w:ascii="Times New Roman" w:hAnsi="Times New Roman"/>
        </w:rPr>
        <w:t>-</w:t>
      </w:r>
      <w:r>
        <w:rPr/>
        <w:t>Скупштина Града у износу од 3.197 хиљада динара за: накнаду изабраним лицима која нису на сталном раду у износу од 2.859 хиљада динара (4.1.4.7); накнаду одборницима за присуство и рад у дане одржавања седница у износу од 273 хиљаде динара (4.1.4.7) и накнаду за исплату дневница члановима комисије за планове и одбору за именовање у износу од 65 хиљада динара</w:t>
      </w:r>
      <w:r>
        <w:rPr>
          <w:spacing w:val="-12"/>
        </w:rPr>
        <w:t> </w:t>
      </w:r>
      <w:r>
        <w:rPr/>
        <w:t>(4.1.4.10);</w:t>
      </w:r>
    </w:p>
    <w:p>
      <w:pPr>
        <w:pStyle w:val="BodyText"/>
        <w:spacing w:line="240" w:lineRule="auto"/>
        <w:ind w:right="172"/>
        <w:jc w:val="both"/>
      </w:pPr>
      <w:r>
        <w:rPr/>
        <w:pict>
          <v:group style="position:absolute;margin-left:81.984001pt;margin-top:12.823115pt;width:78.25pt;height:.1pt;mso-position-horizontal-relative:page;mso-position-vertical-relative:paragraph;z-index:-773608" coordorigin="1640,256" coordsize="1565,2">
            <v:shape style="position:absolute;left:1640;top:256;width:1565;height:2" coordorigin="1640,256" coordsize="1565,0" path="m1640,256l3204,256e" filled="false" stroked="true" strokeweight=".600010pt" strokecolor="#000000">
              <v:path arrowok="t"/>
            </v:shape>
            <w10:wrap type="none"/>
          </v:group>
        </w:pict>
      </w:r>
      <w:r>
        <w:rPr>
          <w:rFonts w:ascii="Times New Roman" w:hAnsi="Times New Roman"/>
        </w:rPr>
        <w:t>-</w:t>
      </w:r>
      <w:r>
        <w:rPr/>
        <w:t>Градоначелник у износу од 6.069 хиљада динара за: исплату плате помоћницима градоначелника у износу од 3.625 хиљада динара (4.1.4.7.); дневнице за службени пут у износу од 11 хиљада динара (4.1.4.9); финансирање пројеката и осталих трансфера у износу од 2.133 хиљаде динара (4.1.4.19.); доделу средстава за одлазак на радничке спортске игре у износу од 300 хиљада динара</w:t>
      </w:r>
      <w:r>
        <w:rPr>
          <w:spacing w:val="-13"/>
        </w:rPr>
        <w:t> </w:t>
      </w:r>
      <w:r>
        <w:rPr/>
        <w:t>(4.1.4.23.);</w:t>
      </w:r>
    </w:p>
    <w:p>
      <w:pPr>
        <w:pStyle w:val="ListParagraph"/>
        <w:numPr>
          <w:ilvl w:val="0"/>
          <w:numId w:val="10"/>
        </w:numPr>
        <w:tabs>
          <w:tab w:pos="375"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Градско веће </w:t>
      </w:r>
      <w:r>
        <w:rPr>
          <w:rFonts w:ascii="Times New Roman" w:hAnsi="Times New Roman"/>
          <w:sz w:val="24"/>
        </w:rPr>
        <w:t>у износу од 8.673 хиљаде динара за: плате и социјалне доприносе </w:t>
      </w:r>
      <w:r>
        <w:rPr>
          <w:rFonts w:ascii="Times New Roman" w:hAnsi="Times New Roman"/>
          <w:sz w:val="24"/>
        </w:rPr>
        <w:t>секретара и заменика секретара градског већа у износу од 3.312 хиљада динара (4.1.4.1.); плате и социјалне доприносе именованих председника Савета за људска и мањинска права и Савета за грађанске иницијативе у износу од 990 хиљада динара (4.1.4.1.); накнаду изабраним лицима који нису на сталном раду у износу од 4.356 хиљада динара (4.1.4.7.); дневнице за службени пут у већем износу од прописаног у износу од 15 хиљада динара</w:t>
      </w:r>
      <w:r>
        <w:rPr>
          <w:rFonts w:ascii="Times New Roman" w:hAnsi="Times New Roman"/>
          <w:spacing w:val="-3"/>
          <w:sz w:val="24"/>
        </w:rPr>
        <w:t> </w:t>
      </w:r>
      <w:r>
        <w:rPr>
          <w:rFonts w:ascii="Times New Roman" w:hAnsi="Times New Roman"/>
          <w:sz w:val="24"/>
        </w:rPr>
        <w:t>(4.1.4.9.);</w:t>
      </w:r>
    </w:p>
    <w:p>
      <w:pPr>
        <w:pStyle w:val="BodyText"/>
        <w:spacing w:line="240" w:lineRule="auto"/>
        <w:ind w:right="177"/>
        <w:jc w:val="both"/>
      </w:pPr>
      <w:r>
        <w:rPr/>
        <w:pict>
          <v:group style="position:absolute;margin-left:81.984001pt;margin-top:12.82312pt;width:393.45pt;height:.1pt;mso-position-horizontal-relative:page;mso-position-vertical-relative:paragraph;z-index:-773584" coordorigin="1640,256" coordsize="7869,2">
            <v:shape style="position:absolute;left:1640;top:256;width:7869;height:2" coordorigin="1640,256" coordsize="7869,0" path="m1640,256l9508,256e" filled="false" stroked="true" strokeweight=".600010pt" strokecolor="#000000">
              <v:path arrowok="t"/>
            </v:shape>
            <w10:wrap type="none"/>
          </v:group>
        </w:pict>
      </w:r>
      <w:r>
        <w:rPr>
          <w:rFonts w:ascii="Times New Roman" w:hAnsi="Times New Roman"/>
        </w:rPr>
        <w:t>-</w:t>
      </w:r>
      <w:r>
        <w:rPr/>
        <w:t>Управа за финансије, изворне приходе локалне самоуправе и јавне набавке у износу од 37.829 хиљада динара за: плате и социјалне доприносе за 32 помоћника начелника у износу од 37.414 хиљада динара (4.1.4.1. и 4.1.4.2.); дневнице за службени пут у већем износу од прописаног у износу од 100 хиљада динара (4.1.4.9.); дневнице услед нетачног приказивања времена проведеног на службеном путу у износу од 27 хиљада динара (4.1.4.9.); трансфер осталим нивоима власти </w:t>
      </w:r>
      <w:r>
        <w:rPr>
          <w:rFonts w:ascii="Times New Roman" w:hAnsi="Times New Roman"/>
        </w:rPr>
        <w:t>- </w:t>
      </w:r>
      <w:r>
        <w:rPr/>
        <w:t>градској општини Палилула у износу од 288 хиљада динара</w:t>
      </w:r>
      <w:r>
        <w:rPr>
          <w:spacing w:val="-5"/>
        </w:rPr>
        <w:t> </w:t>
      </w:r>
      <w:r>
        <w:rPr/>
        <w:t>(4.1.4.19.);</w:t>
      </w:r>
    </w:p>
    <w:p>
      <w:pPr>
        <w:pStyle w:val="ListParagraph"/>
        <w:numPr>
          <w:ilvl w:val="0"/>
          <w:numId w:val="10"/>
        </w:numPr>
        <w:tabs>
          <w:tab w:pos="336" w:val="left" w:leader="none"/>
        </w:tabs>
        <w:spacing w:line="240" w:lineRule="auto" w:before="0" w:after="0"/>
        <w:ind w:left="160" w:right="181"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Управа за имовину и инспекцијске послове </w:t>
      </w:r>
      <w:r>
        <w:rPr>
          <w:rFonts w:ascii="Times New Roman" w:hAnsi="Times New Roman"/>
          <w:sz w:val="24"/>
        </w:rPr>
        <w:t>у износу од 731 хиљад</w:t>
      </w:r>
      <w:r>
        <w:rPr>
          <w:rFonts w:ascii="Times New Roman" w:hAnsi="Times New Roman"/>
          <w:sz w:val="24"/>
        </w:rPr>
        <w:t>e </w:t>
      </w:r>
      <w:r>
        <w:rPr>
          <w:rFonts w:ascii="Times New Roman" w:hAnsi="Times New Roman"/>
          <w:sz w:val="24"/>
        </w:rPr>
        <w:t>динара за закуп пословног простора</w:t>
      </w:r>
      <w:r>
        <w:rPr>
          <w:rFonts w:ascii="Times New Roman" w:hAnsi="Times New Roman"/>
          <w:spacing w:val="-6"/>
          <w:sz w:val="24"/>
        </w:rPr>
        <w:t> </w:t>
      </w:r>
      <w:r>
        <w:rPr>
          <w:rFonts w:ascii="Times New Roman" w:hAnsi="Times New Roman"/>
          <w:sz w:val="24"/>
        </w:rPr>
        <w:t>(4.1.4.8.);</w:t>
      </w:r>
    </w:p>
    <w:p>
      <w:pPr>
        <w:pStyle w:val="ListParagraph"/>
        <w:numPr>
          <w:ilvl w:val="0"/>
          <w:numId w:val="10"/>
        </w:numPr>
        <w:tabs>
          <w:tab w:pos="329"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Управа за комуналне делатности, енергетику и саобраћај </w:t>
      </w:r>
      <w:r>
        <w:rPr>
          <w:rFonts w:ascii="Times New Roman" w:hAnsi="Times New Roman"/>
          <w:sz w:val="24"/>
        </w:rPr>
        <w:t>у износу од 177.689 хиљада </w:t>
      </w:r>
      <w:r>
        <w:rPr>
          <w:rFonts w:ascii="Times New Roman" w:hAnsi="Times New Roman"/>
          <w:sz w:val="24"/>
        </w:rPr>
        <w:t>динара за: интегрисани тарифни систем у јавном превозу у износу од 13.919 хиљада динара (4.1.4.10.); услуге хуманог хватања паса у износу од 2.475 хиљада динара (4.1.4.11.); услуге одржавања зеленила у износу од 72.034 хиљаде динара (4.1.4.11.); услуге јавне хигијене у износу од 89.261 хиљаде динара</w:t>
      </w:r>
      <w:r>
        <w:rPr>
          <w:rFonts w:ascii="Times New Roman" w:hAnsi="Times New Roman"/>
          <w:spacing w:val="-17"/>
          <w:sz w:val="24"/>
        </w:rPr>
        <w:t> </w:t>
      </w:r>
      <w:r>
        <w:rPr>
          <w:rFonts w:ascii="Times New Roman" w:hAnsi="Times New Roman"/>
          <w:sz w:val="24"/>
        </w:rPr>
        <w:t>(4.1.4.11.);</w:t>
      </w:r>
    </w:p>
    <w:p>
      <w:pPr>
        <w:pStyle w:val="ListParagraph"/>
        <w:numPr>
          <w:ilvl w:val="0"/>
          <w:numId w:val="10"/>
        </w:numPr>
        <w:tabs>
          <w:tab w:pos="341" w:val="left" w:leader="none"/>
        </w:tabs>
        <w:spacing w:line="240" w:lineRule="auto" w:before="0" w:after="0"/>
        <w:ind w:left="160" w:right="172"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Управа за пољопривреду и развој села </w:t>
      </w:r>
      <w:r>
        <w:rPr>
          <w:rFonts w:ascii="Times New Roman" w:hAnsi="Times New Roman"/>
          <w:sz w:val="24"/>
        </w:rPr>
        <w:t>у износу од </w:t>
      </w:r>
      <w:r>
        <w:rPr>
          <w:rFonts w:ascii="Times New Roman" w:hAnsi="Times New Roman"/>
          <w:sz w:val="24"/>
        </w:rPr>
        <w:t>10.790 </w:t>
      </w:r>
      <w:r>
        <w:rPr>
          <w:rFonts w:ascii="Times New Roman" w:hAnsi="Times New Roman"/>
          <w:sz w:val="24"/>
        </w:rPr>
        <w:t>хиљада динара за: услуге медијског праћења у износу од </w:t>
      </w:r>
      <w:r>
        <w:rPr>
          <w:rFonts w:ascii="Times New Roman" w:hAnsi="Times New Roman"/>
          <w:sz w:val="24"/>
        </w:rPr>
        <w:t>100 </w:t>
      </w:r>
      <w:r>
        <w:rPr>
          <w:rFonts w:ascii="Times New Roman" w:hAnsi="Times New Roman"/>
          <w:sz w:val="24"/>
        </w:rPr>
        <w:t>хиљада динара (4.1.4.10.); накнаде противградним стрелцима   у  износу  од  1.244  хиљаде  динара  (4.1.4.10.);  расходе  за  субвенције      </w:t>
      </w:r>
      <w:r>
        <w:rPr>
          <w:rFonts w:ascii="Times New Roman" w:hAnsi="Times New Roman"/>
          <w:spacing w:val="2"/>
          <w:sz w:val="24"/>
        </w:rPr>
        <w:t> </w:t>
      </w:r>
      <w:r>
        <w:rPr>
          <w:rFonts w:ascii="Times New Roman" w:hAnsi="Times New Roman"/>
          <w:sz w:val="24"/>
        </w:rPr>
        <w:t>за</w:t>
      </w:r>
    </w:p>
    <w:p>
      <w:pPr>
        <w:spacing w:after="0" w:line="240" w:lineRule="auto"/>
        <w:jc w:val="both"/>
        <w:rPr>
          <w:rFonts w:ascii="Times New Roman" w:hAnsi="Times New Roman" w:cs="Times New Roman" w:eastAsia="Times New Roman" w:hint="default"/>
          <w:sz w:val="24"/>
          <w:szCs w:val="24"/>
        </w:rPr>
        <w:sectPr>
          <w:pgSz w:w="12240" w:h="15840"/>
          <w:pgMar w:header="740" w:footer="1466" w:top="1280" w:bottom="1660" w:left="1400" w:right="1260"/>
        </w:sectPr>
      </w:pPr>
    </w:p>
    <w:p>
      <w:pPr>
        <w:spacing w:line="240" w:lineRule="auto" w:before="8"/>
        <w:rPr>
          <w:rFonts w:ascii="Times New Roman" w:hAnsi="Times New Roman" w:cs="Times New Roman" w:eastAsia="Times New Roman" w:hint="default"/>
          <w:sz w:val="16"/>
          <w:szCs w:val="16"/>
        </w:rPr>
      </w:pPr>
    </w:p>
    <w:p>
      <w:pPr>
        <w:pStyle w:val="BodyText"/>
        <w:spacing w:line="240" w:lineRule="auto" w:before="69"/>
        <w:ind w:right="180"/>
        <w:jc w:val="both"/>
      </w:pPr>
      <w:r>
        <w:rPr/>
        <w:t>пољопривреду по Програму Фонда за развој пољопривреде за 2013. годину без сагласности Министарства у износу од 9.446 хиљада динара</w:t>
      </w:r>
      <w:r>
        <w:rPr>
          <w:spacing w:val="-19"/>
        </w:rPr>
        <w:t> </w:t>
      </w:r>
      <w:r>
        <w:rPr/>
        <w:t>(4.1.4.17.);</w:t>
      </w:r>
    </w:p>
    <w:p>
      <w:pPr>
        <w:pStyle w:val="ListParagraph"/>
        <w:numPr>
          <w:ilvl w:val="0"/>
          <w:numId w:val="10"/>
        </w:numPr>
        <w:tabs>
          <w:tab w:pos="339" w:val="left" w:leader="none"/>
        </w:tabs>
        <w:spacing w:line="240" w:lineRule="auto" w:before="0" w:after="0"/>
        <w:ind w:left="160" w:right="178"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Управа за образовање </w:t>
      </w:r>
      <w:r>
        <w:rPr>
          <w:rFonts w:ascii="Times New Roman" w:hAnsi="Times New Roman"/>
          <w:sz w:val="24"/>
        </w:rPr>
        <w:t>у износу од 4.517 хиљада динара за трансфер Универзитету у </w:t>
      </w:r>
      <w:r>
        <w:rPr>
          <w:rFonts w:ascii="Times New Roman" w:hAnsi="Times New Roman"/>
          <w:sz w:val="24"/>
        </w:rPr>
        <w:t>Нишу</w:t>
      </w:r>
      <w:r>
        <w:rPr>
          <w:rFonts w:ascii="Times New Roman" w:hAnsi="Times New Roman"/>
          <w:spacing w:val="-6"/>
          <w:sz w:val="24"/>
        </w:rPr>
        <w:t> </w:t>
      </w:r>
      <w:r>
        <w:rPr>
          <w:rFonts w:ascii="Times New Roman" w:hAnsi="Times New Roman"/>
          <w:sz w:val="24"/>
        </w:rPr>
        <w:t>(4.1.4.19.);</w:t>
      </w:r>
    </w:p>
    <w:p>
      <w:pPr>
        <w:pStyle w:val="ListParagraph"/>
        <w:numPr>
          <w:ilvl w:val="0"/>
          <w:numId w:val="10"/>
        </w:numPr>
        <w:tabs>
          <w:tab w:pos="346" w:val="left" w:leader="none"/>
        </w:tabs>
        <w:spacing w:line="240" w:lineRule="auto" w:before="0" w:after="0"/>
        <w:ind w:left="160" w:right="179"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Служба за одржавање и информатичко комуникационе технологије </w:t>
      </w:r>
      <w:r>
        <w:rPr>
          <w:rFonts w:ascii="Times New Roman" w:hAnsi="Times New Roman" w:cs="Times New Roman" w:eastAsia="Times New Roman" w:hint="default"/>
          <w:sz w:val="24"/>
          <w:szCs w:val="24"/>
        </w:rPr>
        <w:t>у износу од 705 </w:t>
      </w:r>
      <w:r>
        <w:rPr>
          <w:rFonts w:ascii="Times New Roman" w:hAnsi="Times New Roman" w:cs="Times New Roman" w:eastAsia="Times New Roman" w:hint="default"/>
          <w:sz w:val="24"/>
          <w:szCs w:val="24"/>
        </w:rPr>
        <w:t>хиљада динара за: водоводно – канализациони материјал у износу од девет хиљада динара (4.1.4.12.), ауто делове у износу од 333 хиљаде динара (4.1.4.12.), тонере у износу од 11 хиљада динара (4.1.4.12.), штампања службеног листа у износу од 196 хиљада динара (4.1.4.13.), пиће у износу од 156 хиљада динара</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(4.1.4.13.);</w:t>
      </w:r>
    </w:p>
    <w:p>
      <w:pPr>
        <w:pStyle w:val="ListParagraph"/>
        <w:numPr>
          <w:ilvl w:val="0"/>
          <w:numId w:val="10"/>
        </w:numPr>
        <w:tabs>
          <w:tab w:pos="389"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ЈП Дирекција за изградњу града </w:t>
      </w:r>
      <w:r>
        <w:rPr>
          <w:rFonts w:ascii="Times New Roman" w:hAnsi="Times New Roman"/>
          <w:sz w:val="24"/>
        </w:rPr>
        <w:t>у износу од 46.263 хиљаде динара за: зимско </w:t>
      </w:r>
      <w:r>
        <w:rPr>
          <w:rFonts w:ascii="Times New Roman" w:hAnsi="Times New Roman"/>
          <w:sz w:val="24"/>
        </w:rPr>
        <w:t>одржавање путева у износу од 122 хиљаде динара (4.1.4.12.), одржавање хоризонталне и вертикалне сигнализације у износу од 9.475 хиљада динара (4.1.4.12.)</w:t>
      </w:r>
      <w:r>
        <w:rPr>
          <w:rFonts w:ascii="Times New Roman" w:hAnsi="Times New Roman"/>
          <w:sz w:val="24"/>
        </w:rPr>
        <w:t>, </w:t>
      </w:r>
      <w:r>
        <w:rPr>
          <w:rFonts w:ascii="Times New Roman" w:hAnsi="Times New Roman"/>
          <w:sz w:val="24"/>
        </w:rPr>
        <w:t>одржавање јавне расвете у износу од 3.612 хиљада динара (4.1.4.12.) и изградњу трафостанице и партерно уређење зграде кардио хирургије у износу од 33.054 хиљаде динара</w:t>
      </w:r>
      <w:r>
        <w:rPr>
          <w:rFonts w:ascii="Times New Roman" w:hAnsi="Times New Roman"/>
          <w:spacing w:val="-17"/>
          <w:sz w:val="24"/>
        </w:rPr>
        <w:t> </w:t>
      </w:r>
      <w:r>
        <w:rPr>
          <w:rFonts w:ascii="Times New Roman" w:hAnsi="Times New Roman"/>
          <w:sz w:val="24"/>
        </w:rPr>
        <w:t>(4.1.5.1.);</w:t>
      </w:r>
    </w:p>
    <w:p>
      <w:pPr>
        <w:pStyle w:val="ListParagraph"/>
        <w:numPr>
          <w:ilvl w:val="0"/>
          <w:numId w:val="10"/>
        </w:numPr>
        <w:tabs>
          <w:tab w:pos="300" w:val="left" w:leader="none"/>
        </w:tabs>
        <w:spacing w:line="240" w:lineRule="auto" w:before="0" w:after="0"/>
        <w:ind w:left="160" w:right="179"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ПУ Пчелица </w:t>
      </w:r>
      <w:r>
        <w:rPr>
          <w:rFonts w:ascii="Times New Roman" w:hAnsi="Times New Roman"/>
          <w:sz w:val="24"/>
        </w:rPr>
        <w:t>у износу од 1.312 хиљада динара за: плату и социјалне доприносе</w:t>
      </w:r>
      <w:r>
        <w:rPr>
          <w:rFonts w:ascii="Times New Roman" w:hAnsi="Times New Roman"/>
          <w:spacing w:val="-21"/>
          <w:sz w:val="24"/>
        </w:rPr>
        <w:t> </w:t>
      </w:r>
      <w:r>
        <w:rPr>
          <w:rFonts w:ascii="Times New Roman" w:hAnsi="Times New Roman"/>
          <w:sz w:val="24"/>
        </w:rPr>
        <w:t>менаџера </w:t>
      </w:r>
      <w:r>
        <w:rPr>
          <w:rFonts w:ascii="Times New Roman" w:hAnsi="Times New Roman"/>
          <w:sz w:val="24"/>
        </w:rPr>
        <w:t>маркетинга у износу од 975 хиљада динара (4.1.4.1.) и водоинсталатерске радове у износу од 337 хиљада динара</w:t>
      </w:r>
      <w:r>
        <w:rPr>
          <w:rFonts w:ascii="Times New Roman" w:hAnsi="Times New Roman"/>
          <w:spacing w:val="-4"/>
          <w:sz w:val="24"/>
        </w:rPr>
        <w:t> </w:t>
      </w:r>
      <w:r>
        <w:rPr>
          <w:rFonts w:ascii="Times New Roman" w:hAnsi="Times New Roman"/>
          <w:sz w:val="24"/>
        </w:rPr>
        <w:t>(4.1.4.12.);</w:t>
      </w:r>
    </w:p>
    <w:p>
      <w:pPr>
        <w:pStyle w:val="ListParagraph"/>
        <w:numPr>
          <w:ilvl w:val="0"/>
          <w:numId w:val="10"/>
        </w:numPr>
        <w:tabs>
          <w:tab w:pos="319" w:val="left" w:leader="none"/>
        </w:tabs>
        <w:spacing w:line="240" w:lineRule="auto" w:before="0" w:after="0"/>
        <w:ind w:left="160" w:right="185"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СЦ Чаир </w:t>
      </w:r>
      <w:r>
        <w:rPr>
          <w:rFonts w:ascii="Times New Roman" w:hAnsi="Times New Roman"/>
          <w:sz w:val="24"/>
        </w:rPr>
        <w:t>у износу од 1.095 хиљада динара за накнаду трошкова превоза на посао и са </w:t>
      </w:r>
      <w:r>
        <w:rPr>
          <w:rFonts w:ascii="Times New Roman" w:hAnsi="Times New Roman"/>
          <w:sz w:val="24"/>
        </w:rPr>
        <w:t>посла</w:t>
      </w:r>
      <w:r>
        <w:rPr>
          <w:rFonts w:ascii="Times New Roman" w:hAnsi="Times New Roman"/>
          <w:spacing w:val="-4"/>
          <w:sz w:val="24"/>
        </w:rPr>
        <w:t> </w:t>
      </w:r>
      <w:r>
        <w:rPr>
          <w:rFonts w:ascii="Times New Roman" w:hAnsi="Times New Roman"/>
          <w:sz w:val="24"/>
        </w:rPr>
        <w:t>(4.1.4.5.);</w:t>
      </w:r>
    </w:p>
    <w:p>
      <w:pPr>
        <w:pStyle w:val="ListParagraph"/>
        <w:numPr>
          <w:ilvl w:val="0"/>
          <w:numId w:val="10"/>
        </w:numPr>
        <w:tabs>
          <w:tab w:pos="303" w:val="left" w:leader="none"/>
        </w:tabs>
        <w:spacing w:line="240" w:lineRule="auto" w:before="0" w:after="0"/>
        <w:ind w:left="160" w:right="183"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Народни музеј </w:t>
      </w:r>
      <w:r>
        <w:rPr>
          <w:rFonts w:ascii="Times New Roman" w:hAnsi="Times New Roman"/>
          <w:sz w:val="24"/>
        </w:rPr>
        <w:t>у износу од 417 хиљада динара за исплату запосленима годишње награде </w:t>
      </w:r>
      <w:r>
        <w:rPr>
          <w:rFonts w:ascii="Times New Roman" w:hAnsi="Times New Roman"/>
          <w:sz w:val="24"/>
        </w:rPr>
        <w:t>за божићне празнике за 2013. годину</w:t>
      </w:r>
      <w:r>
        <w:rPr>
          <w:rFonts w:ascii="Times New Roman" w:hAnsi="Times New Roman"/>
          <w:spacing w:val="-9"/>
          <w:sz w:val="24"/>
        </w:rPr>
        <w:t> </w:t>
      </w:r>
      <w:r>
        <w:rPr>
          <w:rFonts w:ascii="Times New Roman" w:hAnsi="Times New Roman"/>
          <w:sz w:val="24"/>
        </w:rPr>
        <w:t>(4.1.4.</w:t>
      </w:r>
      <w:r>
        <w:rPr>
          <w:rFonts w:ascii="Times New Roman" w:hAnsi="Times New Roman"/>
          <w:sz w:val="24"/>
        </w:rPr>
        <w:t>1.);</w:t>
      </w:r>
    </w:p>
    <w:p>
      <w:pPr>
        <w:pStyle w:val="ListParagraph"/>
        <w:numPr>
          <w:ilvl w:val="0"/>
          <w:numId w:val="10"/>
        </w:numPr>
        <w:tabs>
          <w:tab w:pos="355" w:val="left" w:leader="none"/>
        </w:tabs>
        <w:spacing w:line="240" w:lineRule="auto" w:before="0" w:after="0"/>
        <w:ind w:left="160" w:right="185"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Позориште лутака </w:t>
      </w:r>
      <w:r>
        <w:rPr>
          <w:rFonts w:ascii="Times New Roman" w:hAnsi="Times New Roman"/>
          <w:sz w:val="24"/>
        </w:rPr>
        <w:t>у износу од 161 хиљаде динара за исплату годишње награде за </w:t>
      </w:r>
      <w:r>
        <w:rPr>
          <w:rFonts w:ascii="Times New Roman" w:hAnsi="Times New Roman"/>
          <w:sz w:val="24"/>
        </w:rPr>
        <w:t>божићне празнике за 2013. годину</w:t>
      </w:r>
      <w:r>
        <w:rPr>
          <w:rFonts w:ascii="Times New Roman" w:hAnsi="Times New Roman"/>
          <w:spacing w:val="-11"/>
          <w:sz w:val="24"/>
        </w:rPr>
        <w:t> </w:t>
      </w:r>
      <w:r>
        <w:rPr>
          <w:rFonts w:ascii="Times New Roman" w:hAnsi="Times New Roman"/>
          <w:sz w:val="24"/>
        </w:rPr>
        <w:t>(4.1.4.6.);</w:t>
      </w:r>
    </w:p>
    <w:p>
      <w:pPr>
        <w:pStyle w:val="ListParagraph"/>
        <w:numPr>
          <w:ilvl w:val="0"/>
          <w:numId w:val="10"/>
        </w:numPr>
        <w:tabs>
          <w:tab w:pos="372"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Завод за заштиту споменика културе </w:t>
      </w:r>
      <w:r>
        <w:rPr>
          <w:rFonts w:ascii="Times New Roman" w:hAnsi="Times New Roman"/>
          <w:sz w:val="24"/>
        </w:rPr>
        <w:t>у износу од 153 хиљаде динара за исплату </w:t>
      </w:r>
      <w:r>
        <w:rPr>
          <w:rFonts w:ascii="Times New Roman" w:hAnsi="Times New Roman"/>
          <w:sz w:val="24"/>
        </w:rPr>
        <w:t>запосленима годишње награде за божићне празнике за 2013. годину</w:t>
      </w:r>
      <w:r>
        <w:rPr>
          <w:rFonts w:ascii="Times New Roman" w:hAnsi="Times New Roman"/>
          <w:spacing w:val="-15"/>
          <w:sz w:val="24"/>
        </w:rPr>
        <w:t> </w:t>
      </w:r>
      <w:r>
        <w:rPr>
          <w:rFonts w:ascii="Times New Roman" w:hAnsi="Times New Roman"/>
          <w:sz w:val="24"/>
        </w:rPr>
        <w:t>(4.1.4.6</w:t>
      </w:r>
      <w:r>
        <w:rPr>
          <w:rFonts w:ascii="Times New Roman" w:hAnsi="Times New Roman"/>
          <w:sz w:val="24"/>
        </w:rPr>
        <w:t>.);</w:t>
      </w:r>
    </w:p>
    <w:p>
      <w:pPr>
        <w:pStyle w:val="ListParagraph"/>
        <w:numPr>
          <w:ilvl w:val="0"/>
          <w:numId w:val="10"/>
        </w:numPr>
        <w:tabs>
          <w:tab w:pos="322"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Народна библиотека </w:t>
      </w:r>
      <w:r>
        <w:rPr>
          <w:rFonts w:ascii="Times New Roman" w:hAnsi="Times New Roman"/>
          <w:sz w:val="24"/>
        </w:rPr>
        <w:t>у износу од 353 хиљаде динара за исплату запосленима годишње </w:t>
      </w:r>
      <w:r>
        <w:rPr>
          <w:rFonts w:ascii="Times New Roman" w:hAnsi="Times New Roman"/>
          <w:sz w:val="24"/>
        </w:rPr>
        <w:t>награде за божићне празнике за 2013. годину</w:t>
      </w:r>
      <w:r>
        <w:rPr>
          <w:rFonts w:ascii="Times New Roman" w:hAnsi="Times New Roman"/>
          <w:spacing w:val="-14"/>
          <w:sz w:val="24"/>
        </w:rPr>
        <w:t> </w:t>
      </w:r>
      <w:r>
        <w:rPr>
          <w:rFonts w:ascii="Times New Roman" w:hAnsi="Times New Roman"/>
          <w:sz w:val="24"/>
        </w:rPr>
        <w:t>(4.1.4.6.);</w:t>
      </w:r>
    </w:p>
    <w:p>
      <w:pPr>
        <w:pStyle w:val="ListParagraph"/>
        <w:numPr>
          <w:ilvl w:val="0"/>
          <w:numId w:val="10"/>
        </w:numPr>
        <w:tabs>
          <w:tab w:pos="367"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Галерија савремене ликовне уметности </w:t>
      </w:r>
      <w:r>
        <w:rPr>
          <w:rFonts w:ascii="Times New Roman" w:hAnsi="Times New Roman"/>
          <w:sz w:val="24"/>
        </w:rPr>
        <w:t>у износу од 50 хиљада динара за новчане </w:t>
      </w:r>
      <w:r>
        <w:rPr>
          <w:rFonts w:ascii="Times New Roman" w:hAnsi="Times New Roman"/>
          <w:sz w:val="24"/>
        </w:rPr>
        <w:t>поклоне запосленима</w:t>
      </w:r>
      <w:r>
        <w:rPr>
          <w:rFonts w:ascii="Times New Roman" w:hAnsi="Times New Roman"/>
          <w:spacing w:val="-10"/>
          <w:sz w:val="24"/>
        </w:rPr>
        <w:t> </w:t>
      </w:r>
      <w:r>
        <w:rPr>
          <w:rFonts w:ascii="Times New Roman" w:hAnsi="Times New Roman"/>
          <w:sz w:val="24"/>
        </w:rPr>
        <w:t>(4.1.4.6.);</w:t>
      </w:r>
    </w:p>
    <w:p>
      <w:pPr>
        <w:pStyle w:val="ListParagraph"/>
        <w:numPr>
          <w:ilvl w:val="0"/>
          <w:numId w:val="10"/>
        </w:numPr>
        <w:tabs>
          <w:tab w:pos="358"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Нишки културни центар </w:t>
      </w:r>
      <w:r>
        <w:rPr>
          <w:rFonts w:ascii="Times New Roman" w:hAnsi="Times New Roman" w:cs="Times New Roman" w:eastAsia="Times New Roman" w:hint="default"/>
          <w:sz w:val="24"/>
          <w:szCs w:val="24"/>
        </w:rPr>
        <w:t>у износу од 2.925 хиљада динара за извршене расходе за </w:t>
      </w:r>
      <w:r>
        <w:rPr>
          <w:rFonts w:ascii="Times New Roman" w:hAnsi="Times New Roman" w:cs="Times New Roman" w:eastAsia="Times New Roman" w:hint="default"/>
          <w:sz w:val="24"/>
          <w:szCs w:val="24"/>
        </w:rPr>
        <w:t>Пројекат „49. Фестивал глумачких остварења домаћег играног филма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Филмски сусрети 2014“ из средстава буџета Републике, који нису предвиђени пројектом у износу од 2.705 хиљада динара (4.1.4.11.) и за исплату зајма за огрев запосленима у износу од 220 хиљада динара</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(4.3.2.).</w:t>
      </w:r>
    </w:p>
    <w:p>
      <w:pPr>
        <w:spacing w:line="240" w:lineRule="auto" w:before="0"/>
        <w:rPr>
          <w:rFonts w:ascii="Times New Roman" w:hAnsi="Times New Roman" w:cs="Times New Roman" w:eastAsia="Times New Roman" w:hint="default"/>
          <w:sz w:val="24"/>
          <w:szCs w:val="24"/>
        </w:rPr>
      </w:pPr>
    </w:p>
    <w:p>
      <w:pPr>
        <w:pStyle w:val="ListParagraph"/>
        <w:numPr>
          <w:ilvl w:val="0"/>
          <w:numId w:val="11"/>
        </w:numPr>
        <w:tabs>
          <w:tab w:pos="432"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преузео обавезу и извршио расходе и издатке у износу од 235.</w:t>
      </w:r>
      <w:r>
        <w:rPr>
          <w:rFonts w:ascii="Times New Roman" w:hAnsi="Times New Roman"/>
          <w:sz w:val="24"/>
        </w:rPr>
        <w:t>666 </w:t>
      </w:r>
      <w:r>
        <w:rPr>
          <w:rFonts w:ascii="Times New Roman" w:hAnsi="Times New Roman"/>
          <w:sz w:val="24"/>
        </w:rPr>
        <w:t>хиљада динара, без валидне документације о насталој пословној промени  и</w:t>
      </w:r>
      <w:r>
        <w:rPr>
          <w:rFonts w:ascii="Times New Roman" w:hAnsi="Times New Roman"/>
          <w:spacing w:val="-14"/>
          <w:sz w:val="24"/>
        </w:rPr>
        <w:t> </w:t>
      </w:r>
      <w:r>
        <w:rPr>
          <w:rFonts w:ascii="Times New Roman" w:hAnsi="Times New Roman"/>
          <w:sz w:val="24"/>
        </w:rPr>
        <w:t>то:</w:t>
      </w:r>
    </w:p>
    <w:p>
      <w:pPr>
        <w:pStyle w:val="ListParagraph"/>
        <w:numPr>
          <w:ilvl w:val="0"/>
          <w:numId w:val="10"/>
        </w:numPr>
        <w:tabs>
          <w:tab w:pos="432" w:val="left" w:leader="none"/>
        </w:tabs>
        <w:spacing w:line="240" w:lineRule="auto" w:before="0" w:after="0"/>
        <w:ind w:left="431" w:right="0" w:hanging="271"/>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Скупштина Града </w:t>
      </w:r>
      <w:r>
        <w:rPr>
          <w:rFonts w:ascii="Times New Roman" w:hAnsi="Times New Roman"/>
          <w:sz w:val="24"/>
        </w:rPr>
        <w:t>у износу од 70 хиљада динара за услуге по уговору</w:t>
      </w:r>
      <w:r>
        <w:rPr>
          <w:rFonts w:ascii="Times New Roman" w:hAnsi="Times New Roman"/>
          <w:spacing w:val="-21"/>
          <w:sz w:val="24"/>
        </w:rPr>
        <w:t> </w:t>
      </w:r>
      <w:r>
        <w:rPr>
          <w:rFonts w:ascii="Times New Roman" w:hAnsi="Times New Roman"/>
          <w:sz w:val="24"/>
        </w:rPr>
        <w:t>(4.1.4.10.);</w:t>
      </w:r>
    </w:p>
    <w:p>
      <w:pPr>
        <w:pStyle w:val="ListParagraph"/>
        <w:numPr>
          <w:ilvl w:val="0"/>
          <w:numId w:val="10"/>
        </w:numPr>
        <w:tabs>
          <w:tab w:pos="432" w:val="left" w:leader="none"/>
        </w:tabs>
        <w:spacing w:line="240" w:lineRule="auto" w:before="0" w:after="0"/>
        <w:ind w:left="431" w:right="0" w:hanging="271"/>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Градоначелник </w:t>
      </w:r>
      <w:r>
        <w:rPr>
          <w:rFonts w:ascii="Times New Roman" w:hAnsi="Times New Roman"/>
          <w:sz w:val="24"/>
        </w:rPr>
        <w:t>у износу од 697 хиљада динара за услуге по уговору</w:t>
      </w:r>
      <w:r>
        <w:rPr>
          <w:rFonts w:ascii="Times New Roman" w:hAnsi="Times New Roman"/>
          <w:spacing w:val="-18"/>
          <w:sz w:val="24"/>
        </w:rPr>
        <w:t> </w:t>
      </w:r>
      <w:r>
        <w:rPr>
          <w:rFonts w:ascii="Times New Roman" w:hAnsi="Times New Roman"/>
          <w:sz w:val="24"/>
        </w:rPr>
        <w:t>(4.1.4.10.);</w:t>
      </w:r>
    </w:p>
    <w:p>
      <w:pPr>
        <w:pStyle w:val="ListParagraph"/>
        <w:numPr>
          <w:ilvl w:val="0"/>
          <w:numId w:val="10"/>
        </w:numPr>
        <w:tabs>
          <w:tab w:pos="432" w:val="left" w:leader="none"/>
        </w:tabs>
        <w:spacing w:line="240" w:lineRule="auto" w:before="0" w:after="0"/>
        <w:ind w:left="431" w:right="0" w:hanging="271"/>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Управа за финансије, изворне приходе локалне самоуправе и јавне набавке </w:t>
      </w:r>
      <w:r>
        <w:rPr>
          <w:rFonts w:ascii="Times New Roman" w:hAnsi="Times New Roman"/>
          <w:sz w:val="24"/>
        </w:rPr>
        <w:t>у износу</w:t>
      </w:r>
      <w:r>
        <w:rPr>
          <w:rFonts w:ascii="Times New Roman" w:hAnsi="Times New Roman"/>
          <w:spacing w:val="-8"/>
          <w:sz w:val="24"/>
        </w:rPr>
        <w:t> </w:t>
      </w:r>
      <w:r>
        <w:rPr>
          <w:rFonts w:ascii="Times New Roman" w:hAnsi="Times New Roman"/>
          <w:sz w:val="24"/>
        </w:rPr>
        <w:t>од</w:t>
      </w:r>
    </w:p>
    <w:p>
      <w:pPr>
        <w:pStyle w:val="BodyText"/>
        <w:spacing w:line="240" w:lineRule="auto"/>
        <w:ind w:right="181"/>
        <w:jc w:val="both"/>
      </w:pPr>
      <w:r>
        <w:rPr/>
        <w:t>19.236 хиљада динара за социјална давања запосленима, услуге по уговору и специјализоване услуге (4.1.4.4, 4.1.4.10. и</w:t>
      </w:r>
      <w:r>
        <w:rPr>
          <w:spacing w:val="-11"/>
        </w:rPr>
        <w:t> </w:t>
      </w:r>
      <w:r>
        <w:rPr/>
        <w:t>4.1.4.11.);</w:t>
      </w:r>
    </w:p>
    <w:p>
      <w:pPr>
        <w:pStyle w:val="ListParagraph"/>
        <w:numPr>
          <w:ilvl w:val="0"/>
          <w:numId w:val="10"/>
        </w:numPr>
        <w:tabs>
          <w:tab w:pos="432" w:val="left" w:leader="none"/>
        </w:tabs>
        <w:spacing w:line="240" w:lineRule="auto" w:before="0" w:after="0"/>
        <w:ind w:left="160" w:right="183"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Управа за културу </w:t>
      </w:r>
      <w:r>
        <w:rPr>
          <w:rFonts w:ascii="Times New Roman" w:hAnsi="Times New Roman"/>
          <w:sz w:val="24"/>
        </w:rPr>
        <w:t>у износу од 12.438 хиљада динара за услуге по уговору и остале </w:t>
      </w:r>
      <w:r>
        <w:rPr>
          <w:rFonts w:ascii="Times New Roman" w:hAnsi="Times New Roman"/>
          <w:sz w:val="24"/>
        </w:rPr>
        <w:t>дотације и трансфере (4.1.4.10. и</w:t>
      </w:r>
      <w:r>
        <w:rPr>
          <w:rFonts w:ascii="Times New Roman" w:hAnsi="Times New Roman"/>
          <w:spacing w:val="-7"/>
          <w:sz w:val="24"/>
        </w:rPr>
        <w:t> </w:t>
      </w:r>
      <w:r>
        <w:rPr>
          <w:rFonts w:ascii="Times New Roman" w:hAnsi="Times New Roman"/>
          <w:sz w:val="24"/>
        </w:rPr>
        <w:t>4.1.4.21.);</w:t>
      </w:r>
    </w:p>
    <w:p>
      <w:pPr>
        <w:spacing w:after="0" w:line="240" w:lineRule="auto"/>
        <w:jc w:val="both"/>
        <w:rPr>
          <w:rFonts w:ascii="Times New Roman" w:hAnsi="Times New Roman" w:cs="Times New Roman" w:eastAsia="Times New Roman" w:hint="default"/>
          <w:sz w:val="24"/>
          <w:szCs w:val="24"/>
        </w:rPr>
        <w:sectPr>
          <w:pgSz w:w="12240" w:h="15840"/>
          <w:pgMar w:header="740" w:footer="1466" w:top="1280" w:bottom="1660" w:left="1400" w:right="1260"/>
        </w:sectPr>
      </w:pPr>
    </w:p>
    <w:p>
      <w:pPr>
        <w:spacing w:line="240" w:lineRule="auto" w:before="8"/>
        <w:rPr>
          <w:rFonts w:ascii="Times New Roman" w:hAnsi="Times New Roman" w:cs="Times New Roman" w:eastAsia="Times New Roman" w:hint="default"/>
          <w:sz w:val="16"/>
          <w:szCs w:val="16"/>
        </w:rPr>
      </w:pPr>
    </w:p>
    <w:p>
      <w:pPr>
        <w:pStyle w:val="ListParagraph"/>
        <w:numPr>
          <w:ilvl w:val="0"/>
          <w:numId w:val="10"/>
        </w:numPr>
        <w:tabs>
          <w:tab w:pos="432" w:val="left" w:leader="none"/>
        </w:tabs>
        <w:spacing w:line="240" w:lineRule="auto" w:before="69" w:after="0"/>
        <w:ind w:left="160" w:right="175"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Управа за комуналне делатности, енергетику и саобраћај </w:t>
      </w:r>
      <w:r>
        <w:rPr>
          <w:rFonts w:ascii="Times New Roman" w:hAnsi="Times New Roman"/>
          <w:sz w:val="24"/>
        </w:rPr>
        <w:t>у износу од 67.666 хиљада </w:t>
      </w:r>
      <w:r>
        <w:rPr>
          <w:rFonts w:ascii="Times New Roman" w:hAnsi="Times New Roman"/>
          <w:sz w:val="24"/>
        </w:rPr>
        <w:t>динара за услуге по уговору и специјализоване услуге (4.1.4.10. и</w:t>
      </w:r>
      <w:r>
        <w:rPr>
          <w:rFonts w:ascii="Times New Roman" w:hAnsi="Times New Roman"/>
          <w:spacing w:val="-20"/>
          <w:sz w:val="24"/>
        </w:rPr>
        <w:t> </w:t>
      </w:r>
      <w:r>
        <w:rPr>
          <w:rFonts w:ascii="Times New Roman" w:hAnsi="Times New Roman"/>
          <w:sz w:val="24"/>
        </w:rPr>
        <w:t>4.1.4.11.);</w:t>
      </w:r>
    </w:p>
    <w:p>
      <w:pPr>
        <w:pStyle w:val="ListParagraph"/>
        <w:numPr>
          <w:ilvl w:val="0"/>
          <w:numId w:val="10"/>
        </w:numPr>
        <w:tabs>
          <w:tab w:pos="432"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Управа за привреду, одрживи развој и заштиту животне средине </w:t>
      </w:r>
      <w:r>
        <w:rPr>
          <w:rFonts w:ascii="Times New Roman" w:hAnsi="Times New Roman"/>
          <w:sz w:val="24"/>
        </w:rPr>
        <w:t>у износу од 28.078 </w:t>
      </w:r>
      <w:r>
        <w:rPr>
          <w:rFonts w:ascii="Times New Roman" w:hAnsi="Times New Roman"/>
          <w:sz w:val="24"/>
        </w:rPr>
        <w:t>хиљада динара за специјализоване услуге</w:t>
      </w:r>
      <w:r>
        <w:rPr>
          <w:rFonts w:ascii="Times New Roman" w:hAnsi="Times New Roman"/>
          <w:spacing w:val="-10"/>
          <w:sz w:val="24"/>
        </w:rPr>
        <w:t> </w:t>
      </w:r>
      <w:r>
        <w:rPr>
          <w:rFonts w:ascii="Times New Roman" w:hAnsi="Times New Roman"/>
          <w:sz w:val="24"/>
        </w:rPr>
        <w:t>(4.1.4.</w:t>
      </w:r>
      <w:r>
        <w:rPr>
          <w:rFonts w:ascii="Times New Roman" w:hAnsi="Times New Roman"/>
          <w:sz w:val="24"/>
        </w:rPr>
        <w:t>11.);</w:t>
      </w:r>
    </w:p>
    <w:p>
      <w:pPr>
        <w:pStyle w:val="ListParagraph"/>
        <w:numPr>
          <w:ilvl w:val="0"/>
          <w:numId w:val="10"/>
        </w:numPr>
        <w:tabs>
          <w:tab w:pos="432"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Управа за пољопривреду и развој села </w:t>
      </w:r>
      <w:r>
        <w:rPr>
          <w:rFonts w:ascii="Times New Roman" w:hAnsi="Times New Roman"/>
          <w:sz w:val="24"/>
        </w:rPr>
        <w:t>у износу од 211 хиљада динара за </w:t>
      </w:r>
      <w:r>
        <w:rPr>
          <w:rFonts w:ascii="Times New Roman" w:hAnsi="Times New Roman"/>
          <w:sz w:val="24"/>
        </w:rPr>
        <w:t>специјализоване услуге</w:t>
      </w:r>
      <w:r>
        <w:rPr>
          <w:rFonts w:ascii="Times New Roman" w:hAnsi="Times New Roman"/>
          <w:spacing w:val="-11"/>
          <w:sz w:val="24"/>
        </w:rPr>
        <w:t> </w:t>
      </w:r>
      <w:r>
        <w:rPr>
          <w:rFonts w:ascii="Times New Roman" w:hAnsi="Times New Roman"/>
          <w:sz w:val="24"/>
        </w:rPr>
        <w:t>(4.1.4.11.);</w:t>
      </w:r>
    </w:p>
    <w:p>
      <w:pPr>
        <w:pStyle w:val="ListParagraph"/>
        <w:numPr>
          <w:ilvl w:val="0"/>
          <w:numId w:val="10"/>
        </w:numPr>
        <w:tabs>
          <w:tab w:pos="432"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Управа за дечију, социјалну и примарну здравствену заштиту </w:t>
      </w:r>
      <w:r>
        <w:rPr>
          <w:rFonts w:ascii="Times New Roman" w:hAnsi="Times New Roman"/>
          <w:sz w:val="24"/>
        </w:rPr>
        <w:t>у износу од 96.051 </w:t>
      </w:r>
      <w:r>
        <w:rPr>
          <w:rFonts w:ascii="Times New Roman" w:hAnsi="Times New Roman"/>
          <w:sz w:val="24"/>
        </w:rPr>
        <w:t>хиљад</w:t>
      </w:r>
      <w:r>
        <w:rPr>
          <w:rFonts w:ascii="Times New Roman" w:hAnsi="Times New Roman"/>
          <w:sz w:val="24"/>
        </w:rPr>
        <w:t>e </w:t>
      </w:r>
      <w:r>
        <w:rPr>
          <w:rFonts w:ascii="Times New Roman" w:hAnsi="Times New Roman"/>
          <w:sz w:val="24"/>
        </w:rPr>
        <w:t>динара за накнаде за социјалну заштиту</w:t>
      </w:r>
      <w:r>
        <w:rPr>
          <w:rFonts w:ascii="Times New Roman" w:hAnsi="Times New Roman"/>
          <w:spacing w:val="-20"/>
          <w:sz w:val="24"/>
        </w:rPr>
        <w:t> </w:t>
      </w:r>
      <w:r>
        <w:rPr>
          <w:rFonts w:ascii="Times New Roman" w:hAnsi="Times New Roman"/>
          <w:sz w:val="24"/>
        </w:rPr>
        <w:t>(4.1.4.22.);</w:t>
      </w:r>
    </w:p>
    <w:p>
      <w:pPr>
        <w:pStyle w:val="ListParagraph"/>
        <w:numPr>
          <w:ilvl w:val="0"/>
          <w:numId w:val="10"/>
        </w:numPr>
        <w:tabs>
          <w:tab w:pos="432" w:val="left" w:leader="none"/>
        </w:tabs>
        <w:spacing w:line="240" w:lineRule="auto" w:before="0" w:after="0"/>
        <w:ind w:left="160" w:right="178"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Управа за образовање </w:t>
      </w:r>
      <w:r>
        <w:rPr>
          <w:rFonts w:ascii="Times New Roman" w:hAnsi="Times New Roman"/>
          <w:sz w:val="24"/>
        </w:rPr>
        <w:t>у износу од 3.212 хиљада динара за накнаде за социјалну </w:t>
      </w:r>
      <w:r>
        <w:rPr>
          <w:rFonts w:ascii="Times New Roman" w:hAnsi="Times New Roman"/>
          <w:sz w:val="24"/>
        </w:rPr>
        <w:t>заштиту</w:t>
      </w:r>
      <w:r>
        <w:rPr>
          <w:rFonts w:ascii="Times New Roman" w:hAnsi="Times New Roman"/>
          <w:spacing w:val="-9"/>
          <w:sz w:val="24"/>
        </w:rPr>
        <w:t> </w:t>
      </w:r>
      <w:r>
        <w:rPr>
          <w:rFonts w:ascii="Times New Roman" w:hAnsi="Times New Roman"/>
          <w:sz w:val="24"/>
        </w:rPr>
        <w:t>(4.1.4.22.);</w:t>
      </w:r>
    </w:p>
    <w:p>
      <w:pPr>
        <w:pStyle w:val="ListParagraph"/>
        <w:numPr>
          <w:ilvl w:val="0"/>
          <w:numId w:val="10"/>
        </w:numPr>
        <w:tabs>
          <w:tab w:pos="432"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Служба за одржавање и информатичко комуникационе технологије </w:t>
      </w:r>
      <w:r>
        <w:rPr>
          <w:rFonts w:ascii="Times New Roman" w:hAnsi="Times New Roman"/>
          <w:sz w:val="24"/>
        </w:rPr>
        <w:t>у износу од 6.053 </w:t>
      </w:r>
      <w:r>
        <w:rPr>
          <w:rFonts w:ascii="Times New Roman" w:hAnsi="Times New Roman"/>
          <w:sz w:val="24"/>
        </w:rPr>
        <w:t>хиљаде динара за сталне трошкове, услуге по уговору и зграде и грађевинске објект</w:t>
      </w:r>
      <w:r>
        <w:rPr>
          <w:rFonts w:ascii="Times New Roman" w:hAnsi="Times New Roman"/>
          <w:sz w:val="24"/>
        </w:rPr>
        <w:t>e (4.</w:t>
      </w:r>
      <w:r>
        <w:rPr>
          <w:rFonts w:ascii="Times New Roman" w:hAnsi="Times New Roman"/>
          <w:sz w:val="24"/>
        </w:rPr>
        <w:t>1.4.8, 4.1.4.10. и</w:t>
      </w:r>
      <w:r>
        <w:rPr>
          <w:rFonts w:ascii="Times New Roman" w:hAnsi="Times New Roman"/>
          <w:spacing w:val="-3"/>
          <w:sz w:val="24"/>
        </w:rPr>
        <w:t> </w:t>
      </w:r>
      <w:r>
        <w:rPr>
          <w:rFonts w:ascii="Times New Roman" w:hAnsi="Times New Roman"/>
          <w:sz w:val="24"/>
        </w:rPr>
        <w:t>4.1.5.1.);</w:t>
      </w:r>
    </w:p>
    <w:p>
      <w:pPr>
        <w:pStyle w:val="ListParagraph"/>
        <w:numPr>
          <w:ilvl w:val="0"/>
          <w:numId w:val="10"/>
        </w:numPr>
        <w:tabs>
          <w:tab w:pos="432" w:val="left" w:leader="none"/>
        </w:tabs>
        <w:spacing w:line="240" w:lineRule="auto" w:before="0" w:after="0"/>
        <w:ind w:left="160" w:right="182"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ПУ Пчелица </w:t>
      </w:r>
      <w:r>
        <w:rPr>
          <w:rFonts w:ascii="Times New Roman" w:hAnsi="Times New Roman"/>
          <w:sz w:val="24"/>
        </w:rPr>
        <w:t>у износу од 539 хиљада динара за текуће поправке и одржавање и зграде  </w:t>
      </w:r>
      <w:r>
        <w:rPr>
          <w:rFonts w:ascii="Times New Roman" w:hAnsi="Times New Roman"/>
          <w:sz w:val="24"/>
        </w:rPr>
        <w:t>и грађевинске објекте (4.1.4.12. и</w:t>
      </w:r>
      <w:r>
        <w:rPr>
          <w:rFonts w:ascii="Times New Roman" w:hAnsi="Times New Roman"/>
          <w:spacing w:val="-8"/>
          <w:sz w:val="24"/>
        </w:rPr>
        <w:t> </w:t>
      </w:r>
      <w:r>
        <w:rPr>
          <w:rFonts w:ascii="Times New Roman" w:hAnsi="Times New Roman"/>
          <w:sz w:val="24"/>
        </w:rPr>
        <w:t>4.1.5.1.);</w:t>
      </w:r>
    </w:p>
    <w:p>
      <w:pPr>
        <w:pStyle w:val="ListParagraph"/>
        <w:numPr>
          <w:ilvl w:val="0"/>
          <w:numId w:val="10"/>
        </w:numPr>
        <w:tabs>
          <w:tab w:pos="432" w:val="left" w:leader="none"/>
        </w:tabs>
        <w:spacing w:line="240" w:lineRule="auto" w:before="0" w:after="0"/>
        <w:ind w:left="431" w:right="0" w:hanging="271"/>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Народни музеј </w:t>
      </w:r>
      <w:r>
        <w:rPr>
          <w:rFonts w:ascii="Times New Roman" w:hAnsi="Times New Roman"/>
          <w:sz w:val="24"/>
        </w:rPr>
        <w:t>у износу од 199 хиљада динара за материјал</w:t>
      </w:r>
      <w:r>
        <w:rPr>
          <w:rFonts w:ascii="Times New Roman" w:hAnsi="Times New Roman"/>
          <w:spacing w:val="-19"/>
          <w:sz w:val="24"/>
        </w:rPr>
        <w:t> </w:t>
      </w:r>
      <w:r>
        <w:rPr>
          <w:rFonts w:ascii="Times New Roman" w:hAnsi="Times New Roman"/>
          <w:sz w:val="24"/>
        </w:rPr>
        <w:t>(4.1.4.13.);</w:t>
      </w:r>
    </w:p>
    <w:p>
      <w:pPr>
        <w:pStyle w:val="ListParagraph"/>
        <w:numPr>
          <w:ilvl w:val="0"/>
          <w:numId w:val="10"/>
        </w:numPr>
        <w:tabs>
          <w:tab w:pos="432" w:val="left" w:leader="none"/>
        </w:tabs>
        <w:spacing w:line="240" w:lineRule="auto" w:before="0" w:after="0"/>
        <w:ind w:left="160" w:right="183"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Нишки културни центар </w:t>
      </w:r>
      <w:r>
        <w:rPr>
          <w:rFonts w:ascii="Times New Roman" w:hAnsi="Times New Roman"/>
          <w:sz w:val="24"/>
        </w:rPr>
        <w:t>у износу од 932 хиљаде динара за услуге по уговору и </w:t>
      </w:r>
      <w:r>
        <w:rPr>
          <w:rFonts w:ascii="Times New Roman" w:hAnsi="Times New Roman"/>
          <w:sz w:val="24"/>
        </w:rPr>
        <w:t>специјализоване услуге (4.1.4.10. и</w:t>
      </w:r>
      <w:r>
        <w:rPr>
          <w:rFonts w:ascii="Times New Roman" w:hAnsi="Times New Roman"/>
          <w:spacing w:val="-11"/>
          <w:sz w:val="24"/>
        </w:rPr>
        <w:t> </w:t>
      </w:r>
      <w:r>
        <w:rPr>
          <w:rFonts w:ascii="Times New Roman" w:hAnsi="Times New Roman"/>
          <w:sz w:val="24"/>
        </w:rPr>
        <w:t>4.1.4.11.);</w:t>
      </w:r>
    </w:p>
    <w:p>
      <w:pPr>
        <w:pStyle w:val="ListParagraph"/>
        <w:numPr>
          <w:ilvl w:val="0"/>
          <w:numId w:val="10"/>
        </w:numPr>
        <w:tabs>
          <w:tab w:pos="432"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Туристичка организација </w:t>
      </w:r>
      <w:r>
        <w:rPr>
          <w:rFonts w:ascii="Times New Roman" w:hAnsi="Times New Roman"/>
          <w:sz w:val="24"/>
        </w:rPr>
        <w:t>у износу од 284 хиљаде динара за услуге по уговору </w:t>
      </w:r>
      <w:r>
        <w:rPr>
          <w:rFonts w:ascii="Times New Roman" w:hAnsi="Times New Roman"/>
          <w:sz w:val="24"/>
        </w:rPr>
      </w:r>
      <w:r>
        <w:rPr>
          <w:rFonts w:ascii="Times New Roman" w:hAnsi="Times New Roman"/>
          <w:sz w:val="24"/>
        </w:rPr>
        <w:t>(4.1.4.10.).</w:t>
      </w:r>
    </w:p>
    <w:p>
      <w:pPr>
        <w:spacing w:line="240" w:lineRule="auto" w:before="0"/>
        <w:rPr>
          <w:rFonts w:ascii="Times New Roman" w:hAnsi="Times New Roman" w:cs="Times New Roman" w:eastAsia="Times New Roman" w:hint="default"/>
          <w:sz w:val="24"/>
          <w:szCs w:val="24"/>
        </w:rPr>
      </w:pPr>
    </w:p>
    <w:p>
      <w:pPr>
        <w:pStyle w:val="ListParagraph"/>
        <w:numPr>
          <w:ilvl w:val="0"/>
          <w:numId w:val="11"/>
        </w:numPr>
        <w:tabs>
          <w:tab w:pos="521"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преузео обавезу и извршио расходе у износу од </w:t>
      </w:r>
      <w:r>
        <w:rPr>
          <w:rFonts w:ascii="Times New Roman" w:hAnsi="Times New Roman"/>
          <w:sz w:val="24"/>
        </w:rPr>
        <w:t>26.530 </w:t>
      </w:r>
      <w:r>
        <w:rPr>
          <w:rFonts w:ascii="Times New Roman" w:hAnsi="Times New Roman"/>
          <w:sz w:val="24"/>
        </w:rPr>
        <w:t>хиљада динара, без јавног конкурса и непримењујући интерни акт којим је регулисана додела средстава удружењима:</w:t>
      </w:r>
    </w:p>
    <w:p>
      <w:pPr>
        <w:pStyle w:val="ListParagraph"/>
        <w:numPr>
          <w:ilvl w:val="0"/>
          <w:numId w:val="10"/>
        </w:numPr>
        <w:tabs>
          <w:tab w:pos="317"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Градоначелник </w:t>
      </w:r>
      <w:r>
        <w:rPr>
          <w:rFonts w:ascii="Times New Roman" w:hAnsi="Times New Roman"/>
          <w:sz w:val="24"/>
        </w:rPr>
        <w:t>у износу од 2.991 хиљаде динара за доделу средстава удружењима без </w:t>
      </w:r>
      <w:r>
        <w:rPr>
          <w:rFonts w:ascii="Times New Roman" w:hAnsi="Times New Roman"/>
          <w:sz w:val="24"/>
        </w:rPr>
        <w:t>јавног конкурса, закљученог уговора и извештаја о начину коришћења тих средстава (тачка 4.1.4.23.</w:t>
      </w:r>
      <w:r>
        <w:rPr>
          <w:rFonts w:ascii="Times New Roman" w:hAnsi="Times New Roman"/>
          <w:spacing w:val="-4"/>
          <w:sz w:val="24"/>
        </w:rPr>
        <w:t> </w:t>
      </w:r>
      <w:r>
        <w:rPr>
          <w:rFonts w:ascii="Times New Roman" w:hAnsi="Times New Roman"/>
          <w:sz w:val="24"/>
        </w:rPr>
        <w:t>Напомена);</w:t>
      </w:r>
    </w:p>
    <w:p>
      <w:pPr>
        <w:pStyle w:val="ListParagraph"/>
        <w:numPr>
          <w:ilvl w:val="0"/>
          <w:numId w:val="10"/>
        </w:numPr>
        <w:tabs>
          <w:tab w:pos="358"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Управа за дечију, социјалну и примарну здравствену заштиту </w:t>
      </w:r>
      <w:r>
        <w:rPr>
          <w:rFonts w:ascii="Times New Roman" w:hAnsi="Times New Roman"/>
          <w:sz w:val="24"/>
        </w:rPr>
        <w:t>у износу од 23.539 </w:t>
      </w:r>
      <w:r>
        <w:rPr>
          <w:rFonts w:ascii="Times New Roman" w:hAnsi="Times New Roman"/>
          <w:sz w:val="24"/>
        </w:rPr>
        <w:t>хиљада динара за доделу средстава без јавног конкурса, закљученог уговора и извештаја о начину коришћења тих средстава (тачка 4.1.4.23.</w:t>
      </w:r>
      <w:r>
        <w:rPr>
          <w:rFonts w:ascii="Times New Roman" w:hAnsi="Times New Roman"/>
          <w:spacing w:val="-13"/>
          <w:sz w:val="24"/>
        </w:rPr>
        <w:t> </w:t>
      </w:r>
      <w:r>
        <w:rPr>
          <w:rFonts w:ascii="Times New Roman" w:hAnsi="Times New Roman"/>
          <w:sz w:val="24"/>
        </w:rPr>
        <w:t>Напомена)</w:t>
      </w:r>
      <w:r>
        <w:rPr>
          <w:rFonts w:ascii="Times New Roman" w:hAnsi="Times New Roman"/>
          <w:sz w:val="24"/>
        </w:rPr>
        <w:t>.</w:t>
      </w:r>
    </w:p>
    <w:p>
      <w:pPr>
        <w:spacing w:line="240" w:lineRule="auto" w:before="0"/>
        <w:rPr>
          <w:rFonts w:ascii="Times New Roman" w:hAnsi="Times New Roman" w:cs="Times New Roman" w:eastAsia="Times New Roman" w:hint="default"/>
          <w:sz w:val="24"/>
          <w:szCs w:val="24"/>
        </w:rPr>
      </w:pPr>
    </w:p>
    <w:p>
      <w:pPr>
        <w:pStyle w:val="ListParagraph"/>
        <w:numPr>
          <w:ilvl w:val="0"/>
          <w:numId w:val="11"/>
        </w:numPr>
        <w:tabs>
          <w:tab w:pos="521"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преузео обавезу и извршио расходе у износу од </w:t>
      </w:r>
      <w:r>
        <w:rPr>
          <w:rFonts w:ascii="Times New Roman" w:hAnsi="Times New Roman"/>
          <w:sz w:val="24"/>
        </w:rPr>
        <w:t>84.301 </w:t>
      </w:r>
      <w:r>
        <w:rPr>
          <w:rFonts w:ascii="Times New Roman" w:hAnsi="Times New Roman"/>
          <w:sz w:val="24"/>
        </w:rPr>
        <w:t>хиљаде динара, без спроведеног поступка јавне набавке и</w:t>
      </w:r>
      <w:r>
        <w:rPr>
          <w:rFonts w:ascii="Times New Roman" w:hAnsi="Times New Roman"/>
          <w:spacing w:val="-14"/>
          <w:sz w:val="24"/>
        </w:rPr>
        <w:t> </w:t>
      </w:r>
      <w:r>
        <w:rPr>
          <w:rFonts w:ascii="Times New Roman" w:hAnsi="Times New Roman"/>
          <w:sz w:val="24"/>
        </w:rPr>
        <w:t>то:</w:t>
      </w:r>
    </w:p>
    <w:p>
      <w:pPr>
        <w:pStyle w:val="ListParagraph"/>
        <w:numPr>
          <w:ilvl w:val="0"/>
          <w:numId w:val="9"/>
        </w:numPr>
        <w:tabs>
          <w:tab w:pos="303" w:val="left" w:leader="none"/>
        </w:tabs>
        <w:spacing w:line="292" w:lineRule="exact" w:before="2"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без спроведеног поступка јавне набавке у износу од </w:t>
      </w:r>
      <w:r>
        <w:rPr>
          <w:rFonts w:ascii="Times New Roman" w:hAnsi="Times New Roman"/>
          <w:sz w:val="24"/>
        </w:rPr>
        <w:t>84.301 </w:t>
      </w:r>
      <w:r>
        <w:rPr>
          <w:rFonts w:ascii="Times New Roman" w:hAnsi="Times New Roman"/>
          <w:sz w:val="24"/>
        </w:rPr>
        <w:t>хиљаде</w:t>
      </w:r>
      <w:r>
        <w:rPr>
          <w:rFonts w:ascii="Times New Roman" w:hAnsi="Times New Roman"/>
          <w:spacing w:val="-19"/>
          <w:sz w:val="24"/>
        </w:rPr>
        <w:t> </w:t>
      </w:r>
      <w:r>
        <w:rPr>
          <w:rFonts w:ascii="Times New Roman" w:hAnsi="Times New Roman"/>
          <w:sz w:val="24"/>
        </w:rPr>
        <w:t>динара:</w:t>
      </w:r>
    </w:p>
    <w:p>
      <w:pPr>
        <w:pStyle w:val="ListParagraph"/>
        <w:numPr>
          <w:ilvl w:val="0"/>
          <w:numId w:val="10"/>
        </w:numPr>
        <w:tabs>
          <w:tab w:pos="334" w:val="left" w:leader="none"/>
        </w:tabs>
        <w:spacing w:line="240" w:lineRule="auto" w:before="0" w:after="0"/>
        <w:ind w:left="160" w:right="181"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ЈП Дирекција за изградњу града </w:t>
      </w:r>
      <w:r>
        <w:rPr>
          <w:rFonts w:ascii="Times New Roman" w:hAnsi="Times New Roman"/>
          <w:sz w:val="24"/>
        </w:rPr>
        <w:t>у укупном износу од 78.392 хиљаде динара и то за: </w:t>
      </w:r>
      <w:r>
        <w:rPr>
          <w:rFonts w:ascii="Times New Roman" w:hAnsi="Times New Roman"/>
          <w:sz w:val="24"/>
        </w:rPr>
        <w:t>електричну енергију за јавну расвету на градском и сеоском подручју у износу од 78.242 хиљаде динара (4.1.4.12) и вишкове радова на изградњи канализационе мреже у износу  од 150 хиљада динара</w:t>
      </w:r>
      <w:r>
        <w:rPr>
          <w:rFonts w:ascii="Times New Roman" w:hAnsi="Times New Roman"/>
          <w:spacing w:val="-4"/>
          <w:sz w:val="24"/>
        </w:rPr>
        <w:t> </w:t>
      </w:r>
      <w:r>
        <w:rPr>
          <w:rFonts w:ascii="Times New Roman" w:hAnsi="Times New Roman"/>
          <w:sz w:val="24"/>
        </w:rPr>
        <w:t>(4.1.5.1);</w:t>
      </w:r>
    </w:p>
    <w:p>
      <w:pPr>
        <w:pStyle w:val="ListParagraph"/>
        <w:numPr>
          <w:ilvl w:val="0"/>
          <w:numId w:val="10"/>
        </w:numPr>
        <w:tabs>
          <w:tab w:pos="327"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ПУ Пчелица </w:t>
      </w:r>
      <w:r>
        <w:rPr>
          <w:rFonts w:ascii="Times New Roman" w:hAnsi="Times New Roman"/>
          <w:sz w:val="24"/>
        </w:rPr>
        <w:t>у укупном износу од 5.909 хиљада динара и то за: радове на одржавању </w:t>
      </w:r>
      <w:r>
        <w:rPr>
          <w:rFonts w:ascii="Times New Roman" w:hAnsi="Times New Roman"/>
          <w:sz w:val="24"/>
        </w:rPr>
        <w:t>врата, прозора и замени стакала у износу од 633 хиљаде динара (4.1.4.12), набавку </w:t>
      </w:r>
      <w:r>
        <w:rPr>
          <w:rFonts w:ascii="Times New Roman" w:hAnsi="Times New Roman"/>
          <w:spacing w:val="2"/>
          <w:sz w:val="24"/>
        </w:rPr>
        <w:t>лож</w:t>
      </w:r>
      <w:r>
        <w:rPr>
          <w:rFonts w:ascii="Times New Roman" w:hAnsi="Times New Roman"/>
          <w:spacing w:val="2"/>
          <w:sz w:val="24"/>
        </w:rPr>
        <w:t>- </w:t>
      </w:r>
      <w:r>
        <w:rPr>
          <w:rFonts w:ascii="Times New Roman" w:hAnsi="Times New Roman"/>
          <w:spacing w:val="2"/>
          <w:sz w:val="24"/>
        </w:rPr>
      </w:r>
      <w:r>
        <w:rPr>
          <w:rFonts w:ascii="Times New Roman" w:hAnsi="Times New Roman"/>
          <w:sz w:val="24"/>
        </w:rPr>
        <w:t>уља у износу од 1.652 хиљаде динара (4.1.4.13) и набавку намирница у износу од 3.624 </w:t>
      </w:r>
      <w:r>
        <w:rPr>
          <w:rFonts w:ascii="Times New Roman" w:hAnsi="Times New Roman"/>
          <w:sz w:val="24"/>
        </w:rPr>
        <w:t>хиљаде динара</w:t>
      </w:r>
      <w:r>
        <w:rPr>
          <w:rFonts w:ascii="Times New Roman" w:hAnsi="Times New Roman"/>
          <w:spacing w:val="-4"/>
          <w:sz w:val="24"/>
        </w:rPr>
        <w:t> </w:t>
      </w:r>
      <w:r>
        <w:rPr>
          <w:rFonts w:ascii="Times New Roman" w:hAnsi="Times New Roman"/>
          <w:sz w:val="24"/>
        </w:rPr>
        <w:t>(4.1.4.13).</w:t>
      </w:r>
    </w:p>
    <w:p>
      <w:pPr>
        <w:pStyle w:val="ListParagraph"/>
        <w:numPr>
          <w:ilvl w:val="0"/>
          <w:numId w:val="11"/>
        </w:numPr>
        <w:tabs>
          <w:tab w:pos="444" w:val="left" w:leader="none"/>
        </w:tabs>
        <w:spacing w:line="240" w:lineRule="auto" w:before="139" w:after="0"/>
        <w:ind w:left="443" w:right="0" w:hanging="283"/>
        <w:jc w:val="both"/>
        <w:rPr>
          <w:rFonts w:ascii="Times New Roman" w:hAnsi="Times New Roman" w:cs="Times New Roman" w:eastAsia="Times New Roman" w:hint="default"/>
          <w:sz w:val="24"/>
          <w:szCs w:val="24"/>
        </w:rPr>
      </w:pPr>
      <w:r>
        <w:rPr>
          <w:rFonts w:ascii="Times New Roman" w:hAnsi="Times New Roman"/>
          <w:sz w:val="24"/>
        </w:rPr>
        <w:t>преузео веће обавезе у укупном износу од </w:t>
      </w:r>
      <w:r>
        <w:rPr>
          <w:rFonts w:ascii="Times New Roman" w:hAnsi="Times New Roman"/>
          <w:sz w:val="24"/>
        </w:rPr>
        <w:t>792.648 </w:t>
      </w:r>
      <w:r>
        <w:rPr>
          <w:rFonts w:ascii="Times New Roman" w:hAnsi="Times New Roman"/>
          <w:sz w:val="24"/>
        </w:rPr>
        <w:t>хиљада динара у односу</w:t>
      </w:r>
      <w:r>
        <w:rPr>
          <w:rFonts w:ascii="Times New Roman" w:hAnsi="Times New Roman"/>
          <w:spacing w:val="-19"/>
          <w:sz w:val="24"/>
        </w:rPr>
        <w:t> </w:t>
      </w:r>
      <w:r>
        <w:rPr>
          <w:rFonts w:ascii="Times New Roman" w:hAnsi="Times New Roman"/>
          <w:sz w:val="24"/>
        </w:rPr>
        <w:t>на:</w:t>
      </w:r>
    </w:p>
    <w:p>
      <w:pPr>
        <w:spacing w:after="0" w:line="240" w:lineRule="auto"/>
        <w:jc w:val="both"/>
        <w:rPr>
          <w:rFonts w:ascii="Times New Roman" w:hAnsi="Times New Roman" w:cs="Times New Roman" w:eastAsia="Times New Roman" w:hint="default"/>
          <w:sz w:val="24"/>
          <w:szCs w:val="24"/>
        </w:rPr>
        <w:sectPr>
          <w:pgSz w:w="12240" w:h="15840"/>
          <w:pgMar w:header="740" w:footer="1466" w:top="1280" w:bottom="1660" w:left="1400" w:right="1260"/>
        </w:sectPr>
      </w:pPr>
    </w:p>
    <w:p>
      <w:pPr>
        <w:spacing w:line="240" w:lineRule="auto" w:before="0"/>
        <w:rPr>
          <w:rFonts w:ascii="Times New Roman" w:hAnsi="Times New Roman" w:cs="Times New Roman" w:eastAsia="Times New Roman" w:hint="default"/>
          <w:sz w:val="18"/>
          <w:szCs w:val="18"/>
        </w:rPr>
      </w:pPr>
    </w:p>
    <w:p>
      <w:pPr>
        <w:pStyle w:val="ListParagraph"/>
        <w:numPr>
          <w:ilvl w:val="0"/>
          <w:numId w:val="9"/>
        </w:numPr>
        <w:tabs>
          <w:tab w:pos="303" w:val="left" w:leader="none"/>
        </w:tabs>
        <w:spacing w:line="240" w:lineRule="auto" w:before="55"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одобрене апропријације на дан 31.12.2014. године у укупном износу од </w:t>
      </w:r>
      <w:r>
        <w:rPr>
          <w:rFonts w:ascii="Times New Roman" w:hAnsi="Times New Roman"/>
          <w:sz w:val="24"/>
        </w:rPr>
        <w:t>780.263 </w:t>
      </w:r>
      <w:r>
        <w:rPr>
          <w:rFonts w:ascii="Times New Roman" w:hAnsi="Times New Roman"/>
          <w:sz w:val="24"/>
        </w:rPr>
        <w:t>хиљад</w:t>
      </w:r>
      <w:r>
        <w:rPr>
          <w:rFonts w:ascii="Times New Roman" w:hAnsi="Times New Roman"/>
          <w:sz w:val="24"/>
        </w:rPr>
        <w:t>e </w:t>
      </w:r>
      <w:r>
        <w:rPr>
          <w:rFonts w:ascii="Times New Roman" w:hAnsi="Times New Roman"/>
          <w:sz w:val="24"/>
        </w:rPr>
        <w:t>динара (4.3.3) и то: директни корисници у износу од </w:t>
      </w:r>
      <w:r>
        <w:rPr>
          <w:rFonts w:ascii="Times New Roman" w:hAnsi="Times New Roman"/>
          <w:sz w:val="24"/>
        </w:rPr>
        <w:t>548.290 </w:t>
      </w:r>
      <w:r>
        <w:rPr>
          <w:rFonts w:ascii="Times New Roman" w:hAnsi="Times New Roman"/>
          <w:sz w:val="24"/>
        </w:rPr>
        <w:t>хиљада динара и  индиректни корисници у износу од 231.973 хиљаде</w:t>
      </w:r>
      <w:r>
        <w:rPr>
          <w:rFonts w:ascii="Times New Roman" w:hAnsi="Times New Roman"/>
          <w:spacing w:val="-24"/>
          <w:sz w:val="24"/>
        </w:rPr>
        <w:t> </w:t>
      </w:r>
      <w:r>
        <w:rPr>
          <w:rFonts w:ascii="Times New Roman" w:hAnsi="Times New Roman"/>
          <w:sz w:val="24"/>
        </w:rPr>
        <w:t>динара:</w:t>
      </w:r>
    </w:p>
    <w:p>
      <w:pPr>
        <w:pStyle w:val="ListParagraph"/>
        <w:numPr>
          <w:ilvl w:val="0"/>
          <w:numId w:val="10"/>
        </w:numPr>
        <w:tabs>
          <w:tab w:pos="307" w:val="left" w:leader="none"/>
        </w:tabs>
        <w:spacing w:line="240" w:lineRule="auto" w:before="0"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Скупштина града </w:t>
      </w:r>
      <w:r>
        <w:rPr>
          <w:rFonts w:ascii="Times New Roman" w:hAnsi="Times New Roman" w:cs="Times New Roman" w:eastAsia="Times New Roman" w:hint="default"/>
          <w:sz w:val="24"/>
          <w:szCs w:val="24"/>
        </w:rPr>
        <w:t>је преузела веће обавезе у укупном износу од 4.214 хиљада динара на </w:t>
      </w:r>
      <w:r>
        <w:rPr>
          <w:rFonts w:ascii="Times New Roman" w:hAnsi="Times New Roman" w:cs="Times New Roman" w:eastAsia="Times New Roman" w:hint="default"/>
          <w:sz w:val="24"/>
          <w:szCs w:val="24"/>
        </w:rPr>
        <w:t>следећим апропријацијама: 413000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накнаде у натури у износу од 33 хиљаде динара, </w:t>
      </w:r>
      <w:r>
        <w:rPr>
          <w:rFonts w:ascii="Times New Roman" w:hAnsi="Times New Roman" w:cs="Times New Roman" w:eastAsia="Times New Roman" w:hint="default"/>
          <w:sz w:val="24"/>
          <w:szCs w:val="24"/>
        </w:rPr>
        <w:t>416000 </w:t>
      </w:r>
      <w:r>
        <w:rPr>
          <w:rFonts w:ascii="Times New Roman" w:hAnsi="Times New Roman" w:cs="Times New Roman" w:eastAsia="Times New Roman" w:hint="default"/>
          <w:sz w:val="24"/>
          <w:szCs w:val="24"/>
        </w:rPr>
        <w:t>– награде запосленима и остали посебни расходи у износу од 557 хиљада динара, </w:t>
      </w:r>
      <w:r>
        <w:rPr>
          <w:rFonts w:ascii="Times New Roman" w:hAnsi="Times New Roman" w:cs="Times New Roman" w:eastAsia="Times New Roman" w:hint="default"/>
          <w:sz w:val="24"/>
          <w:szCs w:val="24"/>
        </w:rPr>
        <w:t>417000 </w:t>
      </w:r>
      <w:r>
        <w:rPr>
          <w:rFonts w:ascii="Times New Roman" w:hAnsi="Times New Roman" w:cs="Times New Roman" w:eastAsia="Times New Roman" w:hint="default"/>
          <w:sz w:val="24"/>
          <w:szCs w:val="24"/>
        </w:rPr>
        <w:t>– посланички додатак у износу од 1.984 хиљаде динара, 423000 – услуге по уговору у износу од 1.493 хиљаде динара и 465000 – остале дотације и трансфери у износу од 147 хиљада</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динара</w:t>
      </w:r>
      <w:r>
        <w:rPr>
          <w:rFonts w:ascii="Times New Roman" w:hAnsi="Times New Roman" w:cs="Times New Roman" w:eastAsia="Times New Roman" w:hint="default"/>
          <w:sz w:val="24"/>
          <w:szCs w:val="24"/>
        </w:rPr>
        <w:t>;</w:t>
      </w:r>
    </w:p>
    <w:p>
      <w:pPr>
        <w:pStyle w:val="ListParagraph"/>
        <w:numPr>
          <w:ilvl w:val="0"/>
          <w:numId w:val="10"/>
        </w:numPr>
        <w:tabs>
          <w:tab w:pos="358"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Градоначелник </w:t>
      </w:r>
      <w:r>
        <w:rPr>
          <w:rFonts w:ascii="Times New Roman" w:hAnsi="Times New Roman" w:cs="Times New Roman" w:eastAsia="Times New Roman" w:hint="default"/>
          <w:sz w:val="24"/>
          <w:szCs w:val="24"/>
        </w:rPr>
        <w:t>је преузео веће обавезе у укупном износу од </w:t>
      </w:r>
      <w:r>
        <w:rPr>
          <w:rFonts w:ascii="Times New Roman" w:hAnsi="Times New Roman" w:cs="Times New Roman" w:eastAsia="Times New Roman" w:hint="default"/>
          <w:sz w:val="24"/>
          <w:szCs w:val="24"/>
        </w:rPr>
        <w:t>66 </w:t>
      </w:r>
      <w:r>
        <w:rPr>
          <w:rFonts w:ascii="Times New Roman" w:hAnsi="Times New Roman" w:cs="Times New Roman" w:eastAsia="Times New Roman" w:hint="default"/>
          <w:sz w:val="24"/>
          <w:szCs w:val="24"/>
        </w:rPr>
        <w:t>хиљада динара на следећим апропријацијама: 411000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плате, додаци и накнаде запослених у износу од 12 хиљада динара, 412000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социјални доприноси на терет послодавца у износу од две хиљаде динара</w:t>
      </w:r>
      <w:r>
        <w:rPr>
          <w:rFonts w:ascii="Times New Roman" w:hAnsi="Times New Roman" w:cs="Times New Roman" w:eastAsia="Times New Roman" w:hint="default"/>
          <w:sz w:val="24"/>
          <w:szCs w:val="24"/>
        </w:rPr>
        <w:t>, 414000 </w:t>
      </w:r>
      <w:r>
        <w:rPr>
          <w:rFonts w:ascii="Times New Roman" w:hAnsi="Times New Roman" w:cs="Times New Roman" w:eastAsia="Times New Roman" w:hint="default"/>
          <w:sz w:val="24"/>
          <w:szCs w:val="24"/>
        </w:rPr>
        <w:t>– социјална давања запосленима у износу од 11 хиљада динара и </w:t>
      </w:r>
      <w:r>
        <w:rPr>
          <w:rFonts w:ascii="Times New Roman" w:hAnsi="Times New Roman" w:cs="Times New Roman" w:eastAsia="Times New Roman" w:hint="default"/>
          <w:sz w:val="24"/>
          <w:szCs w:val="24"/>
        </w:rPr>
        <w:t>465000 - </w:t>
      </w:r>
      <w:r>
        <w:rPr>
          <w:rFonts w:ascii="Times New Roman" w:hAnsi="Times New Roman" w:cs="Times New Roman" w:eastAsia="Times New Roman" w:hint="default"/>
          <w:sz w:val="24"/>
          <w:szCs w:val="24"/>
        </w:rPr>
        <w:t>остале дотације и трансфери у износу од 41 хиљаде</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динара;</w:t>
      </w:r>
    </w:p>
    <w:p>
      <w:pPr>
        <w:pStyle w:val="ListParagraph"/>
        <w:numPr>
          <w:ilvl w:val="0"/>
          <w:numId w:val="10"/>
        </w:numPr>
        <w:tabs>
          <w:tab w:pos="339"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Градско веће </w:t>
      </w:r>
      <w:r>
        <w:rPr>
          <w:rFonts w:ascii="Times New Roman" w:hAnsi="Times New Roman" w:cs="Times New Roman" w:eastAsia="Times New Roman" w:hint="default"/>
          <w:sz w:val="24"/>
          <w:szCs w:val="24"/>
        </w:rPr>
        <w:t>је преузело веће обавезе у укупном износу од </w:t>
      </w:r>
      <w:r>
        <w:rPr>
          <w:rFonts w:ascii="Times New Roman" w:hAnsi="Times New Roman" w:cs="Times New Roman" w:eastAsia="Times New Roman" w:hint="default"/>
          <w:sz w:val="24"/>
          <w:szCs w:val="24"/>
        </w:rPr>
        <w:t>1.055 </w:t>
      </w:r>
      <w:r>
        <w:rPr>
          <w:rFonts w:ascii="Times New Roman" w:hAnsi="Times New Roman" w:cs="Times New Roman" w:eastAsia="Times New Roman" w:hint="default"/>
          <w:sz w:val="24"/>
          <w:szCs w:val="24"/>
        </w:rPr>
        <w:t>хиљада динара на следећим апропријацијама: 41700</w:t>
      </w:r>
      <w:r>
        <w:rPr>
          <w:rFonts w:ascii="Times New Roman" w:hAnsi="Times New Roman" w:cs="Times New Roman" w:eastAsia="Times New Roman" w:hint="default"/>
          <w:sz w:val="24"/>
          <w:szCs w:val="24"/>
        </w:rPr>
        <w:t>0 </w:t>
      </w:r>
      <w:r>
        <w:rPr>
          <w:rFonts w:ascii="Times New Roman" w:hAnsi="Times New Roman" w:cs="Times New Roman" w:eastAsia="Times New Roman" w:hint="default"/>
          <w:sz w:val="24"/>
          <w:szCs w:val="24"/>
        </w:rPr>
        <w:t>– посланички додатак у износу од 937 хиљада динара и </w:t>
      </w:r>
      <w:r>
        <w:rPr>
          <w:rFonts w:ascii="Times New Roman" w:hAnsi="Times New Roman" w:cs="Times New Roman" w:eastAsia="Times New Roman" w:hint="default"/>
          <w:sz w:val="24"/>
          <w:szCs w:val="24"/>
        </w:rPr>
        <w:t>465000 - </w:t>
      </w:r>
      <w:r>
        <w:rPr>
          <w:rFonts w:ascii="Times New Roman" w:hAnsi="Times New Roman" w:cs="Times New Roman" w:eastAsia="Times New Roman" w:hint="default"/>
          <w:sz w:val="24"/>
          <w:szCs w:val="24"/>
        </w:rPr>
        <w:t>остале дотације и трансфери у износу од 118 хиљада</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динара;</w:t>
      </w:r>
    </w:p>
    <w:p>
      <w:pPr>
        <w:pStyle w:val="ListParagraph"/>
        <w:numPr>
          <w:ilvl w:val="0"/>
          <w:numId w:val="10"/>
        </w:numPr>
        <w:tabs>
          <w:tab w:pos="317" w:val="left" w:leader="none"/>
        </w:tabs>
        <w:spacing w:line="240" w:lineRule="auto" w:before="0"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Управа за финансије, изворне приходе локалне самоуправе и јавне набавке </w:t>
      </w:r>
      <w:r>
        <w:rPr>
          <w:rFonts w:ascii="Times New Roman" w:hAnsi="Times New Roman" w:cs="Times New Roman" w:eastAsia="Times New Roman" w:hint="default"/>
          <w:sz w:val="24"/>
          <w:szCs w:val="24"/>
        </w:rPr>
        <w:t>је преузела </w:t>
      </w:r>
      <w:r>
        <w:rPr>
          <w:rFonts w:ascii="Times New Roman" w:hAnsi="Times New Roman" w:cs="Times New Roman" w:eastAsia="Times New Roman" w:hint="default"/>
          <w:sz w:val="24"/>
          <w:szCs w:val="24"/>
        </w:rPr>
        <w:t>веће обавезе у укупном износу од 61.449 хиљада динара на следећим апропријацијама: </w:t>
      </w:r>
      <w:r>
        <w:rPr>
          <w:rFonts w:ascii="Times New Roman" w:hAnsi="Times New Roman" w:cs="Times New Roman" w:eastAsia="Times New Roman" w:hint="default"/>
          <w:sz w:val="24"/>
          <w:szCs w:val="24"/>
        </w:rPr>
        <w:t>411000 - </w:t>
      </w:r>
      <w:r>
        <w:rPr>
          <w:rFonts w:ascii="Times New Roman" w:hAnsi="Times New Roman" w:cs="Times New Roman" w:eastAsia="Times New Roman" w:hint="default"/>
          <w:sz w:val="24"/>
          <w:szCs w:val="24"/>
        </w:rPr>
        <w:t>плате, додаци и накнаде запослених у износу од 25.201 хиљаде динара, 412000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социјални доприноси на терет послодавца у износу од 4.534 хиљаде динара</w:t>
      </w:r>
      <w:r>
        <w:rPr>
          <w:rFonts w:ascii="Times New Roman" w:hAnsi="Times New Roman" w:cs="Times New Roman" w:eastAsia="Times New Roman" w:hint="default"/>
          <w:sz w:val="24"/>
          <w:szCs w:val="24"/>
        </w:rPr>
        <w:t>, 413000- </w:t>
      </w:r>
      <w:r>
        <w:rPr>
          <w:rFonts w:ascii="Times New Roman" w:hAnsi="Times New Roman" w:cs="Times New Roman" w:eastAsia="Times New Roman" w:hint="default"/>
          <w:sz w:val="24"/>
          <w:szCs w:val="24"/>
        </w:rPr>
        <w:t>накнаде у натури у износу од 598 хиљада динара, </w:t>
      </w:r>
      <w:r>
        <w:rPr>
          <w:rFonts w:ascii="Times New Roman" w:hAnsi="Times New Roman" w:cs="Times New Roman" w:eastAsia="Times New Roman" w:hint="default"/>
          <w:sz w:val="24"/>
          <w:szCs w:val="24"/>
        </w:rPr>
        <w:t>414000 </w:t>
      </w:r>
      <w:r>
        <w:rPr>
          <w:rFonts w:ascii="Times New Roman" w:hAnsi="Times New Roman" w:cs="Times New Roman" w:eastAsia="Times New Roman" w:hint="default"/>
          <w:sz w:val="24"/>
          <w:szCs w:val="24"/>
        </w:rPr>
        <w:t>– социјална  давања запосленима у износу од 3.900 хиљада динара</w:t>
      </w:r>
      <w:r>
        <w:rPr>
          <w:rFonts w:ascii="Times New Roman" w:hAnsi="Times New Roman" w:cs="Times New Roman" w:eastAsia="Times New Roman" w:hint="default"/>
          <w:sz w:val="24"/>
          <w:szCs w:val="24"/>
        </w:rPr>
        <w:t>, 423000 </w:t>
      </w:r>
      <w:r>
        <w:rPr>
          <w:rFonts w:ascii="Times New Roman" w:hAnsi="Times New Roman" w:cs="Times New Roman" w:eastAsia="Times New Roman" w:hint="default"/>
          <w:sz w:val="24"/>
          <w:szCs w:val="24"/>
        </w:rPr>
        <w:t>– услуге по уговору у износу од 2.806 хиљада динара</w:t>
      </w:r>
      <w:r>
        <w:rPr>
          <w:rFonts w:ascii="Times New Roman" w:hAnsi="Times New Roman" w:cs="Times New Roman" w:eastAsia="Times New Roman" w:hint="default"/>
          <w:sz w:val="24"/>
          <w:szCs w:val="24"/>
        </w:rPr>
        <w:t>, 426000 </w:t>
      </w:r>
      <w:r>
        <w:rPr>
          <w:rFonts w:ascii="Times New Roman" w:hAnsi="Times New Roman" w:cs="Times New Roman" w:eastAsia="Times New Roman" w:hint="default"/>
          <w:sz w:val="24"/>
          <w:szCs w:val="24"/>
        </w:rPr>
        <w:t>– материјал у износу од 1.167 хиљада динара</w:t>
      </w:r>
      <w:r>
        <w:rPr>
          <w:rFonts w:ascii="Times New Roman" w:hAnsi="Times New Roman" w:cs="Times New Roman" w:eastAsia="Times New Roman" w:hint="default"/>
          <w:sz w:val="24"/>
          <w:szCs w:val="24"/>
        </w:rPr>
        <w:t>, 463000 </w:t>
      </w:r>
      <w:r>
        <w:rPr>
          <w:rFonts w:ascii="Times New Roman" w:hAnsi="Times New Roman" w:cs="Times New Roman" w:eastAsia="Times New Roman" w:hint="default"/>
          <w:sz w:val="24"/>
          <w:szCs w:val="24"/>
        </w:rPr>
        <w:t>– трансфери осталим нивоима власти у износу од 17.503 хиљаде динара</w:t>
      </w:r>
      <w:r>
        <w:rPr>
          <w:rFonts w:ascii="Times New Roman" w:hAnsi="Times New Roman" w:cs="Times New Roman" w:eastAsia="Times New Roman" w:hint="default"/>
          <w:sz w:val="24"/>
          <w:szCs w:val="24"/>
        </w:rPr>
        <w:t>, 465000 - </w:t>
      </w:r>
      <w:r>
        <w:rPr>
          <w:rFonts w:ascii="Times New Roman" w:hAnsi="Times New Roman" w:cs="Times New Roman" w:eastAsia="Times New Roman" w:hint="default"/>
          <w:sz w:val="24"/>
          <w:szCs w:val="24"/>
        </w:rPr>
        <w:t>остале дотације и трансфери у износу од 5.564 хиљаде динара</w:t>
      </w:r>
      <w:r>
        <w:rPr>
          <w:rFonts w:ascii="Times New Roman" w:hAnsi="Times New Roman" w:cs="Times New Roman" w:eastAsia="Times New Roman" w:hint="default"/>
          <w:sz w:val="24"/>
          <w:szCs w:val="24"/>
        </w:rPr>
        <w:t>, 482000 </w:t>
      </w:r>
      <w:r>
        <w:rPr>
          <w:rFonts w:ascii="Times New Roman" w:hAnsi="Times New Roman" w:cs="Times New Roman" w:eastAsia="Times New Roman" w:hint="default"/>
          <w:sz w:val="24"/>
          <w:szCs w:val="24"/>
        </w:rPr>
        <w:t>– порези, обавезне таксе, казне и пенали у износу од пет хиљада динара и 612000 – отплата главнице страним кредиторима у износу од 171 хиљаде</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динара;</w:t>
      </w:r>
    </w:p>
    <w:p>
      <w:pPr>
        <w:pStyle w:val="ListParagraph"/>
        <w:numPr>
          <w:ilvl w:val="0"/>
          <w:numId w:val="10"/>
        </w:numPr>
        <w:tabs>
          <w:tab w:pos="305"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Управа за дечију, социјалну и примарну здравствену заштиту </w:t>
      </w:r>
      <w:r>
        <w:rPr>
          <w:rFonts w:ascii="Times New Roman" w:hAnsi="Times New Roman" w:cs="Times New Roman" w:eastAsia="Times New Roman" w:hint="default"/>
          <w:sz w:val="24"/>
          <w:szCs w:val="24"/>
        </w:rPr>
        <w:t>је преузела веће обавезе у </w:t>
      </w:r>
      <w:r>
        <w:rPr>
          <w:rFonts w:ascii="Times New Roman" w:hAnsi="Times New Roman" w:cs="Times New Roman" w:eastAsia="Times New Roman" w:hint="default"/>
          <w:sz w:val="24"/>
          <w:szCs w:val="24"/>
        </w:rPr>
        <w:t>укупном износу од 100.309 хиљада динара на следећим апропријацијама: 423000 – услуге по уговору у износу од 1.628 хиљада динара, 472000 – накнаде за социјалну заштиту из буџета функционална класификација 020 у износу од 1.995 хиљада динара и функционална класификација 040 у износу од 96.272 хиљаде динара и 481000 – дотације невладиним организацијама у износу од 414 хиљада</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динара;</w:t>
      </w:r>
    </w:p>
    <w:p>
      <w:pPr>
        <w:pStyle w:val="ListParagraph"/>
        <w:numPr>
          <w:ilvl w:val="0"/>
          <w:numId w:val="10"/>
        </w:numPr>
        <w:tabs>
          <w:tab w:pos="346"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Управа за комуналне делатности, енергетику и саобраћај </w:t>
      </w:r>
      <w:r>
        <w:rPr>
          <w:rFonts w:ascii="Times New Roman" w:hAnsi="Times New Roman" w:cs="Times New Roman" w:eastAsia="Times New Roman" w:hint="default"/>
          <w:sz w:val="24"/>
          <w:szCs w:val="24"/>
        </w:rPr>
        <w:t>је преузела веће обавезе у </w:t>
      </w:r>
      <w:r>
        <w:rPr>
          <w:rFonts w:ascii="Times New Roman" w:hAnsi="Times New Roman" w:cs="Times New Roman" w:eastAsia="Times New Roman" w:hint="default"/>
          <w:sz w:val="24"/>
          <w:szCs w:val="24"/>
        </w:rPr>
        <w:t>укупном износу од 47.511 хиљада динара на следећим апропријацијама: 421000 – стални трошкови у износу од 11.458 хиљада динара и 451000 – субвенције јавним нефинансијским предузећима и организацијама у износу од 36.053 хиљаде</w:t>
      </w:r>
      <w:r>
        <w:rPr>
          <w:rFonts w:ascii="Times New Roman" w:hAnsi="Times New Roman" w:cs="Times New Roman" w:eastAsia="Times New Roman" w:hint="default"/>
          <w:spacing w:val="-29"/>
          <w:sz w:val="24"/>
          <w:szCs w:val="24"/>
        </w:rPr>
        <w:t> </w:t>
      </w:r>
      <w:r>
        <w:rPr>
          <w:rFonts w:ascii="Times New Roman" w:hAnsi="Times New Roman" w:cs="Times New Roman" w:eastAsia="Times New Roman" w:hint="default"/>
          <w:sz w:val="24"/>
          <w:szCs w:val="24"/>
        </w:rPr>
        <w:t>динара;</w:t>
      </w:r>
    </w:p>
    <w:p>
      <w:pPr>
        <w:pStyle w:val="ListParagraph"/>
        <w:numPr>
          <w:ilvl w:val="0"/>
          <w:numId w:val="10"/>
        </w:numPr>
        <w:tabs>
          <w:tab w:pos="348" w:val="left" w:leader="none"/>
        </w:tabs>
        <w:spacing w:line="240" w:lineRule="auto" w:before="0" w:after="0"/>
        <w:ind w:left="160" w:right="18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Управа за планирање и изградњу </w:t>
      </w:r>
      <w:r>
        <w:rPr>
          <w:rFonts w:ascii="Times New Roman" w:hAnsi="Times New Roman" w:cs="Times New Roman" w:eastAsia="Times New Roman" w:hint="default"/>
          <w:sz w:val="24"/>
          <w:szCs w:val="24"/>
        </w:rPr>
        <w:t>је преузела веће обавезе у укупном износу од 82 </w:t>
      </w:r>
      <w:r>
        <w:rPr>
          <w:rFonts w:ascii="Times New Roman" w:hAnsi="Times New Roman" w:cs="Times New Roman" w:eastAsia="Times New Roman" w:hint="default"/>
          <w:sz w:val="24"/>
          <w:szCs w:val="24"/>
        </w:rPr>
        <w:t>хиљаде динара на апропријацији 424000 – специјализоване</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услуге;</w:t>
      </w:r>
    </w:p>
    <w:p>
      <w:pPr>
        <w:pStyle w:val="ListParagraph"/>
        <w:numPr>
          <w:ilvl w:val="0"/>
          <w:numId w:val="10"/>
        </w:numPr>
        <w:tabs>
          <w:tab w:pos="319" w:val="left" w:leader="none"/>
        </w:tabs>
        <w:spacing w:line="240" w:lineRule="auto" w:before="0" w:after="0"/>
        <w:ind w:left="160" w:right="17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Управа за имовину и инспекцијске послове </w:t>
      </w:r>
      <w:r>
        <w:rPr>
          <w:rFonts w:ascii="Times New Roman" w:hAnsi="Times New Roman" w:cs="Times New Roman" w:eastAsia="Times New Roman" w:hint="default"/>
          <w:sz w:val="24"/>
          <w:szCs w:val="24"/>
        </w:rPr>
        <w:t>је преузела веће обавезе у укупном износу </w:t>
      </w:r>
      <w:r>
        <w:rPr>
          <w:rFonts w:ascii="Times New Roman" w:hAnsi="Times New Roman" w:cs="Times New Roman" w:eastAsia="Times New Roman" w:hint="default"/>
          <w:sz w:val="24"/>
          <w:szCs w:val="24"/>
        </w:rPr>
        <w:t>од 326.521 хиљаде динара на следећим апропријацијама: 485000 – накнаде штете за повреде или штету нанету од стране државних органа у износу од 6.649 хиљада динара, </w:t>
      </w:r>
      <w:r>
        <w:rPr>
          <w:rFonts w:ascii="Times New Roman" w:hAnsi="Times New Roman" w:cs="Times New Roman" w:eastAsia="Times New Roman" w:hint="default"/>
          <w:sz w:val="24"/>
          <w:szCs w:val="24"/>
        </w:rPr>
        <w:t>511000 </w:t>
      </w:r>
      <w:r>
        <w:rPr>
          <w:rFonts w:ascii="Times New Roman" w:hAnsi="Times New Roman" w:cs="Times New Roman" w:eastAsia="Times New Roman" w:hint="default"/>
          <w:sz w:val="24"/>
          <w:szCs w:val="24"/>
        </w:rPr>
        <w:t>– зграде и грађевински објекти у износу од 78.876 хиљада динара и 541000 – земљиште у износу од 240.996 хиљада</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динара;</w:t>
      </w:r>
    </w:p>
    <w:p>
      <w:pPr>
        <w:spacing w:after="0" w:line="240" w:lineRule="auto"/>
        <w:jc w:val="both"/>
        <w:rPr>
          <w:rFonts w:ascii="Times New Roman" w:hAnsi="Times New Roman" w:cs="Times New Roman" w:eastAsia="Times New Roman" w:hint="default"/>
          <w:sz w:val="24"/>
          <w:szCs w:val="24"/>
        </w:rPr>
        <w:sectPr>
          <w:pgSz w:w="12240" w:h="15840"/>
          <w:pgMar w:header="740" w:footer="1466" w:top="1280" w:bottom="1660" w:left="1400" w:right="1260"/>
        </w:sectPr>
      </w:pPr>
    </w:p>
    <w:p>
      <w:pPr>
        <w:spacing w:line="240" w:lineRule="auto" w:before="8"/>
        <w:rPr>
          <w:rFonts w:ascii="Times New Roman" w:hAnsi="Times New Roman" w:cs="Times New Roman" w:eastAsia="Times New Roman" w:hint="default"/>
          <w:sz w:val="16"/>
          <w:szCs w:val="16"/>
        </w:rPr>
      </w:pPr>
    </w:p>
    <w:p>
      <w:pPr>
        <w:pStyle w:val="ListParagraph"/>
        <w:numPr>
          <w:ilvl w:val="0"/>
          <w:numId w:val="10"/>
        </w:numPr>
        <w:tabs>
          <w:tab w:pos="346" w:val="left" w:leader="none"/>
        </w:tabs>
        <w:spacing w:line="240" w:lineRule="auto" w:before="69"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Служба за одржавање и информатичко комуникационе технологије </w:t>
      </w:r>
      <w:r>
        <w:rPr>
          <w:rFonts w:ascii="Times New Roman" w:hAnsi="Times New Roman" w:cs="Times New Roman" w:eastAsia="Times New Roman" w:hint="default"/>
          <w:sz w:val="24"/>
          <w:szCs w:val="24"/>
        </w:rPr>
        <w:t>је преузела веће </w:t>
      </w:r>
      <w:r>
        <w:rPr>
          <w:rFonts w:ascii="Times New Roman" w:hAnsi="Times New Roman" w:cs="Times New Roman" w:eastAsia="Times New Roman" w:hint="default"/>
          <w:sz w:val="24"/>
          <w:szCs w:val="24"/>
        </w:rPr>
        <w:t>обавезе у укупном износу од 6.188 хиљада динара на апропријацији 421000 – стални трошкови;</w:t>
      </w:r>
    </w:p>
    <w:p>
      <w:pPr>
        <w:pStyle w:val="ListParagraph"/>
        <w:numPr>
          <w:ilvl w:val="0"/>
          <w:numId w:val="10"/>
        </w:numPr>
        <w:tabs>
          <w:tab w:pos="34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Градско јавно правобранилаштво </w:t>
      </w:r>
      <w:r>
        <w:rPr>
          <w:rFonts w:ascii="Times New Roman" w:hAnsi="Times New Roman"/>
          <w:sz w:val="24"/>
        </w:rPr>
        <w:t>је преузело веће обавезе у укупном износу од 742 </w:t>
      </w:r>
      <w:r>
        <w:rPr>
          <w:rFonts w:ascii="Times New Roman" w:hAnsi="Times New Roman"/>
          <w:sz w:val="24"/>
        </w:rPr>
        <w:t>хиљаде динара на следећим апропријацијама: </w:t>
      </w:r>
      <w:r>
        <w:rPr>
          <w:rFonts w:ascii="Times New Roman" w:hAnsi="Times New Roman"/>
          <w:sz w:val="24"/>
        </w:rPr>
        <w:t>411000 - </w:t>
      </w:r>
      <w:r>
        <w:rPr>
          <w:rFonts w:ascii="Times New Roman" w:hAnsi="Times New Roman"/>
          <w:sz w:val="24"/>
        </w:rPr>
        <w:t>плате, додаци и накнаде запослених у износу од 441 хиљаде динара, 412000 </w:t>
      </w:r>
      <w:r>
        <w:rPr>
          <w:rFonts w:ascii="Times New Roman" w:hAnsi="Times New Roman"/>
          <w:sz w:val="24"/>
        </w:rPr>
        <w:t>- </w:t>
      </w:r>
      <w:r>
        <w:rPr>
          <w:rFonts w:ascii="Times New Roman" w:hAnsi="Times New Roman"/>
          <w:sz w:val="24"/>
        </w:rPr>
        <w:t>социјални доприноси на терет послодавца у износу од 69 хиљада динара</w:t>
      </w:r>
      <w:r>
        <w:rPr>
          <w:rFonts w:ascii="Times New Roman" w:hAnsi="Times New Roman"/>
          <w:sz w:val="24"/>
        </w:rPr>
        <w:t>, 413000- </w:t>
      </w:r>
      <w:r>
        <w:rPr>
          <w:rFonts w:ascii="Times New Roman" w:hAnsi="Times New Roman"/>
          <w:sz w:val="24"/>
        </w:rPr>
        <w:t>накнаде у натури у износу од 141 хиљаде динара и 465000 </w:t>
      </w:r>
      <w:r>
        <w:rPr>
          <w:rFonts w:ascii="Times New Roman" w:hAnsi="Times New Roman"/>
          <w:sz w:val="24"/>
        </w:rPr>
        <w:t>- </w:t>
      </w:r>
      <w:r>
        <w:rPr>
          <w:rFonts w:ascii="Times New Roman" w:hAnsi="Times New Roman"/>
          <w:sz w:val="24"/>
        </w:rPr>
        <w:t>остале дотације и трансфери у износу од 91 хиљаде</w:t>
      </w:r>
      <w:r>
        <w:rPr>
          <w:rFonts w:ascii="Times New Roman" w:hAnsi="Times New Roman"/>
          <w:spacing w:val="-20"/>
          <w:sz w:val="24"/>
        </w:rPr>
        <w:t> </w:t>
      </w:r>
      <w:r>
        <w:rPr>
          <w:rFonts w:ascii="Times New Roman" w:hAnsi="Times New Roman"/>
          <w:sz w:val="24"/>
        </w:rPr>
        <w:t>динара;</w:t>
      </w:r>
    </w:p>
    <w:p>
      <w:pPr>
        <w:pStyle w:val="ListParagraph"/>
        <w:numPr>
          <w:ilvl w:val="0"/>
          <w:numId w:val="10"/>
        </w:numPr>
        <w:tabs>
          <w:tab w:pos="317"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Заштитник грађана </w:t>
      </w:r>
      <w:r>
        <w:rPr>
          <w:rFonts w:ascii="Times New Roman" w:hAnsi="Times New Roman"/>
          <w:sz w:val="24"/>
        </w:rPr>
        <w:t>је преузео веће обавезе у укупном износу од 153 хиљаде динара на </w:t>
      </w:r>
      <w:r>
        <w:rPr>
          <w:rFonts w:ascii="Times New Roman" w:hAnsi="Times New Roman"/>
          <w:sz w:val="24"/>
        </w:rPr>
        <w:t>следећим апропријацијама: </w:t>
      </w:r>
      <w:r>
        <w:rPr>
          <w:rFonts w:ascii="Times New Roman" w:hAnsi="Times New Roman"/>
          <w:sz w:val="24"/>
        </w:rPr>
        <w:t>411000 - </w:t>
      </w:r>
      <w:r>
        <w:rPr>
          <w:rFonts w:ascii="Times New Roman" w:hAnsi="Times New Roman"/>
          <w:sz w:val="24"/>
        </w:rPr>
        <w:t>плате, додаци и накнаде запослених у износу од 78 хиљада динара, 412000 </w:t>
      </w:r>
      <w:r>
        <w:rPr>
          <w:rFonts w:ascii="Times New Roman" w:hAnsi="Times New Roman"/>
          <w:sz w:val="24"/>
        </w:rPr>
        <w:t>- </w:t>
      </w:r>
      <w:r>
        <w:rPr>
          <w:rFonts w:ascii="Times New Roman" w:hAnsi="Times New Roman"/>
          <w:sz w:val="24"/>
        </w:rPr>
        <w:t>социјални доприноси на терет послодавца у износу од 11  хиљада динара</w:t>
      </w:r>
      <w:r>
        <w:rPr>
          <w:rFonts w:ascii="Times New Roman" w:hAnsi="Times New Roman"/>
          <w:sz w:val="24"/>
        </w:rPr>
        <w:t>, 413000- </w:t>
      </w:r>
      <w:r>
        <w:rPr>
          <w:rFonts w:ascii="Times New Roman" w:hAnsi="Times New Roman"/>
          <w:sz w:val="24"/>
        </w:rPr>
        <w:t>накнаде у натури у износу од 21 хиљаде динара и 465000 </w:t>
      </w:r>
      <w:r>
        <w:rPr>
          <w:rFonts w:ascii="Times New Roman" w:hAnsi="Times New Roman"/>
          <w:sz w:val="24"/>
        </w:rPr>
        <w:t>- </w:t>
      </w:r>
      <w:r>
        <w:rPr>
          <w:rFonts w:ascii="Times New Roman" w:hAnsi="Times New Roman"/>
          <w:sz w:val="24"/>
        </w:rPr>
        <w:t>остале дотације и трансфери у износу од 43 хиљаде</w:t>
      </w:r>
      <w:r>
        <w:rPr>
          <w:rFonts w:ascii="Times New Roman" w:hAnsi="Times New Roman"/>
          <w:spacing w:val="-15"/>
          <w:sz w:val="24"/>
        </w:rPr>
        <w:t> </w:t>
      </w:r>
      <w:r>
        <w:rPr>
          <w:rFonts w:ascii="Times New Roman" w:hAnsi="Times New Roman"/>
          <w:sz w:val="24"/>
        </w:rPr>
        <w:t>динара;</w:t>
      </w:r>
    </w:p>
    <w:p>
      <w:pPr>
        <w:pStyle w:val="ListParagraph"/>
        <w:numPr>
          <w:ilvl w:val="0"/>
          <w:numId w:val="10"/>
        </w:numPr>
        <w:tabs>
          <w:tab w:pos="317" w:val="left" w:leader="none"/>
        </w:tabs>
        <w:spacing w:line="240" w:lineRule="auto" w:before="0" w:after="0"/>
        <w:ind w:left="160" w:right="181"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ЈП Градска стамбена агенција </w:t>
      </w:r>
      <w:r>
        <w:rPr>
          <w:rFonts w:ascii="Times New Roman" w:hAnsi="Times New Roman"/>
          <w:sz w:val="24"/>
        </w:rPr>
        <w:t>је преузело веће обавезе у износу од 112 хиљада динара </w:t>
      </w:r>
      <w:r>
        <w:rPr>
          <w:rFonts w:ascii="Times New Roman" w:hAnsi="Times New Roman"/>
          <w:sz w:val="24"/>
        </w:rPr>
        <w:t>на апропријацији </w:t>
      </w:r>
      <w:r>
        <w:rPr>
          <w:rFonts w:ascii="Times New Roman" w:hAnsi="Times New Roman"/>
          <w:sz w:val="24"/>
        </w:rPr>
        <w:t>465000 - </w:t>
      </w:r>
      <w:r>
        <w:rPr>
          <w:rFonts w:ascii="Times New Roman" w:hAnsi="Times New Roman"/>
          <w:sz w:val="24"/>
        </w:rPr>
        <w:t>остале дотације и</w:t>
      </w:r>
      <w:r>
        <w:rPr>
          <w:rFonts w:ascii="Times New Roman" w:hAnsi="Times New Roman"/>
          <w:spacing w:val="-14"/>
          <w:sz w:val="24"/>
        </w:rPr>
        <w:t> </w:t>
      </w:r>
      <w:r>
        <w:rPr>
          <w:rFonts w:ascii="Times New Roman" w:hAnsi="Times New Roman"/>
          <w:sz w:val="24"/>
        </w:rPr>
        <w:t>трансфери;</w:t>
      </w:r>
    </w:p>
    <w:p>
      <w:pPr>
        <w:pStyle w:val="ListParagraph"/>
        <w:numPr>
          <w:ilvl w:val="0"/>
          <w:numId w:val="10"/>
        </w:numPr>
        <w:tabs>
          <w:tab w:pos="315"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Историјски архив </w:t>
      </w:r>
      <w:r>
        <w:rPr>
          <w:rFonts w:ascii="Times New Roman" w:hAnsi="Times New Roman"/>
          <w:sz w:val="24"/>
        </w:rPr>
        <w:t>је преузео веће обавезе у укупном износу од 1.958 хиљада динара на </w:t>
      </w:r>
      <w:r>
        <w:rPr>
          <w:rFonts w:ascii="Times New Roman" w:hAnsi="Times New Roman"/>
          <w:sz w:val="24"/>
        </w:rPr>
        <w:t>следећим  апропријацијама:  </w:t>
      </w:r>
      <w:r>
        <w:rPr>
          <w:rFonts w:ascii="Times New Roman" w:hAnsi="Times New Roman"/>
          <w:sz w:val="24"/>
        </w:rPr>
        <w:t>411000  -  </w:t>
      </w:r>
      <w:r>
        <w:rPr>
          <w:rFonts w:ascii="Times New Roman" w:hAnsi="Times New Roman"/>
          <w:sz w:val="24"/>
        </w:rPr>
        <w:t>плате,  додаци  и  накнаде  запослених</w:t>
      </w:r>
      <w:r>
        <w:rPr>
          <w:rFonts w:ascii="Times New Roman" w:hAnsi="Times New Roman"/>
          <w:spacing w:val="14"/>
          <w:sz w:val="24"/>
        </w:rPr>
        <w:t> </w:t>
      </w:r>
      <w:r>
        <w:rPr>
          <w:rFonts w:ascii="Times New Roman" w:hAnsi="Times New Roman"/>
          <w:sz w:val="24"/>
        </w:rPr>
        <w:t>у износу од</w:t>
      </w:r>
    </w:p>
    <w:p>
      <w:pPr>
        <w:pStyle w:val="BodyText"/>
        <w:spacing w:line="240" w:lineRule="auto"/>
        <w:ind w:right="170"/>
        <w:jc w:val="both"/>
      </w:pPr>
      <w:r>
        <w:rPr/>
        <w:t>1.254 хиљаде динара, 412000 </w:t>
      </w:r>
      <w:r>
        <w:rPr>
          <w:rFonts w:ascii="Times New Roman" w:hAnsi="Times New Roman" w:cs="Times New Roman" w:eastAsia="Times New Roman" w:hint="default"/>
        </w:rPr>
        <w:t>- </w:t>
      </w:r>
      <w:r>
        <w:rPr/>
        <w:t>социјални доприноси на терет послодавца у износу од 248 хиљада динара, </w:t>
      </w:r>
      <w:r>
        <w:rPr>
          <w:rFonts w:ascii="Times New Roman" w:hAnsi="Times New Roman" w:cs="Times New Roman" w:eastAsia="Times New Roman" w:hint="default"/>
        </w:rPr>
        <w:t>413000- </w:t>
      </w:r>
      <w:r>
        <w:rPr/>
        <w:t>накнаде у натури у износу од 62 хиљаде динара, 465000 </w:t>
      </w:r>
      <w:r>
        <w:rPr>
          <w:rFonts w:ascii="Times New Roman" w:hAnsi="Times New Roman" w:cs="Times New Roman" w:eastAsia="Times New Roman" w:hint="default"/>
        </w:rPr>
        <w:t>- </w:t>
      </w:r>
      <w:r>
        <w:rPr/>
        <w:t>остале дотације и трансфери у износу од 328 хиљада динара и 512000 – машине и опрема у износу од 66 хиљада</w:t>
      </w:r>
      <w:r>
        <w:rPr>
          <w:spacing w:val="-8"/>
        </w:rPr>
        <w:t> </w:t>
      </w:r>
      <w:r>
        <w:rPr/>
        <w:t>динара;</w:t>
      </w:r>
    </w:p>
    <w:p>
      <w:pPr>
        <w:pStyle w:val="ListParagraph"/>
        <w:numPr>
          <w:ilvl w:val="0"/>
          <w:numId w:val="10"/>
        </w:numPr>
        <w:tabs>
          <w:tab w:pos="331"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ЈП Дирекција за изградњу града Ниша </w:t>
      </w:r>
      <w:r>
        <w:rPr>
          <w:rFonts w:ascii="Times New Roman" w:hAnsi="Times New Roman" w:cs="Times New Roman" w:eastAsia="Times New Roman" w:hint="default"/>
          <w:sz w:val="24"/>
          <w:szCs w:val="24"/>
        </w:rPr>
        <w:t>је преузело веће обавезе у укупном износу од </w:t>
      </w:r>
      <w:r>
        <w:rPr>
          <w:rFonts w:ascii="Times New Roman" w:hAnsi="Times New Roman" w:cs="Times New Roman" w:eastAsia="Times New Roman" w:hint="default"/>
          <w:sz w:val="24"/>
          <w:szCs w:val="24"/>
        </w:rPr>
        <w:t>36.973 хиљаде динара на следећим апропријацијама: </w:t>
      </w:r>
      <w:r>
        <w:rPr>
          <w:rFonts w:ascii="Times New Roman" w:hAnsi="Times New Roman" w:cs="Times New Roman" w:eastAsia="Times New Roman" w:hint="default"/>
          <w:sz w:val="24"/>
          <w:szCs w:val="24"/>
        </w:rPr>
        <w:t>411000 - </w:t>
      </w:r>
      <w:r>
        <w:rPr>
          <w:rFonts w:ascii="Times New Roman" w:hAnsi="Times New Roman" w:cs="Times New Roman" w:eastAsia="Times New Roman" w:hint="default"/>
          <w:sz w:val="24"/>
          <w:szCs w:val="24"/>
        </w:rPr>
        <w:t>плате, додаци и накнаде запослених у износу од 7.117 хиљада динара, 412000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социјални доприноси на терет послодавца у износу од 1.273 хиљаде динара</w:t>
      </w:r>
      <w:r>
        <w:rPr>
          <w:rFonts w:ascii="Times New Roman" w:hAnsi="Times New Roman" w:cs="Times New Roman" w:eastAsia="Times New Roman" w:hint="default"/>
          <w:sz w:val="24"/>
          <w:szCs w:val="24"/>
        </w:rPr>
        <w:t>, 413000- </w:t>
      </w:r>
      <w:r>
        <w:rPr>
          <w:rFonts w:ascii="Times New Roman" w:hAnsi="Times New Roman" w:cs="Times New Roman" w:eastAsia="Times New Roman" w:hint="default"/>
          <w:sz w:val="24"/>
          <w:szCs w:val="24"/>
        </w:rPr>
        <w:t>накнаде у натури у износу од 2.777 хиљада динара, 416000 – награде запосленима и остали посебни расходи у износу од 645 хиљада динара, 421000 – стални трошкови у износу од 1.906 хиљада динара, 422000 – трошкови путовања у износу од 59 хиљада динара, 423000 – услуге по уговору у износу од 417 хиљада динара, 425000 – текуће поправке и одржавање у износу од 21.165 хиљада динара, 426000 – материјал у износу од 475 хиљада динара, 465000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остале дотације и трансфери у износу од 1.087 хиљада динара и 482000 – порези, обавезне таксе, казне и пенали у износу од 52 хиљаде</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динара;</w:t>
      </w:r>
    </w:p>
    <w:p>
      <w:pPr>
        <w:pStyle w:val="ListParagraph"/>
        <w:numPr>
          <w:ilvl w:val="0"/>
          <w:numId w:val="10"/>
        </w:numPr>
        <w:tabs>
          <w:tab w:pos="310"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Народно позориште </w:t>
      </w:r>
      <w:r>
        <w:rPr>
          <w:rFonts w:ascii="Times New Roman" w:hAnsi="Times New Roman"/>
          <w:sz w:val="24"/>
        </w:rPr>
        <w:t>је преузело веће обавезе у укупном износу </w:t>
      </w:r>
      <w:r>
        <w:rPr>
          <w:rFonts w:ascii="Times New Roman" w:hAnsi="Times New Roman"/>
          <w:spacing w:val="3"/>
          <w:sz w:val="24"/>
        </w:rPr>
        <w:t>од </w:t>
      </w:r>
      <w:r>
        <w:rPr>
          <w:rFonts w:ascii="Times New Roman" w:hAnsi="Times New Roman"/>
          <w:sz w:val="24"/>
        </w:rPr>
        <w:t>9.505 хиљада динара </w:t>
      </w:r>
      <w:r>
        <w:rPr>
          <w:rFonts w:ascii="Times New Roman" w:hAnsi="Times New Roman"/>
          <w:sz w:val="24"/>
        </w:rPr>
        <w:t>на следећим апропријацијама: </w:t>
      </w:r>
      <w:r>
        <w:rPr>
          <w:rFonts w:ascii="Times New Roman" w:hAnsi="Times New Roman"/>
          <w:sz w:val="24"/>
        </w:rPr>
        <w:t>411000 - </w:t>
      </w:r>
      <w:r>
        <w:rPr>
          <w:rFonts w:ascii="Times New Roman" w:hAnsi="Times New Roman"/>
          <w:sz w:val="24"/>
        </w:rPr>
        <w:t>плате, додаци и накнаде запослених   </w:t>
      </w:r>
      <w:r>
        <w:rPr>
          <w:rFonts w:ascii="Times New Roman" w:hAnsi="Times New Roman"/>
          <w:spacing w:val="15"/>
          <w:sz w:val="24"/>
        </w:rPr>
        <w:t> </w:t>
      </w:r>
      <w:r>
        <w:rPr>
          <w:rFonts w:ascii="Times New Roman" w:hAnsi="Times New Roman"/>
          <w:sz w:val="24"/>
        </w:rPr>
        <w:t>у износу од</w:t>
      </w:r>
    </w:p>
    <w:p>
      <w:pPr>
        <w:pStyle w:val="BodyText"/>
        <w:spacing w:line="240" w:lineRule="auto"/>
        <w:ind w:right="0"/>
        <w:jc w:val="both"/>
      </w:pPr>
      <w:r>
        <w:rPr/>
        <w:t>6.524</w:t>
      </w:r>
      <w:r>
        <w:rPr>
          <w:spacing w:val="40"/>
        </w:rPr>
        <w:t> </w:t>
      </w:r>
      <w:r>
        <w:rPr/>
        <w:t>хиљаде</w:t>
      </w:r>
      <w:r>
        <w:rPr>
          <w:spacing w:val="40"/>
        </w:rPr>
        <w:t> </w:t>
      </w:r>
      <w:r>
        <w:rPr/>
        <w:t>динара,</w:t>
      </w:r>
      <w:r>
        <w:rPr>
          <w:spacing w:val="38"/>
        </w:rPr>
        <w:t> </w:t>
      </w:r>
      <w:r>
        <w:rPr/>
        <w:t>412000</w:t>
      </w:r>
      <w:r>
        <w:rPr>
          <w:spacing w:val="43"/>
        </w:rPr>
        <w:t> </w:t>
      </w:r>
      <w:r>
        <w:rPr>
          <w:rFonts w:ascii="Times New Roman" w:hAnsi="Times New Roman"/>
        </w:rPr>
        <w:t>-</w:t>
      </w:r>
      <w:r>
        <w:rPr>
          <w:rFonts w:ascii="Times New Roman" w:hAnsi="Times New Roman"/>
          <w:spacing w:val="40"/>
        </w:rPr>
        <w:t> </w:t>
      </w:r>
      <w:r>
        <w:rPr/>
        <w:t>социјални</w:t>
      </w:r>
      <w:r>
        <w:rPr>
          <w:spacing w:val="39"/>
        </w:rPr>
        <w:t> </w:t>
      </w:r>
      <w:r>
        <w:rPr/>
        <w:t>доприноси</w:t>
      </w:r>
      <w:r>
        <w:rPr>
          <w:spacing w:val="41"/>
        </w:rPr>
        <w:t> </w:t>
      </w:r>
      <w:r>
        <w:rPr/>
        <w:t>на</w:t>
      </w:r>
      <w:r>
        <w:rPr>
          <w:spacing w:val="37"/>
        </w:rPr>
        <w:t> </w:t>
      </w:r>
      <w:r>
        <w:rPr/>
        <w:t>терет</w:t>
      </w:r>
      <w:r>
        <w:rPr>
          <w:spacing w:val="41"/>
        </w:rPr>
        <w:t> </w:t>
      </w:r>
      <w:r>
        <w:rPr/>
        <w:t>послодавца</w:t>
      </w:r>
      <w:r>
        <w:rPr>
          <w:spacing w:val="46"/>
        </w:rPr>
        <w:t> </w:t>
      </w:r>
      <w:r>
        <w:rPr/>
        <w:t>у</w:t>
      </w:r>
      <w:r>
        <w:rPr>
          <w:spacing w:val="36"/>
        </w:rPr>
        <w:t> </w:t>
      </w:r>
      <w:r>
        <w:rPr/>
        <w:t>износу</w:t>
      </w:r>
      <w:r>
        <w:rPr>
          <w:spacing w:val="33"/>
        </w:rPr>
        <w:t> </w:t>
      </w:r>
      <w:r>
        <w:rPr/>
        <w:t>од</w:t>
      </w:r>
    </w:p>
    <w:p>
      <w:pPr>
        <w:pStyle w:val="BodyText"/>
        <w:spacing w:line="240" w:lineRule="auto"/>
        <w:ind w:right="175"/>
        <w:jc w:val="both"/>
      </w:pPr>
      <w:r>
        <w:rPr/>
        <w:t>1.142 хиљаде динара</w:t>
      </w:r>
      <w:r>
        <w:rPr>
          <w:rFonts w:ascii="Times New Roman" w:hAnsi="Times New Roman" w:cs="Times New Roman" w:eastAsia="Times New Roman" w:hint="default"/>
        </w:rPr>
        <w:t>, 413000- </w:t>
      </w:r>
      <w:r>
        <w:rPr/>
        <w:t>накнаде у натури у износу од 205 хиљада динара, 414000 – социјална давања запосленима у износу од 750 хиљада динара, 416000 – награде запосленима и остали посебни расходи у износу од 180 хиљада динара, 421000 – стални трошкови у износу од 601 хиљаде динара, 441000 – отплата домаћих камата у износу од осам хиљада динара и 482000 – порези, обавезне таксе, казне и пенали у износу од 95 хиљада</w:t>
      </w:r>
      <w:r>
        <w:rPr>
          <w:spacing w:val="-3"/>
        </w:rPr>
        <w:t> </w:t>
      </w:r>
      <w:r>
        <w:rPr/>
        <w:t>динара;</w:t>
      </w:r>
    </w:p>
    <w:p>
      <w:pPr>
        <w:pStyle w:val="ListParagraph"/>
        <w:numPr>
          <w:ilvl w:val="0"/>
          <w:numId w:val="10"/>
        </w:numPr>
        <w:tabs>
          <w:tab w:pos="322"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Позориште лутака </w:t>
      </w:r>
      <w:r>
        <w:rPr>
          <w:rFonts w:ascii="Times New Roman" w:hAnsi="Times New Roman"/>
          <w:sz w:val="24"/>
        </w:rPr>
        <w:t>је преузело веће обавезе у укупном износу од 3.862 хиљаде динара  </w:t>
      </w:r>
      <w:r>
        <w:rPr>
          <w:rFonts w:ascii="Times New Roman" w:hAnsi="Times New Roman"/>
          <w:sz w:val="24"/>
        </w:rPr>
        <w:t>на следећим апропријацијама: </w:t>
      </w:r>
      <w:r>
        <w:rPr>
          <w:rFonts w:ascii="Times New Roman" w:hAnsi="Times New Roman"/>
          <w:sz w:val="24"/>
        </w:rPr>
        <w:t>411000 - </w:t>
      </w:r>
      <w:r>
        <w:rPr>
          <w:rFonts w:ascii="Times New Roman" w:hAnsi="Times New Roman"/>
          <w:sz w:val="24"/>
        </w:rPr>
        <w:t>плате, додаци и накнаде запослених у износу од 2.736 хиљада динара, 412000 </w:t>
      </w:r>
      <w:r>
        <w:rPr>
          <w:rFonts w:ascii="Times New Roman" w:hAnsi="Times New Roman"/>
          <w:sz w:val="24"/>
        </w:rPr>
        <w:t>- </w:t>
      </w:r>
      <w:r>
        <w:rPr>
          <w:rFonts w:ascii="Times New Roman" w:hAnsi="Times New Roman"/>
          <w:sz w:val="24"/>
        </w:rPr>
        <w:t>социјални доприноси на терет послодавца у износу од 490 хиљада динара и </w:t>
      </w:r>
      <w:r>
        <w:rPr>
          <w:rFonts w:ascii="Times New Roman" w:hAnsi="Times New Roman"/>
          <w:sz w:val="24"/>
        </w:rPr>
        <w:t>465000 - </w:t>
      </w:r>
      <w:r>
        <w:rPr>
          <w:rFonts w:ascii="Times New Roman" w:hAnsi="Times New Roman"/>
          <w:sz w:val="24"/>
        </w:rPr>
        <w:t>остале дотације и трансфери у износу од 636 хиљада</w:t>
      </w:r>
      <w:r>
        <w:rPr>
          <w:rFonts w:ascii="Times New Roman" w:hAnsi="Times New Roman"/>
          <w:spacing w:val="-20"/>
          <w:sz w:val="24"/>
        </w:rPr>
        <w:t> </w:t>
      </w:r>
      <w:r>
        <w:rPr>
          <w:rFonts w:ascii="Times New Roman" w:hAnsi="Times New Roman"/>
          <w:sz w:val="24"/>
        </w:rPr>
        <w:t>динара;</w:t>
      </w:r>
    </w:p>
    <w:p>
      <w:pPr>
        <w:spacing w:after="0" w:line="240" w:lineRule="auto"/>
        <w:jc w:val="both"/>
        <w:rPr>
          <w:rFonts w:ascii="Times New Roman" w:hAnsi="Times New Roman" w:cs="Times New Roman" w:eastAsia="Times New Roman" w:hint="default"/>
          <w:sz w:val="24"/>
          <w:szCs w:val="24"/>
        </w:rPr>
        <w:sectPr>
          <w:pgSz w:w="12240" w:h="15840"/>
          <w:pgMar w:header="740" w:footer="1466" w:top="1280" w:bottom="1660" w:left="1400" w:right="1260"/>
        </w:sectPr>
      </w:pPr>
    </w:p>
    <w:p>
      <w:pPr>
        <w:spacing w:line="240" w:lineRule="auto" w:before="8"/>
        <w:rPr>
          <w:rFonts w:ascii="Times New Roman" w:hAnsi="Times New Roman" w:cs="Times New Roman" w:eastAsia="Times New Roman" w:hint="default"/>
          <w:sz w:val="16"/>
          <w:szCs w:val="16"/>
        </w:rPr>
      </w:pPr>
    </w:p>
    <w:p>
      <w:pPr>
        <w:pStyle w:val="BodyText"/>
        <w:spacing w:line="240" w:lineRule="auto" w:before="69"/>
        <w:ind w:right="170"/>
        <w:jc w:val="both"/>
      </w:pPr>
      <w:r>
        <w:rPr/>
        <w:pict>
          <v:group style="position:absolute;margin-left:81.984001pt;margin-top:16.273113pt;width:154.85pt;height:.1pt;mso-position-horizontal-relative:page;mso-position-vertical-relative:paragraph;z-index:-773560" coordorigin="1640,325" coordsize="3097,2">
            <v:shape style="position:absolute;left:1640;top:325;width:3097;height:2" coordorigin="1640,325" coordsize="3097,0" path="m1640,325l4736,325e" filled="false" stroked="true" strokeweight=".6pt" strokecolor="#000000">
              <v:path arrowok="t"/>
            </v:shape>
            <w10:wrap type="none"/>
          </v:group>
        </w:pict>
      </w:r>
      <w:r>
        <w:rPr>
          <w:rFonts w:ascii="Times New Roman" w:hAnsi="Times New Roman" w:cs="Times New Roman" w:eastAsia="Times New Roman" w:hint="default"/>
        </w:rPr>
        <w:t>-</w:t>
      </w:r>
      <w:r>
        <w:rPr/>
        <w:t>Нишки симфонијски оркестар је преузео веће обавезе у укупном износу од 6.675 хиљада динара на следећим апропријацијама: </w:t>
      </w:r>
      <w:r>
        <w:rPr>
          <w:rFonts w:ascii="Times New Roman" w:hAnsi="Times New Roman" w:cs="Times New Roman" w:eastAsia="Times New Roman" w:hint="default"/>
        </w:rPr>
        <w:t>411000-</w:t>
      </w:r>
      <w:r>
        <w:rPr/>
        <w:t>плате, додаци и накнаде запослених у износу од 3.275 хиљада динара, 412000 </w:t>
      </w:r>
      <w:r>
        <w:rPr>
          <w:rFonts w:ascii="Times New Roman" w:hAnsi="Times New Roman" w:cs="Times New Roman" w:eastAsia="Times New Roman" w:hint="default"/>
        </w:rPr>
        <w:t>- </w:t>
      </w:r>
      <w:r>
        <w:rPr/>
        <w:t>социјални доприноси на терет послодавца у износу од 585 хиљада динара</w:t>
      </w:r>
      <w:r>
        <w:rPr>
          <w:rFonts w:ascii="Times New Roman" w:hAnsi="Times New Roman" w:cs="Times New Roman" w:eastAsia="Times New Roman" w:hint="default"/>
        </w:rPr>
        <w:t>, 413000- </w:t>
      </w:r>
      <w:r>
        <w:rPr/>
        <w:t>накнаде у натури у износу од 134 хиљаде динара, </w:t>
      </w:r>
      <w:r>
        <w:rPr>
          <w:rFonts w:ascii="Times New Roman" w:hAnsi="Times New Roman" w:cs="Times New Roman" w:eastAsia="Times New Roman" w:hint="default"/>
        </w:rPr>
        <w:t>414000 </w:t>
      </w:r>
      <w:r>
        <w:rPr/>
        <w:t>– социјална давања запосленима у износу од 1.415 хиљада динара, 416000 – награде запосленима и остали посебни расходи у износу од 196 хиљада динара, 422000 – трошкови путовања у износу од 10 хиљада динара, 444000 – пратећи трошкови задуживања у износу од две хиљаде динара, 465000 </w:t>
      </w:r>
      <w:r>
        <w:rPr>
          <w:rFonts w:ascii="Times New Roman" w:hAnsi="Times New Roman" w:cs="Times New Roman" w:eastAsia="Times New Roman" w:hint="default"/>
        </w:rPr>
        <w:t>- </w:t>
      </w:r>
      <w:r>
        <w:rPr/>
        <w:t>остале дотације и трансфери у износу од 845 хиљада динара, 481000 – дотације невладиним организацијама у износу од шест хиљада динара и 482000 </w:t>
      </w:r>
      <w:r>
        <w:rPr>
          <w:rFonts w:ascii="Times New Roman" w:hAnsi="Times New Roman" w:cs="Times New Roman" w:eastAsia="Times New Roman" w:hint="default"/>
        </w:rPr>
        <w:t>- </w:t>
      </w:r>
      <w:r>
        <w:rPr/>
        <w:t>порези, обавезне таксе, казне и пенали у износу од 207 хиљада</w:t>
      </w:r>
      <w:r>
        <w:rPr>
          <w:spacing w:val="-3"/>
        </w:rPr>
        <w:t> </w:t>
      </w:r>
      <w:r>
        <w:rPr/>
        <w:t>динара;</w:t>
      </w:r>
    </w:p>
    <w:p>
      <w:pPr>
        <w:pStyle w:val="BodyText"/>
        <w:spacing w:line="240" w:lineRule="auto"/>
        <w:ind w:right="171"/>
        <w:jc w:val="both"/>
      </w:pPr>
      <w:r>
        <w:rPr/>
        <w:pict>
          <v:group style="position:absolute;margin-left:81.984001pt;margin-top:12.823101pt;width:45.4pt;height:.1pt;mso-position-horizontal-relative:page;mso-position-vertical-relative:paragraph;z-index:-773536" coordorigin="1640,256" coordsize="908,2">
            <v:shape style="position:absolute;left:1640;top:256;width:908;height:2" coordorigin="1640,256" coordsize="908,0" path="m1640,256l2547,256e" filled="false" stroked="true" strokeweight=".59999pt" strokecolor="#000000">
              <v:path arrowok="t"/>
            </v:shape>
            <w10:wrap type="none"/>
          </v:group>
        </w:pict>
      </w:r>
      <w:r>
        <w:rPr>
          <w:rFonts w:ascii="Times New Roman" w:hAnsi="Times New Roman" w:cs="Times New Roman" w:eastAsia="Times New Roman" w:hint="default"/>
        </w:rPr>
        <w:t>-</w:t>
      </w:r>
      <w:r>
        <w:rPr/>
        <w:t>СЦ Чаир је преузео веће обавезе у укупном износу од 39.498 хиљада динара на следећим апропријацијама: </w:t>
      </w:r>
      <w:r>
        <w:rPr>
          <w:rFonts w:ascii="Times New Roman" w:hAnsi="Times New Roman" w:cs="Times New Roman" w:eastAsia="Times New Roman" w:hint="default"/>
        </w:rPr>
        <w:t>411000 - </w:t>
      </w:r>
      <w:r>
        <w:rPr/>
        <w:t>плате, додаци и накнаде запослених у износу од 903 хиљаде динара, 412000 </w:t>
      </w:r>
      <w:r>
        <w:rPr>
          <w:rFonts w:ascii="Times New Roman" w:hAnsi="Times New Roman" w:cs="Times New Roman" w:eastAsia="Times New Roman" w:hint="default"/>
        </w:rPr>
        <w:t>- </w:t>
      </w:r>
      <w:r>
        <w:rPr/>
        <w:t>социјални доприноси на терет послодавца у износу од 137 хиљада динара</w:t>
      </w:r>
      <w:r>
        <w:rPr>
          <w:rFonts w:ascii="Times New Roman" w:hAnsi="Times New Roman" w:cs="Times New Roman" w:eastAsia="Times New Roman" w:hint="default"/>
        </w:rPr>
        <w:t>, 415000</w:t>
      </w:r>
      <w:r>
        <w:rPr/>
        <w:t>–накнаде трошкова за запослене у износу од 177 хиљада динара, 421000 – стални трошкови у износу од 37.454 хиљаде динара, 465000 </w:t>
      </w:r>
      <w:r>
        <w:rPr>
          <w:rFonts w:ascii="Times New Roman" w:hAnsi="Times New Roman" w:cs="Times New Roman" w:eastAsia="Times New Roman" w:hint="default"/>
        </w:rPr>
        <w:t>-</w:t>
      </w:r>
      <w:r>
        <w:rPr/>
        <w:t>остале дотације и трансфери у износу од 397 хиљада динара, 482000 </w:t>
      </w:r>
      <w:r>
        <w:rPr>
          <w:rFonts w:ascii="Times New Roman" w:hAnsi="Times New Roman" w:cs="Times New Roman" w:eastAsia="Times New Roman" w:hint="default"/>
        </w:rPr>
        <w:t>- </w:t>
      </w:r>
      <w:r>
        <w:rPr/>
        <w:t>порези, обавезне таксе, казне и пенали у износу од 372 хиљаде динара и 512000 – машине и опрема у износу од 58 хиљада</w:t>
      </w:r>
      <w:r>
        <w:rPr>
          <w:spacing w:val="-20"/>
        </w:rPr>
        <w:t> </w:t>
      </w:r>
      <w:r>
        <w:rPr/>
        <w:t>динара;</w:t>
      </w:r>
    </w:p>
    <w:p>
      <w:pPr>
        <w:pStyle w:val="BodyText"/>
        <w:spacing w:line="240" w:lineRule="auto"/>
        <w:ind w:right="170"/>
        <w:jc w:val="both"/>
      </w:pPr>
      <w:r>
        <w:rPr/>
        <w:pict>
          <v:group style="position:absolute;margin-left:81.984001pt;margin-top:12.823115pt;width:130.5pt;height:.1pt;mso-position-horizontal-relative:page;mso-position-vertical-relative:paragraph;z-index:-773512" coordorigin="1640,256" coordsize="2610,2">
            <v:shape style="position:absolute;left:1640;top:256;width:2610;height:2" coordorigin="1640,256" coordsize="2610,0" path="m1640,256l4249,256e" filled="false" stroked="true" strokeweight=".600010pt" strokecolor="#000000">
              <v:path arrowok="t"/>
            </v:shape>
            <w10:wrap type="none"/>
          </v:group>
        </w:pict>
      </w:r>
      <w:r>
        <w:rPr>
          <w:rFonts w:ascii="Times New Roman" w:hAnsi="Times New Roman" w:cs="Times New Roman" w:eastAsia="Times New Roman" w:hint="default"/>
        </w:rPr>
        <w:t>-</w:t>
      </w:r>
      <w:r>
        <w:rPr/>
        <w:t>Нишки културни центар је преузео веће обавезе у укупном износу од 4.908 хиљада динара на следећим апропријацијама: </w:t>
      </w:r>
      <w:r>
        <w:rPr>
          <w:rFonts w:ascii="Times New Roman" w:hAnsi="Times New Roman" w:cs="Times New Roman" w:eastAsia="Times New Roman" w:hint="default"/>
        </w:rPr>
        <w:t>411000 - </w:t>
      </w:r>
      <w:r>
        <w:rPr/>
        <w:t>плате, додаци и накнаде запослених у износу од 2.599 хиљада динара, 412000 </w:t>
      </w:r>
      <w:r>
        <w:rPr>
          <w:rFonts w:ascii="Times New Roman" w:hAnsi="Times New Roman" w:cs="Times New Roman" w:eastAsia="Times New Roman" w:hint="default"/>
        </w:rPr>
        <w:t>- </w:t>
      </w:r>
      <w:r>
        <w:rPr/>
        <w:t>социјални доприноси на терет послодавца у износу од 464 хиљаде динара</w:t>
      </w:r>
      <w:r>
        <w:rPr>
          <w:rFonts w:ascii="Times New Roman" w:hAnsi="Times New Roman" w:cs="Times New Roman" w:eastAsia="Times New Roman" w:hint="default"/>
        </w:rPr>
        <w:t>, 413000 </w:t>
      </w:r>
      <w:r>
        <w:rPr/>
        <w:t>– накнаде у натури у износу од 88 хиљада динара, </w:t>
      </w:r>
      <w:r>
        <w:rPr>
          <w:rFonts w:ascii="Times New Roman" w:hAnsi="Times New Roman" w:cs="Times New Roman" w:eastAsia="Times New Roman" w:hint="default"/>
        </w:rPr>
        <w:t>414000 </w:t>
      </w:r>
      <w:r>
        <w:rPr/>
        <w:t>– социјална давања запосленима у износу од 310 хиљада динара, 416000 – награде запосленима и остали посебни расходи у износу од 124 хиљаде динара, 421000 – стални трошкови у износу од 559 хиљада динара, 422000 – трошкови путовања у износу од 218 хиљада динара и 465000 </w:t>
      </w:r>
      <w:r>
        <w:rPr>
          <w:rFonts w:ascii="Times New Roman" w:hAnsi="Times New Roman" w:cs="Times New Roman" w:eastAsia="Times New Roman" w:hint="default"/>
        </w:rPr>
        <w:t>- </w:t>
      </w:r>
      <w:r>
        <w:rPr/>
        <w:t>остале дотације и трансфери у износу од 546 хиљада</w:t>
      </w:r>
      <w:r>
        <w:rPr>
          <w:spacing w:val="-20"/>
        </w:rPr>
        <w:t> </w:t>
      </w:r>
      <w:r>
        <w:rPr/>
        <w:t>динара;</w:t>
      </w:r>
    </w:p>
    <w:p>
      <w:pPr>
        <w:pStyle w:val="ListParagraph"/>
        <w:numPr>
          <w:ilvl w:val="0"/>
          <w:numId w:val="12"/>
        </w:numPr>
        <w:tabs>
          <w:tab w:pos="322" w:val="left" w:leader="none"/>
        </w:tabs>
        <w:spacing w:line="240" w:lineRule="auto" w:before="0" w:after="0"/>
        <w:ind w:left="160" w:right="179"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Завод за заштиту споменика културе </w:t>
      </w:r>
      <w:r>
        <w:rPr>
          <w:rFonts w:ascii="Times New Roman" w:hAnsi="Times New Roman" w:cs="Times New Roman" w:eastAsia="Times New Roman" w:hint="default"/>
          <w:sz w:val="24"/>
          <w:szCs w:val="24"/>
        </w:rPr>
        <w:t>је преузео веће обавезе у укупном износу од 548 </w:t>
      </w:r>
      <w:r>
        <w:rPr>
          <w:rFonts w:ascii="Times New Roman" w:hAnsi="Times New Roman" w:cs="Times New Roman" w:eastAsia="Times New Roman" w:hint="default"/>
          <w:sz w:val="24"/>
          <w:szCs w:val="24"/>
        </w:rPr>
        <w:t>хиљада динара на следећим апропријацијама: </w:t>
      </w:r>
      <w:r>
        <w:rPr>
          <w:rFonts w:ascii="Times New Roman" w:hAnsi="Times New Roman" w:cs="Times New Roman" w:eastAsia="Times New Roman" w:hint="default"/>
          <w:sz w:val="24"/>
          <w:szCs w:val="24"/>
        </w:rPr>
        <w:t>422000 </w:t>
      </w:r>
      <w:r>
        <w:rPr>
          <w:rFonts w:ascii="Times New Roman" w:hAnsi="Times New Roman" w:cs="Times New Roman" w:eastAsia="Times New Roman" w:hint="default"/>
          <w:sz w:val="24"/>
          <w:szCs w:val="24"/>
        </w:rPr>
        <w:t>– трошкови путовања у износу од 244 хиљаде динара и 465000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остале дотације и трансфери у износу од 304 хиљаде динара;</w:t>
      </w:r>
    </w:p>
    <w:p>
      <w:pPr>
        <w:pStyle w:val="ListParagraph"/>
        <w:numPr>
          <w:ilvl w:val="0"/>
          <w:numId w:val="12"/>
        </w:numPr>
        <w:tabs>
          <w:tab w:pos="343"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Туристичка организација Ниш </w:t>
      </w:r>
      <w:r>
        <w:rPr>
          <w:rFonts w:ascii="Times New Roman" w:hAnsi="Times New Roman" w:cs="Times New Roman" w:eastAsia="Times New Roman" w:hint="default"/>
          <w:sz w:val="24"/>
          <w:szCs w:val="24"/>
        </w:rPr>
        <w:t>је преузела веће обавезе у укупном износу од 26.688 </w:t>
      </w:r>
      <w:r>
        <w:rPr>
          <w:rFonts w:ascii="Times New Roman" w:hAnsi="Times New Roman" w:cs="Times New Roman" w:eastAsia="Times New Roman" w:hint="default"/>
          <w:sz w:val="24"/>
          <w:szCs w:val="24"/>
        </w:rPr>
        <w:t>хиљада динара на следећим апропријацијама:  </w:t>
      </w:r>
      <w:r>
        <w:rPr>
          <w:rFonts w:ascii="Times New Roman" w:hAnsi="Times New Roman" w:cs="Times New Roman" w:eastAsia="Times New Roman" w:hint="default"/>
          <w:sz w:val="24"/>
          <w:szCs w:val="24"/>
        </w:rPr>
        <w:t>423000 </w:t>
      </w:r>
      <w:r>
        <w:rPr>
          <w:rFonts w:ascii="Times New Roman" w:hAnsi="Times New Roman" w:cs="Times New Roman" w:eastAsia="Times New Roman" w:hint="default"/>
          <w:sz w:val="24"/>
          <w:szCs w:val="24"/>
        </w:rPr>
        <w:t>–  услуге по  уговору  у износу  </w:t>
      </w:r>
      <w:r>
        <w:rPr>
          <w:rFonts w:ascii="Times New Roman" w:hAnsi="Times New Roman" w:cs="Times New Roman" w:eastAsia="Times New Roman" w:hint="default"/>
          <w:spacing w:val="54"/>
          <w:sz w:val="24"/>
          <w:szCs w:val="24"/>
        </w:rPr>
        <w:t> </w:t>
      </w:r>
      <w:r>
        <w:rPr>
          <w:rFonts w:ascii="Times New Roman" w:hAnsi="Times New Roman" w:cs="Times New Roman" w:eastAsia="Times New Roman" w:hint="default"/>
          <w:sz w:val="24"/>
          <w:szCs w:val="24"/>
        </w:rPr>
        <w:t>од</w:t>
      </w:r>
    </w:p>
    <w:p>
      <w:pPr>
        <w:pStyle w:val="BodyText"/>
        <w:spacing w:line="240" w:lineRule="auto"/>
        <w:ind w:right="172"/>
        <w:jc w:val="both"/>
      </w:pPr>
      <w:r>
        <w:rPr/>
        <w:t>26.403 хиљаде динара</w:t>
      </w:r>
      <w:r>
        <w:rPr>
          <w:rFonts w:ascii="Times New Roman" w:hAnsi="Times New Roman" w:cs="Times New Roman" w:eastAsia="Times New Roman" w:hint="default"/>
        </w:rPr>
        <w:t>, 444000 </w:t>
      </w:r>
      <w:r>
        <w:rPr/>
        <w:t>– пратећи трошкови задуживања у износу од 27 хиљада динара</w:t>
      </w:r>
      <w:r>
        <w:rPr>
          <w:rFonts w:ascii="Times New Roman" w:hAnsi="Times New Roman" w:cs="Times New Roman" w:eastAsia="Times New Roman" w:hint="default"/>
        </w:rPr>
        <w:t>, 465000 - </w:t>
      </w:r>
      <w:r>
        <w:rPr/>
        <w:t>остале дотације и трансфери у износу од 96 хиљада динара и 482000 </w:t>
      </w:r>
      <w:r>
        <w:rPr>
          <w:rFonts w:ascii="Times New Roman" w:hAnsi="Times New Roman" w:cs="Times New Roman" w:eastAsia="Times New Roman" w:hint="default"/>
        </w:rPr>
        <w:t>- </w:t>
      </w:r>
      <w:r>
        <w:rPr/>
        <w:t>порези, обавезне таксе, казне и пенали у износу од 162 хиљаде</w:t>
      </w:r>
      <w:r>
        <w:rPr>
          <w:spacing w:val="-23"/>
        </w:rPr>
        <w:t> </w:t>
      </w:r>
      <w:r>
        <w:rPr/>
        <w:t>динара;</w:t>
      </w:r>
    </w:p>
    <w:p>
      <w:pPr>
        <w:pStyle w:val="ListParagraph"/>
        <w:numPr>
          <w:ilvl w:val="0"/>
          <w:numId w:val="12"/>
        </w:numPr>
        <w:tabs>
          <w:tab w:pos="336" w:val="left" w:leader="none"/>
        </w:tabs>
        <w:spacing w:line="240" w:lineRule="auto" w:before="0"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Народни музеј </w:t>
      </w:r>
      <w:r>
        <w:rPr>
          <w:rFonts w:ascii="Times New Roman" w:hAnsi="Times New Roman" w:cs="Times New Roman" w:eastAsia="Times New Roman" w:hint="default"/>
          <w:sz w:val="24"/>
          <w:szCs w:val="24"/>
        </w:rPr>
        <w:t>је преузео веће обавезе у укупном износу од 5.997 хиљада динара на </w:t>
      </w:r>
      <w:r>
        <w:rPr>
          <w:rFonts w:ascii="Times New Roman" w:hAnsi="Times New Roman" w:cs="Times New Roman" w:eastAsia="Times New Roman" w:hint="default"/>
          <w:sz w:val="24"/>
          <w:szCs w:val="24"/>
        </w:rPr>
        <w:t>следећим апропријацијама: </w:t>
      </w:r>
      <w:r>
        <w:rPr>
          <w:rFonts w:ascii="Times New Roman" w:hAnsi="Times New Roman" w:cs="Times New Roman" w:eastAsia="Times New Roman" w:hint="default"/>
          <w:sz w:val="24"/>
          <w:szCs w:val="24"/>
        </w:rPr>
        <w:t>411000 - </w:t>
      </w:r>
      <w:r>
        <w:rPr>
          <w:rFonts w:ascii="Times New Roman" w:hAnsi="Times New Roman" w:cs="Times New Roman" w:eastAsia="Times New Roman" w:hint="default"/>
          <w:sz w:val="24"/>
          <w:szCs w:val="24"/>
        </w:rPr>
        <w:t>плате, додаци и накнаде запослених у износу од 3.769 хиљада динара, 412000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социјални доприноси на терет послодавца у износу од 673 хиљаде динара</w:t>
      </w:r>
      <w:r>
        <w:rPr>
          <w:rFonts w:ascii="Times New Roman" w:hAnsi="Times New Roman" w:cs="Times New Roman" w:eastAsia="Times New Roman" w:hint="default"/>
          <w:sz w:val="24"/>
          <w:szCs w:val="24"/>
        </w:rPr>
        <w:t>, 414000 </w:t>
      </w:r>
      <w:r>
        <w:rPr>
          <w:rFonts w:ascii="Times New Roman" w:hAnsi="Times New Roman" w:cs="Times New Roman" w:eastAsia="Times New Roman" w:hint="default"/>
          <w:sz w:val="24"/>
          <w:szCs w:val="24"/>
        </w:rPr>
        <w:t>– социјална давања запосленима у износу од 756 хиљада динара, </w:t>
      </w:r>
      <w:r>
        <w:rPr>
          <w:rFonts w:ascii="Times New Roman" w:hAnsi="Times New Roman" w:cs="Times New Roman" w:eastAsia="Times New Roman" w:hint="default"/>
          <w:sz w:val="24"/>
          <w:szCs w:val="24"/>
        </w:rPr>
        <w:t>465000 - </w:t>
      </w:r>
      <w:r>
        <w:rPr>
          <w:rFonts w:ascii="Times New Roman" w:hAnsi="Times New Roman" w:cs="Times New Roman" w:eastAsia="Times New Roman" w:hint="default"/>
          <w:sz w:val="24"/>
          <w:szCs w:val="24"/>
        </w:rPr>
        <w:t>остале дотације и трансфери у износу од 636 хиљада динара и 483000 – новчане казне и пенали по решењу судова у износу од 163 хиљаде</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динара;</w:t>
      </w:r>
    </w:p>
    <w:p>
      <w:pPr>
        <w:pStyle w:val="ListParagraph"/>
        <w:numPr>
          <w:ilvl w:val="0"/>
          <w:numId w:val="12"/>
        </w:numPr>
        <w:tabs>
          <w:tab w:pos="339"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Дечији центар </w:t>
      </w:r>
      <w:r>
        <w:rPr>
          <w:rFonts w:ascii="Times New Roman" w:hAnsi="Times New Roman" w:cs="Times New Roman" w:eastAsia="Times New Roman" w:hint="default"/>
          <w:sz w:val="24"/>
          <w:szCs w:val="24"/>
        </w:rPr>
        <w:t>је преузео веће обавезе у укупном износу од 4.972 хиљаде динара на </w:t>
      </w:r>
      <w:r>
        <w:rPr>
          <w:rFonts w:ascii="Times New Roman" w:hAnsi="Times New Roman" w:cs="Times New Roman" w:eastAsia="Times New Roman" w:hint="default"/>
          <w:sz w:val="24"/>
          <w:szCs w:val="24"/>
        </w:rPr>
        <w:t>следећим апропријацијама: </w:t>
      </w:r>
      <w:r>
        <w:rPr>
          <w:rFonts w:ascii="Times New Roman" w:hAnsi="Times New Roman" w:cs="Times New Roman" w:eastAsia="Times New Roman" w:hint="default"/>
          <w:sz w:val="24"/>
          <w:szCs w:val="24"/>
        </w:rPr>
        <w:t>411000-</w:t>
      </w:r>
      <w:r>
        <w:rPr>
          <w:rFonts w:ascii="Times New Roman" w:hAnsi="Times New Roman" w:cs="Times New Roman" w:eastAsia="Times New Roman" w:hint="default"/>
          <w:sz w:val="24"/>
          <w:szCs w:val="24"/>
        </w:rPr>
        <w:t>плате, додаци и накнаде запослених у износу од 1.634 хиљаде динара, 412000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социјални доприноси на терет послодавца у износу од 320 хиљада динара</w:t>
      </w:r>
      <w:r>
        <w:rPr>
          <w:rFonts w:ascii="Times New Roman" w:hAnsi="Times New Roman" w:cs="Times New Roman" w:eastAsia="Times New Roman" w:hint="default"/>
          <w:sz w:val="24"/>
          <w:szCs w:val="24"/>
        </w:rPr>
        <w:t>, 413000 </w:t>
      </w:r>
      <w:r>
        <w:rPr>
          <w:rFonts w:ascii="Times New Roman" w:hAnsi="Times New Roman" w:cs="Times New Roman" w:eastAsia="Times New Roman" w:hint="default"/>
          <w:sz w:val="24"/>
          <w:szCs w:val="24"/>
        </w:rPr>
        <w:t>–  накнаде  у натури  у износу од  498 хиљада динара</w:t>
      </w:r>
      <w:r>
        <w:rPr>
          <w:rFonts w:ascii="Times New Roman" w:hAnsi="Times New Roman" w:cs="Times New Roman" w:eastAsia="Times New Roman" w:hint="default"/>
          <w:sz w:val="24"/>
          <w:szCs w:val="24"/>
        </w:rPr>
        <w:t>,  414000    </w:t>
      </w:r>
      <w:r>
        <w:rPr>
          <w:rFonts w:ascii="Times New Roman" w:hAnsi="Times New Roman" w:cs="Times New Roman" w:eastAsia="Times New Roman" w:hint="default"/>
          <w:spacing w:val="38"/>
          <w:sz w:val="24"/>
          <w:szCs w:val="24"/>
        </w:rPr>
        <w:t> </w:t>
      </w:r>
      <w:r>
        <w:rPr>
          <w:rFonts w:ascii="Times New Roman" w:hAnsi="Times New Roman" w:cs="Times New Roman" w:eastAsia="Times New Roman" w:hint="default"/>
          <w:sz w:val="24"/>
          <w:szCs w:val="24"/>
        </w:rPr>
        <w:t>–</w:t>
      </w:r>
    </w:p>
    <w:p>
      <w:pPr>
        <w:spacing w:after="0" w:line="240" w:lineRule="auto"/>
        <w:jc w:val="both"/>
        <w:rPr>
          <w:rFonts w:ascii="Times New Roman" w:hAnsi="Times New Roman" w:cs="Times New Roman" w:eastAsia="Times New Roman" w:hint="default"/>
          <w:sz w:val="24"/>
          <w:szCs w:val="24"/>
        </w:rPr>
        <w:sectPr>
          <w:footerReference w:type="default" r:id="rId14"/>
          <w:pgSz w:w="12240" w:h="15840"/>
          <w:pgMar w:footer="1466" w:header="740" w:top="1280" w:bottom="1660" w:left="1400" w:right="1260"/>
        </w:sectPr>
      </w:pPr>
    </w:p>
    <w:p>
      <w:pPr>
        <w:spacing w:line="240" w:lineRule="auto" w:before="8"/>
        <w:rPr>
          <w:rFonts w:ascii="Times New Roman" w:hAnsi="Times New Roman" w:cs="Times New Roman" w:eastAsia="Times New Roman" w:hint="default"/>
          <w:sz w:val="16"/>
          <w:szCs w:val="16"/>
        </w:rPr>
      </w:pPr>
    </w:p>
    <w:p>
      <w:pPr>
        <w:pStyle w:val="BodyText"/>
        <w:spacing w:line="240" w:lineRule="auto" w:before="69"/>
        <w:ind w:right="174"/>
        <w:jc w:val="both"/>
      </w:pPr>
      <w:r>
        <w:rPr/>
        <w:t>социјална давања запосленима у износу од 200 хиљада динара, 423000 – услуге по уговору у износу од 2.172 хиљаде динара и 523000 – залихе робе за даљу продају у износу од 148 хиљада</w:t>
      </w:r>
      <w:r>
        <w:rPr>
          <w:spacing w:val="-8"/>
        </w:rPr>
        <w:t> </w:t>
      </w:r>
      <w:r>
        <w:rPr/>
        <w:t>динара;</w:t>
      </w:r>
    </w:p>
    <w:p>
      <w:pPr>
        <w:pStyle w:val="ListParagraph"/>
        <w:numPr>
          <w:ilvl w:val="0"/>
          <w:numId w:val="12"/>
        </w:numPr>
        <w:tabs>
          <w:tab w:pos="329"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Галерија савремене ликовне уметности </w:t>
      </w:r>
      <w:r>
        <w:rPr>
          <w:rFonts w:ascii="Times New Roman" w:hAnsi="Times New Roman" w:cs="Times New Roman" w:eastAsia="Times New Roman" w:hint="default"/>
          <w:sz w:val="24"/>
          <w:szCs w:val="24"/>
        </w:rPr>
        <w:t>је преузела веће обавезе у укупном износу од </w:t>
      </w:r>
      <w:r>
        <w:rPr>
          <w:rFonts w:ascii="Times New Roman" w:hAnsi="Times New Roman" w:cs="Times New Roman" w:eastAsia="Times New Roman" w:hint="default"/>
          <w:sz w:val="24"/>
          <w:szCs w:val="24"/>
        </w:rPr>
        <w:t>1.910 хиљада динара на следећим апропријацијама: </w:t>
      </w:r>
      <w:r>
        <w:rPr>
          <w:rFonts w:ascii="Times New Roman" w:hAnsi="Times New Roman" w:cs="Times New Roman" w:eastAsia="Times New Roman" w:hint="default"/>
          <w:sz w:val="24"/>
          <w:szCs w:val="24"/>
        </w:rPr>
        <w:t>411000 - </w:t>
      </w:r>
      <w:r>
        <w:rPr>
          <w:rFonts w:ascii="Times New Roman" w:hAnsi="Times New Roman" w:cs="Times New Roman" w:eastAsia="Times New Roman" w:hint="default"/>
          <w:sz w:val="24"/>
          <w:szCs w:val="24"/>
        </w:rPr>
        <w:t>плате, додаци и накнаде запослених у износу од 1.224 хиљаде динара, 412000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социјални доприноси на терет послодавца у износу од 155 хиљада динара</w:t>
      </w:r>
      <w:r>
        <w:rPr>
          <w:rFonts w:ascii="Times New Roman" w:hAnsi="Times New Roman" w:cs="Times New Roman" w:eastAsia="Times New Roman" w:hint="default"/>
          <w:sz w:val="24"/>
          <w:szCs w:val="24"/>
        </w:rPr>
        <w:t>, 413000 </w:t>
      </w:r>
      <w:r>
        <w:rPr>
          <w:rFonts w:ascii="Times New Roman" w:hAnsi="Times New Roman" w:cs="Times New Roman" w:eastAsia="Times New Roman" w:hint="default"/>
          <w:sz w:val="24"/>
          <w:szCs w:val="24"/>
        </w:rPr>
        <w:t>– накнаде у натури у износу од 149 хиљада динара</w:t>
      </w:r>
      <w:r>
        <w:rPr>
          <w:rFonts w:ascii="Times New Roman" w:hAnsi="Times New Roman" w:cs="Times New Roman" w:eastAsia="Times New Roman" w:hint="default"/>
          <w:sz w:val="24"/>
          <w:szCs w:val="24"/>
        </w:rPr>
        <w:t>, 416000 </w:t>
      </w:r>
      <w:r>
        <w:rPr>
          <w:rFonts w:ascii="Times New Roman" w:hAnsi="Times New Roman" w:cs="Times New Roman" w:eastAsia="Times New Roman" w:hint="default"/>
          <w:sz w:val="24"/>
          <w:szCs w:val="24"/>
        </w:rPr>
        <w:t>– награде запосленима и остали посебни расходи у износу од 14 хиљада динара, 465000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остале дотације и трансфери у износу од 296 хиљада динара, </w:t>
      </w:r>
      <w:r>
        <w:rPr>
          <w:rFonts w:ascii="Times New Roman" w:hAnsi="Times New Roman" w:cs="Times New Roman" w:eastAsia="Times New Roman" w:hint="default"/>
          <w:sz w:val="24"/>
          <w:szCs w:val="24"/>
        </w:rPr>
        <w:t>482000 - </w:t>
      </w:r>
      <w:r>
        <w:rPr>
          <w:rFonts w:ascii="Times New Roman" w:hAnsi="Times New Roman" w:cs="Times New Roman" w:eastAsia="Times New Roman" w:hint="default"/>
          <w:sz w:val="24"/>
          <w:szCs w:val="24"/>
        </w:rPr>
        <w:t>порези, обавезне таксе, казне и пенали у износу од 53 хиљаде динара и 483000 – новчане казне и пенали по решењу судова у износу од 19 хиљада</w:t>
      </w:r>
      <w:r>
        <w:rPr>
          <w:rFonts w:ascii="Times New Roman" w:hAnsi="Times New Roman" w:cs="Times New Roman" w:eastAsia="Times New Roman" w:hint="default"/>
          <w:spacing w:val="-28"/>
          <w:sz w:val="24"/>
          <w:szCs w:val="24"/>
        </w:rPr>
        <w:t> </w:t>
      </w:r>
      <w:r>
        <w:rPr>
          <w:rFonts w:ascii="Times New Roman" w:hAnsi="Times New Roman" w:cs="Times New Roman" w:eastAsia="Times New Roman" w:hint="default"/>
          <w:sz w:val="24"/>
          <w:szCs w:val="24"/>
        </w:rPr>
        <w:t>динара;</w:t>
      </w:r>
    </w:p>
    <w:p>
      <w:pPr>
        <w:pStyle w:val="ListParagraph"/>
        <w:numPr>
          <w:ilvl w:val="0"/>
          <w:numId w:val="12"/>
        </w:numPr>
        <w:tabs>
          <w:tab w:pos="307"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Народна библиотека </w:t>
      </w:r>
      <w:r>
        <w:rPr>
          <w:rFonts w:ascii="Times New Roman" w:hAnsi="Times New Roman"/>
          <w:sz w:val="24"/>
        </w:rPr>
        <w:t>је преузела веће обавезе у укупном износу од 5.011 хиљада динара </w:t>
      </w:r>
      <w:r>
        <w:rPr>
          <w:rFonts w:ascii="Times New Roman" w:hAnsi="Times New Roman"/>
          <w:sz w:val="24"/>
        </w:rPr>
        <w:t>на следећим апропријацијама: </w:t>
      </w:r>
      <w:r>
        <w:rPr>
          <w:rFonts w:ascii="Times New Roman" w:hAnsi="Times New Roman"/>
          <w:sz w:val="24"/>
        </w:rPr>
        <w:t>411000 - </w:t>
      </w:r>
      <w:r>
        <w:rPr>
          <w:rFonts w:ascii="Times New Roman" w:hAnsi="Times New Roman"/>
          <w:sz w:val="24"/>
        </w:rPr>
        <w:t>плате, додаци и накнаде запослених   </w:t>
      </w:r>
      <w:r>
        <w:rPr>
          <w:rFonts w:ascii="Times New Roman" w:hAnsi="Times New Roman"/>
          <w:spacing w:val="15"/>
          <w:sz w:val="24"/>
        </w:rPr>
        <w:t> </w:t>
      </w:r>
      <w:r>
        <w:rPr>
          <w:rFonts w:ascii="Times New Roman" w:hAnsi="Times New Roman"/>
          <w:sz w:val="24"/>
        </w:rPr>
        <w:t>у износу од</w:t>
      </w:r>
    </w:p>
    <w:p>
      <w:pPr>
        <w:pStyle w:val="BodyText"/>
        <w:spacing w:line="240" w:lineRule="auto"/>
        <w:ind w:right="172"/>
        <w:jc w:val="both"/>
      </w:pPr>
      <w:r>
        <w:rPr/>
        <w:t>3.549 хиљада динара, 412000 </w:t>
      </w:r>
      <w:r>
        <w:rPr>
          <w:rFonts w:ascii="Times New Roman" w:hAnsi="Times New Roman" w:cs="Times New Roman" w:eastAsia="Times New Roman" w:hint="default"/>
        </w:rPr>
        <w:t>- </w:t>
      </w:r>
      <w:r>
        <w:rPr/>
        <w:t>социјални доприноси на терет послодавца у износу од 581 хиљаде динара</w:t>
      </w:r>
      <w:r>
        <w:rPr>
          <w:rFonts w:ascii="Times New Roman" w:hAnsi="Times New Roman" w:cs="Times New Roman" w:eastAsia="Times New Roman" w:hint="default"/>
        </w:rPr>
        <w:t>, 413000</w:t>
      </w:r>
      <w:r>
        <w:rPr/>
        <w:t>–накнаде у натури у износу од 13 хиљада динара и 465000 </w:t>
      </w:r>
      <w:r>
        <w:rPr>
          <w:rFonts w:ascii="Times New Roman" w:hAnsi="Times New Roman" w:cs="Times New Roman" w:eastAsia="Times New Roman" w:hint="default"/>
        </w:rPr>
        <w:t>- </w:t>
      </w:r>
      <w:r>
        <w:rPr/>
        <w:t>остале дотације и трансфери у износу од 868 хиљада</w:t>
      </w:r>
      <w:r>
        <w:rPr>
          <w:spacing w:val="-17"/>
        </w:rPr>
        <w:t> </w:t>
      </w:r>
      <w:r>
        <w:rPr/>
        <w:t>динара;</w:t>
      </w:r>
    </w:p>
    <w:p>
      <w:pPr>
        <w:pStyle w:val="ListParagraph"/>
        <w:numPr>
          <w:ilvl w:val="0"/>
          <w:numId w:val="12"/>
        </w:numPr>
        <w:tabs>
          <w:tab w:pos="348"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Центар Мара </w:t>
      </w:r>
      <w:r>
        <w:rPr>
          <w:rFonts w:ascii="Times New Roman" w:hAnsi="Times New Roman" w:cs="Times New Roman" w:eastAsia="Times New Roman" w:hint="default"/>
          <w:sz w:val="24"/>
          <w:szCs w:val="24"/>
        </w:rPr>
        <w:t>је преузео веће обавезе у укупном износу од 9.833 хиљаде динара на </w:t>
      </w:r>
      <w:r>
        <w:rPr>
          <w:rFonts w:ascii="Times New Roman" w:hAnsi="Times New Roman" w:cs="Times New Roman" w:eastAsia="Times New Roman" w:hint="default"/>
          <w:sz w:val="24"/>
          <w:szCs w:val="24"/>
        </w:rPr>
        <w:t>следећим апропријацијама: </w:t>
      </w:r>
      <w:r>
        <w:rPr>
          <w:rFonts w:ascii="Times New Roman" w:hAnsi="Times New Roman" w:cs="Times New Roman" w:eastAsia="Times New Roman" w:hint="default"/>
          <w:sz w:val="24"/>
          <w:szCs w:val="24"/>
        </w:rPr>
        <w:t>411000-</w:t>
      </w:r>
      <w:r>
        <w:rPr>
          <w:rFonts w:ascii="Times New Roman" w:hAnsi="Times New Roman" w:cs="Times New Roman" w:eastAsia="Times New Roman" w:hint="default"/>
          <w:sz w:val="24"/>
          <w:szCs w:val="24"/>
        </w:rPr>
        <w:t>плате, додаци и накнаде запослених у износу од 2.800 хиљада динара, 412000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социјални доприноси на терет послодавца у износу од 931 хиљаде динара</w:t>
      </w:r>
      <w:r>
        <w:rPr>
          <w:rFonts w:ascii="Times New Roman" w:hAnsi="Times New Roman" w:cs="Times New Roman" w:eastAsia="Times New Roman" w:hint="default"/>
          <w:sz w:val="24"/>
          <w:szCs w:val="24"/>
        </w:rPr>
        <w:t>, 414000</w:t>
      </w:r>
      <w:r>
        <w:rPr>
          <w:rFonts w:ascii="Times New Roman" w:hAnsi="Times New Roman" w:cs="Times New Roman" w:eastAsia="Times New Roman" w:hint="default"/>
          <w:sz w:val="24"/>
          <w:szCs w:val="24"/>
        </w:rPr>
        <w:t>– социјална давања запосленима у износу од 1.321 хиљаде динара</w:t>
      </w:r>
      <w:r>
        <w:rPr>
          <w:rFonts w:ascii="Times New Roman" w:hAnsi="Times New Roman" w:cs="Times New Roman" w:eastAsia="Times New Roman" w:hint="default"/>
          <w:sz w:val="24"/>
          <w:szCs w:val="24"/>
        </w:rPr>
        <w:t>, 421000 </w:t>
      </w:r>
      <w:r>
        <w:rPr>
          <w:rFonts w:ascii="Times New Roman" w:hAnsi="Times New Roman" w:cs="Times New Roman" w:eastAsia="Times New Roman" w:hint="default"/>
          <w:sz w:val="24"/>
          <w:szCs w:val="24"/>
        </w:rPr>
        <w:t>– стални трошкови у износу од 227 хиљада динара</w:t>
      </w:r>
      <w:r>
        <w:rPr>
          <w:rFonts w:ascii="Times New Roman" w:hAnsi="Times New Roman" w:cs="Times New Roman" w:eastAsia="Times New Roman" w:hint="default"/>
          <w:sz w:val="24"/>
          <w:szCs w:val="24"/>
        </w:rPr>
        <w:t>, 425000 </w:t>
      </w:r>
      <w:r>
        <w:rPr>
          <w:rFonts w:ascii="Times New Roman" w:hAnsi="Times New Roman" w:cs="Times New Roman" w:eastAsia="Times New Roman" w:hint="default"/>
          <w:sz w:val="24"/>
          <w:szCs w:val="24"/>
        </w:rPr>
        <w:t>– текуће поправке и одржавање у износу од 84 хиљаде динара</w:t>
      </w:r>
      <w:r>
        <w:rPr>
          <w:rFonts w:ascii="Times New Roman" w:hAnsi="Times New Roman" w:cs="Times New Roman" w:eastAsia="Times New Roman" w:hint="default"/>
          <w:sz w:val="24"/>
          <w:szCs w:val="24"/>
        </w:rPr>
        <w:t>, 465000 - </w:t>
      </w:r>
      <w:r>
        <w:rPr>
          <w:rFonts w:ascii="Times New Roman" w:hAnsi="Times New Roman" w:cs="Times New Roman" w:eastAsia="Times New Roman" w:hint="default"/>
          <w:sz w:val="24"/>
          <w:szCs w:val="24"/>
        </w:rPr>
        <w:t>остале дотације и трансфери у износу од 199 хиљада динара и 472000  – накнаде за   </w:t>
      </w:r>
      <w:r>
        <w:rPr>
          <w:rFonts w:ascii="Times New Roman" w:hAnsi="Times New Roman" w:cs="Times New Roman" w:eastAsia="Times New Roman" w:hint="default"/>
          <w:spacing w:val="50"/>
          <w:sz w:val="24"/>
          <w:szCs w:val="24"/>
        </w:rPr>
        <w:t> </w:t>
      </w:r>
      <w:r>
        <w:rPr>
          <w:rFonts w:ascii="Times New Roman" w:hAnsi="Times New Roman" w:cs="Times New Roman" w:eastAsia="Times New Roman" w:hint="default"/>
          <w:sz w:val="24"/>
          <w:szCs w:val="24"/>
        </w:rPr>
        <w:t>социјалну заштиту из  буџета  у износу од</w:t>
      </w:r>
    </w:p>
    <w:p>
      <w:pPr>
        <w:pStyle w:val="BodyText"/>
        <w:spacing w:line="240" w:lineRule="auto"/>
        <w:ind w:right="0"/>
        <w:jc w:val="both"/>
      </w:pPr>
      <w:r>
        <w:rPr/>
        <w:t>4.271 хиљаде</w:t>
      </w:r>
      <w:r>
        <w:rPr>
          <w:spacing w:val="-3"/>
        </w:rPr>
        <w:t> </w:t>
      </w:r>
      <w:r>
        <w:rPr/>
        <w:t>динара;</w:t>
      </w:r>
    </w:p>
    <w:p>
      <w:pPr>
        <w:pStyle w:val="ListParagraph"/>
        <w:numPr>
          <w:ilvl w:val="0"/>
          <w:numId w:val="12"/>
        </w:numPr>
        <w:tabs>
          <w:tab w:pos="336" w:val="left" w:leader="none"/>
        </w:tabs>
        <w:spacing w:line="240" w:lineRule="auto" w:before="0" w:after="0"/>
        <w:ind w:left="160" w:right="16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Сигурна кућа </w:t>
      </w:r>
      <w:r>
        <w:rPr>
          <w:rFonts w:ascii="Times New Roman" w:hAnsi="Times New Roman" w:cs="Times New Roman" w:eastAsia="Times New Roman" w:hint="default"/>
          <w:sz w:val="24"/>
          <w:szCs w:val="24"/>
        </w:rPr>
        <w:t>је преузела веће обавезе у укупном износу од 2.080 хиљада динара на </w:t>
      </w:r>
      <w:r>
        <w:rPr>
          <w:rFonts w:ascii="Times New Roman" w:hAnsi="Times New Roman" w:cs="Times New Roman" w:eastAsia="Times New Roman" w:hint="default"/>
          <w:sz w:val="24"/>
          <w:szCs w:val="24"/>
        </w:rPr>
        <w:t>следећим апропријацијама: </w:t>
      </w:r>
      <w:r>
        <w:rPr>
          <w:rFonts w:ascii="Times New Roman" w:hAnsi="Times New Roman" w:cs="Times New Roman" w:eastAsia="Times New Roman" w:hint="default"/>
          <w:sz w:val="24"/>
          <w:szCs w:val="24"/>
        </w:rPr>
        <w:t>414000</w:t>
      </w:r>
      <w:r>
        <w:rPr>
          <w:rFonts w:ascii="Times New Roman" w:hAnsi="Times New Roman" w:cs="Times New Roman" w:eastAsia="Times New Roman" w:hint="default"/>
          <w:sz w:val="24"/>
          <w:szCs w:val="24"/>
        </w:rPr>
        <w:t>–социјална давања запосленима у износу од 30 хиљада динара</w:t>
      </w:r>
      <w:r>
        <w:rPr>
          <w:rFonts w:ascii="Times New Roman" w:hAnsi="Times New Roman" w:cs="Times New Roman" w:eastAsia="Times New Roman" w:hint="default"/>
          <w:sz w:val="24"/>
          <w:szCs w:val="24"/>
        </w:rPr>
        <w:t>, 421000</w:t>
      </w:r>
      <w:r>
        <w:rPr>
          <w:rFonts w:ascii="Times New Roman" w:hAnsi="Times New Roman" w:cs="Times New Roman" w:eastAsia="Times New Roman" w:hint="default"/>
          <w:sz w:val="24"/>
          <w:szCs w:val="24"/>
        </w:rPr>
        <w:t>–стални трошкови у износу од 141 хиљаде динара</w:t>
      </w:r>
      <w:r>
        <w:rPr>
          <w:rFonts w:ascii="Times New Roman" w:hAnsi="Times New Roman" w:cs="Times New Roman" w:eastAsia="Times New Roman" w:hint="default"/>
          <w:sz w:val="24"/>
          <w:szCs w:val="24"/>
        </w:rPr>
        <w:t>, 423000 </w:t>
      </w:r>
      <w:r>
        <w:rPr>
          <w:rFonts w:ascii="Times New Roman" w:hAnsi="Times New Roman" w:cs="Times New Roman" w:eastAsia="Times New Roman" w:hint="default"/>
          <w:sz w:val="24"/>
          <w:szCs w:val="24"/>
        </w:rPr>
        <w:t>– услуге по уговору у износу од 1.850 хиљада динара и 46</w:t>
      </w:r>
      <w:r>
        <w:rPr>
          <w:rFonts w:ascii="Times New Roman" w:hAnsi="Times New Roman" w:cs="Times New Roman" w:eastAsia="Times New Roman" w:hint="default"/>
          <w:sz w:val="24"/>
          <w:szCs w:val="24"/>
        </w:rPr>
        <w:t>5000 - </w:t>
      </w:r>
      <w:r>
        <w:rPr>
          <w:rFonts w:ascii="Times New Roman" w:hAnsi="Times New Roman" w:cs="Times New Roman" w:eastAsia="Times New Roman" w:hint="default"/>
          <w:sz w:val="24"/>
          <w:szCs w:val="24"/>
        </w:rPr>
        <w:t>остале дотације и трансфери  у износу од 59 хиљада</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динара;</w:t>
      </w:r>
    </w:p>
    <w:p>
      <w:pPr>
        <w:pStyle w:val="ListParagraph"/>
        <w:numPr>
          <w:ilvl w:val="0"/>
          <w:numId w:val="12"/>
        </w:numPr>
        <w:tabs>
          <w:tab w:pos="336"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ПУ Пчелица </w:t>
      </w:r>
      <w:r>
        <w:rPr>
          <w:rFonts w:ascii="Times New Roman" w:hAnsi="Times New Roman" w:cs="Times New Roman" w:eastAsia="Times New Roman" w:hint="default"/>
          <w:sz w:val="24"/>
          <w:szCs w:val="24"/>
        </w:rPr>
        <w:t>је преузела веће обавезе у укупном износу од 71.443 хиљаде динара на </w:t>
      </w:r>
      <w:r>
        <w:rPr>
          <w:rFonts w:ascii="Times New Roman" w:hAnsi="Times New Roman" w:cs="Times New Roman" w:eastAsia="Times New Roman" w:hint="default"/>
          <w:sz w:val="24"/>
          <w:szCs w:val="24"/>
        </w:rPr>
        <w:t>следећим апропријацијама: </w:t>
      </w:r>
      <w:r>
        <w:rPr>
          <w:rFonts w:ascii="Times New Roman" w:hAnsi="Times New Roman" w:cs="Times New Roman" w:eastAsia="Times New Roman" w:hint="default"/>
          <w:sz w:val="24"/>
          <w:szCs w:val="24"/>
        </w:rPr>
        <w:t>413000 </w:t>
      </w:r>
      <w:r>
        <w:rPr>
          <w:rFonts w:ascii="Times New Roman" w:hAnsi="Times New Roman" w:cs="Times New Roman" w:eastAsia="Times New Roman" w:hint="default"/>
          <w:sz w:val="24"/>
          <w:szCs w:val="24"/>
        </w:rPr>
        <w:t>– накнаде у натури у износу од 13.803 хиљаде динара</w:t>
      </w:r>
      <w:r>
        <w:rPr>
          <w:rFonts w:ascii="Times New Roman" w:hAnsi="Times New Roman" w:cs="Times New Roman" w:eastAsia="Times New Roman" w:hint="default"/>
          <w:sz w:val="24"/>
          <w:szCs w:val="24"/>
        </w:rPr>
        <w:t>, 421000 </w:t>
      </w:r>
      <w:r>
        <w:rPr>
          <w:rFonts w:ascii="Times New Roman" w:hAnsi="Times New Roman" w:cs="Times New Roman" w:eastAsia="Times New Roman" w:hint="default"/>
          <w:sz w:val="24"/>
          <w:szCs w:val="24"/>
        </w:rPr>
        <w:t>– стални трошкови у износу од 31.613 хиљада динара</w:t>
      </w:r>
      <w:r>
        <w:rPr>
          <w:rFonts w:ascii="Times New Roman" w:hAnsi="Times New Roman" w:cs="Times New Roman" w:eastAsia="Times New Roman" w:hint="default"/>
          <w:sz w:val="24"/>
          <w:szCs w:val="24"/>
        </w:rPr>
        <w:t>, 424000 </w:t>
      </w:r>
      <w:r>
        <w:rPr>
          <w:rFonts w:ascii="Times New Roman" w:hAnsi="Times New Roman" w:cs="Times New Roman" w:eastAsia="Times New Roman" w:hint="default"/>
          <w:sz w:val="24"/>
          <w:szCs w:val="24"/>
        </w:rPr>
        <w:t>– специјализоване услуге у износу од 7.951 хиљаде динара</w:t>
      </w:r>
      <w:r>
        <w:rPr>
          <w:rFonts w:ascii="Times New Roman" w:hAnsi="Times New Roman" w:cs="Times New Roman" w:eastAsia="Times New Roman" w:hint="default"/>
          <w:sz w:val="24"/>
          <w:szCs w:val="24"/>
        </w:rPr>
        <w:t>, 425000 </w:t>
      </w:r>
      <w:r>
        <w:rPr>
          <w:rFonts w:ascii="Times New Roman" w:hAnsi="Times New Roman" w:cs="Times New Roman" w:eastAsia="Times New Roman" w:hint="default"/>
          <w:sz w:val="24"/>
          <w:szCs w:val="24"/>
        </w:rPr>
        <w:t>– текуће поправке и одржавање у износу од 728 хиљада динара</w:t>
      </w:r>
      <w:r>
        <w:rPr>
          <w:rFonts w:ascii="Times New Roman" w:hAnsi="Times New Roman" w:cs="Times New Roman" w:eastAsia="Times New Roman" w:hint="default"/>
          <w:sz w:val="24"/>
          <w:szCs w:val="24"/>
        </w:rPr>
        <w:t>, 444000 </w:t>
      </w:r>
      <w:r>
        <w:rPr>
          <w:rFonts w:ascii="Times New Roman" w:hAnsi="Times New Roman" w:cs="Times New Roman" w:eastAsia="Times New Roman" w:hint="default"/>
          <w:sz w:val="24"/>
          <w:szCs w:val="24"/>
        </w:rPr>
        <w:t>– пратећи трошкови задуживања у износу од 1.582 хиљаде динара</w:t>
      </w:r>
      <w:r>
        <w:rPr>
          <w:rFonts w:ascii="Times New Roman" w:hAnsi="Times New Roman" w:cs="Times New Roman" w:eastAsia="Times New Roman" w:hint="default"/>
          <w:sz w:val="24"/>
          <w:szCs w:val="24"/>
        </w:rPr>
        <w:t>, 465000 - </w:t>
      </w:r>
      <w:r>
        <w:rPr>
          <w:rFonts w:ascii="Times New Roman" w:hAnsi="Times New Roman" w:cs="Times New Roman" w:eastAsia="Times New Roman" w:hint="default"/>
          <w:sz w:val="24"/>
          <w:szCs w:val="24"/>
        </w:rPr>
        <w:t>остале дотације и трансфери у износу од 4.062 хиљаде динара, 482000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порези, обавезне таксе, казне и пенали у износу од 1.639 хиљада динара, 483000 – новчане казне и пенали по решењу судова у износу од 76 хиљада динара и 523000 – залихе робе за даљу продају у износу од 9.989 хиљада</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динара;</w:t>
      </w:r>
    </w:p>
    <w:p>
      <w:pPr>
        <w:pStyle w:val="ListParagraph"/>
        <w:numPr>
          <w:ilvl w:val="0"/>
          <w:numId w:val="9"/>
        </w:numPr>
        <w:tabs>
          <w:tab w:pos="303" w:val="left" w:leader="none"/>
        </w:tabs>
        <w:spacing w:line="292" w:lineRule="exact" w:before="141"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уговорену вредност у укупном износу од 12.385 хиљада динара и</w:t>
      </w:r>
      <w:r>
        <w:rPr>
          <w:rFonts w:ascii="Times New Roman" w:hAnsi="Times New Roman"/>
          <w:spacing w:val="-18"/>
          <w:sz w:val="24"/>
        </w:rPr>
        <w:t> </w:t>
      </w:r>
      <w:r>
        <w:rPr>
          <w:rFonts w:ascii="Times New Roman" w:hAnsi="Times New Roman"/>
          <w:sz w:val="24"/>
        </w:rPr>
        <w:t>то:</w:t>
      </w:r>
    </w:p>
    <w:p>
      <w:pPr>
        <w:pStyle w:val="ListParagraph"/>
        <w:numPr>
          <w:ilvl w:val="0"/>
          <w:numId w:val="12"/>
        </w:numPr>
        <w:tabs>
          <w:tab w:pos="444"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Служба за одржавање и информатичко комуникационе технологије </w:t>
      </w:r>
      <w:r>
        <w:rPr>
          <w:rFonts w:ascii="Times New Roman" w:hAnsi="Times New Roman"/>
          <w:sz w:val="24"/>
        </w:rPr>
        <w:t>у укупном износу </w:t>
      </w:r>
      <w:r>
        <w:rPr>
          <w:rFonts w:ascii="Times New Roman" w:hAnsi="Times New Roman"/>
          <w:sz w:val="24"/>
        </w:rPr>
        <w:t>од 2.786 хиљада динара и то по: Уговору 16</w:t>
      </w:r>
      <w:r>
        <w:rPr>
          <w:rFonts w:ascii="Times New Roman" w:hAnsi="Times New Roman"/>
          <w:sz w:val="24"/>
        </w:rPr>
        <w:t>-</w:t>
      </w:r>
      <w:r>
        <w:rPr>
          <w:rFonts w:ascii="Times New Roman" w:hAnsi="Times New Roman"/>
          <w:sz w:val="24"/>
        </w:rPr>
        <w:t>5579/13 од 04.11.2013. године у износу од 929 хиљада (4.1.4.12), Уговору број 16</w:t>
      </w:r>
      <w:r>
        <w:rPr>
          <w:rFonts w:ascii="Times New Roman" w:hAnsi="Times New Roman"/>
          <w:sz w:val="24"/>
        </w:rPr>
        <w:t>-</w:t>
      </w:r>
      <w:r>
        <w:rPr>
          <w:rFonts w:ascii="Times New Roman" w:hAnsi="Times New Roman"/>
          <w:sz w:val="24"/>
        </w:rPr>
        <w:t>4787/2013 од 20.09.2013. године у износу од 950 хиљада динара (4.1.4.13), Уговору број  16</w:t>
      </w:r>
      <w:r>
        <w:rPr>
          <w:rFonts w:ascii="Times New Roman" w:hAnsi="Times New Roman"/>
          <w:sz w:val="24"/>
        </w:rPr>
        <w:t>-</w:t>
      </w:r>
      <w:r>
        <w:rPr>
          <w:rFonts w:ascii="Times New Roman" w:hAnsi="Times New Roman"/>
          <w:sz w:val="24"/>
        </w:rPr>
        <w:t>4805/2013  од 23.09.2013.  године  у износу </w:t>
      </w:r>
      <w:r>
        <w:rPr>
          <w:rFonts w:ascii="Times New Roman" w:hAnsi="Times New Roman"/>
          <w:spacing w:val="12"/>
          <w:sz w:val="24"/>
        </w:rPr>
        <w:t> </w:t>
      </w:r>
      <w:r>
        <w:rPr>
          <w:rFonts w:ascii="Times New Roman" w:hAnsi="Times New Roman"/>
          <w:sz w:val="24"/>
        </w:rPr>
        <w:t>од</w:t>
      </w:r>
    </w:p>
    <w:p>
      <w:pPr>
        <w:spacing w:after="0" w:line="240" w:lineRule="auto"/>
        <w:jc w:val="both"/>
        <w:rPr>
          <w:rFonts w:ascii="Times New Roman" w:hAnsi="Times New Roman" w:cs="Times New Roman" w:eastAsia="Times New Roman" w:hint="default"/>
          <w:sz w:val="24"/>
          <w:szCs w:val="24"/>
        </w:rPr>
        <w:sectPr>
          <w:footerReference w:type="default" r:id="rId15"/>
          <w:pgSz w:w="12240" w:h="15840"/>
          <w:pgMar w:footer="1466" w:header="740" w:top="1280" w:bottom="1660" w:left="1400" w:right="1260"/>
          <w:pgNumType w:start="21"/>
        </w:sectPr>
      </w:pPr>
    </w:p>
    <w:p>
      <w:pPr>
        <w:spacing w:line="240" w:lineRule="auto" w:before="8"/>
        <w:rPr>
          <w:rFonts w:ascii="Times New Roman" w:hAnsi="Times New Roman" w:cs="Times New Roman" w:eastAsia="Times New Roman" w:hint="default"/>
          <w:sz w:val="16"/>
          <w:szCs w:val="16"/>
        </w:rPr>
      </w:pPr>
    </w:p>
    <w:p>
      <w:pPr>
        <w:pStyle w:val="BodyText"/>
        <w:spacing w:line="240" w:lineRule="auto" w:before="69"/>
        <w:ind w:right="174"/>
        <w:jc w:val="both"/>
      </w:pPr>
      <w:r>
        <w:rPr/>
        <w:t>761 хиљаде динара (4.1.4.13) и Уговору број 16</w:t>
      </w:r>
      <w:r>
        <w:rPr>
          <w:rFonts w:ascii="Times New Roman" w:hAnsi="Times New Roman"/>
        </w:rPr>
        <w:t>-</w:t>
      </w:r>
      <w:r>
        <w:rPr/>
        <w:t>548/2013 од 29.01.2013. године у износу од 146 хиљада динара</w:t>
      </w:r>
      <w:r>
        <w:rPr>
          <w:spacing w:val="-4"/>
        </w:rPr>
        <w:t> </w:t>
      </w:r>
      <w:r>
        <w:rPr/>
        <w:t>(4.1.5.1);</w:t>
      </w:r>
    </w:p>
    <w:p>
      <w:pPr>
        <w:pStyle w:val="ListParagraph"/>
        <w:numPr>
          <w:ilvl w:val="0"/>
          <w:numId w:val="12"/>
        </w:numPr>
        <w:tabs>
          <w:tab w:pos="303" w:val="left" w:leader="none"/>
        </w:tabs>
        <w:spacing w:line="240" w:lineRule="auto" w:before="0" w:after="0"/>
        <w:ind w:left="160" w:right="181"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ЈП Дирекција за изградњу града Ниша </w:t>
      </w:r>
      <w:r>
        <w:rPr>
          <w:rFonts w:ascii="Times New Roman" w:hAnsi="Times New Roman"/>
          <w:sz w:val="24"/>
        </w:rPr>
        <w:t>у износу од 271 хиљаде динара по Уговору број </w:t>
      </w:r>
      <w:r>
        <w:rPr>
          <w:rFonts w:ascii="Times New Roman" w:hAnsi="Times New Roman"/>
          <w:sz w:val="24"/>
        </w:rPr>
      </w:r>
      <w:r>
        <w:rPr>
          <w:rFonts w:ascii="Times New Roman" w:hAnsi="Times New Roman"/>
          <w:sz w:val="24"/>
        </w:rPr>
        <w:t>03-</w:t>
      </w:r>
      <w:r>
        <w:rPr>
          <w:rFonts w:ascii="Times New Roman" w:hAnsi="Times New Roman"/>
          <w:sz w:val="24"/>
        </w:rPr>
        <w:t>11132/1 од 14.11.2013. године</w:t>
      </w:r>
      <w:r>
        <w:rPr>
          <w:rFonts w:ascii="Times New Roman" w:hAnsi="Times New Roman"/>
          <w:spacing w:val="-2"/>
          <w:sz w:val="24"/>
        </w:rPr>
        <w:t> </w:t>
      </w:r>
      <w:r>
        <w:rPr>
          <w:rFonts w:ascii="Times New Roman" w:hAnsi="Times New Roman"/>
          <w:sz w:val="24"/>
        </w:rPr>
        <w:t>(</w:t>
      </w:r>
      <w:r>
        <w:rPr>
          <w:rFonts w:ascii="Times New Roman" w:hAnsi="Times New Roman"/>
          <w:sz w:val="24"/>
        </w:rPr>
        <w:t>4.1.5.1);</w:t>
      </w:r>
    </w:p>
    <w:p>
      <w:pPr>
        <w:pStyle w:val="ListParagraph"/>
        <w:numPr>
          <w:ilvl w:val="0"/>
          <w:numId w:val="12"/>
        </w:numPr>
        <w:tabs>
          <w:tab w:pos="303" w:val="left" w:leader="none"/>
        </w:tabs>
        <w:spacing w:line="240" w:lineRule="auto" w:before="0" w:after="0"/>
        <w:ind w:left="160" w:right="171"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ПУ Пчелица </w:t>
      </w:r>
      <w:r>
        <w:rPr>
          <w:rFonts w:ascii="Times New Roman" w:hAnsi="Times New Roman"/>
          <w:sz w:val="24"/>
        </w:rPr>
        <w:t>у укупном износу од 8.942 хиљаде динара и то по: Уговору број 8277 од </w:t>
      </w:r>
      <w:r>
        <w:rPr>
          <w:rFonts w:ascii="Times New Roman" w:hAnsi="Times New Roman"/>
          <w:sz w:val="24"/>
        </w:rPr>
        <w:t>05.12.2012. године у износу од 32 хиљаде динара, Уговору број 13491 од 23.12.2013. године у износу од 147 хиљада динара, Уговору број 1480 од 20.02.2014. године у износу од 56 хиљада динара, Уговору број 3177 од 18.04.2013. године у износу од 63 хиљаде динара, Уговору број 6948 од 19.10.2012. године у износу од 456 хиљада динара, Уговору број 10468 од 08.10.2013. године у износу од 3.199 хиљада динара, Уговору број 10614 од 10.10.2013. године у износу од 790 хиљада динара, Уговору број 1247 од 13.02.2014. године у износу од 482 хиљаде динара, Уговору број 5426 од 28.08.2012. године у износу од 555 хиљада динара, Уговору број 1009 од 08.02.2013. године у износу од 73 хиљаде динара, Уговору број 12421 од 28.11.2013. године у износу од 1.789 хиљада динара</w:t>
      </w:r>
      <w:r>
        <w:rPr>
          <w:rFonts w:ascii="Times New Roman" w:hAnsi="Times New Roman"/>
          <w:sz w:val="24"/>
        </w:rPr>
        <w:t>, </w:t>
      </w:r>
      <w:r>
        <w:rPr>
          <w:rFonts w:ascii="Times New Roman" w:hAnsi="Times New Roman"/>
          <w:sz w:val="24"/>
        </w:rPr>
        <w:t>Уговору</w:t>
      </w:r>
      <w:r>
        <w:rPr>
          <w:rFonts w:ascii="Times New Roman" w:hAnsi="Times New Roman"/>
          <w:spacing w:val="23"/>
          <w:sz w:val="24"/>
        </w:rPr>
        <w:t> </w:t>
      </w:r>
      <w:r>
        <w:rPr>
          <w:rFonts w:ascii="Times New Roman" w:hAnsi="Times New Roman"/>
          <w:sz w:val="24"/>
        </w:rPr>
        <w:t>број</w:t>
      </w:r>
      <w:r>
        <w:rPr>
          <w:rFonts w:ascii="Times New Roman" w:hAnsi="Times New Roman"/>
          <w:spacing w:val="29"/>
          <w:sz w:val="24"/>
        </w:rPr>
        <w:t> </w:t>
      </w:r>
      <w:r>
        <w:rPr>
          <w:rFonts w:ascii="Times New Roman" w:hAnsi="Times New Roman"/>
          <w:sz w:val="24"/>
        </w:rPr>
        <w:t>6995</w:t>
      </w:r>
      <w:r>
        <w:rPr>
          <w:rFonts w:ascii="Times New Roman" w:hAnsi="Times New Roman"/>
          <w:spacing w:val="28"/>
          <w:sz w:val="24"/>
        </w:rPr>
        <w:t> </w:t>
      </w:r>
      <w:r>
        <w:rPr>
          <w:rFonts w:ascii="Times New Roman" w:hAnsi="Times New Roman"/>
          <w:sz w:val="24"/>
        </w:rPr>
        <w:t>од</w:t>
      </w:r>
      <w:r>
        <w:rPr>
          <w:rFonts w:ascii="Times New Roman" w:hAnsi="Times New Roman"/>
          <w:spacing w:val="26"/>
          <w:sz w:val="24"/>
        </w:rPr>
        <w:t> </w:t>
      </w:r>
      <w:r>
        <w:rPr>
          <w:rFonts w:ascii="Times New Roman" w:hAnsi="Times New Roman"/>
          <w:sz w:val="24"/>
        </w:rPr>
        <w:t>09.07.2013.</w:t>
      </w:r>
      <w:r>
        <w:rPr>
          <w:rFonts w:ascii="Times New Roman" w:hAnsi="Times New Roman"/>
          <w:spacing w:val="28"/>
          <w:sz w:val="24"/>
        </w:rPr>
        <w:t> </w:t>
      </w:r>
      <w:r>
        <w:rPr>
          <w:rFonts w:ascii="Times New Roman" w:hAnsi="Times New Roman"/>
          <w:sz w:val="24"/>
        </w:rPr>
        <w:t>године</w:t>
      </w:r>
      <w:r>
        <w:rPr>
          <w:rFonts w:ascii="Times New Roman" w:hAnsi="Times New Roman"/>
          <w:spacing w:val="30"/>
          <w:sz w:val="24"/>
        </w:rPr>
        <w:t> </w:t>
      </w:r>
      <w:r>
        <w:rPr>
          <w:rFonts w:ascii="Times New Roman" w:hAnsi="Times New Roman"/>
          <w:sz w:val="24"/>
        </w:rPr>
        <w:t>у</w:t>
      </w:r>
      <w:r>
        <w:rPr>
          <w:rFonts w:ascii="Times New Roman" w:hAnsi="Times New Roman"/>
          <w:spacing w:val="21"/>
          <w:sz w:val="24"/>
        </w:rPr>
        <w:t> </w:t>
      </w:r>
      <w:r>
        <w:rPr>
          <w:rFonts w:ascii="Times New Roman" w:hAnsi="Times New Roman"/>
          <w:sz w:val="24"/>
        </w:rPr>
        <w:t>износу</w:t>
      </w:r>
      <w:r>
        <w:rPr>
          <w:rFonts w:ascii="Times New Roman" w:hAnsi="Times New Roman"/>
          <w:spacing w:val="23"/>
          <w:sz w:val="24"/>
        </w:rPr>
        <w:t> </w:t>
      </w:r>
      <w:r>
        <w:rPr>
          <w:rFonts w:ascii="Times New Roman" w:hAnsi="Times New Roman"/>
          <w:sz w:val="24"/>
        </w:rPr>
        <w:t>од</w:t>
      </w:r>
      <w:r>
        <w:rPr>
          <w:rFonts w:ascii="Times New Roman" w:hAnsi="Times New Roman"/>
          <w:spacing w:val="28"/>
          <w:sz w:val="24"/>
        </w:rPr>
        <w:t> </w:t>
      </w:r>
      <w:r>
        <w:rPr>
          <w:rFonts w:ascii="Times New Roman" w:hAnsi="Times New Roman"/>
          <w:sz w:val="24"/>
        </w:rPr>
        <w:t>164</w:t>
      </w:r>
      <w:r>
        <w:rPr>
          <w:rFonts w:ascii="Times New Roman" w:hAnsi="Times New Roman"/>
          <w:spacing w:val="28"/>
          <w:sz w:val="24"/>
        </w:rPr>
        <w:t> </w:t>
      </w:r>
      <w:r>
        <w:rPr>
          <w:rFonts w:ascii="Times New Roman" w:hAnsi="Times New Roman"/>
          <w:sz w:val="24"/>
        </w:rPr>
        <w:t>хиљаде</w:t>
      </w:r>
      <w:r>
        <w:rPr>
          <w:rFonts w:ascii="Times New Roman" w:hAnsi="Times New Roman"/>
          <w:spacing w:val="27"/>
          <w:sz w:val="24"/>
        </w:rPr>
        <w:t> </w:t>
      </w:r>
      <w:r>
        <w:rPr>
          <w:rFonts w:ascii="Times New Roman" w:hAnsi="Times New Roman"/>
          <w:sz w:val="24"/>
        </w:rPr>
        <w:t>динара,</w:t>
      </w:r>
      <w:r>
        <w:rPr>
          <w:rFonts w:ascii="Times New Roman" w:hAnsi="Times New Roman"/>
          <w:spacing w:val="28"/>
          <w:sz w:val="24"/>
        </w:rPr>
        <w:t> </w:t>
      </w:r>
      <w:r>
        <w:rPr>
          <w:rFonts w:ascii="Times New Roman" w:hAnsi="Times New Roman"/>
          <w:sz w:val="24"/>
        </w:rPr>
        <w:t>Уговору</w:t>
      </w:r>
      <w:r>
        <w:rPr>
          <w:rFonts w:ascii="Times New Roman" w:hAnsi="Times New Roman"/>
          <w:spacing w:val="23"/>
          <w:sz w:val="24"/>
        </w:rPr>
        <w:t> </w:t>
      </w:r>
      <w:r>
        <w:rPr>
          <w:rFonts w:ascii="Times New Roman" w:hAnsi="Times New Roman"/>
          <w:sz w:val="24"/>
        </w:rPr>
        <w:t>број</w:t>
      </w:r>
    </w:p>
    <w:p>
      <w:pPr>
        <w:pStyle w:val="BodyText"/>
        <w:spacing w:line="240" w:lineRule="auto"/>
        <w:ind w:right="179"/>
        <w:jc w:val="both"/>
      </w:pPr>
      <w:r>
        <w:rPr/>
        <w:t>278 од 16.01.2013. године у износу од 599 хиљада динара и Уговору број 452 од 21.01.2014. године у износу од 537 хиљада динара (4.1.4.12 и</w:t>
      </w:r>
      <w:r>
        <w:rPr>
          <w:spacing w:val="-15"/>
        </w:rPr>
        <w:t> </w:t>
      </w:r>
      <w:r>
        <w:rPr/>
        <w:t>4.1.4.13);</w:t>
      </w:r>
    </w:p>
    <w:p>
      <w:pPr>
        <w:pStyle w:val="ListParagraph"/>
        <w:numPr>
          <w:ilvl w:val="0"/>
          <w:numId w:val="12"/>
        </w:numPr>
        <w:tabs>
          <w:tab w:pos="303" w:val="left" w:leader="none"/>
        </w:tabs>
        <w:spacing w:line="240" w:lineRule="auto" w:before="0" w:after="0"/>
        <w:ind w:left="160" w:right="178"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Нишки културни центар </w:t>
      </w:r>
      <w:r>
        <w:rPr>
          <w:rFonts w:ascii="Times New Roman" w:hAnsi="Times New Roman"/>
          <w:sz w:val="24"/>
        </w:rPr>
        <w:t>у укупном износу од 386 хиљада динара и то по: Уговорима за </w:t>
      </w:r>
      <w:r>
        <w:rPr>
          <w:rFonts w:ascii="Times New Roman" w:hAnsi="Times New Roman"/>
          <w:sz w:val="24"/>
        </w:rPr>
        <w:t>смештај гостију у износу од 25 хиљада динара (4.1.4.10) и Уговорима за  услуге  ресторана у износу од 282 хиљаде динара (4.1.4.10) и Уговору број 893 од 14.08.2014. године у износу од 79 хиљада динара</w:t>
      </w:r>
      <w:r>
        <w:rPr>
          <w:rFonts w:ascii="Times New Roman" w:hAnsi="Times New Roman"/>
          <w:spacing w:val="-13"/>
          <w:sz w:val="24"/>
        </w:rPr>
        <w:t> </w:t>
      </w:r>
      <w:r>
        <w:rPr>
          <w:rFonts w:ascii="Times New Roman" w:hAnsi="Times New Roman"/>
          <w:sz w:val="24"/>
        </w:rPr>
        <w:t>(4.1.4.11).</w:t>
      </w:r>
    </w:p>
    <w:p>
      <w:pPr>
        <w:spacing w:line="240" w:lineRule="auto" w:before="0"/>
        <w:rPr>
          <w:rFonts w:ascii="Times New Roman" w:hAnsi="Times New Roman" w:cs="Times New Roman" w:eastAsia="Times New Roman" w:hint="default"/>
          <w:sz w:val="24"/>
          <w:szCs w:val="24"/>
        </w:rPr>
      </w:pPr>
    </w:p>
    <w:p>
      <w:pPr>
        <w:pStyle w:val="ListParagraph"/>
        <w:numPr>
          <w:ilvl w:val="0"/>
          <w:numId w:val="11"/>
        </w:numPr>
        <w:tabs>
          <w:tab w:pos="444" w:val="left" w:leader="none"/>
        </w:tabs>
        <w:spacing w:line="240" w:lineRule="auto" w:before="0" w:after="0"/>
        <w:ind w:left="160" w:right="183" w:firstLine="0"/>
        <w:jc w:val="both"/>
        <w:rPr>
          <w:rFonts w:ascii="Times New Roman" w:hAnsi="Times New Roman" w:cs="Times New Roman" w:eastAsia="Times New Roman" w:hint="default"/>
          <w:sz w:val="24"/>
          <w:szCs w:val="24"/>
        </w:rPr>
      </w:pPr>
      <w:r>
        <w:rPr>
          <w:rFonts w:ascii="Times New Roman" w:hAnsi="Times New Roman"/>
          <w:sz w:val="24"/>
        </w:rPr>
        <w:t>преузео обавезе без утврђеног износа, јер је закључио уговоре без уговорене вредности,  и</w:t>
      </w:r>
      <w:r>
        <w:rPr>
          <w:rFonts w:ascii="Times New Roman" w:hAnsi="Times New Roman"/>
          <w:spacing w:val="-2"/>
          <w:sz w:val="24"/>
        </w:rPr>
        <w:t> </w:t>
      </w:r>
      <w:r>
        <w:rPr>
          <w:rFonts w:ascii="Times New Roman" w:hAnsi="Times New Roman"/>
          <w:sz w:val="24"/>
        </w:rPr>
        <w:t>то:</w:t>
      </w:r>
    </w:p>
    <w:p>
      <w:pPr>
        <w:pStyle w:val="ListParagraph"/>
        <w:numPr>
          <w:ilvl w:val="0"/>
          <w:numId w:val="12"/>
        </w:numPr>
        <w:tabs>
          <w:tab w:pos="444"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Градоначелник</w:t>
      </w:r>
      <w:r>
        <w:rPr>
          <w:rFonts w:ascii="Times New Roman" w:hAnsi="Times New Roman"/>
          <w:sz w:val="24"/>
        </w:rPr>
        <w:t>: Уговор број 2602/2012</w:t>
      </w:r>
      <w:r>
        <w:rPr>
          <w:rFonts w:ascii="Times New Roman" w:hAnsi="Times New Roman"/>
          <w:sz w:val="24"/>
        </w:rPr>
        <w:t>-</w:t>
      </w:r>
      <w:r>
        <w:rPr>
          <w:rFonts w:ascii="Times New Roman" w:hAnsi="Times New Roman"/>
          <w:sz w:val="24"/>
        </w:rPr>
        <w:t>01 од 24.08.2012. године и Уговор број </w:t>
      </w:r>
      <w:r>
        <w:rPr>
          <w:rFonts w:ascii="Times New Roman" w:hAnsi="Times New Roman"/>
          <w:sz w:val="24"/>
        </w:rPr>
        <w:t>2603/2012-</w:t>
      </w:r>
      <w:r>
        <w:rPr>
          <w:rFonts w:ascii="Times New Roman" w:hAnsi="Times New Roman"/>
          <w:sz w:val="24"/>
        </w:rPr>
        <w:t>01 од 24.08.2012.</w:t>
      </w:r>
      <w:r>
        <w:rPr>
          <w:rFonts w:ascii="Times New Roman" w:hAnsi="Times New Roman"/>
          <w:spacing w:val="-1"/>
          <w:sz w:val="24"/>
        </w:rPr>
        <w:t> </w:t>
      </w:r>
      <w:r>
        <w:rPr>
          <w:rFonts w:ascii="Times New Roman" w:hAnsi="Times New Roman"/>
          <w:sz w:val="24"/>
        </w:rPr>
        <w:t>године;</w:t>
      </w:r>
    </w:p>
    <w:p>
      <w:pPr>
        <w:pStyle w:val="ListParagraph"/>
        <w:numPr>
          <w:ilvl w:val="0"/>
          <w:numId w:val="12"/>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Градско веће</w:t>
      </w:r>
      <w:r>
        <w:rPr>
          <w:rFonts w:ascii="Times New Roman" w:hAnsi="Times New Roman"/>
          <w:sz w:val="24"/>
        </w:rPr>
        <w:t>: Уговор број 712/2014</w:t>
      </w:r>
      <w:r>
        <w:rPr>
          <w:rFonts w:ascii="Times New Roman" w:hAnsi="Times New Roman"/>
          <w:sz w:val="24"/>
        </w:rPr>
        <w:t>-</w:t>
      </w:r>
      <w:r>
        <w:rPr>
          <w:rFonts w:ascii="Times New Roman" w:hAnsi="Times New Roman"/>
          <w:sz w:val="24"/>
        </w:rPr>
        <w:t>03 од 30.05.2014. године и Уговор број 714/2014</w:t>
      </w:r>
      <w:r>
        <w:rPr>
          <w:rFonts w:ascii="Times New Roman" w:hAnsi="Times New Roman"/>
          <w:sz w:val="24"/>
        </w:rPr>
        <w:t>-03 </w:t>
      </w:r>
      <w:r>
        <w:rPr>
          <w:rFonts w:ascii="Times New Roman" w:hAnsi="Times New Roman"/>
          <w:sz w:val="24"/>
        </w:rPr>
        <w:t>од 30.05.2014. године;</w:t>
      </w:r>
    </w:p>
    <w:p>
      <w:pPr>
        <w:pStyle w:val="ListParagraph"/>
        <w:numPr>
          <w:ilvl w:val="0"/>
          <w:numId w:val="12"/>
        </w:numPr>
        <w:tabs>
          <w:tab w:pos="444"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Управа за дечију, социјалну и примарну здравствену заштиту</w:t>
      </w:r>
      <w:r>
        <w:rPr>
          <w:rFonts w:ascii="Times New Roman" w:hAnsi="Times New Roman"/>
          <w:sz w:val="24"/>
        </w:rPr>
        <w:t>: Уговор број 508/2014</w:t>
      </w:r>
      <w:r>
        <w:rPr>
          <w:rFonts w:ascii="Times New Roman" w:hAnsi="Times New Roman"/>
          <w:sz w:val="24"/>
        </w:rPr>
        <w:t>- 01 </w:t>
      </w:r>
      <w:r>
        <w:rPr>
          <w:rFonts w:ascii="Times New Roman" w:hAnsi="Times New Roman"/>
          <w:sz w:val="24"/>
        </w:rPr>
        <w:t>од 19.02.2014. године и Уговор број 509/2014</w:t>
      </w:r>
      <w:r>
        <w:rPr>
          <w:rFonts w:ascii="Times New Roman" w:hAnsi="Times New Roman"/>
          <w:sz w:val="24"/>
        </w:rPr>
        <w:t>-</w:t>
      </w:r>
      <w:r>
        <w:rPr>
          <w:rFonts w:ascii="Times New Roman" w:hAnsi="Times New Roman"/>
          <w:sz w:val="24"/>
        </w:rPr>
        <w:t>01 од 19.02.2014.</w:t>
      </w:r>
      <w:r>
        <w:rPr>
          <w:rFonts w:ascii="Times New Roman" w:hAnsi="Times New Roman"/>
          <w:spacing w:val="-4"/>
          <w:sz w:val="24"/>
        </w:rPr>
        <w:t> </w:t>
      </w:r>
      <w:r>
        <w:rPr>
          <w:rFonts w:ascii="Times New Roman" w:hAnsi="Times New Roman"/>
          <w:sz w:val="24"/>
        </w:rPr>
        <w:t>године;</w:t>
      </w:r>
    </w:p>
    <w:p>
      <w:pPr>
        <w:pStyle w:val="ListParagraph"/>
        <w:numPr>
          <w:ilvl w:val="0"/>
          <w:numId w:val="12"/>
        </w:numPr>
        <w:tabs>
          <w:tab w:pos="444"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Управа за привреду, одрживи развој и заштиту животне средине</w:t>
      </w:r>
      <w:r>
        <w:rPr>
          <w:rFonts w:ascii="Times New Roman" w:hAnsi="Times New Roman"/>
          <w:sz w:val="24"/>
        </w:rPr>
        <w:t>: Уговор број </w:t>
      </w:r>
      <w:r>
        <w:rPr>
          <w:rFonts w:ascii="Times New Roman" w:hAnsi="Times New Roman"/>
          <w:sz w:val="24"/>
        </w:rPr>
      </w:r>
      <w:r>
        <w:rPr>
          <w:rFonts w:ascii="Times New Roman" w:hAnsi="Times New Roman"/>
          <w:sz w:val="24"/>
        </w:rPr>
        <w:t>1703/2013-</w:t>
      </w:r>
      <w:r>
        <w:rPr>
          <w:rFonts w:ascii="Times New Roman" w:hAnsi="Times New Roman"/>
          <w:sz w:val="24"/>
        </w:rPr>
        <w:t>01 од 07.05.2013.</w:t>
      </w:r>
      <w:r>
        <w:rPr>
          <w:rFonts w:ascii="Times New Roman" w:hAnsi="Times New Roman"/>
          <w:spacing w:val="-1"/>
          <w:sz w:val="24"/>
        </w:rPr>
        <w:t> </w:t>
      </w:r>
      <w:r>
        <w:rPr>
          <w:rFonts w:ascii="Times New Roman" w:hAnsi="Times New Roman"/>
          <w:sz w:val="24"/>
        </w:rPr>
        <w:t>године;</w:t>
      </w:r>
    </w:p>
    <w:p>
      <w:pPr>
        <w:pStyle w:val="ListParagraph"/>
        <w:numPr>
          <w:ilvl w:val="0"/>
          <w:numId w:val="12"/>
        </w:numPr>
        <w:tabs>
          <w:tab w:pos="444" w:val="left" w:leader="none"/>
        </w:tabs>
        <w:spacing w:line="240" w:lineRule="auto" w:before="0" w:after="0"/>
        <w:ind w:left="160" w:right="172"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Управа за пољопривреду и развој села</w:t>
      </w:r>
      <w:r>
        <w:rPr>
          <w:rFonts w:ascii="Times New Roman" w:hAnsi="Times New Roman"/>
          <w:sz w:val="24"/>
        </w:rPr>
        <w:t>: Уговор број 10</w:t>
      </w:r>
      <w:r>
        <w:rPr>
          <w:rFonts w:ascii="Times New Roman" w:hAnsi="Times New Roman"/>
          <w:sz w:val="24"/>
        </w:rPr>
        <w:t>-34/2014-</w:t>
      </w:r>
      <w:r>
        <w:rPr>
          <w:rFonts w:ascii="Times New Roman" w:hAnsi="Times New Roman"/>
          <w:sz w:val="24"/>
        </w:rPr>
        <w:t>158, Уговор број 10</w:t>
      </w:r>
      <w:r>
        <w:rPr>
          <w:rFonts w:ascii="Times New Roman" w:hAnsi="Times New Roman"/>
          <w:sz w:val="24"/>
        </w:rPr>
        <w:t>- 34/2014-</w:t>
      </w:r>
      <w:r>
        <w:rPr>
          <w:rFonts w:ascii="Times New Roman" w:hAnsi="Times New Roman"/>
          <w:sz w:val="24"/>
        </w:rPr>
        <w:t>159, Уговор број 10</w:t>
      </w:r>
      <w:r>
        <w:rPr>
          <w:rFonts w:ascii="Times New Roman" w:hAnsi="Times New Roman"/>
          <w:sz w:val="24"/>
        </w:rPr>
        <w:t>-34/2014-</w:t>
      </w:r>
      <w:r>
        <w:rPr>
          <w:rFonts w:ascii="Times New Roman" w:hAnsi="Times New Roman"/>
          <w:sz w:val="24"/>
        </w:rPr>
        <w:t>160 и Уговор број 10</w:t>
      </w:r>
      <w:r>
        <w:rPr>
          <w:rFonts w:ascii="Times New Roman" w:hAnsi="Times New Roman"/>
          <w:sz w:val="24"/>
        </w:rPr>
        <w:t>-34/2014-</w:t>
      </w:r>
      <w:r>
        <w:rPr>
          <w:rFonts w:ascii="Times New Roman" w:hAnsi="Times New Roman"/>
          <w:sz w:val="24"/>
        </w:rPr>
        <w:t>161 од 30.04.2014. године; Уговор број 10</w:t>
      </w:r>
      <w:r>
        <w:rPr>
          <w:rFonts w:ascii="Times New Roman" w:hAnsi="Times New Roman"/>
          <w:sz w:val="24"/>
        </w:rPr>
        <w:t>-34/2014-</w:t>
      </w:r>
      <w:r>
        <w:rPr>
          <w:rFonts w:ascii="Times New Roman" w:hAnsi="Times New Roman"/>
          <w:sz w:val="24"/>
        </w:rPr>
        <w:t>173, Уговор број 10</w:t>
      </w:r>
      <w:r>
        <w:rPr>
          <w:rFonts w:ascii="Times New Roman" w:hAnsi="Times New Roman"/>
          <w:sz w:val="24"/>
        </w:rPr>
        <w:t>-34/2014-</w:t>
      </w:r>
      <w:r>
        <w:rPr>
          <w:rFonts w:ascii="Times New Roman" w:hAnsi="Times New Roman"/>
          <w:sz w:val="24"/>
        </w:rPr>
        <w:t>174, Уговор број 10</w:t>
      </w:r>
      <w:r>
        <w:rPr>
          <w:rFonts w:ascii="Times New Roman" w:hAnsi="Times New Roman"/>
          <w:sz w:val="24"/>
        </w:rPr>
        <w:t>-34/2014- </w:t>
      </w:r>
      <w:r>
        <w:rPr>
          <w:rFonts w:ascii="Times New Roman" w:hAnsi="Times New Roman"/>
          <w:sz w:val="24"/>
        </w:rPr>
        <w:t>175 и Уговор број 10</w:t>
      </w:r>
      <w:r>
        <w:rPr>
          <w:rFonts w:ascii="Times New Roman" w:hAnsi="Times New Roman"/>
          <w:sz w:val="24"/>
        </w:rPr>
        <w:t>-34/2014-</w:t>
      </w:r>
      <w:r>
        <w:rPr>
          <w:rFonts w:ascii="Times New Roman" w:hAnsi="Times New Roman"/>
          <w:sz w:val="24"/>
        </w:rPr>
        <w:t>176 од 06.05.2014.</w:t>
      </w:r>
      <w:r>
        <w:rPr>
          <w:rFonts w:ascii="Times New Roman" w:hAnsi="Times New Roman"/>
          <w:spacing w:val="-1"/>
          <w:sz w:val="24"/>
        </w:rPr>
        <w:t> </w:t>
      </w:r>
      <w:r>
        <w:rPr>
          <w:rFonts w:ascii="Times New Roman" w:hAnsi="Times New Roman"/>
          <w:sz w:val="24"/>
        </w:rPr>
        <w:t>године;</w:t>
      </w:r>
    </w:p>
    <w:p>
      <w:pPr>
        <w:pStyle w:val="ListParagraph"/>
        <w:numPr>
          <w:ilvl w:val="0"/>
          <w:numId w:val="12"/>
        </w:numPr>
        <w:tabs>
          <w:tab w:pos="444"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Служба за одржавање и информатичко комуникационе технологије</w:t>
      </w:r>
      <w:r>
        <w:rPr>
          <w:rFonts w:ascii="Times New Roman" w:hAnsi="Times New Roman"/>
          <w:sz w:val="24"/>
        </w:rPr>
        <w:t>: Уговор број 16</w:t>
      </w:r>
      <w:r>
        <w:rPr>
          <w:rFonts w:ascii="Times New Roman" w:hAnsi="Times New Roman"/>
          <w:sz w:val="24"/>
        </w:rPr>
        <w:t>- </w:t>
      </w:r>
      <w:r>
        <w:rPr>
          <w:rFonts w:ascii="Times New Roman" w:hAnsi="Times New Roman"/>
          <w:sz w:val="24"/>
        </w:rPr>
        <w:t>4322/2013 од 20.08.2013. године, Уговор број 16</w:t>
      </w:r>
      <w:r>
        <w:rPr>
          <w:rFonts w:ascii="Times New Roman" w:hAnsi="Times New Roman"/>
          <w:sz w:val="24"/>
        </w:rPr>
        <w:t>-</w:t>
      </w:r>
      <w:r>
        <w:rPr>
          <w:rFonts w:ascii="Times New Roman" w:hAnsi="Times New Roman"/>
          <w:sz w:val="24"/>
        </w:rPr>
        <w:t>4720/2014 од 08.09.2014. године, Уговор број 16</w:t>
      </w:r>
      <w:r>
        <w:rPr>
          <w:rFonts w:ascii="Times New Roman" w:hAnsi="Times New Roman"/>
          <w:sz w:val="24"/>
        </w:rPr>
        <w:t>-</w:t>
      </w:r>
      <w:r>
        <w:rPr>
          <w:rFonts w:ascii="Times New Roman" w:hAnsi="Times New Roman"/>
          <w:sz w:val="24"/>
        </w:rPr>
        <w:t>5546/2013 од 31.10.2013. године, Уговор број 16</w:t>
      </w:r>
      <w:r>
        <w:rPr>
          <w:rFonts w:ascii="Times New Roman" w:hAnsi="Times New Roman"/>
          <w:sz w:val="24"/>
        </w:rPr>
        <w:t>-</w:t>
      </w:r>
      <w:r>
        <w:rPr>
          <w:rFonts w:ascii="Times New Roman" w:hAnsi="Times New Roman"/>
          <w:sz w:val="24"/>
        </w:rPr>
        <w:t>3537/2010 од 17.10.2010. године, Уговор број 16</w:t>
      </w:r>
      <w:r>
        <w:rPr>
          <w:rFonts w:ascii="Times New Roman" w:hAnsi="Times New Roman"/>
          <w:sz w:val="24"/>
        </w:rPr>
        <w:t>-3801/201</w:t>
      </w:r>
      <w:r>
        <w:rPr>
          <w:rFonts w:ascii="Times New Roman" w:hAnsi="Times New Roman"/>
          <w:sz w:val="24"/>
        </w:rPr>
        <w:t>3 од 18.07.2013. године, Уговор број 16</w:t>
      </w:r>
      <w:r>
        <w:rPr>
          <w:rFonts w:ascii="Times New Roman" w:hAnsi="Times New Roman"/>
          <w:sz w:val="24"/>
        </w:rPr>
        <w:t>-</w:t>
      </w:r>
      <w:r>
        <w:rPr>
          <w:rFonts w:ascii="Times New Roman" w:hAnsi="Times New Roman"/>
          <w:sz w:val="24"/>
        </w:rPr>
        <w:t>5971/2013 од 21.11.2013. године, Уговор број 16</w:t>
      </w:r>
      <w:r>
        <w:rPr>
          <w:rFonts w:ascii="Times New Roman" w:hAnsi="Times New Roman"/>
          <w:sz w:val="24"/>
        </w:rPr>
        <w:t>-</w:t>
      </w:r>
      <w:r>
        <w:rPr>
          <w:rFonts w:ascii="Times New Roman" w:hAnsi="Times New Roman"/>
          <w:sz w:val="24"/>
        </w:rPr>
        <w:t>925/2014 од 13.02.2014. године, Уговор број 16</w:t>
      </w:r>
      <w:r>
        <w:rPr>
          <w:rFonts w:ascii="Times New Roman" w:hAnsi="Times New Roman"/>
          <w:sz w:val="24"/>
        </w:rPr>
        <w:t>-</w:t>
      </w:r>
      <w:r>
        <w:rPr>
          <w:rFonts w:ascii="Times New Roman" w:hAnsi="Times New Roman"/>
          <w:sz w:val="24"/>
        </w:rPr>
        <w:t>6339/2013 од 10.12.2013. године;</w:t>
      </w:r>
    </w:p>
    <w:p>
      <w:pPr>
        <w:pStyle w:val="ListParagraph"/>
        <w:numPr>
          <w:ilvl w:val="0"/>
          <w:numId w:val="12"/>
        </w:numPr>
        <w:tabs>
          <w:tab w:pos="444"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ЈП Дирекција за изградњу града Ниша</w:t>
      </w:r>
      <w:r>
        <w:rPr>
          <w:rFonts w:ascii="Times New Roman" w:hAnsi="Times New Roman"/>
          <w:sz w:val="24"/>
        </w:rPr>
        <w:t>: Уговор број 03</w:t>
      </w:r>
      <w:r>
        <w:rPr>
          <w:rFonts w:ascii="Times New Roman" w:hAnsi="Times New Roman"/>
          <w:sz w:val="24"/>
        </w:rPr>
        <w:t>-</w:t>
      </w:r>
      <w:r>
        <w:rPr>
          <w:rFonts w:ascii="Times New Roman" w:hAnsi="Times New Roman"/>
          <w:sz w:val="24"/>
        </w:rPr>
        <w:t>3037 од 16.05.2014. године </w:t>
      </w:r>
      <w:r>
        <w:rPr>
          <w:rFonts w:ascii="Times New Roman" w:hAnsi="Times New Roman"/>
          <w:sz w:val="24"/>
        </w:rPr>
        <w:t>(4.1.5.1.);</w:t>
      </w:r>
    </w:p>
    <w:p>
      <w:pPr>
        <w:pStyle w:val="ListParagraph"/>
        <w:numPr>
          <w:ilvl w:val="0"/>
          <w:numId w:val="12"/>
        </w:numPr>
        <w:tabs>
          <w:tab w:pos="303" w:val="left" w:leader="none"/>
        </w:tabs>
        <w:spacing w:line="240" w:lineRule="auto" w:before="0" w:after="0"/>
        <w:ind w:left="302" w:right="0" w:hanging="142"/>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СЦ Чаир</w:t>
      </w:r>
      <w:r>
        <w:rPr>
          <w:rFonts w:ascii="Times New Roman" w:hAnsi="Times New Roman"/>
          <w:sz w:val="24"/>
        </w:rPr>
        <w:t>: Уговор број 01</w:t>
      </w:r>
      <w:r>
        <w:rPr>
          <w:rFonts w:ascii="Times New Roman" w:hAnsi="Times New Roman"/>
          <w:sz w:val="24"/>
        </w:rPr>
        <w:t>-</w:t>
      </w:r>
      <w:r>
        <w:rPr>
          <w:rFonts w:ascii="Times New Roman" w:hAnsi="Times New Roman"/>
          <w:sz w:val="24"/>
        </w:rPr>
        <w:t>291/2 од 12.03.2014.</w:t>
      </w:r>
      <w:r>
        <w:rPr>
          <w:rFonts w:ascii="Times New Roman" w:hAnsi="Times New Roman"/>
          <w:spacing w:val="-6"/>
          <w:sz w:val="24"/>
        </w:rPr>
        <w:t> </w:t>
      </w:r>
      <w:r>
        <w:rPr>
          <w:rFonts w:ascii="Times New Roman" w:hAnsi="Times New Roman"/>
          <w:sz w:val="24"/>
        </w:rPr>
        <w:t>године;</w:t>
      </w:r>
    </w:p>
    <w:p>
      <w:pPr>
        <w:spacing w:after="0" w:line="240" w:lineRule="auto"/>
        <w:jc w:val="both"/>
        <w:rPr>
          <w:rFonts w:ascii="Times New Roman" w:hAnsi="Times New Roman" w:cs="Times New Roman" w:eastAsia="Times New Roman" w:hint="default"/>
          <w:sz w:val="24"/>
          <w:szCs w:val="24"/>
        </w:rPr>
        <w:sectPr>
          <w:pgSz w:w="12240" w:h="15840"/>
          <w:pgMar w:header="740" w:footer="1466" w:top="1280" w:bottom="1660" w:left="1400" w:right="1260"/>
        </w:sectPr>
      </w:pPr>
    </w:p>
    <w:p>
      <w:pPr>
        <w:spacing w:line="240" w:lineRule="auto" w:before="8"/>
        <w:rPr>
          <w:rFonts w:ascii="Times New Roman" w:hAnsi="Times New Roman" w:cs="Times New Roman" w:eastAsia="Times New Roman" w:hint="default"/>
          <w:sz w:val="16"/>
          <w:szCs w:val="16"/>
        </w:rPr>
      </w:pPr>
    </w:p>
    <w:p>
      <w:pPr>
        <w:pStyle w:val="ListParagraph"/>
        <w:numPr>
          <w:ilvl w:val="0"/>
          <w:numId w:val="12"/>
        </w:numPr>
        <w:tabs>
          <w:tab w:pos="303" w:val="left" w:leader="none"/>
        </w:tabs>
        <w:spacing w:line="240" w:lineRule="auto" w:before="69" w:after="0"/>
        <w:ind w:left="302" w:right="0" w:hanging="142"/>
        <w:jc w:val="left"/>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Нишки културни центар</w:t>
      </w:r>
      <w:r>
        <w:rPr>
          <w:rFonts w:ascii="Times New Roman" w:hAnsi="Times New Roman"/>
          <w:sz w:val="24"/>
        </w:rPr>
        <w:t>: Уговор број 678 од 26.06.2014.</w:t>
      </w:r>
      <w:r>
        <w:rPr>
          <w:rFonts w:ascii="Times New Roman" w:hAnsi="Times New Roman"/>
          <w:spacing w:val="-9"/>
          <w:sz w:val="24"/>
        </w:rPr>
        <w:t> </w:t>
      </w:r>
      <w:r>
        <w:rPr>
          <w:rFonts w:ascii="Times New Roman" w:hAnsi="Times New Roman"/>
          <w:sz w:val="24"/>
        </w:rPr>
        <w:t>године.</w:t>
      </w:r>
    </w:p>
    <w:p>
      <w:pPr>
        <w:spacing w:line="240" w:lineRule="auto" w:before="11"/>
        <w:rPr>
          <w:rFonts w:ascii="Times New Roman" w:hAnsi="Times New Roman" w:cs="Times New Roman" w:eastAsia="Times New Roman" w:hint="default"/>
          <w:sz w:val="17"/>
          <w:szCs w:val="17"/>
        </w:rPr>
      </w:pPr>
    </w:p>
    <w:p>
      <w:pPr>
        <w:pStyle w:val="BodyText"/>
        <w:spacing w:line="240" w:lineRule="auto" w:before="69"/>
        <w:ind w:left="726" w:right="141"/>
        <w:jc w:val="left"/>
      </w:pPr>
      <w:r>
        <w:rPr/>
        <w:t>Као што је објашњено у Напоменама </w:t>
      </w:r>
      <w:r>
        <w:rPr>
          <w:spacing w:val="-3"/>
        </w:rPr>
        <w:t>уз</w:t>
      </w:r>
      <w:r>
        <w:rPr>
          <w:spacing w:val="-5"/>
        </w:rPr>
        <w:t> </w:t>
      </w:r>
      <w:r>
        <w:rPr/>
        <w:t>Извештаја:</w:t>
      </w:r>
    </w:p>
    <w:p>
      <w:pPr>
        <w:pStyle w:val="ListParagraph"/>
        <w:numPr>
          <w:ilvl w:val="0"/>
          <w:numId w:val="11"/>
        </w:numPr>
        <w:tabs>
          <w:tab w:pos="444" w:val="left" w:leader="none"/>
        </w:tabs>
        <w:spacing w:line="240" w:lineRule="auto" w:before="139"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Град Ниш није у потпуности успоставио систем интерних контрола који обезбеђује разумно уверавање да ће постављени циљеви бити остварени кроз пословање у складу са важећим прописима, да је обезбеђена реалност и интегритет финансијских извештаја, добро финансијско управљање и заштита средстава (тачка</w:t>
      </w:r>
      <w:r>
        <w:rPr>
          <w:rFonts w:ascii="Times New Roman" w:hAnsi="Times New Roman"/>
          <w:spacing w:val="-21"/>
          <w:sz w:val="24"/>
        </w:rPr>
        <w:t> </w:t>
      </w:r>
      <w:r>
        <w:rPr>
          <w:rFonts w:ascii="Times New Roman" w:hAnsi="Times New Roman"/>
          <w:sz w:val="24"/>
        </w:rPr>
        <w:t>3.);</w:t>
      </w:r>
    </w:p>
    <w:p>
      <w:pPr>
        <w:pStyle w:val="ListParagraph"/>
        <w:numPr>
          <w:ilvl w:val="0"/>
          <w:numId w:val="11"/>
        </w:numPr>
        <w:tabs>
          <w:tab w:pos="588" w:val="left" w:leader="none"/>
        </w:tabs>
        <w:spacing w:line="240" w:lineRule="auto" w:before="137" w:after="0"/>
        <w:ind w:left="160" w:right="17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Код припреме и доношења буџета утврђени су следећи недостаци и неправилности у Општем и Посебном делу Одлуке о буџету (тачка 4.1.1): поједини директни буџетски корисници нису сачинили предлоге финансијских планова; буџет није у потпуности припремљен на основу система јединствене буџетске класификације; буџетом нису предвиђени приходи и примања из свих извора, већ само из буџета града; буџетом </w:t>
      </w:r>
      <w:r>
        <w:rPr>
          <w:rFonts w:ascii="Times New Roman" w:hAnsi="Times New Roman" w:cs="Times New Roman" w:eastAsia="Times New Roman" w:hint="default"/>
          <w:spacing w:val="3"/>
          <w:sz w:val="24"/>
          <w:szCs w:val="24"/>
        </w:rPr>
        <w:t>нису </w:t>
      </w:r>
      <w:r>
        <w:rPr>
          <w:rFonts w:ascii="Times New Roman" w:hAnsi="Times New Roman" w:cs="Times New Roman" w:eastAsia="Times New Roman" w:hint="default"/>
          <w:spacing w:val="3"/>
          <w:sz w:val="24"/>
          <w:szCs w:val="24"/>
        </w:rPr>
      </w:r>
      <w:r>
        <w:rPr>
          <w:rFonts w:ascii="Times New Roman" w:hAnsi="Times New Roman" w:cs="Times New Roman" w:eastAsia="Times New Roman" w:hint="default"/>
          <w:sz w:val="24"/>
          <w:szCs w:val="24"/>
        </w:rPr>
        <w:t>обухваћени сви приходи, те на прописане уплатне рачуне јавних прихода није уплаћен </w:t>
      </w:r>
      <w:r>
        <w:rPr>
          <w:rFonts w:ascii="Times New Roman" w:hAnsi="Times New Roman" w:cs="Times New Roman" w:eastAsia="Times New Roman" w:hint="default"/>
          <w:sz w:val="24"/>
          <w:szCs w:val="24"/>
        </w:rPr>
        <w:t>износ од 261.760 хиљада динара и то: део добити остварен код јавних предузећа у износу од 3.775 хиљада динара, приходи од закупнине које је остварило ЈП „Нишстан“ Ниш по основу издавања станова у јавној својини у износу од 11.794 хиљаде динара, приходи од закупнине које су осварили индиректни буџетски корисници по основу издавања пословног простора у јавној својини у износу од 15.327 хиљада динара и приходи по основу паркирања које наплаћује ЈКП „Паркинг сервис“ Ниш у износу од 230.864 хиљаде динара; измене и допуне буџета нису донете по поступку за доношење</w:t>
      </w:r>
      <w:r>
        <w:rPr>
          <w:rFonts w:ascii="Times New Roman" w:hAnsi="Times New Roman" w:cs="Times New Roman" w:eastAsia="Times New Roman" w:hint="default"/>
          <w:spacing w:val="-27"/>
          <w:sz w:val="24"/>
          <w:szCs w:val="24"/>
        </w:rPr>
        <w:t> </w:t>
      </w:r>
      <w:r>
        <w:rPr>
          <w:rFonts w:ascii="Times New Roman" w:hAnsi="Times New Roman" w:cs="Times New Roman" w:eastAsia="Times New Roman" w:hint="default"/>
          <w:sz w:val="24"/>
          <w:szCs w:val="24"/>
        </w:rPr>
        <w:t>буџета;</w:t>
      </w:r>
    </w:p>
    <w:p>
      <w:pPr>
        <w:pStyle w:val="ListParagraph"/>
        <w:numPr>
          <w:ilvl w:val="0"/>
          <w:numId w:val="11"/>
        </w:numPr>
        <w:tabs>
          <w:tab w:pos="588" w:val="left" w:leader="none"/>
        </w:tabs>
        <w:spacing w:line="240" w:lineRule="auto" w:before="139" w:after="0"/>
        <w:ind w:left="160" w:right="184" w:firstLine="0"/>
        <w:jc w:val="both"/>
        <w:rPr>
          <w:rFonts w:ascii="Times New Roman" w:hAnsi="Times New Roman" w:cs="Times New Roman" w:eastAsia="Times New Roman" w:hint="default"/>
          <w:sz w:val="24"/>
          <w:szCs w:val="24"/>
        </w:rPr>
      </w:pPr>
      <w:r>
        <w:rPr>
          <w:rFonts w:ascii="Times New Roman" w:hAnsi="Times New Roman"/>
          <w:sz w:val="24"/>
        </w:rPr>
        <w:t>Код пописа је утврђено да попис није вршен у складу са прописима код директних и свих индиректних корисника буџета града Ниша</w:t>
      </w:r>
      <w:r>
        <w:rPr>
          <w:rFonts w:ascii="Times New Roman" w:hAnsi="Times New Roman"/>
          <w:spacing w:val="-21"/>
          <w:sz w:val="24"/>
        </w:rPr>
        <w:t> </w:t>
      </w:r>
      <w:r>
        <w:rPr>
          <w:rFonts w:ascii="Times New Roman" w:hAnsi="Times New Roman"/>
          <w:sz w:val="24"/>
        </w:rPr>
        <w:t>(4.3.1.);</w:t>
      </w:r>
    </w:p>
    <w:p>
      <w:pPr>
        <w:pStyle w:val="ListParagraph"/>
        <w:numPr>
          <w:ilvl w:val="0"/>
          <w:numId w:val="11"/>
        </w:numPr>
        <w:tabs>
          <w:tab w:pos="588" w:val="left" w:leader="none"/>
        </w:tabs>
        <w:spacing w:line="240" w:lineRule="auto" w:before="137"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Код изградње и одржавања зграда и грађевинских објеката утврђене су следеће неправилности: грађевински дневници нису потписани и оверени од стране одговорних извођача радова и надзорног органа и то код: Управе за финансије (4.1.5.1), Управе за привреду, одрживи развој и заштиту животне средине (4.1.5.1), Управе за пољопривреду и развој села (4.1.5.1), Службе за одржавање и информатичко комуникационе  технологије (4.1.5.1) и ЈП Дирекција (4.1.4.12 и 4.1.5.1); извођени су радови без Решења о одобрењу код ПУ „Пчелица“; решењу о одобрењу прошао је рок, а радови су отпочети и изводе се код Завода за заштиту споменика културе (4.1.4.11 и 4.1.6.); стадион Чаир је у употреби без употребне дозволе код Управе за финансије (4.1.5.1); нису узета уговорена средства обезбеђења код Управе за пољопривреду и развој села, Службе за одржавање и информатичко комуникационе технологије и ЈП Дирекција (4.1.4.12 и 4.1.5.1); извођач радова је уведен у посао без грађевинске дозволе, нису уговорена средства обезбеђења, нису наплаћене уговорне казне за кашњење, не поштују се уговорени рокови, није извршена примопредаја радова у прописаном року, није поднет захтев за технички преглед изведених радова код ЈП Дирекција (4.1.4.12 и</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4.1.5.1).</w:t>
      </w:r>
    </w:p>
    <w:p>
      <w:pPr>
        <w:spacing w:after="0" w:line="240" w:lineRule="auto"/>
        <w:jc w:val="both"/>
        <w:rPr>
          <w:rFonts w:ascii="Times New Roman" w:hAnsi="Times New Roman" w:cs="Times New Roman" w:eastAsia="Times New Roman" w:hint="default"/>
          <w:sz w:val="24"/>
          <w:szCs w:val="24"/>
        </w:rPr>
        <w:sectPr>
          <w:pgSz w:w="12240" w:h="15840"/>
          <w:pgMar w:header="740" w:footer="1466" w:top="1280" w:bottom="1660" w:left="1400" w:right="1260"/>
        </w:sectPr>
      </w:pPr>
    </w:p>
    <w:p>
      <w:pPr>
        <w:spacing w:line="240" w:lineRule="auto" w:before="1"/>
        <w:rPr>
          <w:rFonts w:ascii="Times New Roman" w:hAnsi="Times New Roman" w:cs="Times New Roman" w:eastAsia="Times New Roman" w:hint="default"/>
          <w:sz w:val="17"/>
          <w:szCs w:val="17"/>
        </w:rPr>
      </w:pPr>
    </w:p>
    <w:p>
      <w:pPr>
        <w:pStyle w:val="Heading1"/>
        <w:numPr>
          <w:ilvl w:val="1"/>
          <w:numId w:val="3"/>
        </w:numPr>
        <w:tabs>
          <w:tab w:pos="727" w:val="left" w:leader="none"/>
        </w:tabs>
        <w:spacing w:line="240" w:lineRule="auto" w:before="69" w:after="0"/>
        <w:ind w:left="726" w:right="0" w:hanging="566"/>
        <w:jc w:val="both"/>
        <w:rPr>
          <w:b w:val="0"/>
          <w:bCs w:val="0"/>
        </w:rPr>
      </w:pPr>
      <w:r>
        <w:rPr/>
        <w:t>Резиме датих препорука у ревизији правилности</w:t>
      </w:r>
      <w:r>
        <w:rPr>
          <w:spacing w:val="-15"/>
        </w:rPr>
        <w:t> </w:t>
      </w:r>
      <w:r>
        <w:rPr/>
        <w:t>пословања</w:t>
      </w:r>
      <w:r>
        <w:rPr>
          <w:b w:val="0"/>
        </w:rPr>
      </w:r>
    </w:p>
    <w:p>
      <w:pPr>
        <w:pStyle w:val="BodyText"/>
        <w:spacing w:line="240" w:lineRule="auto" w:before="134"/>
        <w:ind w:left="726" w:right="141"/>
        <w:jc w:val="left"/>
      </w:pPr>
      <w:r>
        <w:rPr/>
        <w:t>Одговорним лицима  града Ниша препоручујемо</w:t>
      </w:r>
      <w:r>
        <w:rPr>
          <w:spacing w:val="-13"/>
        </w:rPr>
        <w:t> </w:t>
      </w:r>
      <w:r>
        <w:rPr/>
        <w:t>да:</w:t>
      </w:r>
    </w:p>
    <w:p>
      <w:pPr>
        <w:pStyle w:val="ListParagraph"/>
        <w:numPr>
          <w:ilvl w:val="0"/>
          <w:numId w:val="13"/>
        </w:numPr>
        <w:tabs>
          <w:tab w:pos="444" w:val="left" w:leader="none"/>
        </w:tabs>
        <w:spacing w:line="240" w:lineRule="auto" w:before="137" w:after="0"/>
        <w:ind w:left="160" w:right="0" w:firstLine="0"/>
        <w:jc w:val="both"/>
        <w:rPr>
          <w:rFonts w:ascii="Times New Roman" w:hAnsi="Times New Roman" w:cs="Times New Roman" w:eastAsia="Times New Roman" w:hint="default"/>
          <w:sz w:val="24"/>
          <w:szCs w:val="24"/>
        </w:rPr>
      </w:pPr>
      <w:r>
        <w:rPr>
          <w:rFonts w:ascii="Times New Roman" w:hAnsi="Times New Roman"/>
          <w:sz w:val="24"/>
        </w:rPr>
        <w:t>наменске јавне приходе и примања користе за прописану</w:t>
      </w:r>
      <w:r>
        <w:rPr>
          <w:rFonts w:ascii="Times New Roman" w:hAnsi="Times New Roman"/>
          <w:spacing w:val="-28"/>
          <w:sz w:val="24"/>
        </w:rPr>
        <w:t> </w:t>
      </w:r>
      <w:r>
        <w:rPr>
          <w:rFonts w:ascii="Times New Roman" w:hAnsi="Times New Roman"/>
          <w:sz w:val="24"/>
        </w:rPr>
        <w:t>намену;</w:t>
      </w:r>
    </w:p>
    <w:p>
      <w:pPr>
        <w:pStyle w:val="ListParagraph"/>
        <w:numPr>
          <w:ilvl w:val="0"/>
          <w:numId w:val="13"/>
        </w:numPr>
        <w:tabs>
          <w:tab w:pos="444"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обрачун и исплату плата изабраних и постављених лица и запослених врше у складу са Законом о платама у државним органима и јавним службама и Уредбом о коефицијентима за обрачун и исплату плата именованих и постављених лица и запослених у државним</w:t>
      </w:r>
      <w:r>
        <w:rPr>
          <w:rFonts w:ascii="Times New Roman" w:hAnsi="Times New Roman"/>
          <w:spacing w:val="-12"/>
          <w:sz w:val="24"/>
        </w:rPr>
        <w:t> </w:t>
      </w:r>
      <w:r>
        <w:rPr>
          <w:rFonts w:ascii="Times New Roman" w:hAnsi="Times New Roman"/>
          <w:sz w:val="24"/>
        </w:rPr>
        <w:t>органима;</w:t>
      </w:r>
    </w:p>
    <w:p>
      <w:pPr>
        <w:pStyle w:val="ListParagraph"/>
        <w:numPr>
          <w:ilvl w:val="0"/>
          <w:numId w:val="13"/>
        </w:numPr>
        <w:tabs>
          <w:tab w:pos="444" w:val="left" w:leader="none"/>
        </w:tabs>
        <w:spacing w:line="240" w:lineRule="auto" w:before="0" w:after="0"/>
        <w:ind w:left="443" w:right="0" w:hanging="283"/>
        <w:jc w:val="both"/>
        <w:rPr>
          <w:rFonts w:ascii="Times New Roman" w:hAnsi="Times New Roman" w:cs="Times New Roman" w:eastAsia="Times New Roman" w:hint="default"/>
          <w:sz w:val="24"/>
          <w:szCs w:val="24"/>
        </w:rPr>
      </w:pPr>
      <w:r>
        <w:rPr>
          <w:rFonts w:ascii="Times New Roman" w:hAnsi="Times New Roman"/>
          <w:sz w:val="24"/>
        </w:rPr>
        <w:t>обавезе преузимају и плаћања извршавају у складу са</w:t>
      </w:r>
      <w:r>
        <w:rPr>
          <w:rFonts w:ascii="Times New Roman" w:hAnsi="Times New Roman"/>
          <w:spacing w:val="-27"/>
          <w:sz w:val="24"/>
        </w:rPr>
        <w:t> </w:t>
      </w:r>
      <w:r>
        <w:rPr>
          <w:rFonts w:ascii="Times New Roman" w:hAnsi="Times New Roman"/>
          <w:sz w:val="24"/>
        </w:rPr>
        <w:t>прописима;</w:t>
      </w:r>
    </w:p>
    <w:p>
      <w:pPr>
        <w:pStyle w:val="ListParagraph"/>
        <w:numPr>
          <w:ilvl w:val="0"/>
          <w:numId w:val="13"/>
        </w:numPr>
        <w:tabs>
          <w:tab w:pos="444" w:val="left" w:leader="none"/>
        </w:tabs>
        <w:spacing w:line="240" w:lineRule="auto" w:before="0" w:after="0"/>
        <w:ind w:left="160" w:right="183" w:firstLine="0"/>
        <w:jc w:val="both"/>
        <w:rPr>
          <w:rFonts w:ascii="Times New Roman" w:hAnsi="Times New Roman" w:cs="Times New Roman" w:eastAsia="Times New Roman" w:hint="default"/>
          <w:sz w:val="24"/>
          <w:szCs w:val="24"/>
        </w:rPr>
      </w:pPr>
      <w:r>
        <w:rPr>
          <w:rFonts w:ascii="Times New Roman" w:hAnsi="Times New Roman"/>
          <w:sz w:val="24"/>
        </w:rPr>
        <w:t>расходи и издаци из буџета се заснивају на рачуноводственој документацији и да књижења врше на основу валидних рачуноводствених</w:t>
      </w:r>
      <w:r>
        <w:rPr>
          <w:rFonts w:ascii="Times New Roman" w:hAnsi="Times New Roman"/>
          <w:spacing w:val="-22"/>
          <w:sz w:val="24"/>
        </w:rPr>
        <w:t> </w:t>
      </w:r>
      <w:r>
        <w:rPr>
          <w:rFonts w:ascii="Times New Roman" w:hAnsi="Times New Roman"/>
          <w:sz w:val="24"/>
        </w:rPr>
        <w:t>докумената;</w:t>
      </w:r>
    </w:p>
    <w:p>
      <w:pPr>
        <w:pStyle w:val="ListParagraph"/>
        <w:numPr>
          <w:ilvl w:val="0"/>
          <w:numId w:val="13"/>
        </w:numPr>
        <w:tabs>
          <w:tab w:pos="444" w:val="left" w:leader="none"/>
        </w:tabs>
        <w:spacing w:line="240" w:lineRule="auto" w:before="0" w:after="0"/>
        <w:ind w:left="443" w:right="0" w:hanging="283"/>
        <w:jc w:val="both"/>
        <w:rPr>
          <w:rFonts w:ascii="Times New Roman" w:hAnsi="Times New Roman" w:cs="Times New Roman" w:eastAsia="Times New Roman" w:hint="default"/>
          <w:sz w:val="24"/>
          <w:szCs w:val="24"/>
        </w:rPr>
      </w:pPr>
      <w:r>
        <w:rPr>
          <w:rFonts w:ascii="Times New Roman" w:hAnsi="Times New Roman"/>
          <w:sz w:val="24"/>
        </w:rPr>
        <w:t>доделу средстава удружењима врше по спроведеном јавном</w:t>
      </w:r>
      <w:r>
        <w:rPr>
          <w:rFonts w:ascii="Times New Roman" w:hAnsi="Times New Roman"/>
          <w:spacing w:val="-24"/>
          <w:sz w:val="24"/>
        </w:rPr>
        <w:t> </w:t>
      </w:r>
      <w:r>
        <w:rPr>
          <w:rFonts w:ascii="Times New Roman" w:hAnsi="Times New Roman"/>
          <w:sz w:val="24"/>
        </w:rPr>
        <w:t>конкурсу;</w:t>
      </w:r>
    </w:p>
    <w:p>
      <w:pPr>
        <w:pStyle w:val="ListParagraph"/>
        <w:numPr>
          <w:ilvl w:val="0"/>
          <w:numId w:val="13"/>
        </w:numPr>
        <w:tabs>
          <w:tab w:pos="444" w:val="left" w:leader="none"/>
        </w:tabs>
        <w:spacing w:line="240" w:lineRule="auto" w:before="0" w:after="0"/>
        <w:ind w:left="160" w:right="183" w:firstLine="0"/>
        <w:jc w:val="both"/>
        <w:rPr>
          <w:rFonts w:ascii="Times New Roman" w:hAnsi="Times New Roman" w:cs="Times New Roman" w:eastAsia="Times New Roman" w:hint="default"/>
          <w:sz w:val="24"/>
          <w:szCs w:val="24"/>
        </w:rPr>
      </w:pPr>
      <w:r>
        <w:rPr>
          <w:rFonts w:ascii="Times New Roman" w:hAnsi="Times New Roman"/>
          <w:sz w:val="24"/>
        </w:rPr>
        <w:t>набавку добара, радова и услуга врше у поступку јавне набавке, поштујући законске прописе при спровођењу поступака јавних</w:t>
      </w:r>
      <w:r>
        <w:rPr>
          <w:rFonts w:ascii="Times New Roman" w:hAnsi="Times New Roman"/>
          <w:spacing w:val="-12"/>
          <w:sz w:val="24"/>
        </w:rPr>
        <w:t> </w:t>
      </w:r>
      <w:r>
        <w:rPr>
          <w:rFonts w:ascii="Times New Roman" w:hAnsi="Times New Roman"/>
          <w:sz w:val="24"/>
        </w:rPr>
        <w:t>набавки</w:t>
      </w:r>
      <w:r>
        <w:rPr>
          <w:rFonts w:ascii="Times New Roman" w:hAnsi="Times New Roman"/>
          <w:sz w:val="24"/>
        </w:rPr>
        <w:t>;</w:t>
      </w:r>
    </w:p>
    <w:p>
      <w:pPr>
        <w:pStyle w:val="ListParagraph"/>
        <w:numPr>
          <w:ilvl w:val="0"/>
          <w:numId w:val="13"/>
        </w:numPr>
        <w:tabs>
          <w:tab w:pos="444" w:val="left" w:leader="none"/>
        </w:tabs>
        <w:spacing w:line="240" w:lineRule="auto" w:before="0"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преузимање обавеза врше до износа расположиве апропријације и врше контролу реализације закључених</w:t>
      </w:r>
      <w:r>
        <w:rPr>
          <w:rFonts w:ascii="Times New Roman" w:hAnsi="Times New Roman"/>
          <w:spacing w:val="-15"/>
          <w:sz w:val="24"/>
        </w:rPr>
        <w:t> </w:t>
      </w:r>
      <w:r>
        <w:rPr>
          <w:rFonts w:ascii="Times New Roman" w:hAnsi="Times New Roman"/>
          <w:sz w:val="24"/>
        </w:rPr>
        <w:t>уговора;</w:t>
      </w:r>
    </w:p>
    <w:p>
      <w:pPr>
        <w:pStyle w:val="ListParagraph"/>
        <w:numPr>
          <w:ilvl w:val="0"/>
          <w:numId w:val="13"/>
        </w:numPr>
        <w:tabs>
          <w:tab w:pos="444" w:val="left" w:leader="none"/>
        </w:tabs>
        <w:spacing w:line="240" w:lineRule="auto" w:before="0" w:after="0"/>
        <w:ind w:left="160" w:right="186" w:firstLine="0"/>
        <w:jc w:val="both"/>
        <w:rPr>
          <w:rFonts w:ascii="Times New Roman" w:hAnsi="Times New Roman" w:cs="Times New Roman" w:eastAsia="Times New Roman" w:hint="default"/>
          <w:sz w:val="24"/>
          <w:szCs w:val="24"/>
        </w:rPr>
      </w:pPr>
      <w:r>
        <w:rPr>
          <w:rFonts w:ascii="Times New Roman" w:hAnsi="Times New Roman"/>
          <w:sz w:val="24"/>
        </w:rPr>
        <w:t>приликом преузимања обавеза, односно приликом закључивања уговора, уговоре вредност, како би утврдили износ преузете</w:t>
      </w:r>
      <w:r>
        <w:rPr>
          <w:rFonts w:ascii="Times New Roman" w:hAnsi="Times New Roman"/>
          <w:spacing w:val="-20"/>
          <w:sz w:val="24"/>
        </w:rPr>
        <w:t> </w:t>
      </w:r>
      <w:r>
        <w:rPr>
          <w:rFonts w:ascii="Times New Roman" w:hAnsi="Times New Roman"/>
          <w:sz w:val="24"/>
        </w:rPr>
        <w:t>обавезе;</w:t>
      </w:r>
    </w:p>
    <w:p>
      <w:pPr>
        <w:pStyle w:val="ListParagraph"/>
        <w:numPr>
          <w:ilvl w:val="0"/>
          <w:numId w:val="13"/>
        </w:numPr>
        <w:tabs>
          <w:tab w:pos="444"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у циљу успостављања ефикасног система интерних контрола за обезбеђење разумног уверавања да ће донесени буџет и планиране активности бити остварени, обезбеде следеће: ускладе Списак корисника јавних средстава са важећим прописима и интерним актима; усагласе интерна акта са прописима; примењују интерна акта; успоставе приоритетне контроле које служе за свођење ризика на прихватљив ниво и исте анализирају и ажурирају најмање једном годишње, обезбеде адекватно документовање, упоређивање и усаглашавање, имовинску безбедност и интерну верификацију и поуздано извештавање; интерним контролним поступцима онемогуће обрачун и исплату у случају кад налог за службено путовање не садржи све прописане елементе;обезбеде у законским роковима евидентирање пословних промена хронолошки, уредно и ажурно; интерним и другим прописима уреде организацију и функционисање на такав начин да се пословне књиге ажурирају, закључе и израде резервне копије у складу са прописима; обезбеде функционисање система интерних рачуноводствених контрола; пријављују обавезе у регистар измирења новчаних обавеза и исте измирују у прописаном року; врше сравњење података из извештаја о извршењу индиректних корисника и података из главне књиге; успоставе интерну</w:t>
      </w:r>
      <w:r>
        <w:rPr>
          <w:rFonts w:ascii="Times New Roman" w:hAnsi="Times New Roman"/>
          <w:spacing w:val="-15"/>
          <w:sz w:val="24"/>
        </w:rPr>
        <w:t> </w:t>
      </w:r>
      <w:r>
        <w:rPr>
          <w:rFonts w:ascii="Times New Roman" w:hAnsi="Times New Roman"/>
          <w:sz w:val="24"/>
        </w:rPr>
        <w:t>ревизију;</w:t>
      </w:r>
    </w:p>
    <w:p>
      <w:pPr>
        <w:pStyle w:val="ListParagraph"/>
        <w:numPr>
          <w:ilvl w:val="0"/>
          <w:numId w:val="13"/>
        </w:numPr>
        <w:tabs>
          <w:tab w:pos="504"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корисници достављају предлоге својих финансијских планова, који садрже расходе и издатке за трогодишњи период и детаљно писано образложење расхода и издатака и извора финансирања; буџет припремају и извршавају на основу система јединствене буџетске класификације; планирају буџетом све приходе и примања из свих извора; измену буџета врше по поступку за доношење</w:t>
      </w:r>
      <w:r>
        <w:rPr>
          <w:rFonts w:ascii="Times New Roman" w:hAnsi="Times New Roman"/>
          <w:spacing w:val="-18"/>
          <w:sz w:val="24"/>
        </w:rPr>
        <w:t> </w:t>
      </w:r>
      <w:r>
        <w:rPr>
          <w:rFonts w:ascii="Times New Roman" w:hAnsi="Times New Roman"/>
          <w:sz w:val="24"/>
        </w:rPr>
        <w:t>буџета;</w:t>
      </w:r>
    </w:p>
    <w:p>
      <w:pPr>
        <w:pStyle w:val="ListParagraph"/>
        <w:numPr>
          <w:ilvl w:val="0"/>
          <w:numId w:val="13"/>
        </w:numPr>
        <w:tabs>
          <w:tab w:pos="504" w:val="left" w:leader="none"/>
        </w:tabs>
        <w:spacing w:line="240" w:lineRule="auto" w:before="0"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попишу целокупну нефинансијску и финансијску имовину и обавезе; врше усаглашавање потраживања и обавеза; сачине пописне листе и извештај на основу Правилника о начину и роковима вршења пописа и усклађивања књиговодственог са стварним</w:t>
      </w:r>
      <w:r>
        <w:rPr>
          <w:rFonts w:ascii="Times New Roman" w:hAnsi="Times New Roman"/>
          <w:spacing w:val="-7"/>
          <w:sz w:val="24"/>
        </w:rPr>
        <w:t> </w:t>
      </w:r>
      <w:r>
        <w:rPr>
          <w:rFonts w:ascii="Times New Roman" w:hAnsi="Times New Roman"/>
          <w:sz w:val="24"/>
        </w:rPr>
        <w:t>стањем;</w:t>
      </w:r>
    </w:p>
    <w:p>
      <w:pPr>
        <w:pStyle w:val="ListParagraph"/>
        <w:numPr>
          <w:ilvl w:val="0"/>
          <w:numId w:val="13"/>
        </w:numPr>
        <w:tabs>
          <w:tab w:pos="504" w:val="left" w:leader="none"/>
        </w:tabs>
        <w:spacing w:line="240" w:lineRule="auto" w:before="0" w:after="0"/>
        <w:ind w:left="160" w:right="185" w:firstLine="0"/>
        <w:jc w:val="both"/>
        <w:rPr>
          <w:rFonts w:ascii="Times New Roman" w:hAnsi="Times New Roman" w:cs="Times New Roman" w:eastAsia="Times New Roman" w:hint="default"/>
          <w:sz w:val="24"/>
          <w:szCs w:val="24"/>
        </w:rPr>
      </w:pPr>
      <w:r>
        <w:rPr>
          <w:rFonts w:ascii="Times New Roman" w:hAnsi="Times New Roman"/>
          <w:sz w:val="24"/>
        </w:rPr>
        <w:t>обезбеде да се извођење радова спроводи у складу са Законом о планирању и изградњи и уговореним</w:t>
      </w:r>
      <w:r>
        <w:rPr>
          <w:rFonts w:ascii="Times New Roman" w:hAnsi="Times New Roman"/>
          <w:spacing w:val="-11"/>
          <w:sz w:val="24"/>
        </w:rPr>
        <w:t> </w:t>
      </w:r>
      <w:r>
        <w:rPr>
          <w:rFonts w:ascii="Times New Roman" w:hAnsi="Times New Roman"/>
          <w:sz w:val="24"/>
        </w:rPr>
        <w:t>одредбама.</w:t>
      </w:r>
    </w:p>
    <w:p>
      <w:pPr>
        <w:spacing w:after="0" w:line="240" w:lineRule="auto"/>
        <w:jc w:val="both"/>
        <w:rPr>
          <w:rFonts w:ascii="Times New Roman" w:hAnsi="Times New Roman" w:cs="Times New Roman" w:eastAsia="Times New Roman" w:hint="default"/>
          <w:sz w:val="24"/>
          <w:szCs w:val="24"/>
        </w:rPr>
        <w:sectPr>
          <w:pgSz w:w="12240" w:h="15840"/>
          <w:pgMar w:header="740" w:footer="1466" w:top="1280" w:bottom="1660" w:left="1400" w:right="1260"/>
        </w:sectPr>
      </w:pPr>
    </w:p>
    <w:p>
      <w:pPr>
        <w:spacing w:line="240" w:lineRule="auto" w:before="1"/>
        <w:rPr>
          <w:rFonts w:ascii="Times New Roman" w:hAnsi="Times New Roman" w:cs="Times New Roman" w:eastAsia="Times New Roman" w:hint="default"/>
          <w:sz w:val="17"/>
          <w:szCs w:val="17"/>
        </w:rPr>
      </w:pPr>
    </w:p>
    <w:p>
      <w:pPr>
        <w:pStyle w:val="Heading1"/>
        <w:numPr>
          <w:ilvl w:val="1"/>
          <w:numId w:val="3"/>
        </w:numPr>
        <w:tabs>
          <w:tab w:pos="869" w:val="left" w:leader="none"/>
        </w:tabs>
        <w:spacing w:line="240" w:lineRule="auto" w:before="69" w:after="0"/>
        <w:ind w:left="868" w:right="0" w:hanging="708"/>
        <w:jc w:val="both"/>
        <w:rPr>
          <w:b w:val="0"/>
          <w:bCs w:val="0"/>
        </w:rPr>
      </w:pPr>
      <w:r>
        <w:rPr/>
        <w:t>Резиме предузетих мера у поступку</w:t>
      </w:r>
      <w:r>
        <w:rPr>
          <w:spacing w:val="-15"/>
        </w:rPr>
        <w:t> </w:t>
      </w:r>
      <w:r>
        <w:rPr/>
        <w:t>ревизије</w:t>
      </w:r>
      <w:r>
        <w:rPr>
          <w:b w:val="0"/>
        </w:rPr>
      </w:r>
    </w:p>
    <w:p>
      <w:pPr>
        <w:pStyle w:val="BodyText"/>
        <w:spacing w:line="240" w:lineRule="auto" w:before="134"/>
        <w:ind w:left="880" w:right="141"/>
        <w:jc w:val="left"/>
      </w:pPr>
      <w:r>
        <w:rPr/>
        <w:t>У поступку ревизије предузете су следеће</w:t>
      </w:r>
      <w:r>
        <w:rPr>
          <w:spacing w:val="-17"/>
        </w:rPr>
        <w:t> </w:t>
      </w:r>
      <w:r>
        <w:rPr/>
        <w:t>мере:</w:t>
      </w:r>
    </w:p>
    <w:p>
      <w:pPr>
        <w:pStyle w:val="ListParagraph"/>
        <w:numPr>
          <w:ilvl w:val="0"/>
          <w:numId w:val="14"/>
        </w:numPr>
        <w:tabs>
          <w:tab w:pos="444" w:val="left" w:leader="none"/>
        </w:tabs>
        <w:spacing w:line="240" w:lineRule="auto" w:before="120"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Одбор за административна питања је 17.07.2015. године донео Правилник о платама која бира, поставља и именује Скупштина града Ниша у органима и службама града, донета су 17.07.2015. године нова решења изабраним лицима на сталном раду у Граду и исплата се од јула 2015. године врши у складу са интерним актом и важећим</w:t>
      </w:r>
      <w:r>
        <w:rPr>
          <w:rFonts w:ascii="Times New Roman" w:hAnsi="Times New Roman"/>
          <w:spacing w:val="-21"/>
          <w:sz w:val="24"/>
        </w:rPr>
        <w:t> </w:t>
      </w:r>
      <w:r>
        <w:rPr>
          <w:rFonts w:ascii="Times New Roman" w:hAnsi="Times New Roman"/>
          <w:sz w:val="24"/>
        </w:rPr>
        <w:t>прописима.</w:t>
      </w:r>
    </w:p>
    <w:p>
      <w:pPr>
        <w:pStyle w:val="ListParagraph"/>
        <w:numPr>
          <w:ilvl w:val="0"/>
          <w:numId w:val="14"/>
        </w:numPr>
        <w:tabs>
          <w:tab w:pos="444" w:val="left" w:leader="none"/>
        </w:tabs>
        <w:spacing w:line="240" w:lineRule="auto" w:before="0"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Одбор за административна питања донео је дана 19.11.2015. године Правилник о измени Правилника о платама лица која бира и поставља Скупштина града Ниша у органима и службама Града, којим је одређено да се изабраном, постављеном и именованом лицу које остварује зараду у другом предузећу, установи или самостално обавља делатност, може утврдити накнада за вршење функције у износу од 30% од укупног износа плате коју би примало за функцију коју врши да је на сталном раду у органима и службама Града, осим лицу коме је утврђено право на месечну накнаду из става 1 </w:t>
      </w:r>
      <w:r>
        <w:rPr>
          <w:rFonts w:ascii="Times New Roman" w:hAnsi="Times New Roman"/>
          <w:sz w:val="24"/>
        </w:rPr>
        <w:t>- </w:t>
      </w:r>
      <w:r>
        <w:rPr>
          <w:rFonts w:ascii="Times New Roman" w:hAnsi="Times New Roman"/>
          <w:sz w:val="24"/>
        </w:rPr>
        <w:t>у висини разлике између зараде коју остварује и плате коју би примало за функцију коју врши да је на сталном раду у органима и службама Града. Исплата по основу Правилника о измени Правилника, није извршена до дана окончања</w:t>
      </w:r>
      <w:r>
        <w:rPr>
          <w:rFonts w:ascii="Times New Roman" w:hAnsi="Times New Roman"/>
          <w:spacing w:val="-22"/>
          <w:sz w:val="24"/>
        </w:rPr>
        <w:t> </w:t>
      </w:r>
      <w:r>
        <w:rPr>
          <w:rFonts w:ascii="Times New Roman" w:hAnsi="Times New Roman"/>
          <w:sz w:val="24"/>
        </w:rPr>
        <w:t>ревизије.</w:t>
      </w:r>
    </w:p>
    <w:p>
      <w:pPr>
        <w:pStyle w:val="ListParagraph"/>
        <w:numPr>
          <w:ilvl w:val="0"/>
          <w:numId w:val="14"/>
        </w:numPr>
        <w:tabs>
          <w:tab w:pos="444"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Управа за финансије, изворне приходе локалне самоуправе и јавне набавке је у току поступка ревизије упутила Градском већу допис број 11</w:t>
      </w:r>
      <w:r>
        <w:rPr>
          <w:rFonts w:ascii="Times New Roman" w:hAnsi="Times New Roman"/>
          <w:sz w:val="24"/>
        </w:rPr>
        <w:t>-</w:t>
      </w:r>
      <w:r>
        <w:rPr>
          <w:rFonts w:ascii="Times New Roman" w:hAnsi="Times New Roman"/>
          <w:sz w:val="24"/>
        </w:rPr>
        <w:t>1429/15 од 10.08.2015. године са иницијативом за измену Закључка о увећању коефицијената по основу квалитета и резултата рада, запосленима са средњом и нижим стручним спремама број 232</w:t>
      </w:r>
      <w:r>
        <w:rPr>
          <w:rFonts w:ascii="Times New Roman" w:hAnsi="Times New Roman"/>
          <w:sz w:val="24"/>
        </w:rPr>
        <w:t>-1/2012-03 </w:t>
      </w:r>
      <w:r>
        <w:rPr>
          <w:rFonts w:ascii="Times New Roman" w:hAnsi="Times New Roman"/>
          <w:sz w:val="24"/>
        </w:rPr>
        <w:t>од 22.03.2012. године, чија измена није извршена до дана сачињавања</w:t>
      </w:r>
      <w:r>
        <w:rPr>
          <w:rFonts w:ascii="Times New Roman" w:hAnsi="Times New Roman"/>
          <w:spacing w:val="-18"/>
          <w:sz w:val="24"/>
        </w:rPr>
        <w:t> </w:t>
      </w:r>
      <w:r>
        <w:rPr>
          <w:rFonts w:ascii="Times New Roman" w:hAnsi="Times New Roman"/>
          <w:sz w:val="24"/>
        </w:rPr>
        <w:t>извештаја.</w:t>
      </w:r>
    </w:p>
    <w:p>
      <w:pPr>
        <w:pStyle w:val="ListParagraph"/>
        <w:numPr>
          <w:ilvl w:val="0"/>
          <w:numId w:val="14"/>
        </w:numPr>
        <w:tabs>
          <w:tab w:pos="444"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Све градске управе, осим Управе за имовину и инспекцијске послове</w:t>
      </w:r>
      <w:r>
        <w:rPr>
          <w:rFonts w:ascii="Times New Roman" w:hAnsi="Times New Roman"/>
          <w:sz w:val="24"/>
        </w:rPr>
        <w:t>, </w:t>
      </w:r>
      <w:r>
        <w:rPr>
          <w:rFonts w:ascii="Times New Roman" w:hAnsi="Times New Roman"/>
          <w:sz w:val="24"/>
        </w:rPr>
        <w:t>нису набавиле маркице за превоз запосленима за дане одсуствовања са</w:t>
      </w:r>
      <w:r>
        <w:rPr>
          <w:rFonts w:ascii="Times New Roman" w:hAnsi="Times New Roman"/>
          <w:spacing w:val="-21"/>
          <w:sz w:val="24"/>
        </w:rPr>
        <w:t> </w:t>
      </w:r>
      <w:r>
        <w:rPr>
          <w:rFonts w:ascii="Times New Roman" w:hAnsi="Times New Roman"/>
          <w:sz w:val="24"/>
        </w:rPr>
        <w:t>посла.</w:t>
      </w:r>
    </w:p>
    <w:p>
      <w:pPr>
        <w:pStyle w:val="ListParagraph"/>
        <w:numPr>
          <w:ilvl w:val="0"/>
          <w:numId w:val="14"/>
        </w:numPr>
        <w:tabs>
          <w:tab w:pos="444" w:val="left" w:leader="none"/>
        </w:tabs>
        <w:spacing w:line="240" w:lineRule="auto" w:before="0" w:after="0"/>
        <w:ind w:left="160" w:right="184" w:firstLine="0"/>
        <w:jc w:val="both"/>
        <w:rPr>
          <w:rFonts w:ascii="Times New Roman" w:hAnsi="Times New Roman" w:cs="Times New Roman" w:eastAsia="Times New Roman" w:hint="default"/>
          <w:sz w:val="24"/>
          <w:szCs w:val="24"/>
        </w:rPr>
      </w:pPr>
      <w:r>
        <w:rPr>
          <w:rFonts w:ascii="Times New Roman" w:hAnsi="Times New Roman"/>
          <w:sz w:val="24"/>
        </w:rPr>
        <w:t>Служба за послове Градоначелника у 2015. години је увела евиденцију о присутности на</w:t>
      </w:r>
      <w:r>
        <w:rPr>
          <w:rFonts w:ascii="Times New Roman" w:hAnsi="Times New Roman"/>
          <w:spacing w:val="-5"/>
          <w:sz w:val="24"/>
        </w:rPr>
        <w:t> </w:t>
      </w:r>
      <w:r>
        <w:rPr>
          <w:rFonts w:ascii="Times New Roman" w:hAnsi="Times New Roman"/>
          <w:sz w:val="24"/>
        </w:rPr>
        <w:t>раду</w:t>
      </w:r>
      <w:r>
        <w:rPr>
          <w:rFonts w:ascii="Times New Roman" w:hAnsi="Times New Roman"/>
          <w:sz w:val="24"/>
        </w:rPr>
        <w:t>.</w:t>
      </w:r>
    </w:p>
    <w:p>
      <w:pPr>
        <w:pStyle w:val="ListParagraph"/>
        <w:numPr>
          <w:ilvl w:val="0"/>
          <w:numId w:val="14"/>
        </w:numPr>
        <w:tabs>
          <w:tab w:pos="444"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У 2015. години средства удружењима грађана су додељена на основу јавног конкурса  и Градоначелник је закључио уговоре са удружењима којима су додељена</w:t>
      </w:r>
      <w:r>
        <w:rPr>
          <w:rFonts w:ascii="Times New Roman" w:hAnsi="Times New Roman"/>
          <w:spacing w:val="-28"/>
          <w:sz w:val="24"/>
        </w:rPr>
        <w:t> </w:t>
      </w:r>
      <w:r>
        <w:rPr>
          <w:rFonts w:ascii="Times New Roman" w:hAnsi="Times New Roman"/>
          <w:sz w:val="24"/>
        </w:rPr>
        <w:t>средства.</w:t>
      </w:r>
    </w:p>
    <w:p>
      <w:pPr>
        <w:pStyle w:val="ListParagraph"/>
        <w:numPr>
          <w:ilvl w:val="0"/>
          <w:numId w:val="14"/>
        </w:numPr>
        <w:tabs>
          <w:tab w:pos="444" w:val="left" w:leader="none"/>
        </w:tabs>
        <w:spacing w:line="240" w:lineRule="auto" w:before="0"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Начелник Службе за одржавање и информатичко</w:t>
      </w:r>
      <w:r>
        <w:rPr>
          <w:rFonts w:ascii="Times New Roman" w:hAnsi="Times New Roman"/>
          <w:sz w:val="24"/>
        </w:rPr>
        <w:t>-</w:t>
      </w:r>
      <w:r>
        <w:rPr>
          <w:rFonts w:ascii="Times New Roman" w:hAnsi="Times New Roman"/>
          <w:sz w:val="24"/>
        </w:rPr>
        <w:t>комуникационе технологије донео је Правилник о утврђеним нормативима за потрошњу горива за службена возила органа и служби града Ниша број 16</w:t>
      </w:r>
      <w:r>
        <w:rPr>
          <w:rFonts w:ascii="Times New Roman" w:hAnsi="Times New Roman"/>
          <w:sz w:val="24"/>
        </w:rPr>
        <w:t>-</w:t>
      </w:r>
      <w:r>
        <w:rPr>
          <w:rFonts w:ascii="Times New Roman" w:hAnsi="Times New Roman"/>
          <w:sz w:val="24"/>
        </w:rPr>
        <w:t>3677/2015 од 03.07.2015.</w:t>
      </w:r>
      <w:r>
        <w:rPr>
          <w:rFonts w:ascii="Times New Roman" w:hAnsi="Times New Roman"/>
          <w:spacing w:val="-2"/>
          <w:sz w:val="24"/>
        </w:rPr>
        <w:t> </w:t>
      </w:r>
      <w:r>
        <w:rPr>
          <w:rFonts w:ascii="Times New Roman" w:hAnsi="Times New Roman"/>
          <w:sz w:val="24"/>
        </w:rPr>
        <w:t>године.</w:t>
      </w:r>
    </w:p>
    <w:p>
      <w:pPr>
        <w:spacing w:line="240" w:lineRule="auto" w:before="6"/>
        <w:rPr>
          <w:rFonts w:ascii="Times New Roman" w:hAnsi="Times New Roman" w:cs="Times New Roman" w:eastAsia="Times New Roman" w:hint="default"/>
          <w:sz w:val="34"/>
          <w:szCs w:val="34"/>
        </w:rPr>
      </w:pPr>
    </w:p>
    <w:p>
      <w:pPr>
        <w:spacing w:before="0"/>
        <w:ind w:left="160" w:right="141" w:firstLine="566"/>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ЈП „Дирекција за изградњу града Ниша“ Ниш </w:t>
      </w:r>
      <w:r>
        <w:rPr>
          <w:rFonts w:ascii="Times New Roman" w:hAnsi="Times New Roman" w:cs="Times New Roman" w:eastAsia="Times New Roman" w:hint="default"/>
          <w:sz w:val="24"/>
          <w:szCs w:val="24"/>
        </w:rPr>
        <w:t>у току поступка ревизије предузела је</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следеће:</w:t>
      </w:r>
    </w:p>
    <w:p>
      <w:pPr>
        <w:pStyle w:val="ListParagraph"/>
        <w:numPr>
          <w:ilvl w:val="0"/>
          <w:numId w:val="15"/>
        </w:numPr>
        <w:tabs>
          <w:tab w:pos="444" w:val="left" w:leader="none"/>
        </w:tabs>
        <w:spacing w:line="240" w:lineRule="auto" w:before="0" w:after="0"/>
        <w:ind w:left="160" w:right="185" w:firstLine="0"/>
        <w:jc w:val="both"/>
        <w:rPr>
          <w:rFonts w:ascii="Times New Roman" w:hAnsi="Times New Roman" w:cs="Times New Roman" w:eastAsia="Times New Roman" w:hint="default"/>
          <w:sz w:val="24"/>
          <w:szCs w:val="24"/>
        </w:rPr>
      </w:pPr>
      <w:r>
        <w:rPr>
          <w:rFonts w:ascii="Times New Roman" w:hAnsi="Times New Roman"/>
          <w:sz w:val="24"/>
        </w:rPr>
        <w:t>донета је Одлука о начину и висини трошкова превоза за долазак и одлазак са рада број 05</w:t>
      </w:r>
      <w:r>
        <w:rPr>
          <w:rFonts w:ascii="Times New Roman" w:hAnsi="Times New Roman"/>
          <w:sz w:val="24"/>
        </w:rPr>
        <w:t>-</w:t>
      </w:r>
      <w:r>
        <w:rPr>
          <w:rFonts w:ascii="Times New Roman" w:hAnsi="Times New Roman"/>
          <w:sz w:val="24"/>
        </w:rPr>
        <w:t>4139/2015 дана 02.06.2015.</w:t>
      </w:r>
      <w:r>
        <w:rPr>
          <w:rFonts w:ascii="Times New Roman" w:hAnsi="Times New Roman"/>
          <w:spacing w:val="-2"/>
          <w:sz w:val="24"/>
        </w:rPr>
        <w:t> </w:t>
      </w:r>
      <w:r>
        <w:rPr>
          <w:rFonts w:ascii="Times New Roman" w:hAnsi="Times New Roman"/>
          <w:sz w:val="24"/>
        </w:rPr>
        <w:t>године;</w:t>
      </w:r>
    </w:p>
    <w:p>
      <w:pPr>
        <w:pStyle w:val="ListParagraph"/>
        <w:numPr>
          <w:ilvl w:val="0"/>
          <w:numId w:val="15"/>
        </w:numPr>
        <w:tabs>
          <w:tab w:pos="444"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донет је Правилник о коришћењу службених возила број 05</w:t>
      </w:r>
      <w:r>
        <w:rPr>
          <w:rFonts w:ascii="Times New Roman" w:hAnsi="Times New Roman"/>
          <w:sz w:val="24"/>
        </w:rPr>
        <w:t>-</w:t>
      </w:r>
      <w:r>
        <w:rPr>
          <w:rFonts w:ascii="Times New Roman" w:hAnsi="Times New Roman"/>
          <w:sz w:val="24"/>
        </w:rPr>
        <w:t>2897/2015 дана  24.04.2015. године;</w:t>
      </w:r>
    </w:p>
    <w:p>
      <w:pPr>
        <w:pStyle w:val="ListParagraph"/>
        <w:numPr>
          <w:ilvl w:val="0"/>
          <w:numId w:val="15"/>
        </w:numPr>
        <w:tabs>
          <w:tab w:pos="444"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донет је норматив потрошње горива за службена возила број 05</w:t>
      </w:r>
      <w:r>
        <w:rPr>
          <w:rFonts w:ascii="Times New Roman" w:hAnsi="Times New Roman"/>
          <w:sz w:val="24"/>
        </w:rPr>
        <w:t>-2897-</w:t>
      </w:r>
      <w:r>
        <w:rPr>
          <w:rFonts w:ascii="Times New Roman" w:hAnsi="Times New Roman"/>
          <w:sz w:val="24"/>
        </w:rPr>
        <w:t>1/2015 дана 24.04.2015. године;</w:t>
      </w:r>
    </w:p>
    <w:p>
      <w:pPr>
        <w:pStyle w:val="ListParagraph"/>
        <w:numPr>
          <w:ilvl w:val="0"/>
          <w:numId w:val="15"/>
        </w:numPr>
        <w:tabs>
          <w:tab w:pos="444"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на основу Одлуке Надзорног одбора број 05</w:t>
      </w:r>
      <w:r>
        <w:rPr>
          <w:rFonts w:ascii="Times New Roman" w:hAnsi="Times New Roman"/>
          <w:sz w:val="24"/>
        </w:rPr>
        <w:t>-3695-</w:t>
      </w:r>
      <w:r>
        <w:rPr>
          <w:rFonts w:ascii="Times New Roman" w:hAnsi="Times New Roman"/>
          <w:sz w:val="24"/>
        </w:rPr>
        <w:t>5/2015 од 25.05.2015. године о отклањању недостатака у пословним књигама, налогом за књижење број 20</w:t>
      </w:r>
      <w:r>
        <w:rPr>
          <w:rFonts w:ascii="Times New Roman" w:hAnsi="Times New Roman"/>
          <w:sz w:val="24"/>
        </w:rPr>
        <w:t>-</w:t>
      </w:r>
      <w:r>
        <w:rPr>
          <w:rFonts w:ascii="Times New Roman" w:hAnsi="Times New Roman"/>
          <w:sz w:val="24"/>
        </w:rPr>
        <w:t>154 од 25.05.2015. године извршене су исправке књижења на контима 311700, 321122, 321311 и </w:t>
      </w:r>
      <w:r>
        <w:rPr>
          <w:rFonts w:ascii="Times New Roman" w:hAnsi="Times New Roman"/>
          <w:sz w:val="24"/>
        </w:rPr>
        <w:t>321312.</w:t>
      </w:r>
    </w:p>
    <w:p>
      <w:pPr>
        <w:spacing w:after="0" w:line="240" w:lineRule="auto"/>
        <w:jc w:val="both"/>
        <w:rPr>
          <w:rFonts w:ascii="Times New Roman" w:hAnsi="Times New Roman" w:cs="Times New Roman" w:eastAsia="Times New Roman" w:hint="default"/>
          <w:sz w:val="24"/>
          <w:szCs w:val="24"/>
        </w:rPr>
        <w:sectPr>
          <w:pgSz w:w="12240" w:h="15840"/>
          <w:pgMar w:header="740" w:footer="1466" w:top="1280" w:bottom="1660" w:left="1400" w:right="1260"/>
        </w:sectPr>
      </w:pPr>
    </w:p>
    <w:p>
      <w:pPr>
        <w:spacing w:line="240" w:lineRule="auto" w:before="8"/>
        <w:rPr>
          <w:rFonts w:ascii="Times New Roman" w:hAnsi="Times New Roman" w:cs="Times New Roman" w:eastAsia="Times New Roman" w:hint="default"/>
          <w:sz w:val="16"/>
          <w:szCs w:val="16"/>
        </w:rPr>
      </w:pPr>
    </w:p>
    <w:p>
      <w:pPr>
        <w:spacing w:before="69"/>
        <w:ind w:left="160" w:right="141" w:firstLine="719"/>
        <w:jc w:val="left"/>
        <w:rPr>
          <w:rFonts w:ascii="Times New Roman" w:hAnsi="Times New Roman" w:cs="Times New Roman" w:eastAsia="Times New Roman" w:hint="default"/>
          <w:sz w:val="24"/>
          <w:szCs w:val="24"/>
        </w:rPr>
      </w:pPr>
      <w:r>
        <w:rPr>
          <w:rFonts w:ascii="Times New Roman" w:hAnsi="Times New Roman"/>
          <w:b/>
          <w:sz w:val="24"/>
        </w:rPr>
        <w:t>Регионални центар за професионални развој запослених у образовању </w:t>
      </w:r>
      <w:r>
        <w:rPr>
          <w:rFonts w:ascii="Times New Roman" w:hAnsi="Times New Roman"/>
          <w:sz w:val="24"/>
        </w:rPr>
        <w:t>је дана 21.08.2015. године донео следеће</w:t>
      </w:r>
      <w:r>
        <w:rPr>
          <w:rFonts w:ascii="Times New Roman" w:hAnsi="Times New Roman"/>
          <w:spacing w:val="-7"/>
          <w:sz w:val="24"/>
        </w:rPr>
        <w:t> </w:t>
      </w:r>
      <w:r>
        <w:rPr>
          <w:rFonts w:ascii="Times New Roman" w:hAnsi="Times New Roman"/>
          <w:sz w:val="24"/>
        </w:rPr>
        <w:t>Правилнике:</w:t>
      </w:r>
    </w:p>
    <w:p>
      <w:pPr>
        <w:pStyle w:val="ListParagraph"/>
        <w:numPr>
          <w:ilvl w:val="1"/>
          <w:numId w:val="15"/>
        </w:numPr>
        <w:tabs>
          <w:tab w:pos="881" w:val="left" w:leader="none"/>
        </w:tabs>
        <w:spacing w:line="240" w:lineRule="auto" w:before="0" w:after="0"/>
        <w:ind w:left="160" w:right="0" w:firstLine="360"/>
        <w:jc w:val="left"/>
        <w:rPr>
          <w:rFonts w:ascii="Times New Roman" w:hAnsi="Times New Roman" w:cs="Times New Roman" w:eastAsia="Times New Roman" w:hint="default"/>
          <w:sz w:val="24"/>
          <w:szCs w:val="24"/>
        </w:rPr>
      </w:pPr>
      <w:r>
        <w:rPr>
          <w:rFonts w:ascii="Times New Roman" w:hAnsi="Times New Roman"/>
          <w:sz w:val="24"/>
        </w:rPr>
        <w:t>Правилник о буџетском рачуноводству  број 542 од 21.08.2015.</w:t>
      </w:r>
      <w:r>
        <w:rPr>
          <w:rFonts w:ascii="Times New Roman" w:hAnsi="Times New Roman"/>
          <w:spacing w:val="-10"/>
          <w:sz w:val="24"/>
        </w:rPr>
        <w:t> </w:t>
      </w:r>
      <w:r>
        <w:rPr>
          <w:rFonts w:ascii="Times New Roman" w:hAnsi="Times New Roman"/>
          <w:sz w:val="24"/>
        </w:rPr>
        <w:t>године;</w:t>
      </w:r>
    </w:p>
    <w:p>
      <w:pPr>
        <w:pStyle w:val="ListParagraph"/>
        <w:numPr>
          <w:ilvl w:val="1"/>
          <w:numId w:val="15"/>
        </w:numPr>
        <w:tabs>
          <w:tab w:pos="881" w:val="left" w:leader="none"/>
        </w:tabs>
        <w:spacing w:line="240" w:lineRule="auto" w:before="0" w:after="0"/>
        <w:ind w:left="160" w:right="182" w:firstLine="360"/>
        <w:jc w:val="left"/>
        <w:rPr>
          <w:rFonts w:ascii="Times New Roman" w:hAnsi="Times New Roman" w:cs="Times New Roman" w:eastAsia="Times New Roman" w:hint="default"/>
          <w:sz w:val="24"/>
          <w:szCs w:val="24"/>
        </w:rPr>
      </w:pPr>
      <w:r>
        <w:rPr>
          <w:rFonts w:ascii="Times New Roman" w:hAnsi="Times New Roman"/>
          <w:sz w:val="24"/>
        </w:rPr>
        <w:t>Правилник о начину разврставања и евидентирања основних средстава, ситног инвентара и потрошног материјала  број 544 од 21.08.2015.</w:t>
      </w:r>
      <w:r>
        <w:rPr>
          <w:rFonts w:ascii="Times New Roman" w:hAnsi="Times New Roman"/>
          <w:spacing w:val="-11"/>
          <w:sz w:val="24"/>
        </w:rPr>
        <w:t> </w:t>
      </w:r>
      <w:r>
        <w:rPr>
          <w:rFonts w:ascii="Times New Roman" w:hAnsi="Times New Roman"/>
          <w:sz w:val="24"/>
        </w:rPr>
        <w:t>године.</w:t>
      </w:r>
    </w:p>
    <w:p>
      <w:pPr>
        <w:spacing w:line="240" w:lineRule="auto" w:before="0"/>
        <w:rPr>
          <w:rFonts w:ascii="Times New Roman" w:hAnsi="Times New Roman" w:cs="Times New Roman" w:eastAsia="Times New Roman" w:hint="default"/>
          <w:sz w:val="24"/>
          <w:szCs w:val="24"/>
        </w:rPr>
      </w:pPr>
    </w:p>
    <w:p>
      <w:pPr>
        <w:spacing w:before="0"/>
        <w:ind w:left="160" w:right="141" w:firstLine="719"/>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ЈП „Градска стамбена агенција“ Ниш </w:t>
      </w:r>
      <w:r>
        <w:rPr>
          <w:rFonts w:ascii="Times New Roman" w:hAnsi="Times New Roman" w:cs="Times New Roman" w:eastAsia="Times New Roman" w:hint="default"/>
          <w:sz w:val="24"/>
          <w:szCs w:val="24"/>
        </w:rPr>
        <w:t>у 2015. години за вођење буџетског рачуноводства примењује готовинску</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основу.</w:t>
      </w:r>
    </w:p>
    <w:p>
      <w:pPr>
        <w:spacing w:line="240" w:lineRule="auto" w:before="0"/>
        <w:rPr>
          <w:rFonts w:ascii="Times New Roman" w:hAnsi="Times New Roman" w:cs="Times New Roman" w:eastAsia="Times New Roman" w:hint="default"/>
          <w:sz w:val="24"/>
          <w:szCs w:val="24"/>
        </w:rPr>
      </w:pPr>
    </w:p>
    <w:p>
      <w:pPr>
        <w:spacing w:before="0"/>
        <w:ind w:left="726" w:right="141"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ПУ „Пчелица“ </w:t>
      </w:r>
      <w:r>
        <w:rPr>
          <w:rFonts w:ascii="Times New Roman" w:hAnsi="Times New Roman" w:cs="Times New Roman" w:eastAsia="Times New Roman" w:hint="default"/>
          <w:sz w:val="24"/>
          <w:szCs w:val="24"/>
        </w:rPr>
        <w:t>у току поступка ревизије предузела је</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следеће:</w:t>
      </w:r>
    </w:p>
    <w:p>
      <w:pPr>
        <w:pStyle w:val="ListParagraph"/>
        <w:numPr>
          <w:ilvl w:val="0"/>
          <w:numId w:val="16"/>
        </w:numPr>
        <w:tabs>
          <w:tab w:pos="444"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Донет је Правилник о накнади путних трошкова за службено путовање у земљи и иностранству од стране Управног одбора, број 568 од 29.01.2015.</w:t>
      </w:r>
      <w:r>
        <w:rPr>
          <w:rFonts w:ascii="Times New Roman" w:hAnsi="Times New Roman"/>
          <w:spacing w:val="-12"/>
          <w:sz w:val="24"/>
        </w:rPr>
        <w:t> </w:t>
      </w:r>
      <w:r>
        <w:rPr>
          <w:rFonts w:ascii="Times New Roman" w:hAnsi="Times New Roman"/>
          <w:sz w:val="24"/>
        </w:rPr>
        <w:t>године.</w:t>
      </w:r>
    </w:p>
    <w:p>
      <w:pPr>
        <w:pStyle w:val="ListParagraph"/>
        <w:numPr>
          <w:ilvl w:val="0"/>
          <w:numId w:val="16"/>
        </w:numPr>
        <w:tabs>
          <w:tab w:pos="444" w:val="left" w:leader="none"/>
        </w:tabs>
        <w:spacing w:line="240" w:lineRule="auto" w:before="0" w:after="0"/>
        <w:ind w:left="443" w:right="0" w:hanging="283"/>
        <w:jc w:val="both"/>
        <w:rPr>
          <w:rFonts w:ascii="Times New Roman" w:hAnsi="Times New Roman" w:cs="Times New Roman" w:eastAsia="Times New Roman" w:hint="default"/>
          <w:sz w:val="24"/>
          <w:szCs w:val="24"/>
        </w:rPr>
      </w:pPr>
      <w:r>
        <w:rPr>
          <w:rFonts w:ascii="Times New Roman" w:hAnsi="Times New Roman"/>
          <w:sz w:val="24"/>
        </w:rPr>
        <w:t>Директор  је  донео  Правилник  о  организацији  и  систематизацији  послова  у     </w:t>
      </w:r>
      <w:r>
        <w:rPr>
          <w:rFonts w:ascii="Times New Roman" w:hAnsi="Times New Roman"/>
          <w:spacing w:val="21"/>
          <w:sz w:val="24"/>
        </w:rPr>
        <w:t> </w:t>
      </w:r>
      <w:r>
        <w:rPr>
          <w:rFonts w:ascii="Times New Roman" w:hAnsi="Times New Roman"/>
          <w:sz w:val="24"/>
        </w:rPr>
        <w:t>ПУ</w:t>
      </w:r>
    </w:p>
    <w:p>
      <w:pPr>
        <w:pStyle w:val="BodyText"/>
        <w:spacing w:line="240" w:lineRule="auto"/>
        <w:ind w:right="181"/>
        <w:jc w:val="both"/>
      </w:pPr>
      <w:r>
        <w:rPr/>
        <w:t>„Пчелица“ број 7556 од 20.11.2015. године којим се укида радно место маркетинг менаџер, а на који је Управни одбор ПУ Пчелица дао сагласност Одлуком број 7622 од 23.11.2015. године.</w:t>
      </w:r>
    </w:p>
    <w:p>
      <w:pPr>
        <w:pStyle w:val="ListParagraph"/>
        <w:numPr>
          <w:ilvl w:val="0"/>
          <w:numId w:val="16"/>
        </w:numPr>
        <w:tabs>
          <w:tab w:pos="444" w:val="left" w:leader="none"/>
        </w:tabs>
        <w:spacing w:line="240" w:lineRule="auto" w:before="0" w:after="0"/>
        <w:ind w:left="160" w:right="183" w:firstLine="0"/>
        <w:jc w:val="both"/>
        <w:rPr>
          <w:rFonts w:ascii="Times New Roman" w:hAnsi="Times New Roman" w:cs="Times New Roman" w:eastAsia="Times New Roman" w:hint="default"/>
          <w:sz w:val="24"/>
          <w:szCs w:val="24"/>
        </w:rPr>
      </w:pPr>
      <w:r>
        <w:rPr>
          <w:rFonts w:ascii="Times New Roman" w:hAnsi="Times New Roman"/>
          <w:sz w:val="24"/>
        </w:rPr>
        <w:t>Укинуто је увећање плата на име доктората, положеног правосудног испита и магистратуре почев од обрачуна плате за октобар 2015.</w:t>
      </w:r>
      <w:r>
        <w:rPr>
          <w:rFonts w:ascii="Times New Roman" w:hAnsi="Times New Roman"/>
          <w:spacing w:val="-16"/>
          <w:sz w:val="24"/>
        </w:rPr>
        <w:t> </w:t>
      </w:r>
      <w:r>
        <w:rPr>
          <w:rFonts w:ascii="Times New Roman" w:hAnsi="Times New Roman"/>
          <w:sz w:val="24"/>
        </w:rPr>
        <w:t>године.</w:t>
      </w:r>
    </w:p>
    <w:p>
      <w:pPr>
        <w:pStyle w:val="ListParagraph"/>
        <w:numPr>
          <w:ilvl w:val="0"/>
          <w:numId w:val="16"/>
        </w:numPr>
        <w:tabs>
          <w:tab w:pos="444"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Од септембра 2015. године, ПУ је исплату накнаде за породиљско одсуство вршила истовремено са исплатом коначног дела плате</w:t>
      </w:r>
      <w:r>
        <w:rPr>
          <w:rFonts w:ascii="Times New Roman" w:hAnsi="Times New Roman"/>
          <w:spacing w:val="-15"/>
          <w:sz w:val="24"/>
        </w:rPr>
        <w:t> </w:t>
      </w:r>
      <w:r>
        <w:rPr>
          <w:rFonts w:ascii="Times New Roman" w:hAnsi="Times New Roman"/>
          <w:sz w:val="24"/>
        </w:rPr>
        <w:t>запосленима.</w:t>
      </w:r>
    </w:p>
    <w:p>
      <w:pPr>
        <w:pStyle w:val="ListParagraph"/>
        <w:numPr>
          <w:ilvl w:val="0"/>
          <w:numId w:val="16"/>
        </w:numPr>
        <w:tabs>
          <w:tab w:pos="444"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Донет је Правилник о начину, условима коришћења и потрошњи горива службених возила Предшколске установе „Пчелица“ Ниш број 7347 од 09.11.2015. године и Решење о именовању комисије за утврђивање просечне потрошње горива за службена возила ПУ Пчелица број 7377 од 12.11.2015. године чиме се започело са отклањањем утврђене неправилности</w:t>
      </w:r>
      <w:r>
        <w:rPr>
          <w:rFonts w:ascii="Times New Roman" w:hAnsi="Times New Roman" w:cs="Times New Roman" w:eastAsia="Times New Roman" w:hint="default"/>
          <w:sz w:val="24"/>
          <w:szCs w:val="24"/>
        </w:rPr>
        <w:t>.</w:t>
      </w:r>
    </w:p>
    <w:p>
      <w:pPr>
        <w:spacing w:line="240" w:lineRule="auto" w:before="0"/>
        <w:rPr>
          <w:rFonts w:ascii="Times New Roman" w:hAnsi="Times New Roman" w:cs="Times New Roman" w:eastAsia="Times New Roman" w:hint="default"/>
          <w:sz w:val="24"/>
          <w:szCs w:val="24"/>
        </w:rPr>
      </w:pPr>
    </w:p>
    <w:p>
      <w:pPr>
        <w:pStyle w:val="BodyText"/>
        <w:spacing w:line="240" w:lineRule="auto"/>
        <w:ind w:left="726" w:right="141"/>
        <w:jc w:val="left"/>
        <w:rPr>
          <w:rFonts w:ascii="Times New Roman" w:hAnsi="Times New Roman" w:cs="Times New Roman" w:eastAsia="Times New Roman" w:hint="default"/>
        </w:rPr>
      </w:pPr>
      <w:r>
        <w:rPr>
          <w:rFonts w:ascii="Times New Roman" w:hAnsi="Times New Roman"/>
          <w:b/>
        </w:rPr>
        <w:t>СЦ Чаир </w:t>
      </w:r>
      <w:r>
        <w:rPr/>
        <w:t>у току поступка ревизије предузе</w:t>
      </w:r>
      <w:r>
        <w:rPr>
          <w:rFonts w:ascii="Times New Roman" w:hAnsi="Times New Roman"/>
        </w:rPr>
        <w:t>o </w:t>
      </w:r>
      <w:r>
        <w:rPr/>
        <w:t>је</w:t>
      </w:r>
      <w:r>
        <w:rPr>
          <w:spacing w:val="-13"/>
        </w:rPr>
        <w:t> </w:t>
      </w:r>
      <w:r>
        <w:rPr/>
        <w:t>следеће</w:t>
      </w:r>
      <w:r>
        <w:rPr>
          <w:rFonts w:ascii="Times New Roman" w:hAnsi="Times New Roman"/>
          <w:b/>
        </w:rPr>
        <w:t>:</w:t>
      </w:r>
      <w:r>
        <w:rPr>
          <w:rFonts w:ascii="Times New Roman" w:hAnsi="Times New Roman"/>
        </w:rPr>
      </w:r>
    </w:p>
    <w:p>
      <w:pPr>
        <w:pStyle w:val="BodyText"/>
        <w:spacing w:line="240" w:lineRule="auto"/>
        <w:ind w:right="174" w:firstLine="566"/>
        <w:jc w:val="both"/>
      </w:pPr>
      <w:r>
        <w:rPr/>
        <w:t>Директор </w:t>
      </w:r>
      <w:r>
        <w:rPr>
          <w:rFonts w:ascii="Times New Roman" w:hAnsi="Times New Roman"/>
        </w:rPr>
        <w:t>je </w:t>
      </w:r>
      <w:r>
        <w:rPr/>
        <w:t>19.10.2015. године ставио ван снаге Одлуку број 01</w:t>
      </w:r>
      <w:r>
        <w:rPr>
          <w:rFonts w:ascii="Times New Roman" w:hAnsi="Times New Roman"/>
        </w:rPr>
        <w:t>-</w:t>
      </w:r>
      <w:r>
        <w:rPr/>
        <w:t>213/2  од 25.02.2014. године и донео Одлуку број 01</w:t>
      </w:r>
      <w:r>
        <w:rPr>
          <w:rFonts w:ascii="Times New Roman" w:hAnsi="Times New Roman"/>
        </w:rPr>
        <w:t>-</w:t>
      </w:r>
      <w:r>
        <w:rPr/>
        <w:t>1907/1 од 19.10.2015. године којом је  ускладио       висину      накнаде       трошкова      превоза       радника       са    </w:t>
      </w:r>
      <w:r>
        <w:rPr>
          <w:spacing w:val="44"/>
        </w:rPr>
        <w:t> </w:t>
      </w:r>
      <w:r>
        <w:rPr/>
        <w:t>прописима.</w:t>
      </w:r>
    </w:p>
    <w:p>
      <w:pPr>
        <w:spacing w:after="0" w:line="240" w:lineRule="auto"/>
        <w:jc w:val="both"/>
        <w:sectPr>
          <w:pgSz w:w="12240" w:h="15840"/>
          <w:pgMar w:header="740" w:footer="1466" w:top="1280" w:bottom="1660" w:left="1400" w:right="1260"/>
        </w:sectPr>
      </w:pPr>
    </w:p>
    <w:p>
      <w:pPr>
        <w:pStyle w:val="Heading1"/>
        <w:spacing w:line="240" w:lineRule="auto" w:before="49"/>
        <w:ind w:left="7798" w:right="0"/>
        <w:jc w:val="left"/>
        <w:rPr>
          <w:b w:val="0"/>
          <w:bCs w:val="0"/>
        </w:rPr>
      </w:pPr>
      <w:r>
        <w:rPr/>
        <w:t>ПРИЛОГ</w:t>
      </w:r>
      <w:r>
        <w:rPr>
          <w:spacing w:val="-1"/>
        </w:rPr>
        <w:t> </w:t>
      </w:r>
      <w:r>
        <w:rPr/>
        <w:t>II</w:t>
      </w:r>
      <w:r>
        <w:rPr>
          <w:b w:val="0"/>
        </w:rPr>
      </w: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1"/>
        <w:rPr>
          <w:rFonts w:ascii="Times New Roman" w:hAnsi="Times New Roman" w:cs="Times New Roman" w:eastAsia="Times New Roman" w:hint="default"/>
          <w:b/>
          <w:bCs/>
          <w:sz w:val="24"/>
          <w:szCs w:val="24"/>
        </w:rPr>
      </w:pPr>
    </w:p>
    <w:p>
      <w:pPr>
        <w:spacing w:before="0"/>
        <w:ind w:left="531" w:right="805" w:firstLine="0"/>
        <w:jc w:val="center"/>
        <w:rPr>
          <w:rFonts w:ascii="Times New Roman" w:hAnsi="Times New Roman" w:cs="Times New Roman" w:eastAsia="Times New Roman" w:hint="default"/>
          <w:sz w:val="24"/>
          <w:szCs w:val="24"/>
        </w:rPr>
      </w:pPr>
      <w:r>
        <w:rPr>
          <w:rFonts w:ascii="Times New Roman" w:hAnsi="Times New Roman"/>
          <w:b/>
          <w:sz w:val="24"/>
        </w:rPr>
        <w:t>НАПОМЕНЕ УЗ</w:t>
      </w:r>
      <w:r>
        <w:rPr>
          <w:rFonts w:ascii="Times New Roman" w:hAnsi="Times New Roman"/>
          <w:b/>
          <w:spacing w:val="-4"/>
          <w:sz w:val="24"/>
        </w:rPr>
        <w:t> </w:t>
      </w:r>
      <w:r>
        <w:rPr>
          <w:rFonts w:ascii="Times New Roman" w:hAnsi="Times New Roman"/>
          <w:b/>
          <w:sz w:val="24"/>
        </w:rPr>
        <w:t>ИЗВЕШТАЈ</w:t>
      </w:r>
      <w:r>
        <w:rPr>
          <w:rFonts w:ascii="Times New Roman" w:hAnsi="Times New Roman"/>
          <w:sz w:val="24"/>
        </w:rPr>
      </w:r>
    </w:p>
    <w:p>
      <w:pPr>
        <w:spacing w:before="0"/>
        <w:ind w:left="531" w:right="811" w:firstLine="0"/>
        <w:jc w:val="center"/>
        <w:rPr>
          <w:rFonts w:ascii="Times New Roman" w:hAnsi="Times New Roman" w:cs="Times New Roman" w:eastAsia="Times New Roman" w:hint="default"/>
          <w:sz w:val="24"/>
          <w:szCs w:val="24"/>
        </w:rPr>
      </w:pPr>
      <w:r>
        <w:rPr>
          <w:rFonts w:ascii="Times New Roman" w:hAnsi="Times New Roman"/>
          <w:b/>
          <w:sz w:val="24"/>
        </w:rPr>
        <w:t>О РЕВИЗИЈИ КОНСОЛИДОВАНИХ ФИНАНСИЈСКИХ</w:t>
      </w:r>
      <w:r>
        <w:rPr>
          <w:rFonts w:ascii="Times New Roman" w:hAnsi="Times New Roman"/>
          <w:b/>
          <w:spacing w:val="-11"/>
          <w:sz w:val="24"/>
        </w:rPr>
        <w:t> </w:t>
      </w:r>
      <w:r>
        <w:rPr>
          <w:rFonts w:ascii="Times New Roman" w:hAnsi="Times New Roman"/>
          <w:b/>
          <w:sz w:val="24"/>
        </w:rPr>
        <w:t>ИЗВЕШТАЈА </w:t>
      </w:r>
      <w:r>
        <w:rPr>
          <w:rFonts w:ascii="Times New Roman" w:hAnsi="Times New Roman"/>
          <w:b/>
          <w:sz w:val="24"/>
        </w:rPr>
        <w:t>ЗАВРШНОГ РАЧУНА БУЏЕТА И ПРАВИЛНОСТИ ПОСЛОВАЊА ГРАДА НИША ЗА 201</w:t>
      </w:r>
      <w:r>
        <w:rPr>
          <w:rFonts w:ascii="Times New Roman" w:hAnsi="Times New Roman"/>
          <w:b/>
          <w:sz w:val="24"/>
        </w:rPr>
        <w:t>4</w:t>
      </w:r>
      <w:r>
        <w:rPr>
          <w:rFonts w:ascii="Times New Roman" w:hAnsi="Times New Roman"/>
          <w:b/>
          <w:sz w:val="24"/>
        </w:rPr>
        <w:t>.</w:t>
      </w:r>
      <w:r>
        <w:rPr>
          <w:rFonts w:ascii="Times New Roman" w:hAnsi="Times New Roman"/>
          <w:b/>
          <w:spacing w:val="-2"/>
          <w:sz w:val="24"/>
        </w:rPr>
        <w:t> </w:t>
      </w:r>
      <w:r>
        <w:rPr>
          <w:rFonts w:ascii="Times New Roman" w:hAnsi="Times New Roman"/>
          <w:b/>
          <w:sz w:val="24"/>
        </w:rPr>
        <w:t>ГОДИНУ</w:t>
      </w:r>
      <w:r>
        <w:rPr>
          <w:rFonts w:ascii="Times New Roman" w:hAnsi="Times New Roman"/>
          <w:sz w:val="24"/>
        </w:rPr>
      </w: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2"/>
        <w:rPr>
          <w:rFonts w:ascii="Times New Roman" w:hAnsi="Times New Roman" w:cs="Times New Roman" w:eastAsia="Times New Roman" w:hint="default"/>
          <w:b/>
          <w:bCs/>
          <w:sz w:val="24"/>
          <w:szCs w:val="24"/>
        </w:rPr>
      </w:pPr>
    </w:p>
    <w:p>
      <w:pPr>
        <w:spacing w:before="0"/>
        <w:ind w:left="531" w:right="806" w:firstLine="0"/>
        <w:jc w:val="center"/>
        <w:rPr>
          <w:rFonts w:ascii="Times New Roman" w:hAnsi="Times New Roman" w:cs="Times New Roman" w:eastAsia="Times New Roman" w:hint="default"/>
          <w:sz w:val="24"/>
          <w:szCs w:val="24"/>
        </w:rPr>
      </w:pPr>
      <w:r>
        <w:rPr>
          <w:rFonts w:ascii="Times New Roman" w:hAnsi="Times New Roman"/>
          <w:b/>
          <w:sz w:val="24"/>
        </w:rPr>
        <w:t>Број:</w:t>
      </w:r>
      <w:r>
        <w:rPr>
          <w:rFonts w:ascii="Times New Roman" w:hAnsi="Times New Roman"/>
          <w:b/>
          <w:spacing w:val="-3"/>
          <w:sz w:val="24"/>
        </w:rPr>
        <w:t> </w:t>
      </w:r>
      <w:r>
        <w:rPr>
          <w:rFonts w:ascii="Times New Roman" w:hAnsi="Times New Roman"/>
          <w:b/>
          <w:sz w:val="24"/>
        </w:rPr>
        <w:t>400</w:t>
      </w:r>
      <w:r>
        <w:rPr>
          <w:rFonts w:ascii="Times New Roman" w:hAnsi="Times New Roman"/>
          <w:b/>
          <w:sz w:val="24"/>
        </w:rPr>
        <w:t>-389/2015-04</w:t>
      </w:r>
      <w:r>
        <w:rPr>
          <w:rFonts w:ascii="Times New Roman" w:hAnsi="Times New Roman"/>
          <w:sz w:val="24"/>
        </w:rPr>
      </w:r>
    </w:p>
    <w:p>
      <w:pPr>
        <w:spacing w:before="0"/>
        <w:ind w:left="531" w:right="806" w:firstLine="0"/>
        <w:jc w:val="center"/>
        <w:rPr>
          <w:rFonts w:ascii="Times New Roman" w:hAnsi="Times New Roman" w:cs="Times New Roman" w:eastAsia="Times New Roman" w:hint="default"/>
          <w:sz w:val="24"/>
          <w:szCs w:val="24"/>
        </w:rPr>
      </w:pPr>
      <w:r>
        <w:rPr>
          <w:rFonts w:ascii="Times New Roman" w:hAnsi="Times New Roman"/>
          <w:b/>
          <w:sz w:val="24"/>
        </w:rPr>
        <w:t>Београд, </w:t>
      </w:r>
      <w:r>
        <w:rPr>
          <w:rFonts w:ascii="Times New Roman" w:hAnsi="Times New Roman"/>
          <w:b/>
          <w:sz w:val="24"/>
        </w:rPr>
        <w:t>22. </w:t>
      </w:r>
      <w:r>
        <w:rPr>
          <w:rFonts w:ascii="Times New Roman" w:hAnsi="Times New Roman"/>
          <w:b/>
          <w:sz w:val="24"/>
        </w:rPr>
        <w:t>децембар </w:t>
      </w:r>
      <w:r>
        <w:rPr>
          <w:rFonts w:ascii="Times New Roman" w:hAnsi="Times New Roman"/>
          <w:b/>
          <w:sz w:val="24"/>
        </w:rPr>
        <w:t>2015</w:t>
      </w:r>
      <w:r>
        <w:rPr>
          <w:rFonts w:ascii="Times New Roman" w:hAnsi="Times New Roman"/>
          <w:b/>
          <w:sz w:val="24"/>
        </w:rPr>
        <w:t>.</w:t>
      </w:r>
      <w:r>
        <w:rPr>
          <w:rFonts w:ascii="Times New Roman" w:hAnsi="Times New Roman"/>
          <w:b/>
          <w:spacing w:val="-7"/>
          <w:sz w:val="24"/>
        </w:rPr>
        <w:t> </w:t>
      </w:r>
      <w:r>
        <w:rPr>
          <w:rFonts w:ascii="Times New Roman" w:hAnsi="Times New Roman"/>
          <w:b/>
          <w:sz w:val="24"/>
        </w:rPr>
        <w:t>године</w:t>
      </w:r>
      <w:r>
        <w:rPr>
          <w:rFonts w:ascii="Times New Roman" w:hAnsi="Times New Roman"/>
          <w:sz w:val="24"/>
        </w:rPr>
      </w:r>
    </w:p>
    <w:p>
      <w:pPr>
        <w:spacing w:after="0"/>
        <w:jc w:val="center"/>
        <w:rPr>
          <w:rFonts w:ascii="Times New Roman" w:hAnsi="Times New Roman" w:cs="Times New Roman" w:eastAsia="Times New Roman" w:hint="default"/>
          <w:sz w:val="24"/>
          <w:szCs w:val="24"/>
        </w:rPr>
        <w:sectPr>
          <w:headerReference w:type="default" r:id="rId16"/>
          <w:footerReference w:type="default" r:id="rId17"/>
          <w:pgSz w:w="12240" w:h="15840"/>
          <w:pgMar w:header="0" w:footer="0" w:top="1080" w:bottom="280" w:left="1720" w:right="1320"/>
        </w:sectPr>
      </w:pPr>
    </w:p>
    <w:p>
      <w:pPr>
        <w:spacing w:line="240" w:lineRule="auto" w:before="7"/>
        <w:rPr>
          <w:rFonts w:ascii="Times New Roman" w:hAnsi="Times New Roman" w:cs="Times New Roman" w:eastAsia="Times New Roman" w:hint="default"/>
          <w:b/>
          <w:bCs/>
          <w:sz w:val="16"/>
          <w:szCs w:val="16"/>
        </w:rPr>
      </w:pPr>
    </w:p>
    <w:p>
      <w:pPr>
        <w:spacing w:before="72"/>
        <w:ind w:left="160" w:right="141" w:firstLine="0"/>
        <w:jc w:val="left"/>
        <w:rPr>
          <w:rFonts w:ascii="Times New Roman" w:hAnsi="Times New Roman" w:cs="Times New Roman" w:eastAsia="Times New Roman" w:hint="default"/>
          <w:sz w:val="22"/>
          <w:szCs w:val="22"/>
        </w:rPr>
      </w:pPr>
      <w:r>
        <w:rPr>
          <w:rFonts w:ascii="Times New Roman" w:hAnsi="Times New Roman"/>
          <w:sz w:val="22"/>
        </w:rPr>
        <w:t>С А Д Р Ж А</w:t>
      </w:r>
      <w:r>
        <w:rPr>
          <w:rFonts w:ascii="Times New Roman" w:hAnsi="Times New Roman"/>
          <w:spacing w:val="-4"/>
          <w:sz w:val="22"/>
        </w:rPr>
        <w:t> </w:t>
      </w:r>
      <w:r>
        <w:rPr>
          <w:rFonts w:ascii="Times New Roman" w:hAnsi="Times New Roman"/>
          <w:sz w:val="22"/>
        </w:rPr>
        <w:t>Ј</w:t>
      </w:r>
    </w:p>
    <w:p>
      <w:pPr>
        <w:spacing w:after="0"/>
        <w:jc w:val="left"/>
        <w:rPr>
          <w:rFonts w:ascii="Times New Roman" w:hAnsi="Times New Roman" w:cs="Times New Roman" w:eastAsia="Times New Roman" w:hint="default"/>
          <w:sz w:val="22"/>
          <w:szCs w:val="22"/>
        </w:rPr>
        <w:sectPr>
          <w:headerReference w:type="default" r:id="rId18"/>
          <w:footerReference w:type="default" r:id="rId19"/>
          <w:pgSz w:w="12240" w:h="15840"/>
          <w:pgMar w:header="740" w:footer="0" w:top="1280" w:bottom="736" w:left="1400" w:right="1260"/>
        </w:sectPr>
      </w:pPr>
    </w:p>
    <w:sdt>
      <w:sdtPr>
        <w:docPartObj>
          <w:docPartGallery w:val="Table of Contents"/>
          <w:docPartUnique/>
        </w:docPartObj>
      </w:sdtPr>
      <w:sdtEndPr/>
      <w:sdtContent>
        <w:p>
          <w:pPr>
            <w:pStyle w:val="TOC3"/>
            <w:numPr>
              <w:ilvl w:val="0"/>
              <w:numId w:val="17"/>
            </w:numPr>
            <w:tabs>
              <w:tab w:pos="1013" w:val="left" w:leader="none"/>
              <w:tab w:pos="9395" w:val="right" w:leader="dot"/>
            </w:tabs>
            <w:spacing w:line="240" w:lineRule="auto" w:before="3" w:after="0"/>
            <w:ind w:left="1012" w:right="0" w:hanging="852"/>
            <w:jc w:val="left"/>
            <w:rPr>
              <w:rFonts w:ascii="Times New Roman" w:hAnsi="Times New Roman" w:cs="Times New Roman" w:eastAsia="Times New Roman" w:hint="default"/>
              <w:sz w:val="20"/>
              <w:szCs w:val="20"/>
            </w:rPr>
          </w:pPr>
          <w:hyperlink w:history="true" w:anchor="_bookmark0">
            <w:r>
              <w:rPr>
                <w:sz w:val="20"/>
              </w:rPr>
              <w:t>О</w:t>
            </w:r>
            <w:r>
              <w:rPr/>
              <w:t>СНОВНИ ПОДАЦИ О</w:t>
            </w:r>
            <w:r>
              <w:rPr>
                <w:spacing w:val="-4"/>
              </w:rPr>
              <w:t> </w:t>
            </w:r>
            <w:r>
              <w:rPr/>
              <w:t>СУБЈЕКТУ</w:t>
            </w:r>
            <w:r>
              <w:rPr>
                <w:spacing w:val="-1"/>
              </w:rPr>
              <w:t> </w:t>
            </w:r>
            <w:r>
              <w:rPr/>
              <w:t>РЕВИЗИЈЕ</w:t>
            </w:r>
            <w:r>
              <w:rPr>
                <w:rFonts w:ascii="Times New Roman" w:hAnsi="Times New Roman"/>
                <w:sz w:val="20"/>
              </w:rPr>
              <w:tab/>
              <w:t>30</w:t>
            </w:r>
          </w:hyperlink>
        </w:p>
        <w:p>
          <w:pPr>
            <w:pStyle w:val="TOC3"/>
            <w:numPr>
              <w:ilvl w:val="0"/>
              <w:numId w:val="17"/>
            </w:numPr>
            <w:tabs>
              <w:tab w:pos="1013" w:val="left" w:leader="none"/>
              <w:tab w:pos="9395" w:val="right" w:leader="dot"/>
            </w:tabs>
            <w:spacing w:line="240" w:lineRule="auto" w:before="34" w:after="0"/>
            <w:ind w:left="1012" w:right="0" w:hanging="852"/>
            <w:jc w:val="left"/>
            <w:rPr>
              <w:rFonts w:ascii="Times New Roman" w:hAnsi="Times New Roman" w:cs="Times New Roman" w:eastAsia="Times New Roman" w:hint="default"/>
              <w:sz w:val="20"/>
              <w:szCs w:val="20"/>
            </w:rPr>
          </w:pPr>
          <w:hyperlink w:history="true" w:anchor="_bookmark1">
            <w:r>
              <w:rPr>
                <w:sz w:val="20"/>
              </w:rPr>
              <w:t>П</w:t>
            </w:r>
            <w:r>
              <w:rPr/>
              <w:t>РЕГЛЕД ИЗВРШЕНИХ</w:t>
            </w:r>
            <w:r>
              <w:rPr>
                <w:spacing w:val="-3"/>
              </w:rPr>
              <w:t> </w:t>
            </w:r>
            <w:r>
              <w:rPr/>
              <w:t>КОНТРОЛА</w:t>
            </w:r>
            <w:r>
              <w:rPr>
                <w:rFonts w:ascii="Times New Roman" w:hAnsi="Times New Roman"/>
                <w:sz w:val="20"/>
              </w:rPr>
              <w:tab/>
              <w:t>32</w:t>
            </w:r>
          </w:hyperlink>
        </w:p>
        <w:p>
          <w:pPr>
            <w:pStyle w:val="TOC3"/>
            <w:numPr>
              <w:ilvl w:val="0"/>
              <w:numId w:val="17"/>
            </w:numPr>
            <w:tabs>
              <w:tab w:pos="1013" w:val="left" w:leader="none"/>
              <w:tab w:pos="9395" w:val="right" w:leader="dot"/>
            </w:tabs>
            <w:spacing w:line="240" w:lineRule="auto" w:before="34" w:after="0"/>
            <w:ind w:left="1012" w:right="0" w:hanging="852"/>
            <w:jc w:val="left"/>
            <w:rPr>
              <w:rFonts w:ascii="Times New Roman" w:hAnsi="Times New Roman" w:cs="Times New Roman" w:eastAsia="Times New Roman" w:hint="default"/>
              <w:sz w:val="20"/>
              <w:szCs w:val="20"/>
            </w:rPr>
          </w:pPr>
          <w:hyperlink w:history="true" w:anchor="_bookmark2">
            <w:r>
              <w:rPr>
                <w:sz w:val="20"/>
              </w:rPr>
              <w:t>З</w:t>
            </w:r>
            <w:r>
              <w:rPr/>
              <w:t>АКЉУЧАК О ФУНКЦИОНИСАЊУ СИСТЕМА</w:t>
            </w:r>
            <w:r>
              <w:rPr>
                <w:spacing w:val="-5"/>
              </w:rPr>
              <w:t> </w:t>
            </w:r>
            <w:r>
              <w:rPr/>
              <w:t>ИНТЕРНИХ КОНТРОЛА</w:t>
            </w:r>
            <w:r>
              <w:rPr>
                <w:rFonts w:ascii="Times New Roman" w:hAnsi="Times New Roman"/>
                <w:sz w:val="20"/>
              </w:rPr>
              <w:tab/>
              <w:t>33</w:t>
            </w:r>
          </w:hyperlink>
        </w:p>
        <w:p>
          <w:pPr>
            <w:pStyle w:val="TOC3"/>
            <w:numPr>
              <w:ilvl w:val="0"/>
              <w:numId w:val="17"/>
            </w:numPr>
            <w:tabs>
              <w:tab w:pos="1013" w:val="left" w:leader="none"/>
              <w:tab w:pos="9395" w:val="right" w:leader="dot"/>
            </w:tabs>
            <w:spacing w:line="240" w:lineRule="auto" w:before="34" w:after="0"/>
            <w:ind w:left="1012" w:right="0" w:hanging="852"/>
            <w:jc w:val="left"/>
            <w:rPr>
              <w:rFonts w:ascii="Times New Roman" w:hAnsi="Times New Roman" w:cs="Times New Roman" w:eastAsia="Times New Roman" w:hint="default"/>
              <w:sz w:val="20"/>
              <w:szCs w:val="20"/>
            </w:rPr>
          </w:pPr>
          <w:hyperlink w:history="true" w:anchor="_bookmark3">
            <w:r>
              <w:rPr>
                <w:sz w:val="20"/>
              </w:rPr>
              <w:t>Ф</w:t>
            </w:r>
            <w:r>
              <w:rPr/>
              <w:t>ИНАНСИЈСКИ ИЗВЕШТАЈИ</w:t>
            </w:r>
            <w:r>
              <w:rPr>
                <w:spacing w:val="-1"/>
              </w:rPr>
              <w:t> </w:t>
            </w:r>
            <w:r>
              <w:rPr/>
              <w:t>ЗАВРШНОГ РАЧУНА</w:t>
            </w:r>
            <w:r>
              <w:rPr>
                <w:rFonts w:ascii="Times New Roman" w:hAnsi="Times New Roman"/>
                <w:sz w:val="20"/>
              </w:rPr>
              <w:tab/>
              <w:t>43</w:t>
            </w:r>
          </w:hyperlink>
        </w:p>
        <w:p>
          <w:pPr>
            <w:pStyle w:val="TOC2"/>
            <w:numPr>
              <w:ilvl w:val="1"/>
              <w:numId w:val="17"/>
            </w:numPr>
            <w:tabs>
              <w:tab w:pos="1013" w:val="left" w:leader="none"/>
              <w:tab w:pos="9395" w:val="right" w:leader="dot"/>
            </w:tabs>
            <w:spacing w:line="240" w:lineRule="auto" w:before="36" w:after="0"/>
            <w:ind w:left="1012" w:right="0" w:hanging="852"/>
            <w:jc w:val="left"/>
            <w:rPr>
              <w:rFonts w:ascii="Times New Roman" w:hAnsi="Times New Roman" w:cs="Times New Roman" w:eastAsia="Times New Roman" w:hint="default"/>
            </w:rPr>
          </w:pPr>
          <w:hyperlink w:history="true" w:anchor="_bookmark4">
            <w:r>
              <w:rPr/>
              <w:t>Извештај о</w:t>
            </w:r>
            <w:r>
              <w:rPr>
                <w:spacing w:val="2"/>
              </w:rPr>
              <w:t> </w:t>
            </w:r>
            <w:r>
              <w:rPr/>
              <w:t>извршењу</w:t>
            </w:r>
            <w:r>
              <w:rPr>
                <w:spacing w:val="-4"/>
              </w:rPr>
              <w:t> </w:t>
            </w:r>
            <w:r>
              <w:rPr/>
              <w:t>буџета</w:t>
            </w:r>
            <w:r>
              <w:rPr>
                <w:rFonts w:ascii="Times New Roman" w:hAnsi="Times New Roman"/>
              </w:rPr>
              <w:tab/>
              <w:t>43</w:t>
            </w:r>
          </w:hyperlink>
        </w:p>
        <w:p>
          <w:pPr>
            <w:pStyle w:val="TOC2"/>
            <w:numPr>
              <w:ilvl w:val="2"/>
              <w:numId w:val="17"/>
            </w:numPr>
            <w:tabs>
              <w:tab w:pos="1013" w:val="left" w:leader="none"/>
              <w:tab w:pos="9395" w:val="right" w:leader="dot"/>
            </w:tabs>
            <w:spacing w:line="240" w:lineRule="auto" w:before="31" w:after="0"/>
            <w:ind w:left="1012" w:right="0" w:hanging="852"/>
            <w:jc w:val="left"/>
            <w:rPr>
              <w:rFonts w:ascii="Times New Roman" w:hAnsi="Times New Roman" w:cs="Times New Roman" w:eastAsia="Times New Roman" w:hint="default"/>
            </w:rPr>
          </w:pPr>
          <w:hyperlink w:history="true" w:anchor="_bookmark5">
            <w:r>
              <w:rPr/>
              <w:t>Припрема и</w:t>
            </w:r>
            <w:r>
              <w:rPr>
                <w:spacing w:val="-2"/>
              </w:rPr>
              <w:t> </w:t>
            </w:r>
            <w:r>
              <w:rPr/>
              <w:t>доношење</w:t>
            </w:r>
            <w:r>
              <w:rPr>
                <w:spacing w:val="2"/>
              </w:rPr>
              <w:t> </w:t>
            </w:r>
            <w:r>
              <w:rPr/>
              <w:t>буџета</w:t>
            </w:r>
            <w:r>
              <w:rPr>
                <w:rFonts w:ascii="Times New Roman" w:hAnsi="Times New Roman"/>
              </w:rPr>
              <w:tab/>
              <w:t>43</w:t>
            </w:r>
          </w:hyperlink>
        </w:p>
        <w:p>
          <w:pPr>
            <w:pStyle w:val="TOC2"/>
            <w:numPr>
              <w:ilvl w:val="2"/>
              <w:numId w:val="17"/>
            </w:numPr>
            <w:tabs>
              <w:tab w:pos="1013" w:val="left" w:leader="none"/>
              <w:tab w:pos="9395" w:val="right" w:leader="dot"/>
            </w:tabs>
            <w:spacing w:line="229" w:lineRule="exact" w:before="0" w:after="0"/>
            <w:ind w:left="1012" w:right="0" w:hanging="852"/>
            <w:jc w:val="left"/>
            <w:rPr>
              <w:rFonts w:ascii="Times New Roman" w:hAnsi="Times New Roman" w:cs="Times New Roman" w:eastAsia="Times New Roman" w:hint="default"/>
            </w:rPr>
          </w:pPr>
          <w:hyperlink w:history="true" w:anchor="_bookmark6">
            <w:r>
              <w:rPr/>
              <w:t>Приходи</w:t>
            </w:r>
            <w:r>
              <w:rPr>
                <w:rFonts w:ascii="Times New Roman" w:hAnsi="Times New Roman"/>
              </w:rPr>
              <w:tab/>
              <w:t>47</w:t>
            </w:r>
          </w:hyperlink>
        </w:p>
        <w:p>
          <w:pPr>
            <w:pStyle w:val="TOC2"/>
            <w:numPr>
              <w:ilvl w:val="2"/>
              <w:numId w:val="17"/>
            </w:numPr>
            <w:tabs>
              <w:tab w:pos="1013" w:val="left" w:leader="none"/>
              <w:tab w:pos="9395" w:val="right" w:leader="dot"/>
            </w:tabs>
            <w:spacing w:line="229" w:lineRule="exact" w:before="0" w:after="0"/>
            <w:ind w:left="1012" w:right="0" w:hanging="852"/>
            <w:jc w:val="left"/>
            <w:rPr>
              <w:rFonts w:ascii="Times New Roman" w:hAnsi="Times New Roman" w:cs="Times New Roman" w:eastAsia="Times New Roman" w:hint="default"/>
            </w:rPr>
          </w:pPr>
          <w:hyperlink w:history="true" w:anchor="_bookmark7">
            <w:r>
              <w:rPr/>
              <w:t>Примања</w:t>
            </w:r>
            <w:r>
              <w:rPr>
                <w:rFonts w:ascii="Times New Roman" w:hAnsi="Times New Roman"/>
              </w:rPr>
              <w:tab/>
              <w:t>62</w:t>
            </w:r>
          </w:hyperlink>
        </w:p>
        <w:p>
          <w:pPr>
            <w:pStyle w:val="TOC2"/>
            <w:numPr>
              <w:ilvl w:val="2"/>
              <w:numId w:val="17"/>
            </w:numPr>
            <w:tabs>
              <w:tab w:pos="1013" w:val="left" w:leader="none"/>
              <w:tab w:pos="9395" w:val="right" w:leader="dot"/>
            </w:tabs>
            <w:spacing w:line="240" w:lineRule="auto" w:before="0" w:after="0"/>
            <w:ind w:left="1012" w:right="0" w:hanging="852"/>
            <w:jc w:val="left"/>
            <w:rPr>
              <w:rFonts w:ascii="Times New Roman" w:hAnsi="Times New Roman" w:cs="Times New Roman" w:eastAsia="Times New Roman" w:hint="default"/>
            </w:rPr>
          </w:pPr>
          <w:hyperlink w:history="true" w:anchor="_bookmark8">
            <w:r>
              <w:rPr/>
              <w:t>Текући</w:t>
            </w:r>
            <w:r>
              <w:rPr>
                <w:spacing w:val="-1"/>
              </w:rPr>
              <w:t> </w:t>
            </w:r>
            <w:r>
              <w:rPr/>
              <w:t>расходи</w:t>
            </w:r>
            <w:r>
              <w:rPr>
                <w:rFonts w:ascii="Times New Roman" w:hAnsi="Times New Roman"/>
              </w:rPr>
              <w:tab/>
              <w:t>66</w:t>
            </w:r>
          </w:hyperlink>
        </w:p>
        <w:p>
          <w:pPr>
            <w:pStyle w:val="TOC2"/>
            <w:numPr>
              <w:ilvl w:val="3"/>
              <w:numId w:val="17"/>
            </w:numPr>
            <w:tabs>
              <w:tab w:pos="1063" w:val="left" w:leader="none"/>
              <w:tab w:pos="9395" w:val="right" w:leader="dot"/>
            </w:tabs>
            <w:spacing w:line="240" w:lineRule="auto" w:before="3" w:after="0"/>
            <w:ind w:left="1062" w:right="0" w:hanging="902"/>
            <w:jc w:val="left"/>
            <w:rPr>
              <w:rFonts w:ascii="Times New Roman" w:hAnsi="Times New Roman" w:cs="Times New Roman" w:eastAsia="Times New Roman" w:hint="default"/>
            </w:rPr>
          </w:pPr>
          <w:hyperlink w:history="true" w:anchor="_bookmark9">
            <w:r>
              <w:rPr/>
              <w:t>Плате</w:t>
            </w:r>
            <w:r>
              <w:rPr>
                <w:rFonts w:ascii="Times New Roman" w:hAnsi="Times New Roman"/>
              </w:rPr>
              <w:t>, </w:t>
            </w:r>
            <w:r>
              <w:rPr/>
              <w:t>додаци и накнаде запослених,</w:t>
            </w:r>
            <w:r>
              <w:rPr>
                <w:spacing w:val="1"/>
              </w:rPr>
              <w:t> </w:t>
            </w:r>
            <w:r>
              <w:rPr/>
              <w:t>група</w:t>
            </w:r>
            <w:r>
              <w:rPr>
                <w:spacing w:val="-1"/>
              </w:rPr>
              <w:t> </w:t>
            </w:r>
            <w:r>
              <w:rPr/>
              <w:t>411000</w:t>
            </w:r>
            <w:r>
              <w:rPr>
                <w:rFonts w:ascii="Times New Roman" w:hAnsi="Times New Roman"/>
              </w:rPr>
              <w:tab/>
              <w:t>67</w:t>
            </w:r>
          </w:hyperlink>
        </w:p>
        <w:p>
          <w:pPr>
            <w:pStyle w:val="TOC2"/>
            <w:numPr>
              <w:ilvl w:val="3"/>
              <w:numId w:val="17"/>
            </w:numPr>
            <w:tabs>
              <w:tab w:pos="1013" w:val="left" w:leader="none"/>
              <w:tab w:pos="9395" w:val="right" w:leader="dot"/>
            </w:tabs>
            <w:spacing w:line="240" w:lineRule="auto" w:before="34" w:after="0"/>
            <w:ind w:left="1012" w:right="0" w:hanging="852"/>
            <w:jc w:val="left"/>
            <w:rPr>
              <w:rFonts w:ascii="Times New Roman" w:hAnsi="Times New Roman" w:cs="Times New Roman" w:eastAsia="Times New Roman" w:hint="default"/>
            </w:rPr>
          </w:pPr>
          <w:hyperlink w:history="true" w:anchor="_bookmark10">
            <w:r>
              <w:rPr/>
              <w:t>Социјални доприноси на терет послодавца,</w:t>
            </w:r>
            <w:r>
              <w:rPr>
                <w:spacing w:val="4"/>
              </w:rPr>
              <w:t> </w:t>
            </w:r>
            <w:r>
              <w:rPr/>
              <w:t>група</w:t>
            </w:r>
            <w:r>
              <w:rPr>
                <w:spacing w:val="-1"/>
              </w:rPr>
              <w:t> </w:t>
            </w:r>
            <w:r>
              <w:rPr/>
              <w:t>412000</w:t>
            </w:r>
            <w:r>
              <w:rPr>
                <w:rFonts w:ascii="Times New Roman" w:hAnsi="Times New Roman"/>
              </w:rPr>
              <w:tab/>
              <w:t>76</w:t>
            </w:r>
          </w:hyperlink>
        </w:p>
        <w:p>
          <w:pPr>
            <w:pStyle w:val="TOC2"/>
            <w:numPr>
              <w:ilvl w:val="3"/>
              <w:numId w:val="17"/>
            </w:numPr>
            <w:tabs>
              <w:tab w:pos="1013" w:val="left" w:leader="none"/>
              <w:tab w:pos="9395" w:val="right" w:leader="dot"/>
            </w:tabs>
            <w:spacing w:line="240" w:lineRule="auto" w:before="34" w:after="0"/>
            <w:ind w:left="1012" w:right="0" w:hanging="852"/>
            <w:jc w:val="left"/>
            <w:rPr>
              <w:rFonts w:ascii="Times New Roman" w:hAnsi="Times New Roman" w:cs="Times New Roman" w:eastAsia="Times New Roman" w:hint="default"/>
            </w:rPr>
          </w:pPr>
          <w:hyperlink w:history="true" w:anchor="_bookmark11">
            <w:r>
              <w:rPr/>
              <w:t>Накнаде у натури, група</w:t>
            </w:r>
            <w:r>
              <w:rPr>
                <w:spacing w:val="-1"/>
              </w:rPr>
              <w:t> </w:t>
            </w:r>
            <w:r>
              <w:rPr/>
              <w:t>413000</w:t>
            </w:r>
            <w:r>
              <w:rPr>
                <w:rFonts w:ascii="Times New Roman" w:hAnsi="Times New Roman"/>
              </w:rPr>
              <w:tab/>
              <w:t>77</w:t>
            </w:r>
          </w:hyperlink>
        </w:p>
        <w:p>
          <w:pPr>
            <w:pStyle w:val="TOC2"/>
            <w:numPr>
              <w:ilvl w:val="3"/>
              <w:numId w:val="17"/>
            </w:numPr>
            <w:tabs>
              <w:tab w:pos="1013" w:val="left" w:leader="none"/>
              <w:tab w:pos="9395" w:val="right" w:leader="dot"/>
            </w:tabs>
            <w:spacing w:line="240" w:lineRule="auto" w:before="36" w:after="0"/>
            <w:ind w:left="1012" w:right="0" w:hanging="852"/>
            <w:jc w:val="left"/>
            <w:rPr>
              <w:rFonts w:ascii="Times New Roman" w:hAnsi="Times New Roman" w:cs="Times New Roman" w:eastAsia="Times New Roman" w:hint="default"/>
            </w:rPr>
          </w:pPr>
          <w:hyperlink w:history="true" w:anchor="_bookmark12">
            <w:r>
              <w:rPr/>
              <w:t>Социјална давања запосленима, група</w:t>
            </w:r>
            <w:r>
              <w:rPr>
                <w:spacing w:val="-1"/>
              </w:rPr>
              <w:t> </w:t>
            </w:r>
            <w:r>
              <w:rPr/>
              <w:t>414000</w:t>
            </w:r>
            <w:r>
              <w:rPr>
                <w:rFonts w:ascii="Times New Roman" w:hAnsi="Times New Roman"/>
              </w:rPr>
              <w:tab/>
              <w:t>78</w:t>
            </w:r>
          </w:hyperlink>
        </w:p>
        <w:p>
          <w:pPr>
            <w:pStyle w:val="TOC2"/>
            <w:numPr>
              <w:ilvl w:val="3"/>
              <w:numId w:val="17"/>
            </w:numPr>
            <w:tabs>
              <w:tab w:pos="1013" w:val="left" w:leader="none"/>
              <w:tab w:pos="9395" w:val="right" w:leader="dot"/>
            </w:tabs>
            <w:spacing w:line="240" w:lineRule="auto" w:before="34" w:after="0"/>
            <w:ind w:left="1012" w:right="0" w:hanging="852"/>
            <w:jc w:val="left"/>
            <w:rPr>
              <w:rFonts w:ascii="Times New Roman" w:hAnsi="Times New Roman" w:cs="Times New Roman" w:eastAsia="Times New Roman" w:hint="default"/>
            </w:rPr>
          </w:pPr>
          <w:hyperlink w:history="true" w:anchor="_bookmark13">
            <w:r>
              <w:rPr/>
              <w:t>Накнаде трошкова за запослене,</w:t>
            </w:r>
            <w:r>
              <w:rPr>
                <w:spacing w:val="-2"/>
              </w:rPr>
              <w:t> </w:t>
            </w:r>
            <w:r>
              <w:rPr/>
              <w:t>група</w:t>
            </w:r>
            <w:r>
              <w:rPr>
                <w:spacing w:val="-1"/>
              </w:rPr>
              <w:t> </w:t>
            </w:r>
            <w:r>
              <w:rPr/>
              <w:t>415000</w:t>
            </w:r>
            <w:r>
              <w:rPr>
                <w:rFonts w:ascii="Times New Roman" w:hAnsi="Times New Roman"/>
              </w:rPr>
              <w:tab/>
              <w:t>81</w:t>
            </w:r>
          </w:hyperlink>
        </w:p>
        <w:p>
          <w:pPr>
            <w:pStyle w:val="TOC2"/>
            <w:numPr>
              <w:ilvl w:val="3"/>
              <w:numId w:val="17"/>
            </w:numPr>
            <w:tabs>
              <w:tab w:pos="1013" w:val="left" w:leader="none"/>
              <w:tab w:pos="9395" w:val="right" w:leader="dot"/>
            </w:tabs>
            <w:spacing w:line="240" w:lineRule="auto" w:before="34" w:after="0"/>
            <w:ind w:left="1012" w:right="0" w:hanging="852"/>
            <w:jc w:val="left"/>
            <w:rPr>
              <w:rFonts w:ascii="Times New Roman" w:hAnsi="Times New Roman" w:cs="Times New Roman" w:eastAsia="Times New Roman" w:hint="default"/>
            </w:rPr>
          </w:pPr>
          <w:hyperlink w:history="true" w:anchor="_bookmark14">
            <w:r>
              <w:rPr/>
              <w:t>Награде запосленима и остали посебни расходи,</w:t>
            </w:r>
            <w:r>
              <w:rPr>
                <w:spacing w:val="-3"/>
              </w:rPr>
              <w:t> </w:t>
            </w:r>
            <w:r>
              <w:rPr/>
              <w:t>група</w:t>
            </w:r>
            <w:r>
              <w:rPr>
                <w:spacing w:val="-1"/>
              </w:rPr>
              <w:t> </w:t>
            </w:r>
            <w:r>
              <w:rPr/>
              <w:t>416000</w:t>
            </w:r>
            <w:r>
              <w:rPr>
                <w:rFonts w:ascii="Times New Roman" w:hAnsi="Times New Roman"/>
              </w:rPr>
              <w:tab/>
              <w:t>82</w:t>
            </w:r>
          </w:hyperlink>
        </w:p>
        <w:p>
          <w:pPr>
            <w:pStyle w:val="TOC2"/>
            <w:numPr>
              <w:ilvl w:val="3"/>
              <w:numId w:val="17"/>
            </w:numPr>
            <w:tabs>
              <w:tab w:pos="1013" w:val="left" w:leader="none"/>
              <w:tab w:pos="9395" w:val="right" w:leader="dot"/>
            </w:tabs>
            <w:spacing w:line="240" w:lineRule="auto" w:before="34" w:after="0"/>
            <w:ind w:left="1012" w:right="0" w:hanging="852"/>
            <w:jc w:val="left"/>
            <w:rPr>
              <w:rFonts w:ascii="Times New Roman" w:hAnsi="Times New Roman" w:cs="Times New Roman" w:eastAsia="Times New Roman" w:hint="default"/>
            </w:rPr>
          </w:pPr>
          <w:hyperlink w:history="true" w:anchor="_bookmark15">
            <w:r>
              <w:rPr/>
              <w:t>Посланички додатак,</w:t>
            </w:r>
            <w:r>
              <w:rPr>
                <w:spacing w:val="-2"/>
              </w:rPr>
              <w:t> </w:t>
            </w:r>
            <w:r>
              <w:rPr/>
              <w:t>група</w:t>
            </w:r>
            <w:r>
              <w:rPr>
                <w:spacing w:val="-1"/>
              </w:rPr>
              <w:t> </w:t>
            </w:r>
            <w:r>
              <w:rPr/>
              <w:t>417000</w:t>
            </w:r>
            <w:r>
              <w:rPr>
                <w:rFonts w:ascii="Times New Roman" w:hAnsi="Times New Roman"/>
              </w:rPr>
              <w:tab/>
              <w:t>84</w:t>
            </w:r>
          </w:hyperlink>
        </w:p>
        <w:p>
          <w:pPr>
            <w:pStyle w:val="TOC2"/>
            <w:numPr>
              <w:ilvl w:val="3"/>
              <w:numId w:val="17"/>
            </w:numPr>
            <w:tabs>
              <w:tab w:pos="1013" w:val="left" w:leader="none"/>
              <w:tab w:pos="9395" w:val="right" w:leader="dot"/>
            </w:tabs>
            <w:spacing w:line="240" w:lineRule="auto" w:before="34" w:after="0"/>
            <w:ind w:left="1012" w:right="0" w:hanging="852"/>
            <w:jc w:val="left"/>
            <w:rPr>
              <w:rFonts w:ascii="Times New Roman" w:hAnsi="Times New Roman" w:cs="Times New Roman" w:eastAsia="Times New Roman" w:hint="default"/>
            </w:rPr>
          </w:pPr>
          <w:hyperlink w:history="true" w:anchor="_bookmark16">
            <w:r>
              <w:rPr/>
              <w:t>Стални трошкови,</w:t>
            </w:r>
            <w:r>
              <w:rPr>
                <w:spacing w:val="-2"/>
              </w:rPr>
              <w:t> </w:t>
            </w:r>
            <w:r>
              <w:rPr/>
              <w:t>група</w:t>
            </w:r>
            <w:r>
              <w:rPr>
                <w:spacing w:val="-1"/>
              </w:rPr>
              <w:t> </w:t>
            </w:r>
            <w:r>
              <w:rPr/>
              <w:t>421000</w:t>
            </w:r>
            <w:r>
              <w:rPr>
                <w:rFonts w:ascii="Times New Roman" w:hAnsi="Times New Roman"/>
              </w:rPr>
              <w:tab/>
              <w:t>87</w:t>
            </w:r>
          </w:hyperlink>
        </w:p>
        <w:p>
          <w:pPr>
            <w:pStyle w:val="TOC2"/>
            <w:numPr>
              <w:ilvl w:val="3"/>
              <w:numId w:val="17"/>
            </w:numPr>
            <w:tabs>
              <w:tab w:pos="1013" w:val="left" w:leader="none"/>
              <w:tab w:pos="9395" w:val="right" w:leader="dot"/>
            </w:tabs>
            <w:spacing w:line="240" w:lineRule="auto" w:before="36" w:after="0"/>
            <w:ind w:left="1012" w:right="0" w:hanging="852"/>
            <w:jc w:val="left"/>
            <w:rPr>
              <w:rFonts w:ascii="Times New Roman" w:hAnsi="Times New Roman" w:cs="Times New Roman" w:eastAsia="Times New Roman" w:hint="default"/>
            </w:rPr>
          </w:pPr>
          <w:hyperlink w:history="true" w:anchor="_bookmark17">
            <w:r>
              <w:rPr/>
              <w:t>Tрошкови путовања,</w:t>
            </w:r>
            <w:r>
              <w:rPr>
                <w:spacing w:val="-3"/>
              </w:rPr>
              <w:t> </w:t>
            </w:r>
            <w:r>
              <w:rPr/>
              <w:t>група</w:t>
            </w:r>
            <w:r>
              <w:rPr>
                <w:spacing w:val="2"/>
              </w:rPr>
              <w:t> </w:t>
            </w:r>
            <w:r>
              <w:rPr/>
              <w:t>422000</w:t>
            </w:r>
            <w:r>
              <w:rPr>
                <w:rFonts w:ascii="Times New Roman" w:hAnsi="Times New Roman"/>
              </w:rPr>
              <w:tab/>
              <w:t>97</w:t>
            </w:r>
          </w:hyperlink>
        </w:p>
        <w:p>
          <w:pPr>
            <w:pStyle w:val="TOC2"/>
            <w:numPr>
              <w:ilvl w:val="3"/>
              <w:numId w:val="17"/>
            </w:numPr>
            <w:tabs>
              <w:tab w:pos="1013" w:val="left" w:leader="none"/>
              <w:tab w:pos="9395" w:val="right" w:leader="dot"/>
            </w:tabs>
            <w:spacing w:line="240" w:lineRule="auto" w:before="34" w:after="0"/>
            <w:ind w:left="1012" w:right="0" w:hanging="852"/>
            <w:jc w:val="left"/>
            <w:rPr>
              <w:rFonts w:ascii="Times New Roman" w:hAnsi="Times New Roman" w:cs="Times New Roman" w:eastAsia="Times New Roman" w:hint="default"/>
            </w:rPr>
          </w:pPr>
          <w:hyperlink w:history="true" w:anchor="_bookmark18">
            <w:r>
              <w:rPr/>
              <w:t>Услуге по уговору,</w:t>
            </w:r>
            <w:r>
              <w:rPr>
                <w:spacing w:val="4"/>
              </w:rPr>
              <w:t> </w:t>
            </w:r>
            <w:r>
              <w:rPr/>
              <w:t>група</w:t>
            </w:r>
            <w:r>
              <w:rPr>
                <w:spacing w:val="-1"/>
              </w:rPr>
              <w:t> </w:t>
            </w:r>
            <w:r>
              <w:rPr/>
              <w:t>423000</w:t>
            </w:r>
            <w:r>
              <w:rPr>
                <w:rFonts w:ascii="Times New Roman" w:hAnsi="Times New Roman"/>
              </w:rPr>
              <w:tab/>
              <w:t>105</w:t>
            </w:r>
          </w:hyperlink>
        </w:p>
        <w:p>
          <w:pPr>
            <w:pStyle w:val="TOC2"/>
            <w:numPr>
              <w:ilvl w:val="3"/>
              <w:numId w:val="17"/>
            </w:numPr>
            <w:tabs>
              <w:tab w:pos="1013" w:val="left" w:leader="none"/>
              <w:tab w:pos="9395" w:val="right" w:leader="dot"/>
            </w:tabs>
            <w:spacing w:line="240" w:lineRule="auto" w:before="34" w:after="0"/>
            <w:ind w:left="1012" w:right="0" w:hanging="852"/>
            <w:jc w:val="left"/>
            <w:rPr>
              <w:rFonts w:ascii="Times New Roman" w:hAnsi="Times New Roman" w:cs="Times New Roman" w:eastAsia="Times New Roman" w:hint="default"/>
            </w:rPr>
          </w:pPr>
          <w:hyperlink w:history="true" w:anchor="_bookmark19">
            <w:r>
              <w:rPr/>
              <w:t>Специјализоване услуге,</w:t>
            </w:r>
            <w:r>
              <w:rPr>
                <w:spacing w:val="2"/>
              </w:rPr>
              <w:t> </w:t>
            </w:r>
            <w:r>
              <w:rPr/>
              <w:t>група</w:t>
            </w:r>
            <w:r>
              <w:rPr>
                <w:spacing w:val="-1"/>
              </w:rPr>
              <w:t> </w:t>
            </w:r>
            <w:r>
              <w:rPr/>
              <w:t>424000</w:t>
            </w:r>
            <w:r>
              <w:rPr>
                <w:rFonts w:ascii="Times New Roman" w:hAnsi="Times New Roman"/>
              </w:rPr>
              <w:tab/>
              <w:t>125</w:t>
            </w:r>
          </w:hyperlink>
        </w:p>
        <w:p>
          <w:pPr>
            <w:pStyle w:val="TOC2"/>
            <w:numPr>
              <w:ilvl w:val="3"/>
              <w:numId w:val="17"/>
            </w:numPr>
            <w:tabs>
              <w:tab w:pos="1013" w:val="left" w:leader="none"/>
              <w:tab w:pos="9395" w:val="right" w:leader="dot"/>
            </w:tabs>
            <w:spacing w:line="240" w:lineRule="auto" w:before="34" w:after="0"/>
            <w:ind w:left="1012" w:right="0" w:hanging="852"/>
            <w:jc w:val="left"/>
            <w:rPr>
              <w:rFonts w:ascii="Times New Roman" w:hAnsi="Times New Roman" w:cs="Times New Roman" w:eastAsia="Times New Roman" w:hint="default"/>
            </w:rPr>
          </w:pPr>
          <w:hyperlink w:history="true" w:anchor="_bookmark20">
            <w:r>
              <w:rPr/>
              <w:t>Текуће поправке и одржавање,</w:t>
            </w:r>
            <w:r>
              <w:rPr>
                <w:spacing w:val="-1"/>
              </w:rPr>
              <w:t> </w:t>
            </w:r>
            <w:r>
              <w:rPr/>
              <w:t>група</w:t>
            </w:r>
            <w:r>
              <w:rPr>
                <w:spacing w:val="-1"/>
              </w:rPr>
              <w:t> </w:t>
            </w:r>
            <w:r>
              <w:rPr/>
              <w:t>425000</w:t>
            </w:r>
            <w:r>
              <w:rPr>
                <w:rFonts w:ascii="Times New Roman" w:hAnsi="Times New Roman"/>
              </w:rPr>
              <w:tab/>
              <w:t>139</w:t>
            </w:r>
          </w:hyperlink>
        </w:p>
        <w:p>
          <w:pPr>
            <w:pStyle w:val="TOC2"/>
            <w:numPr>
              <w:ilvl w:val="3"/>
              <w:numId w:val="17"/>
            </w:numPr>
            <w:tabs>
              <w:tab w:pos="1013" w:val="left" w:leader="none"/>
              <w:tab w:pos="9395" w:val="right" w:leader="dot"/>
            </w:tabs>
            <w:spacing w:line="240" w:lineRule="auto" w:before="34" w:after="0"/>
            <w:ind w:left="1012" w:right="0" w:hanging="852"/>
            <w:jc w:val="left"/>
            <w:rPr>
              <w:rFonts w:ascii="Times New Roman" w:hAnsi="Times New Roman" w:cs="Times New Roman" w:eastAsia="Times New Roman" w:hint="default"/>
            </w:rPr>
          </w:pPr>
          <w:hyperlink w:history="true" w:anchor="_bookmark21">
            <w:r>
              <w:rPr/>
              <w:t>Материјал,</w:t>
            </w:r>
            <w:r>
              <w:rPr>
                <w:spacing w:val="-1"/>
              </w:rPr>
              <w:t> </w:t>
            </w:r>
            <w:r>
              <w:rPr/>
              <w:t>група</w:t>
            </w:r>
            <w:r>
              <w:rPr>
                <w:spacing w:val="-1"/>
              </w:rPr>
              <w:t> </w:t>
            </w:r>
            <w:r>
              <w:rPr/>
              <w:t>426000</w:t>
            </w:r>
            <w:r>
              <w:rPr>
                <w:rFonts w:ascii="Times New Roman" w:hAnsi="Times New Roman"/>
              </w:rPr>
              <w:tab/>
              <w:t>150</w:t>
            </w:r>
          </w:hyperlink>
        </w:p>
        <w:p>
          <w:pPr>
            <w:pStyle w:val="TOC2"/>
            <w:numPr>
              <w:ilvl w:val="3"/>
              <w:numId w:val="17"/>
            </w:numPr>
            <w:tabs>
              <w:tab w:pos="1013" w:val="left" w:leader="none"/>
              <w:tab w:pos="9395" w:val="right" w:leader="dot"/>
            </w:tabs>
            <w:spacing w:line="240" w:lineRule="auto" w:before="37" w:after="0"/>
            <w:ind w:left="1012" w:right="0" w:hanging="852"/>
            <w:jc w:val="left"/>
            <w:rPr>
              <w:rFonts w:ascii="Times New Roman" w:hAnsi="Times New Roman" w:cs="Times New Roman" w:eastAsia="Times New Roman" w:hint="default"/>
            </w:rPr>
          </w:pPr>
          <w:hyperlink w:history="true" w:anchor="_bookmark22">
            <w:r>
              <w:rPr/>
              <w:t>Отплата домаћих камата,</w:t>
            </w:r>
            <w:r>
              <w:rPr>
                <w:spacing w:val="-2"/>
              </w:rPr>
              <w:t> </w:t>
            </w:r>
            <w:r>
              <w:rPr/>
              <w:t>група</w:t>
            </w:r>
            <w:r>
              <w:rPr>
                <w:spacing w:val="-1"/>
              </w:rPr>
              <w:t> </w:t>
            </w:r>
            <w:r>
              <w:rPr/>
              <w:t>441000</w:t>
            </w:r>
            <w:r>
              <w:rPr>
                <w:rFonts w:ascii="Times New Roman" w:hAnsi="Times New Roman"/>
              </w:rPr>
              <w:tab/>
              <w:t>159</w:t>
            </w:r>
          </w:hyperlink>
        </w:p>
        <w:p>
          <w:pPr>
            <w:pStyle w:val="TOC2"/>
            <w:numPr>
              <w:ilvl w:val="3"/>
              <w:numId w:val="17"/>
            </w:numPr>
            <w:tabs>
              <w:tab w:pos="1013" w:val="left" w:leader="none"/>
              <w:tab w:pos="9395" w:val="right" w:leader="dot"/>
            </w:tabs>
            <w:spacing w:line="240" w:lineRule="auto" w:before="34" w:after="0"/>
            <w:ind w:left="1012" w:right="0" w:hanging="852"/>
            <w:jc w:val="left"/>
            <w:rPr>
              <w:rFonts w:ascii="Times New Roman" w:hAnsi="Times New Roman" w:cs="Times New Roman" w:eastAsia="Times New Roman" w:hint="default"/>
            </w:rPr>
          </w:pPr>
          <w:hyperlink w:history="true" w:anchor="_bookmark23">
            <w:r>
              <w:rPr/>
              <w:t>Отплата страних камата</w:t>
            </w:r>
            <w:r>
              <w:rPr>
                <w:rFonts w:ascii="Times New Roman" w:hAnsi="Times New Roman"/>
              </w:rPr>
              <w:t>, </w:t>
            </w:r>
            <w:r>
              <w:rPr/>
              <w:t>група</w:t>
            </w:r>
            <w:r>
              <w:rPr>
                <w:spacing w:val="-1"/>
              </w:rPr>
              <w:t> </w:t>
            </w:r>
            <w:r>
              <w:rPr/>
              <w:t>442000</w:t>
            </w:r>
            <w:r>
              <w:rPr>
                <w:rFonts w:ascii="Times New Roman" w:hAnsi="Times New Roman"/>
              </w:rPr>
              <w:tab/>
              <w:t>159</w:t>
            </w:r>
          </w:hyperlink>
        </w:p>
        <w:p>
          <w:pPr>
            <w:pStyle w:val="TOC2"/>
            <w:numPr>
              <w:ilvl w:val="3"/>
              <w:numId w:val="17"/>
            </w:numPr>
            <w:tabs>
              <w:tab w:pos="1013" w:val="left" w:leader="none"/>
              <w:tab w:pos="9395" w:val="right" w:leader="dot"/>
            </w:tabs>
            <w:spacing w:line="240" w:lineRule="auto" w:before="34" w:after="0"/>
            <w:ind w:left="1012" w:right="0" w:hanging="852"/>
            <w:jc w:val="left"/>
            <w:rPr>
              <w:rFonts w:ascii="Times New Roman" w:hAnsi="Times New Roman" w:cs="Times New Roman" w:eastAsia="Times New Roman" w:hint="default"/>
            </w:rPr>
          </w:pPr>
          <w:hyperlink w:history="true" w:anchor="_bookmark24">
            <w:r>
              <w:rPr/>
              <w:t>Пратећи трошкови задуживања,</w:t>
            </w:r>
            <w:r>
              <w:rPr>
                <w:spacing w:val="-3"/>
              </w:rPr>
              <w:t> </w:t>
            </w:r>
            <w:r>
              <w:rPr/>
              <w:t>група</w:t>
            </w:r>
            <w:r>
              <w:rPr>
                <w:spacing w:val="-1"/>
              </w:rPr>
              <w:t> </w:t>
            </w:r>
            <w:r>
              <w:rPr/>
              <w:t>444000</w:t>
            </w:r>
            <w:r>
              <w:rPr>
                <w:rFonts w:ascii="Times New Roman" w:hAnsi="Times New Roman"/>
              </w:rPr>
              <w:tab/>
              <w:t>160</w:t>
            </w:r>
          </w:hyperlink>
        </w:p>
        <w:p>
          <w:pPr>
            <w:pStyle w:val="TOC2"/>
            <w:numPr>
              <w:ilvl w:val="3"/>
              <w:numId w:val="17"/>
            </w:numPr>
            <w:tabs>
              <w:tab w:pos="1013" w:val="left" w:leader="none"/>
              <w:tab w:pos="9395" w:val="right" w:leader="dot"/>
            </w:tabs>
            <w:spacing w:line="240" w:lineRule="auto" w:before="31" w:after="0"/>
            <w:ind w:left="1012" w:right="0" w:hanging="852"/>
            <w:jc w:val="left"/>
            <w:rPr>
              <w:rFonts w:ascii="Times New Roman" w:hAnsi="Times New Roman" w:cs="Times New Roman" w:eastAsia="Times New Roman" w:hint="default"/>
            </w:rPr>
          </w:pPr>
          <w:hyperlink w:history="true" w:anchor="_bookmark25">
            <w:r>
              <w:rPr/>
              <w:t>Субвенције јавним нефинансијским предузећима и организацијама,</w:t>
            </w:r>
            <w:r>
              <w:rPr>
                <w:spacing w:val="-2"/>
              </w:rPr>
              <w:t> </w:t>
            </w:r>
            <w:r>
              <w:rPr/>
              <w:t>група </w:t>
            </w:r>
            <w:r>
              <w:rPr>
                <w:spacing w:val="6"/>
              </w:rPr>
              <w:t> </w:t>
            </w:r>
            <w:r>
              <w:rPr>
                <w:rFonts w:ascii="Times New Roman" w:hAnsi="Times New Roman"/>
              </w:rPr>
              <w:t>451000</w:t>
              <w:tab/>
              <w:t>161</w:t>
            </w:r>
          </w:hyperlink>
        </w:p>
        <w:p>
          <w:pPr>
            <w:pStyle w:val="TOC2"/>
            <w:numPr>
              <w:ilvl w:val="3"/>
              <w:numId w:val="17"/>
            </w:numPr>
            <w:tabs>
              <w:tab w:pos="1013" w:val="left" w:leader="none"/>
              <w:tab w:pos="9395" w:val="right" w:leader="dot"/>
            </w:tabs>
            <w:spacing w:line="240" w:lineRule="auto" w:before="3" w:after="0"/>
            <w:ind w:left="1012" w:right="0" w:hanging="852"/>
            <w:jc w:val="left"/>
            <w:rPr>
              <w:rFonts w:ascii="Times New Roman" w:hAnsi="Times New Roman" w:cs="Times New Roman" w:eastAsia="Times New Roman" w:hint="default"/>
            </w:rPr>
          </w:pPr>
          <w:hyperlink w:history="true" w:anchor="_bookmark26">
            <w:r>
              <w:rPr/>
              <w:t>Субвенције приватним предузећима,</w:t>
            </w:r>
            <w:r>
              <w:rPr>
                <w:spacing w:val="1"/>
              </w:rPr>
              <w:t> </w:t>
            </w:r>
            <w:r>
              <w:rPr/>
              <w:t>група</w:t>
            </w:r>
            <w:r>
              <w:rPr>
                <w:spacing w:val="-1"/>
              </w:rPr>
              <w:t> </w:t>
            </w:r>
            <w:r>
              <w:rPr/>
              <w:t>454000</w:t>
            </w:r>
            <w:r>
              <w:rPr>
                <w:rFonts w:ascii="Times New Roman" w:hAnsi="Times New Roman"/>
              </w:rPr>
              <w:tab/>
              <w:t>164</w:t>
            </w:r>
          </w:hyperlink>
        </w:p>
        <w:p>
          <w:pPr>
            <w:pStyle w:val="TOC2"/>
            <w:numPr>
              <w:ilvl w:val="3"/>
              <w:numId w:val="17"/>
            </w:numPr>
            <w:tabs>
              <w:tab w:pos="1013" w:val="left" w:leader="none"/>
              <w:tab w:pos="9395" w:val="right" w:leader="dot"/>
            </w:tabs>
            <w:spacing w:line="240" w:lineRule="auto" w:before="34" w:after="0"/>
            <w:ind w:left="1012" w:right="0" w:hanging="852"/>
            <w:jc w:val="left"/>
            <w:rPr>
              <w:rFonts w:ascii="Times New Roman" w:hAnsi="Times New Roman" w:cs="Times New Roman" w:eastAsia="Times New Roman" w:hint="default"/>
            </w:rPr>
          </w:pPr>
          <w:hyperlink w:history="true" w:anchor="_bookmark27">
            <w:r>
              <w:rPr/>
              <w:t>Трансфери осталим нивоима власти,</w:t>
            </w:r>
            <w:r>
              <w:rPr>
                <w:spacing w:val="-1"/>
              </w:rPr>
              <w:t> </w:t>
            </w:r>
            <w:r>
              <w:rPr/>
              <w:t>група</w:t>
            </w:r>
            <w:r>
              <w:rPr>
                <w:spacing w:val="-1"/>
              </w:rPr>
              <w:t> </w:t>
            </w:r>
            <w:r>
              <w:rPr/>
              <w:t>463000</w:t>
            </w:r>
            <w:r>
              <w:rPr>
                <w:rFonts w:ascii="Times New Roman" w:hAnsi="Times New Roman"/>
              </w:rPr>
              <w:tab/>
              <w:t>165</w:t>
            </w:r>
          </w:hyperlink>
        </w:p>
        <w:p>
          <w:pPr>
            <w:pStyle w:val="TOC2"/>
            <w:numPr>
              <w:ilvl w:val="3"/>
              <w:numId w:val="17"/>
            </w:numPr>
            <w:tabs>
              <w:tab w:pos="1013" w:val="left" w:leader="none"/>
              <w:tab w:pos="9395" w:val="right" w:leader="dot"/>
            </w:tabs>
            <w:spacing w:line="240" w:lineRule="auto" w:before="34" w:after="0"/>
            <w:ind w:left="1012" w:right="0" w:hanging="852"/>
            <w:jc w:val="left"/>
            <w:rPr>
              <w:rFonts w:ascii="Times New Roman" w:hAnsi="Times New Roman" w:cs="Times New Roman" w:eastAsia="Times New Roman" w:hint="default"/>
            </w:rPr>
          </w:pPr>
          <w:hyperlink w:history="true" w:anchor="_bookmark28">
            <w:r>
              <w:rPr/>
              <w:t>Дотације организацијама обавезног социјалног осигурања,</w:t>
            </w:r>
            <w:r>
              <w:rPr>
                <w:spacing w:val="-3"/>
              </w:rPr>
              <w:t> </w:t>
            </w:r>
            <w:r>
              <w:rPr/>
              <w:t>група</w:t>
            </w:r>
            <w:r>
              <w:rPr>
                <w:spacing w:val="-1"/>
              </w:rPr>
              <w:t> </w:t>
            </w:r>
            <w:r>
              <w:rPr/>
              <w:t>464000</w:t>
            </w:r>
            <w:r>
              <w:rPr>
                <w:rFonts w:ascii="Times New Roman" w:hAnsi="Times New Roman"/>
              </w:rPr>
              <w:tab/>
              <w:t>167</w:t>
            </w:r>
          </w:hyperlink>
        </w:p>
        <w:p>
          <w:pPr>
            <w:pStyle w:val="TOC2"/>
            <w:numPr>
              <w:ilvl w:val="3"/>
              <w:numId w:val="17"/>
            </w:numPr>
            <w:tabs>
              <w:tab w:pos="1013" w:val="left" w:leader="none"/>
              <w:tab w:pos="9395" w:val="right" w:leader="dot"/>
            </w:tabs>
            <w:spacing w:line="240" w:lineRule="auto" w:before="36" w:after="0"/>
            <w:ind w:left="1012" w:right="0" w:hanging="852"/>
            <w:jc w:val="left"/>
            <w:rPr>
              <w:rFonts w:ascii="Times New Roman" w:hAnsi="Times New Roman" w:cs="Times New Roman" w:eastAsia="Times New Roman" w:hint="default"/>
            </w:rPr>
          </w:pPr>
          <w:hyperlink w:history="true" w:anchor="_bookmark29">
            <w:r>
              <w:rPr/>
              <w:t>Остале дотације и трансфери,</w:t>
            </w:r>
            <w:r>
              <w:rPr>
                <w:spacing w:val="-2"/>
              </w:rPr>
              <w:t> </w:t>
            </w:r>
            <w:r>
              <w:rPr/>
              <w:t>група</w:t>
            </w:r>
            <w:r>
              <w:rPr>
                <w:spacing w:val="-1"/>
              </w:rPr>
              <w:t> </w:t>
            </w:r>
            <w:r>
              <w:rPr/>
              <w:t>465000</w:t>
            </w:r>
            <w:r>
              <w:rPr>
                <w:rFonts w:ascii="Times New Roman" w:hAnsi="Times New Roman"/>
              </w:rPr>
              <w:tab/>
              <w:t>167</w:t>
            </w:r>
          </w:hyperlink>
        </w:p>
        <w:p>
          <w:pPr>
            <w:pStyle w:val="TOC2"/>
            <w:numPr>
              <w:ilvl w:val="3"/>
              <w:numId w:val="17"/>
            </w:numPr>
            <w:tabs>
              <w:tab w:pos="1013" w:val="left" w:leader="none"/>
              <w:tab w:pos="9395" w:val="right" w:leader="dot"/>
            </w:tabs>
            <w:spacing w:line="240" w:lineRule="auto" w:before="34" w:after="0"/>
            <w:ind w:left="1012" w:right="0" w:hanging="852"/>
            <w:jc w:val="left"/>
            <w:rPr>
              <w:rFonts w:ascii="Times New Roman" w:hAnsi="Times New Roman" w:cs="Times New Roman" w:eastAsia="Times New Roman" w:hint="default"/>
            </w:rPr>
          </w:pPr>
          <w:hyperlink w:history="true" w:anchor="_bookmark30">
            <w:r>
              <w:rPr/>
              <w:t>Накнаде за социјалну заштиту из буџета,</w:t>
            </w:r>
            <w:r>
              <w:rPr>
                <w:spacing w:val="-4"/>
              </w:rPr>
              <w:t> </w:t>
            </w:r>
            <w:r>
              <w:rPr/>
              <w:t>група</w:t>
            </w:r>
            <w:r>
              <w:rPr>
                <w:spacing w:val="-1"/>
              </w:rPr>
              <w:t> </w:t>
            </w:r>
            <w:r>
              <w:rPr/>
              <w:t>472000</w:t>
            </w:r>
            <w:r>
              <w:rPr>
                <w:rFonts w:ascii="Times New Roman" w:hAnsi="Times New Roman"/>
              </w:rPr>
              <w:tab/>
              <w:t>168</w:t>
            </w:r>
          </w:hyperlink>
        </w:p>
        <w:p>
          <w:pPr>
            <w:pStyle w:val="TOC2"/>
            <w:numPr>
              <w:ilvl w:val="3"/>
              <w:numId w:val="17"/>
            </w:numPr>
            <w:tabs>
              <w:tab w:pos="1013" w:val="left" w:leader="none"/>
              <w:tab w:pos="9395" w:val="right" w:leader="dot"/>
            </w:tabs>
            <w:spacing w:line="240" w:lineRule="auto" w:before="34" w:after="0"/>
            <w:ind w:left="1012" w:right="0" w:hanging="852"/>
            <w:jc w:val="left"/>
            <w:rPr>
              <w:rFonts w:ascii="Times New Roman" w:hAnsi="Times New Roman" w:cs="Times New Roman" w:eastAsia="Times New Roman" w:hint="default"/>
            </w:rPr>
          </w:pPr>
          <w:hyperlink w:history="true" w:anchor="_bookmark31">
            <w:r>
              <w:rPr/>
              <w:t>Дотације невладиним организацијама,</w:t>
            </w:r>
            <w:r>
              <w:rPr>
                <w:spacing w:val="1"/>
              </w:rPr>
              <w:t> </w:t>
            </w:r>
            <w:r>
              <w:rPr/>
              <w:t>група</w:t>
            </w:r>
            <w:r>
              <w:rPr>
                <w:spacing w:val="-1"/>
              </w:rPr>
              <w:t> </w:t>
            </w:r>
            <w:r>
              <w:rPr/>
              <w:t>481000</w:t>
            </w:r>
            <w:r>
              <w:rPr>
                <w:rFonts w:ascii="Times New Roman" w:hAnsi="Times New Roman"/>
              </w:rPr>
              <w:tab/>
              <w:t>174</w:t>
            </w:r>
          </w:hyperlink>
        </w:p>
        <w:p>
          <w:pPr>
            <w:pStyle w:val="TOC2"/>
            <w:numPr>
              <w:ilvl w:val="3"/>
              <w:numId w:val="17"/>
            </w:numPr>
            <w:tabs>
              <w:tab w:pos="1013" w:val="left" w:leader="none"/>
              <w:tab w:pos="9395" w:val="right" w:leader="dot"/>
            </w:tabs>
            <w:spacing w:line="240" w:lineRule="auto" w:before="34" w:after="0"/>
            <w:ind w:left="1012" w:right="0" w:hanging="852"/>
            <w:jc w:val="left"/>
            <w:rPr>
              <w:rFonts w:ascii="Times New Roman" w:hAnsi="Times New Roman" w:cs="Times New Roman" w:eastAsia="Times New Roman" w:hint="default"/>
            </w:rPr>
          </w:pPr>
          <w:hyperlink w:history="true" w:anchor="_bookmark32">
            <w:r>
              <w:rPr/>
              <w:t>Порези, обавезне таксе, казне и пенали,</w:t>
            </w:r>
            <w:r>
              <w:rPr>
                <w:spacing w:val="-2"/>
              </w:rPr>
              <w:t> </w:t>
            </w:r>
            <w:r>
              <w:rPr/>
              <w:t>група</w:t>
            </w:r>
            <w:r>
              <w:rPr>
                <w:spacing w:val="-1"/>
              </w:rPr>
              <w:t> </w:t>
            </w:r>
            <w:r>
              <w:rPr/>
              <w:t>482000</w:t>
            </w:r>
            <w:r>
              <w:rPr>
                <w:rFonts w:ascii="Times New Roman" w:hAnsi="Times New Roman"/>
              </w:rPr>
              <w:tab/>
              <w:t>177</w:t>
            </w:r>
          </w:hyperlink>
        </w:p>
        <w:p>
          <w:pPr>
            <w:pStyle w:val="TOC2"/>
            <w:numPr>
              <w:ilvl w:val="3"/>
              <w:numId w:val="17"/>
            </w:numPr>
            <w:tabs>
              <w:tab w:pos="1013" w:val="left" w:leader="none"/>
              <w:tab w:pos="9395" w:val="right" w:leader="dot"/>
            </w:tabs>
            <w:spacing w:line="240" w:lineRule="auto" w:before="34" w:after="0"/>
            <w:ind w:left="1012" w:right="0" w:hanging="852"/>
            <w:jc w:val="left"/>
            <w:rPr>
              <w:rFonts w:ascii="Times New Roman" w:hAnsi="Times New Roman" w:cs="Times New Roman" w:eastAsia="Times New Roman" w:hint="default"/>
            </w:rPr>
          </w:pPr>
          <w:hyperlink w:history="true" w:anchor="_bookmark33">
            <w:r>
              <w:rPr/>
              <w:t>Новчане казне и пенали по решењу судова,</w:t>
            </w:r>
            <w:r>
              <w:rPr>
                <w:spacing w:val="-5"/>
              </w:rPr>
              <w:t> </w:t>
            </w:r>
            <w:r>
              <w:rPr/>
              <w:t>група</w:t>
            </w:r>
            <w:r>
              <w:rPr>
                <w:spacing w:val="-1"/>
              </w:rPr>
              <w:t> </w:t>
            </w:r>
            <w:r>
              <w:rPr/>
              <w:t>483000</w:t>
            </w:r>
            <w:r>
              <w:rPr>
                <w:rFonts w:ascii="Times New Roman" w:hAnsi="Times New Roman"/>
              </w:rPr>
              <w:tab/>
              <w:t>179</w:t>
            </w:r>
          </w:hyperlink>
        </w:p>
        <w:p>
          <w:pPr>
            <w:pStyle w:val="TOC2"/>
            <w:numPr>
              <w:ilvl w:val="3"/>
              <w:numId w:val="17"/>
            </w:numPr>
            <w:tabs>
              <w:tab w:pos="1013" w:val="left" w:leader="none"/>
              <w:tab w:pos="9395" w:val="right" w:leader="dot"/>
            </w:tabs>
            <w:spacing w:line="240" w:lineRule="auto" w:before="36" w:after="0"/>
            <w:ind w:left="1012" w:right="0" w:hanging="852"/>
            <w:jc w:val="left"/>
            <w:rPr>
              <w:rFonts w:ascii="Times New Roman" w:hAnsi="Times New Roman" w:cs="Times New Roman" w:eastAsia="Times New Roman" w:hint="default"/>
            </w:rPr>
          </w:pPr>
          <w:hyperlink w:history="true" w:anchor="_bookmark34">
            <w:r>
              <w:rPr/>
              <w:t>Накнада штете за повреде или штету нанету од стране државних органа</w:t>
            </w:r>
            <w:r>
              <w:rPr>
                <w:rFonts w:ascii="Times New Roman" w:hAnsi="Times New Roman"/>
              </w:rPr>
              <w:t>,</w:t>
            </w:r>
          </w:hyperlink>
          <w:r>
            <w:rPr>
              <w:rFonts w:ascii="Times New Roman" w:hAnsi="Times New Roman"/>
              <w:spacing w:val="-6"/>
            </w:rPr>
            <w:t> </w:t>
          </w:r>
          <w:hyperlink w:history="true" w:anchor="_bookmark35">
            <w:r>
              <w:rPr/>
              <w:t>група</w:t>
            </w:r>
            <w:r>
              <w:rPr>
                <w:spacing w:val="-1"/>
              </w:rPr>
              <w:t> </w:t>
            </w:r>
            <w:r>
              <w:rPr/>
              <w:t>485000</w:t>
            </w:r>
            <w:r>
              <w:rPr>
                <w:rFonts w:ascii="Times New Roman" w:hAnsi="Times New Roman"/>
              </w:rPr>
              <w:tab/>
              <w:t>184</w:t>
            </w:r>
          </w:hyperlink>
        </w:p>
        <w:p>
          <w:pPr>
            <w:pStyle w:val="TOC2"/>
            <w:numPr>
              <w:ilvl w:val="3"/>
              <w:numId w:val="17"/>
            </w:numPr>
            <w:tabs>
              <w:tab w:pos="1013" w:val="left" w:leader="none"/>
              <w:tab w:pos="9395" w:val="right" w:leader="dot"/>
            </w:tabs>
            <w:spacing w:line="240" w:lineRule="auto" w:before="34" w:after="0"/>
            <w:ind w:left="1012" w:right="0" w:hanging="852"/>
            <w:jc w:val="left"/>
            <w:rPr>
              <w:rFonts w:ascii="Times New Roman" w:hAnsi="Times New Roman" w:cs="Times New Roman" w:eastAsia="Times New Roman" w:hint="default"/>
            </w:rPr>
          </w:pPr>
          <w:hyperlink w:history="true" w:anchor="_bookmark36">
            <w:r>
              <w:rPr/>
              <w:t>Средства резерве,</w:t>
            </w:r>
            <w:r>
              <w:rPr>
                <w:spacing w:val="-1"/>
              </w:rPr>
              <w:t> </w:t>
            </w:r>
            <w:r>
              <w:rPr/>
              <w:t>група</w:t>
            </w:r>
            <w:r>
              <w:rPr>
                <w:spacing w:val="-1"/>
              </w:rPr>
              <w:t> </w:t>
            </w:r>
            <w:r>
              <w:rPr/>
              <w:t>499000</w:t>
            </w:r>
            <w:r>
              <w:rPr>
                <w:rFonts w:ascii="Times New Roman" w:hAnsi="Times New Roman"/>
              </w:rPr>
              <w:tab/>
              <w:t>185</w:t>
            </w:r>
          </w:hyperlink>
        </w:p>
        <w:p>
          <w:pPr>
            <w:pStyle w:val="TOC2"/>
            <w:numPr>
              <w:ilvl w:val="2"/>
              <w:numId w:val="17"/>
            </w:numPr>
            <w:tabs>
              <w:tab w:pos="1013" w:val="left" w:leader="none"/>
              <w:tab w:pos="9395" w:val="right" w:leader="dot"/>
            </w:tabs>
            <w:spacing w:line="240" w:lineRule="auto" w:before="31" w:after="0"/>
            <w:ind w:left="1012" w:right="0" w:hanging="852"/>
            <w:jc w:val="left"/>
            <w:rPr>
              <w:rFonts w:ascii="Times New Roman" w:hAnsi="Times New Roman" w:cs="Times New Roman" w:eastAsia="Times New Roman" w:hint="default"/>
            </w:rPr>
          </w:pPr>
          <w:hyperlink w:history="true" w:anchor="_bookmark37">
            <w:r>
              <w:rPr/>
              <w:t>Издаци</w:t>
            </w:r>
            <w:r>
              <w:rPr>
                <w:rFonts w:ascii="Times New Roman" w:hAnsi="Times New Roman"/>
              </w:rPr>
              <w:tab/>
              <w:t>185</w:t>
            </w:r>
          </w:hyperlink>
        </w:p>
        <w:p>
          <w:pPr>
            <w:pStyle w:val="TOC2"/>
            <w:numPr>
              <w:ilvl w:val="3"/>
              <w:numId w:val="17"/>
            </w:numPr>
            <w:tabs>
              <w:tab w:pos="1013" w:val="left" w:leader="none"/>
              <w:tab w:pos="9395" w:val="right" w:leader="dot"/>
            </w:tabs>
            <w:spacing w:line="240" w:lineRule="auto" w:before="3" w:after="0"/>
            <w:ind w:left="1012" w:right="0" w:hanging="852"/>
            <w:jc w:val="left"/>
            <w:rPr>
              <w:rFonts w:ascii="Times New Roman" w:hAnsi="Times New Roman" w:cs="Times New Roman" w:eastAsia="Times New Roman" w:hint="default"/>
            </w:rPr>
          </w:pPr>
          <w:hyperlink w:history="true" w:anchor="_bookmark38">
            <w:r>
              <w:rPr/>
              <w:t>Зграде и грађевински објекти,</w:t>
            </w:r>
            <w:r>
              <w:rPr>
                <w:spacing w:val="-3"/>
              </w:rPr>
              <w:t> </w:t>
            </w:r>
            <w:r>
              <w:rPr/>
              <w:t>група</w:t>
            </w:r>
            <w:r>
              <w:rPr>
                <w:spacing w:val="-1"/>
              </w:rPr>
              <w:t> </w:t>
            </w:r>
            <w:r>
              <w:rPr/>
              <w:t>511000</w:t>
            </w:r>
            <w:r>
              <w:rPr>
                <w:rFonts w:ascii="Times New Roman" w:hAnsi="Times New Roman"/>
              </w:rPr>
              <w:tab/>
              <w:t>185</w:t>
            </w:r>
          </w:hyperlink>
        </w:p>
        <w:p>
          <w:pPr>
            <w:pStyle w:val="TOC2"/>
            <w:numPr>
              <w:ilvl w:val="3"/>
              <w:numId w:val="17"/>
            </w:numPr>
            <w:tabs>
              <w:tab w:pos="1013" w:val="left" w:leader="none"/>
              <w:tab w:pos="9395" w:val="right" w:leader="dot"/>
            </w:tabs>
            <w:spacing w:line="240" w:lineRule="auto" w:before="34" w:after="0"/>
            <w:ind w:left="1012" w:right="0" w:hanging="852"/>
            <w:jc w:val="left"/>
            <w:rPr>
              <w:rFonts w:ascii="Times New Roman" w:hAnsi="Times New Roman" w:cs="Times New Roman" w:eastAsia="Times New Roman" w:hint="default"/>
            </w:rPr>
          </w:pPr>
          <w:hyperlink w:history="true" w:anchor="_bookmark39">
            <w:r>
              <w:rPr/>
              <w:t>Машине и опрема,</w:t>
            </w:r>
            <w:r>
              <w:rPr>
                <w:spacing w:val="2"/>
              </w:rPr>
              <w:t> </w:t>
            </w:r>
            <w:r>
              <w:rPr/>
              <w:t>група</w:t>
            </w:r>
            <w:r>
              <w:rPr>
                <w:spacing w:val="-1"/>
              </w:rPr>
              <w:t> </w:t>
            </w:r>
            <w:r>
              <w:rPr/>
              <w:t>512000</w:t>
            </w:r>
            <w:r>
              <w:rPr>
                <w:rFonts w:ascii="Times New Roman" w:hAnsi="Times New Roman"/>
              </w:rPr>
              <w:tab/>
              <w:t>204</w:t>
            </w:r>
          </w:hyperlink>
        </w:p>
        <w:p>
          <w:pPr>
            <w:pStyle w:val="TOC2"/>
            <w:numPr>
              <w:ilvl w:val="3"/>
              <w:numId w:val="17"/>
            </w:numPr>
            <w:tabs>
              <w:tab w:pos="1013" w:val="left" w:leader="none"/>
              <w:tab w:pos="9395" w:val="right" w:leader="dot"/>
            </w:tabs>
            <w:spacing w:line="240" w:lineRule="auto" w:before="34" w:after="0"/>
            <w:ind w:left="1012" w:right="0" w:hanging="852"/>
            <w:jc w:val="left"/>
            <w:rPr>
              <w:rFonts w:ascii="Times New Roman" w:hAnsi="Times New Roman" w:cs="Times New Roman" w:eastAsia="Times New Roman" w:hint="default"/>
            </w:rPr>
          </w:pPr>
          <w:hyperlink w:history="true" w:anchor="_bookmark40">
            <w:r>
              <w:rPr/>
              <w:t>Остале некретнине и опрема, група</w:t>
            </w:r>
            <w:r>
              <w:rPr>
                <w:spacing w:val="5"/>
              </w:rPr>
              <w:t> </w:t>
            </w:r>
            <w:r>
              <w:rPr>
                <w:rFonts w:ascii="Times New Roman" w:hAnsi="Times New Roman"/>
              </w:rPr>
              <w:t>-</w:t>
            </w:r>
            <w:r>
              <w:rPr>
                <w:rFonts w:ascii="Times New Roman" w:hAnsi="Times New Roman"/>
                <w:spacing w:val="-3"/>
              </w:rPr>
              <w:t> </w:t>
            </w:r>
            <w:r>
              <w:rPr>
                <w:rFonts w:ascii="Times New Roman" w:hAnsi="Times New Roman"/>
              </w:rPr>
              <w:t>513000</w:t>
              <w:tab/>
              <w:t>207</w:t>
            </w:r>
          </w:hyperlink>
        </w:p>
        <w:p>
          <w:pPr>
            <w:pStyle w:val="TOC2"/>
            <w:numPr>
              <w:ilvl w:val="3"/>
              <w:numId w:val="17"/>
            </w:numPr>
            <w:tabs>
              <w:tab w:pos="1013" w:val="left" w:leader="none"/>
              <w:tab w:pos="9395" w:val="right" w:leader="dot"/>
            </w:tabs>
            <w:spacing w:line="240" w:lineRule="auto" w:before="36" w:after="0"/>
            <w:ind w:left="1012" w:right="0" w:hanging="852"/>
            <w:jc w:val="left"/>
            <w:rPr>
              <w:rFonts w:ascii="Times New Roman" w:hAnsi="Times New Roman" w:cs="Times New Roman" w:eastAsia="Times New Roman" w:hint="default"/>
            </w:rPr>
          </w:pPr>
          <w:hyperlink w:history="true" w:anchor="_bookmark41">
            <w:r>
              <w:rPr/>
              <w:t>Нематеријална имовина, група – </w:t>
            </w:r>
            <w:r>
              <w:rPr>
                <w:rFonts w:ascii="Times New Roman" w:hAnsi="Times New Roman" w:cs="Times New Roman" w:eastAsia="Times New Roman" w:hint="default"/>
              </w:rPr>
              <w:t>515000</w:t>
              <w:tab/>
              <w:t>207</w:t>
            </w:r>
          </w:hyperlink>
        </w:p>
        <w:p>
          <w:pPr>
            <w:pStyle w:val="TOC2"/>
            <w:numPr>
              <w:ilvl w:val="3"/>
              <w:numId w:val="17"/>
            </w:numPr>
            <w:tabs>
              <w:tab w:pos="1013" w:val="left" w:leader="none"/>
              <w:tab w:pos="9395" w:val="right" w:leader="dot"/>
            </w:tabs>
            <w:spacing w:line="240" w:lineRule="auto" w:before="34" w:after="0"/>
            <w:ind w:left="1012" w:right="0" w:hanging="852"/>
            <w:jc w:val="left"/>
            <w:rPr>
              <w:rFonts w:ascii="Times New Roman" w:hAnsi="Times New Roman" w:cs="Times New Roman" w:eastAsia="Times New Roman" w:hint="default"/>
            </w:rPr>
          </w:pPr>
          <w:hyperlink w:history="true" w:anchor="_bookmark42">
            <w:r>
              <w:rPr/>
              <w:t>Залихе робе за даљу продају, група</w:t>
            </w:r>
            <w:r>
              <w:rPr>
                <w:spacing w:val="-2"/>
              </w:rPr>
              <w:t> </w:t>
            </w:r>
            <w:r>
              <w:rPr>
                <w:rFonts w:ascii="Times New Roman" w:hAnsi="Times New Roman"/>
              </w:rPr>
              <w:t>-</w:t>
            </w:r>
            <w:r>
              <w:rPr>
                <w:rFonts w:ascii="Times New Roman" w:hAnsi="Times New Roman"/>
                <w:spacing w:val="-2"/>
              </w:rPr>
              <w:t> </w:t>
            </w:r>
            <w:r>
              <w:rPr>
                <w:rFonts w:ascii="Times New Roman" w:hAnsi="Times New Roman"/>
              </w:rPr>
              <w:t>523000</w:t>
              <w:tab/>
              <w:t>208</w:t>
            </w:r>
          </w:hyperlink>
        </w:p>
        <w:p>
          <w:pPr>
            <w:pStyle w:val="TOC2"/>
            <w:numPr>
              <w:ilvl w:val="3"/>
              <w:numId w:val="17"/>
            </w:numPr>
            <w:tabs>
              <w:tab w:pos="1013" w:val="left" w:leader="none"/>
              <w:tab w:pos="9395" w:val="right" w:leader="dot"/>
            </w:tabs>
            <w:spacing w:line="240" w:lineRule="auto" w:before="34" w:after="0"/>
            <w:ind w:left="1012" w:right="0" w:hanging="852"/>
            <w:jc w:val="left"/>
            <w:rPr>
              <w:rFonts w:ascii="Times New Roman" w:hAnsi="Times New Roman" w:cs="Times New Roman" w:eastAsia="Times New Roman" w:hint="default"/>
            </w:rPr>
          </w:pPr>
          <w:hyperlink w:history="true" w:anchor="_bookmark43">
            <w:r>
              <w:rPr/>
              <w:t>Земљиште, група – </w:t>
            </w:r>
            <w:r>
              <w:rPr>
                <w:rFonts w:ascii="Times New Roman" w:hAnsi="Times New Roman" w:cs="Times New Roman" w:eastAsia="Times New Roman" w:hint="default"/>
              </w:rPr>
              <w:t>541000</w:t>
              <w:tab/>
              <w:t>209</w:t>
            </w:r>
          </w:hyperlink>
        </w:p>
        <w:p>
          <w:pPr>
            <w:pStyle w:val="TOC2"/>
            <w:numPr>
              <w:ilvl w:val="3"/>
              <w:numId w:val="17"/>
            </w:numPr>
            <w:tabs>
              <w:tab w:pos="1013" w:val="left" w:leader="none"/>
              <w:tab w:pos="9395" w:val="right" w:leader="dot"/>
            </w:tabs>
            <w:spacing w:line="240" w:lineRule="auto" w:before="34" w:after="0"/>
            <w:ind w:left="1012" w:right="0" w:hanging="852"/>
            <w:jc w:val="left"/>
            <w:rPr>
              <w:rFonts w:ascii="Times New Roman" w:hAnsi="Times New Roman" w:cs="Times New Roman" w:eastAsia="Times New Roman" w:hint="default"/>
            </w:rPr>
          </w:pPr>
          <w:hyperlink w:history="true" w:anchor="_bookmark44">
            <w:r>
              <w:rPr/>
              <w:t>Отплата главнице домаћим кредиторима,</w:t>
            </w:r>
            <w:r>
              <w:rPr>
                <w:spacing w:val="1"/>
              </w:rPr>
              <w:t> </w:t>
            </w:r>
            <w:r>
              <w:rPr/>
              <w:t>група</w:t>
            </w:r>
            <w:r>
              <w:rPr>
                <w:spacing w:val="-1"/>
              </w:rPr>
              <w:t> </w:t>
            </w:r>
            <w:r>
              <w:rPr/>
              <w:t>611000</w:t>
            </w:r>
            <w:r>
              <w:rPr>
                <w:rFonts w:ascii="Times New Roman" w:hAnsi="Times New Roman"/>
              </w:rPr>
              <w:tab/>
              <w:t>210</w:t>
            </w:r>
          </w:hyperlink>
        </w:p>
        <w:p>
          <w:pPr>
            <w:pStyle w:val="TOC2"/>
            <w:numPr>
              <w:ilvl w:val="3"/>
              <w:numId w:val="17"/>
            </w:numPr>
            <w:tabs>
              <w:tab w:pos="1013" w:val="left" w:leader="none"/>
              <w:tab w:pos="9395" w:val="right" w:leader="dot"/>
            </w:tabs>
            <w:spacing w:line="240" w:lineRule="auto" w:before="34" w:after="0"/>
            <w:ind w:left="1012" w:right="0" w:hanging="852"/>
            <w:jc w:val="left"/>
            <w:rPr>
              <w:rFonts w:ascii="Times New Roman" w:hAnsi="Times New Roman" w:cs="Times New Roman" w:eastAsia="Times New Roman" w:hint="default"/>
            </w:rPr>
          </w:pPr>
          <w:hyperlink w:history="true" w:anchor="_bookmark45">
            <w:r>
              <w:rPr/>
              <w:t>Отплата главнице страним</w:t>
            </w:r>
            <w:r>
              <w:rPr>
                <w:spacing w:val="2"/>
              </w:rPr>
              <w:t> </w:t>
            </w:r>
            <w:r>
              <w:rPr/>
              <w:t>кредиторима– </w:t>
            </w:r>
            <w:r>
              <w:rPr>
                <w:rFonts w:ascii="Times New Roman" w:hAnsi="Times New Roman" w:cs="Times New Roman" w:eastAsia="Times New Roman" w:hint="default"/>
              </w:rPr>
              <w:t>612000</w:t>
              <w:tab/>
              <w:t>211</w:t>
            </w:r>
          </w:hyperlink>
        </w:p>
        <w:p>
          <w:pPr>
            <w:pStyle w:val="TOC2"/>
            <w:numPr>
              <w:ilvl w:val="3"/>
              <w:numId w:val="17"/>
            </w:numPr>
            <w:tabs>
              <w:tab w:pos="1013" w:val="left" w:leader="none"/>
              <w:tab w:pos="9395" w:val="right" w:leader="dot"/>
            </w:tabs>
            <w:spacing w:line="240" w:lineRule="auto" w:before="36" w:after="0"/>
            <w:ind w:left="1012" w:right="0" w:hanging="852"/>
            <w:jc w:val="left"/>
            <w:rPr>
              <w:rFonts w:ascii="Times New Roman" w:hAnsi="Times New Roman" w:cs="Times New Roman" w:eastAsia="Times New Roman" w:hint="default"/>
            </w:rPr>
          </w:pPr>
          <w:hyperlink w:history="true" w:anchor="_bookmark46">
            <w:r>
              <w:rPr/>
              <w:t>Набавка домаће финансијске имовине</w:t>
            </w:r>
            <w:r>
              <w:rPr>
                <w:spacing w:val="5"/>
              </w:rPr>
              <w:t> </w:t>
            </w:r>
            <w:r>
              <w:rPr/>
              <w:t>– </w:t>
            </w:r>
            <w:r>
              <w:rPr>
                <w:rFonts w:ascii="Times New Roman" w:hAnsi="Times New Roman" w:cs="Times New Roman" w:eastAsia="Times New Roman" w:hint="default"/>
              </w:rPr>
              <w:t>621000</w:t>
              <w:tab/>
              <w:t>212</w:t>
            </w:r>
          </w:hyperlink>
        </w:p>
        <w:p>
          <w:pPr>
            <w:pStyle w:val="TOC2"/>
            <w:numPr>
              <w:ilvl w:val="2"/>
              <w:numId w:val="17"/>
            </w:numPr>
            <w:tabs>
              <w:tab w:pos="1013" w:val="left" w:leader="none"/>
              <w:tab w:pos="9395" w:val="right" w:leader="dot"/>
            </w:tabs>
            <w:spacing w:line="240" w:lineRule="auto" w:before="31" w:after="0"/>
            <w:ind w:left="1012" w:right="0" w:hanging="852"/>
            <w:jc w:val="left"/>
            <w:rPr>
              <w:rFonts w:ascii="Times New Roman" w:hAnsi="Times New Roman" w:cs="Times New Roman" w:eastAsia="Times New Roman" w:hint="default"/>
            </w:rPr>
          </w:pPr>
          <w:hyperlink w:history="true" w:anchor="_bookmark47">
            <w:r>
              <w:rPr/>
              <w:t>Набавке</w:t>
            </w:r>
            <w:r>
              <w:rPr>
                <w:rFonts w:ascii="Times New Roman" w:hAnsi="Times New Roman"/>
              </w:rPr>
              <w:tab/>
              <w:t>214</w:t>
            </w:r>
          </w:hyperlink>
        </w:p>
        <w:p>
          <w:pPr>
            <w:pStyle w:val="TOC2"/>
            <w:numPr>
              <w:ilvl w:val="1"/>
              <w:numId w:val="17"/>
            </w:numPr>
            <w:tabs>
              <w:tab w:pos="1013" w:val="left" w:leader="none"/>
              <w:tab w:pos="9395" w:val="right" w:leader="dot"/>
            </w:tabs>
            <w:spacing w:line="240" w:lineRule="auto" w:before="3" w:after="0"/>
            <w:ind w:left="1012" w:right="0" w:hanging="852"/>
            <w:jc w:val="left"/>
            <w:rPr>
              <w:rFonts w:ascii="Times New Roman" w:hAnsi="Times New Roman" w:cs="Times New Roman" w:eastAsia="Times New Roman" w:hint="default"/>
            </w:rPr>
          </w:pPr>
          <w:hyperlink w:history="true" w:anchor="_bookmark48">
            <w:r>
              <w:rPr/>
              <w:t>Биланс прихода и расхода </w:t>
            </w:r>
            <w:r>
              <w:rPr>
                <w:rFonts w:ascii="Times New Roman" w:hAnsi="Times New Roman"/>
              </w:rPr>
              <w:t>- </w:t>
            </w:r>
            <w:r>
              <w:rPr/>
              <w:t>Образац</w:t>
            </w:r>
            <w:r>
              <w:rPr>
                <w:spacing w:val="-2"/>
              </w:rPr>
              <w:t> </w:t>
            </w:r>
            <w:r>
              <w:rPr/>
              <w:t>2</w:t>
            </w:r>
            <w:r>
              <w:rPr>
                <w:rFonts w:ascii="Times New Roman" w:hAnsi="Times New Roman"/>
              </w:rPr>
              <w:tab/>
              <w:t>224</w:t>
            </w:r>
          </w:hyperlink>
        </w:p>
        <w:p>
          <w:pPr>
            <w:pStyle w:val="TOC2"/>
            <w:numPr>
              <w:ilvl w:val="2"/>
              <w:numId w:val="17"/>
            </w:numPr>
            <w:tabs>
              <w:tab w:pos="1013" w:val="left" w:leader="none"/>
              <w:tab w:pos="9395" w:val="right" w:leader="dot"/>
            </w:tabs>
            <w:spacing w:line="240" w:lineRule="auto" w:before="31" w:after="0"/>
            <w:ind w:left="1012" w:right="0" w:hanging="852"/>
            <w:jc w:val="left"/>
            <w:rPr>
              <w:rFonts w:ascii="Times New Roman" w:hAnsi="Times New Roman" w:cs="Times New Roman" w:eastAsia="Times New Roman" w:hint="default"/>
            </w:rPr>
          </w:pPr>
          <w:hyperlink w:history="true" w:anchor="_bookmark49">
            <w:r>
              <w:rPr/>
              <w:t>Приходи</w:t>
            </w:r>
            <w:r>
              <w:rPr>
                <w:spacing w:val="-2"/>
              </w:rPr>
              <w:t> </w:t>
            </w:r>
            <w:r>
              <w:rPr/>
              <w:t>и примања</w:t>
            </w:r>
            <w:r>
              <w:rPr>
                <w:rFonts w:ascii="Times New Roman" w:hAnsi="Times New Roman"/>
              </w:rPr>
              <w:tab/>
              <w:t>225</w:t>
            </w:r>
          </w:hyperlink>
        </w:p>
        <w:p>
          <w:pPr>
            <w:pStyle w:val="TOC1"/>
            <w:spacing w:line="240" w:lineRule="auto"/>
            <w:ind w:right="173"/>
            <w:jc w:val="right"/>
          </w:pPr>
          <w:r>
            <w:rPr/>
            <w:t>28</w:t>
          </w:r>
        </w:p>
        <w:p>
          <w:pPr>
            <w:pStyle w:val="TOC2"/>
            <w:numPr>
              <w:ilvl w:val="2"/>
              <w:numId w:val="17"/>
            </w:numPr>
            <w:tabs>
              <w:tab w:pos="1013" w:val="left" w:leader="none"/>
              <w:tab w:pos="9395" w:val="right" w:leader="dot"/>
            </w:tabs>
            <w:spacing w:line="240" w:lineRule="auto" w:before="123" w:after="0"/>
            <w:ind w:left="1012" w:right="0" w:hanging="852"/>
            <w:jc w:val="left"/>
            <w:rPr>
              <w:rFonts w:ascii="Times New Roman" w:hAnsi="Times New Roman" w:cs="Times New Roman" w:eastAsia="Times New Roman" w:hint="default"/>
            </w:rPr>
          </w:pPr>
          <w:hyperlink w:history="true" w:anchor="_bookmark50">
            <w:r>
              <w:rPr/>
              <w:t>Расходи</w:t>
            </w:r>
            <w:r>
              <w:rPr>
                <w:spacing w:val="-2"/>
              </w:rPr>
              <w:t> </w:t>
            </w:r>
            <w:r>
              <w:rPr/>
              <w:t>и издаци</w:t>
            </w:r>
            <w:r>
              <w:rPr>
                <w:rFonts w:ascii="Times New Roman" w:hAnsi="Times New Roman"/>
              </w:rPr>
              <w:tab/>
              <w:t>225</w:t>
            </w:r>
          </w:hyperlink>
        </w:p>
        <w:p>
          <w:pPr>
            <w:pStyle w:val="TOC2"/>
            <w:numPr>
              <w:ilvl w:val="2"/>
              <w:numId w:val="17"/>
            </w:numPr>
            <w:tabs>
              <w:tab w:pos="1013" w:val="left" w:leader="none"/>
              <w:tab w:pos="9395" w:val="right" w:leader="dot"/>
            </w:tabs>
            <w:spacing w:line="240" w:lineRule="auto" w:before="0" w:after="0"/>
            <w:ind w:left="1012" w:right="0" w:hanging="852"/>
            <w:jc w:val="left"/>
            <w:rPr>
              <w:rFonts w:ascii="Times New Roman" w:hAnsi="Times New Roman" w:cs="Times New Roman" w:eastAsia="Times New Roman" w:hint="default"/>
            </w:rPr>
          </w:pPr>
          <w:hyperlink w:history="true" w:anchor="_bookmark51">
            <w:r>
              <w:rPr/>
              <w:t>Резултат</w:t>
            </w:r>
            <w:r>
              <w:rPr>
                <w:spacing w:val="1"/>
              </w:rPr>
              <w:t> </w:t>
            </w:r>
            <w:r>
              <w:rPr/>
              <w:t>пословања</w:t>
            </w:r>
            <w:r>
              <w:rPr>
                <w:rFonts w:ascii="Times New Roman" w:hAnsi="Times New Roman"/>
              </w:rPr>
              <w:tab/>
              <w:t>225</w:t>
            </w:r>
          </w:hyperlink>
        </w:p>
        <w:p>
          <w:pPr>
            <w:pStyle w:val="TOC2"/>
            <w:numPr>
              <w:ilvl w:val="1"/>
              <w:numId w:val="17"/>
            </w:numPr>
            <w:tabs>
              <w:tab w:pos="1013" w:val="left" w:leader="none"/>
              <w:tab w:pos="9395" w:val="right" w:leader="dot"/>
            </w:tabs>
            <w:spacing w:line="240" w:lineRule="auto" w:before="0" w:after="0"/>
            <w:ind w:left="1012" w:right="0" w:hanging="852"/>
            <w:jc w:val="left"/>
            <w:rPr>
              <w:rFonts w:ascii="Times New Roman" w:hAnsi="Times New Roman" w:cs="Times New Roman" w:eastAsia="Times New Roman" w:hint="default"/>
            </w:rPr>
          </w:pPr>
          <w:hyperlink w:history="true" w:anchor="_bookmark52">
            <w:r>
              <w:rPr/>
              <w:t>Биланс стања –</w:t>
            </w:r>
            <w:r>
              <w:rPr>
                <w:spacing w:val="2"/>
              </w:rPr>
              <w:t> </w:t>
            </w:r>
            <w:r>
              <w:rPr/>
              <w:t>Образац</w:t>
            </w:r>
            <w:r>
              <w:rPr>
                <w:spacing w:val="48"/>
              </w:rPr>
              <w:t> </w:t>
            </w:r>
            <w:r>
              <w:rPr/>
              <w:t>1</w:t>
            </w:r>
            <w:r>
              <w:rPr>
                <w:rFonts w:ascii="Times New Roman" w:hAnsi="Times New Roman" w:cs="Times New Roman" w:eastAsia="Times New Roman" w:hint="default"/>
              </w:rPr>
              <w:tab/>
              <w:t>226</w:t>
            </w:r>
          </w:hyperlink>
        </w:p>
        <w:p>
          <w:pPr>
            <w:pStyle w:val="TOC2"/>
            <w:numPr>
              <w:ilvl w:val="2"/>
              <w:numId w:val="17"/>
            </w:numPr>
            <w:tabs>
              <w:tab w:pos="1013" w:val="left" w:leader="none"/>
              <w:tab w:pos="9395" w:val="right" w:leader="dot"/>
            </w:tabs>
            <w:spacing w:line="240" w:lineRule="auto" w:before="34" w:after="0"/>
            <w:ind w:left="1012" w:right="0" w:hanging="852"/>
            <w:jc w:val="left"/>
            <w:rPr>
              <w:rFonts w:ascii="Times New Roman" w:hAnsi="Times New Roman" w:cs="Times New Roman" w:eastAsia="Times New Roman" w:hint="default"/>
            </w:rPr>
          </w:pPr>
          <w:hyperlink w:history="true" w:anchor="_bookmark53">
            <w:r>
              <w:rPr/>
              <w:t>Попис имовине</w:t>
            </w:r>
            <w:r>
              <w:rPr>
                <w:spacing w:val="2"/>
              </w:rPr>
              <w:t> </w:t>
            </w:r>
            <w:r>
              <w:rPr/>
              <w:t>и</w:t>
            </w:r>
            <w:r>
              <w:rPr>
                <w:spacing w:val="-2"/>
              </w:rPr>
              <w:t> </w:t>
            </w:r>
            <w:r>
              <w:rPr/>
              <w:t>обавеза</w:t>
            </w:r>
            <w:r>
              <w:rPr>
                <w:rFonts w:ascii="Times New Roman" w:hAnsi="Times New Roman"/>
              </w:rPr>
              <w:tab/>
              <w:t>228</w:t>
            </w:r>
          </w:hyperlink>
        </w:p>
        <w:p>
          <w:pPr>
            <w:pStyle w:val="TOC2"/>
            <w:numPr>
              <w:ilvl w:val="2"/>
              <w:numId w:val="17"/>
            </w:numPr>
            <w:tabs>
              <w:tab w:pos="1013" w:val="left" w:leader="none"/>
              <w:tab w:pos="9395" w:val="right" w:leader="dot"/>
            </w:tabs>
            <w:spacing w:line="229" w:lineRule="exact" w:before="0" w:after="0"/>
            <w:ind w:left="1012" w:right="0" w:hanging="852"/>
            <w:jc w:val="left"/>
            <w:rPr>
              <w:rFonts w:ascii="Times New Roman" w:hAnsi="Times New Roman" w:cs="Times New Roman" w:eastAsia="Times New Roman" w:hint="default"/>
            </w:rPr>
          </w:pPr>
          <w:hyperlink w:history="true" w:anchor="_bookmark54">
            <w:r>
              <w:rPr/>
              <w:t>Актива</w:t>
            </w:r>
            <w:r>
              <w:rPr>
                <w:rFonts w:ascii="Times New Roman" w:hAnsi="Times New Roman"/>
              </w:rPr>
              <w:tab/>
              <w:t>241</w:t>
            </w:r>
          </w:hyperlink>
        </w:p>
        <w:p>
          <w:pPr>
            <w:pStyle w:val="TOC2"/>
            <w:numPr>
              <w:ilvl w:val="2"/>
              <w:numId w:val="17"/>
            </w:numPr>
            <w:tabs>
              <w:tab w:pos="1013" w:val="left" w:leader="none"/>
              <w:tab w:pos="9395" w:val="right" w:leader="dot"/>
            </w:tabs>
            <w:spacing w:line="229" w:lineRule="exact" w:before="0" w:after="0"/>
            <w:ind w:left="1012" w:right="0" w:hanging="852"/>
            <w:jc w:val="left"/>
            <w:rPr>
              <w:rFonts w:ascii="Times New Roman" w:hAnsi="Times New Roman" w:cs="Times New Roman" w:eastAsia="Times New Roman" w:hint="default"/>
            </w:rPr>
          </w:pPr>
          <w:hyperlink w:history="true" w:anchor="_bookmark55">
            <w:r>
              <w:rPr/>
              <w:t>Пасива</w:t>
            </w:r>
            <w:r>
              <w:rPr>
                <w:rFonts w:ascii="Times New Roman" w:hAnsi="Times New Roman"/>
              </w:rPr>
              <w:tab/>
              <w:t>300</w:t>
            </w:r>
          </w:hyperlink>
        </w:p>
        <w:p>
          <w:pPr>
            <w:pStyle w:val="TOC2"/>
            <w:numPr>
              <w:ilvl w:val="1"/>
              <w:numId w:val="17"/>
            </w:numPr>
            <w:tabs>
              <w:tab w:pos="1013" w:val="left" w:leader="none"/>
              <w:tab w:pos="9395" w:val="right" w:leader="dot"/>
            </w:tabs>
            <w:spacing w:line="240" w:lineRule="auto" w:before="3" w:after="0"/>
            <w:ind w:left="1012" w:right="0" w:hanging="852"/>
            <w:jc w:val="left"/>
            <w:rPr>
              <w:rFonts w:ascii="Times New Roman" w:hAnsi="Times New Roman" w:cs="Times New Roman" w:eastAsia="Times New Roman" w:hint="default"/>
            </w:rPr>
          </w:pPr>
          <w:hyperlink w:history="true" w:anchor="_bookmark56">
            <w:r>
              <w:rPr/>
              <w:t>Остали извештаји</w:t>
            </w:r>
            <w:r>
              <w:rPr>
                <w:spacing w:val="-3"/>
              </w:rPr>
              <w:t> </w:t>
            </w:r>
            <w:r>
              <w:rPr/>
              <w:t>завршног</w:t>
            </w:r>
            <w:r>
              <w:rPr>
                <w:spacing w:val="1"/>
              </w:rPr>
              <w:t> </w:t>
            </w:r>
            <w:r>
              <w:rPr/>
              <w:t>рачуна</w:t>
            </w:r>
            <w:r>
              <w:rPr>
                <w:rFonts w:ascii="Times New Roman" w:hAnsi="Times New Roman"/>
              </w:rPr>
              <w:tab/>
              <w:t>348</w:t>
            </w:r>
          </w:hyperlink>
        </w:p>
        <w:p>
          <w:pPr>
            <w:pStyle w:val="TOC2"/>
            <w:numPr>
              <w:ilvl w:val="1"/>
              <w:numId w:val="17"/>
            </w:numPr>
            <w:tabs>
              <w:tab w:pos="1013" w:val="left" w:leader="none"/>
              <w:tab w:pos="9395" w:val="right" w:leader="dot"/>
            </w:tabs>
            <w:spacing w:line="240" w:lineRule="auto" w:before="34" w:after="0"/>
            <w:ind w:left="1012" w:right="0" w:hanging="852"/>
            <w:jc w:val="left"/>
            <w:rPr>
              <w:rFonts w:ascii="Times New Roman" w:hAnsi="Times New Roman" w:cs="Times New Roman" w:eastAsia="Times New Roman" w:hint="default"/>
            </w:rPr>
          </w:pPr>
          <w:hyperlink w:history="true" w:anchor="_bookmark57">
            <w:r>
              <w:rPr/>
              <w:t>Потенцијалне</w:t>
            </w:r>
            <w:r>
              <w:rPr>
                <w:spacing w:val="-1"/>
              </w:rPr>
              <w:t> </w:t>
            </w:r>
            <w:r>
              <w:rPr/>
              <w:t>обавезе</w:t>
            </w:r>
            <w:r>
              <w:rPr>
                <w:rFonts w:ascii="Times New Roman" w:hAnsi="Times New Roman"/>
              </w:rPr>
              <w:tab/>
              <w:t>363</w:t>
            </w:r>
          </w:hyperlink>
        </w:p>
      </w:sdtContent>
    </w:sdt>
    <w:p>
      <w:pPr>
        <w:spacing w:after="0" w:line="240" w:lineRule="auto"/>
        <w:jc w:val="left"/>
        <w:rPr>
          <w:rFonts w:ascii="Times New Roman" w:hAnsi="Times New Roman" w:cs="Times New Roman" w:eastAsia="Times New Roman" w:hint="default"/>
        </w:rPr>
        <w:sectPr>
          <w:type w:val="continuous"/>
          <w:pgSz w:w="12240" w:h="15840"/>
          <w:pgMar w:top="1392" w:bottom="736" w:left="1400" w:right="1260"/>
        </w:sectPr>
      </w:pPr>
    </w:p>
    <w:p>
      <w:pPr>
        <w:spacing w:after="0" w:line="14" w:lineRule="auto"/>
        <w:rPr>
          <w:sz w:val="20"/>
          <w:szCs w:val="20"/>
        </w:rPr>
        <w:sectPr>
          <w:footerReference w:type="default" r:id="rId20"/>
          <w:type w:val="continuous"/>
          <w:pgSz w:w="12240" w:h="15840"/>
          <w:pgMar w:footer="1274" w:top="1280" w:bottom="1460" w:left="1400" w:right="1260"/>
          <w:pgNumType w:start="2"/>
        </w:sectPr>
      </w:pPr>
    </w:p>
    <w:p>
      <w:pPr>
        <w:spacing w:line="240" w:lineRule="auto" w:before="0"/>
        <w:rPr>
          <w:rFonts w:ascii="Times New Roman" w:hAnsi="Times New Roman" w:cs="Times New Roman" w:eastAsia="Times New Roman" w:hint="default"/>
          <w:sz w:val="35"/>
          <w:szCs w:val="35"/>
        </w:rPr>
      </w:pPr>
    </w:p>
    <w:p>
      <w:pPr>
        <w:pStyle w:val="Heading1"/>
        <w:spacing w:line="240" w:lineRule="auto" w:before="0"/>
        <w:ind w:left="160" w:right="0"/>
        <w:jc w:val="both"/>
        <w:rPr>
          <w:b w:val="0"/>
          <w:bCs w:val="0"/>
        </w:rPr>
      </w:pPr>
      <w:r>
        <w:rPr/>
        <w:t>НАПОМЕНЕ УЗ ИЗВЕШТАЈ О</w:t>
      </w:r>
      <w:r>
        <w:rPr>
          <w:spacing w:val="-8"/>
        </w:rPr>
        <w:t> </w:t>
      </w:r>
      <w:r>
        <w:rPr/>
        <w:t>РЕВИЗИЈИ</w:t>
      </w:r>
      <w:r>
        <w:rPr>
          <w:b w:val="0"/>
        </w:rPr>
      </w:r>
    </w:p>
    <w:p>
      <w:pPr>
        <w:pStyle w:val="Heading1"/>
        <w:spacing w:line="274" w:lineRule="exact" w:before="120"/>
        <w:ind w:left="160" w:right="0"/>
        <w:jc w:val="both"/>
        <w:rPr>
          <w:b w:val="0"/>
          <w:bCs w:val="0"/>
        </w:rPr>
      </w:pPr>
      <w:bookmarkStart w:name="_bookmark0" w:id="1"/>
      <w:bookmarkEnd w:id="1"/>
      <w:r>
        <w:rPr>
          <w:b w:val="0"/>
        </w:rPr>
      </w:r>
      <w:r>
        <w:rPr>
          <w:rFonts w:ascii="Times New Roman" w:hAnsi="Times New Roman"/>
        </w:rPr>
        <w:t>1.      </w:t>
      </w:r>
      <w:r>
        <w:rPr/>
        <w:t>Основни подаци о субјекту</w:t>
      </w:r>
      <w:r>
        <w:rPr>
          <w:spacing w:val="17"/>
        </w:rPr>
        <w:t> </w:t>
      </w:r>
      <w:r>
        <w:rPr/>
        <w:t>ревизије</w:t>
      </w:r>
      <w:r>
        <w:rPr>
          <w:b w:val="0"/>
        </w:rPr>
      </w:r>
    </w:p>
    <w:p>
      <w:pPr>
        <w:pStyle w:val="BodyText"/>
        <w:spacing w:line="276" w:lineRule="exact" w:before="1"/>
        <w:ind w:right="174" w:firstLine="566"/>
        <w:jc w:val="both"/>
      </w:pPr>
      <w:r>
        <w:rPr/>
        <w:t>Град Ниш је јединица локалне самоуправе у којој грађани остварују право на локалну самоуправу, у складу са Уставом, законом и статутом. Град Ниш је један од најстаријих градова на Балкану. Ниш се налази у нишкој котлини </w:t>
      </w:r>
      <w:r>
        <w:rPr>
          <w:spacing w:val="-4"/>
        </w:rPr>
        <w:t>уз </w:t>
      </w:r>
      <w:r>
        <w:rPr/>
        <w:t>ушће Нишаве у </w:t>
      </w:r>
      <w:r>
        <w:rPr/>
        <w:t>Јужну Мораву. Ужи центар града је на 194м надморске висине (код споменика у центру). Највиша тачка на територији града је Соколов камен, врх на Сувој планини (1.523м надморске висине), а најнижа низводно од ушћа Нишаве у Мораву код места Трупале (173м</w:t>
      </w:r>
      <w:r>
        <w:rPr>
          <w:spacing w:val="43"/>
        </w:rPr>
        <w:t> </w:t>
      </w:r>
      <w:r>
        <w:rPr/>
        <w:t>надморске</w:t>
      </w:r>
      <w:r>
        <w:rPr>
          <w:spacing w:val="46"/>
        </w:rPr>
        <w:t> </w:t>
      </w:r>
      <w:r>
        <w:rPr/>
        <w:t>висине).</w:t>
      </w:r>
      <w:r>
        <w:rPr>
          <w:spacing w:val="44"/>
        </w:rPr>
        <w:t> </w:t>
      </w:r>
      <w:r>
        <w:rPr/>
        <w:t>Подручје</w:t>
      </w:r>
      <w:r>
        <w:rPr>
          <w:spacing w:val="44"/>
        </w:rPr>
        <w:t> </w:t>
      </w:r>
      <w:r>
        <w:rPr/>
        <w:t>града</w:t>
      </w:r>
      <w:r>
        <w:rPr>
          <w:spacing w:val="44"/>
        </w:rPr>
        <w:t> </w:t>
      </w:r>
      <w:r>
        <w:rPr/>
        <w:t>захвата</w:t>
      </w:r>
      <w:r>
        <w:rPr>
          <w:spacing w:val="44"/>
        </w:rPr>
        <w:t> </w:t>
      </w:r>
      <w:r>
        <w:rPr/>
        <w:t>површину</w:t>
      </w:r>
      <w:r>
        <w:rPr>
          <w:spacing w:val="38"/>
        </w:rPr>
        <w:t> </w:t>
      </w:r>
      <w:r>
        <w:rPr/>
        <w:t>од</w:t>
      </w:r>
      <w:r>
        <w:rPr>
          <w:spacing w:val="45"/>
        </w:rPr>
        <w:t> </w:t>
      </w:r>
      <w:r>
        <w:rPr/>
        <w:t>596,71км</w:t>
      </w:r>
      <w:r>
        <w:rPr>
          <w:rFonts w:ascii="Times New Roman" w:hAnsi="Times New Roman"/>
          <w:position w:val="11"/>
          <w:sz w:val="16"/>
        </w:rPr>
        <w:t>2</w:t>
      </w:r>
      <w:r>
        <w:rPr/>
        <w:t>,</w:t>
      </w:r>
      <w:r>
        <w:rPr>
          <w:spacing w:val="45"/>
        </w:rPr>
        <w:t> </w:t>
      </w:r>
      <w:r>
        <w:rPr/>
        <w:t>на</w:t>
      </w:r>
      <w:r>
        <w:rPr>
          <w:spacing w:val="44"/>
        </w:rPr>
        <w:t> </w:t>
      </w:r>
      <w:r>
        <w:rPr/>
        <w:t>коме</w:t>
      </w:r>
      <w:r>
        <w:rPr>
          <w:spacing w:val="44"/>
        </w:rPr>
        <w:t> </w:t>
      </w:r>
      <w:r>
        <w:rPr/>
        <w:t>се</w:t>
      </w:r>
    </w:p>
    <w:p>
      <w:pPr>
        <w:pStyle w:val="BodyText"/>
        <w:spacing w:line="240" w:lineRule="auto"/>
        <w:ind w:right="174"/>
        <w:jc w:val="both"/>
      </w:pPr>
      <w:r>
        <w:rPr/>
        <w:t>налази пет градских општина – Палилула, Пантелеј, Медијана, Црвени Крст и Нишка Бања са својих 68 приградских и сеоских насеља. Према попису становништва из 2011. године на територији града Ниша живи 260.237 становника и трећи је по величини у земљи, највећи град централне Србије и седиште Нишавског округа. Ниш се налази на раскрсници балканских и европских путева који повезују Европу са Блиским истоком и од давнина важи за капију Истока и Запада. О настанку Ниша постоји предање да га је саградио краљевић Ниша каменом с оближње хумске чуке. Има доказа да је Ниш  насељен већ у праисторијско доба. Један војник из инжињеријске јединице ископао је 1878. године изнад тврђавског моста 153 мм дугу секиру</w:t>
      </w:r>
      <w:r>
        <w:rPr>
          <w:rFonts w:ascii="Times New Roman" w:hAnsi="Times New Roman" w:cs="Times New Roman" w:eastAsia="Times New Roman" w:hint="default"/>
        </w:rPr>
        <w:t>-</w:t>
      </w:r>
      <w:r>
        <w:rPr/>
        <w:t>чекић направљену од базалта кога има у околини Островице у клисури Нишаве. Друга секира</w:t>
      </w:r>
      <w:r>
        <w:rPr>
          <w:rFonts w:ascii="Times New Roman" w:hAnsi="Times New Roman" w:cs="Times New Roman" w:eastAsia="Times New Roman" w:hint="default"/>
        </w:rPr>
        <w:t>-</w:t>
      </w:r>
      <w:r>
        <w:rPr/>
        <w:t>чекић од 155 мм дуга, грубље израде, нађена је код старих гробова покрај Ниша, а једна кремена тестера код Врежине. Сви налази из перода од 4000 година пре н.е. могу се видети у Археолошком музеју у Нишу. Град је добио име од реке Нишаве која кроз њега протиче и коју су келтски прастановници звали Navissos. Сваки освајач је давао своје име граду. Римски Naissus, византијски Nysos, словенски Ниш, немачки Nissa. Празник града Ниша је 11. јануар, дан ослобођења од Турака. Слава града Ниша је 3. јун, дан светог цара Константина и царице</w:t>
      </w:r>
      <w:r>
        <w:rPr>
          <w:spacing w:val="-16"/>
        </w:rPr>
        <w:t> </w:t>
      </w:r>
      <w:r>
        <w:rPr/>
        <w:t>Јелене.</w:t>
      </w:r>
    </w:p>
    <w:p>
      <w:pPr>
        <w:pStyle w:val="BodyText"/>
        <w:spacing w:line="240" w:lineRule="auto"/>
        <w:ind w:right="175" w:firstLine="566"/>
        <w:jc w:val="both"/>
      </w:pPr>
      <w:r>
        <w:rPr/>
        <w:t>Ниш спада међу развијене градове Србије и индустријски је и туристички центар од националног значаја. Као саобраћајни чвор европских путних и железничких праваца, са аеродромом, лако је доступан из свих праваца. Као савремени универзитетски град истовремено је природни, друштвени, привредни, образовни, здравствени, културни и спортски центар југоисточне Србије. Ниш је један од шест функционалних макрорегионалних центара Србије. Осим општина које припадају Нишавском округу (Алексинац, Гаџин Хан, Дољевац, Мерошина, Ражањ и Сврљиг), Нишу гравитирају и читава јужна (Топлички, Јабланички и Пчињски округ) и источна Србија (Зајечарски, Борски, Пиротски округ), тј. регион у коме живи око милион</w:t>
      </w:r>
      <w:r>
        <w:rPr>
          <w:spacing w:val="-23"/>
        </w:rPr>
        <w:t> </w:t>
      </w:r>
      <w:r>
        <w:rPr/>
        <w:t>становника.</w:t>
      </w:r>
    </w:p>
    <w:p>
      <w:pPr>
        <w:pStyle w:val="BodyText"/>
        <w:tabs>
          <w:tab w:pos="1530" w:val="left" w:leader="none"/>
          <w:tab w:pos="6166" w:val="left" w:leader="none"/>
        </w:tabs>
        <w:spacing w:line="240" w:lineRule="auto"/>
        <w:ind w:left="726" w:right="141"/>
        <w:jc w:val="left"/>
      </w:pPr>
      <w:r>
        <w:rPr/>
        <w:t>Град</w:t>
        <w:tab/>
        <w:t>је   оснивач   следећих  </w:t>
      </w:r>
      <w:r>
        <w:rPr>
          <w:spacing w:val="26"/>
        </w:rPr>
        <w:t> </w:t>
      </w:r>
      <w:r>
        <w:rPr/>
        <w:t>јавних  </w:t>
      </w:r>
      <w:r>
        <w:rPr>
          <w:spacing w:val="11"/>
        </w:rPr>
        <w:t> </w:t>
      </w:r>
      <w:r>
        <w:rPr/>
        <w:t>предузећа:</w:t>
        <w:tab/>
        <w:t>ЈКП   „Гр</w:t>
      </w:r>
      <w:hyperlink r:id="rId21">
        <w:r>
          <w:rPr/>
          <w:t>адска   топлана”</w:t>
        </w:r>
      </w:hyperlink>
      <w:r>
        <w:rPr>
          <w:rFonts w:ascii="Times New Roman" w:hAnsi="Times New Roman" w:cs="Times New Roman" w:eastAsia="Times New Roman" w:hint="default"/>
        </w:rPr>
        <w:t>,</w:t>
      </w:r>
      <w:r>
        <w:rPr>
          <w:rFonts w:ascii="Times New Roman" w:hAnsi="Times New Roman" w:cs="Times New Roman" w:eastAsia="Times New Roman" w:hint="default"/>
          <w:spacing w:val="52"/>
        </w:rPr>
        <w:t> </w:t>
      </w:r>
      <w:hyperlink r:id="rId22">
        <w:r>
          <w:rPr/>
          <w:t>ЈКП</w:t>
        </w:r>
      </w:hyperlink>
    </w:p>
    <w:p>
      <w:pPr>
        <w:pStyle w:val="BodyText"/>
        <w:spacing w:line="240" w:lineRule="auto"/>
        <w:ind w:right="171"/>
        <w:jc w:val="both"/>
      </w:pPr>
      <w:hyperlink r:id="rId22">
        <w:r>
          <w:rPr/>
          <w:t>„Медиана”</w:t>
        </w:r>
      </w:hyperlink>
      <w:r>
        <w:rPr>
          <w:rFonts w:ascii="Times New Roman" w:hAnsi="Times New Roman" w:cs="Times New Roman" w:eastAsia="Times New Roman" w:hint="default"/>
        </w:rPr>
        <w:t>, </w:t>
      </w:r>
      <w:hyperlink r:id="rId23">
        <w:r>
          <w:rPr/>
          <w:t>ЈКП „Горица”</w:t>
        </w:r>
        <w:r>
          <w:rPr>
            <w:rFonts w:ascii="Times New Roman" w:hAnsi="Times New Roman" w:cs="Times New Roman" w:eastAsia="Times New Roman" w:hint="default"/>
          </w:rPr>
          <w:t>,</w:t>
        </w:r>
      </w:hyperlink>
      <w:r>
        <w:rPr>
          <w:rFonts w:ascii="Times New Roman" w:hAnsi="Times New Roman" w:cs="Times New Roman" w:eastAsia="Times New Roman" w:hint="default"/>
        </w:rPr>
        <w:t> </w:t>
      </w:r>
      <w:hyperlink r:id="rId24">
        <w:r>
          <w:rPr/>
          <w:t>ЈКП за водовод и канализацију „</w:t>
        </w:r>
        <w:r>
          <w:rPr>
            <w:rFonts w:ascii="Times New Roman" w:hAnsi="Times New Roman" w:cs="Times New Roman" w:eastAsia="Times New Roman" w:hint="default"/>
          </w:rPr>
          <w:t>Naissus</w:t>
        </w:r>
        <w:r>
          <w:rPr/>
          <w:t>”</w:t>
        </w:r>
      </w:hyperlink>
      <w:r>
        <w:rPr>
          <w:rFonts w:ascii="Times New Roman" w:hAnsi="Times New Roman" w:cs="Times New Roman" w:eastAsia="Times New Roman" w:hint="default"/>
        </w:rPr>
        <w:t>, </w:t>
      </w:r>
      <w:hyperlink r:id="rId25">
        <w:r>
          <w:rPr/>
          <w:t>ЈКП „Обједињена</w:t>
        </w:r>
      </w:hyperlink>
      <w:r>
        <w:rPr/>
        <w:t> </w:t>
      </w:r>
      <w:r>
        <w:rPr/>
      </w:r>
      <w:hyperlink r:id="rId25">
        <w:r>
          <w:rPr/>
          <w:t>наплата”</w:t>
        </w:r>
      </w:hyperlink>
      <w:r>
        <w:rPr>
          <w:rFonts w:ascii="Times New Roman" w:hAnsi="Times New Roman" w:cs="Times New Roman" w:eastAsia="Times New Roman" w:hint="default"/>
        </w:rPr>
        <w:t>, </w:t>
      </w:r>
      <w:hyperlink r:id="rId26">
        <w:r>
          <w:rPr/>
          <w:t>ЈКП „Паркинг сервис”</w:t>
        </w:r>
      </w:hyperlink>
      <w:r>
        <w:rPr>
          <w:rFonts w:ascii="Times New Roman" w:hAnsi="Times New Roman" w:cs="Times New Roman" w:eastAsia="Times New Roman" w:hint="default"/>
        </w:rPr>
        <w:t>, </w:t>
      </w:r>
      <w:hyperlink r:id="rId27">
        <w:r>
          <w:rPr/>
          <w:t>ЈКП „Дирекција за јавни превоз града Ниша”</w:t>
        </w:r>
      </w:hyperlink>
      <w:r>
        <w:rPr>
          <w:rFonts w:ascii="Times New Roman" w:hAnsi="Times New Roman" w:cs="Times New Roman" w:eastAsia="Times New Roman" w:hint="default"/>
        </w:rPr>
        <w:t>, </w:t>
      </w:r>
      <w:hyperlink r:id="rId28">
        <w:r>
          <w:rPr/>
          <w:t>ЈКП за</w:t>
        </w:r>
      </w:hyperlink>
      <w:r>
        <w:rPr/>
        <w:t> </w:t>
      </w:r>
      <w:r>
        <w:rPr/>
      </w:r>
      <w:hyperlink r:id="rId28">
        <w:r>
          <w:rPr/>
          <w:t>пијачне услуге „Тржница”</w:t>
        </w:r>
      </w:hyperlink>
      <w:r>
        <w:rPr>
          <w:rFonts w:ascii="Times New Roman" w:hAnsi="Times New Roman" w:cs="Times New Roman" w:eastAsia="Times New Roman" w:hint="default"/>
        </w:rPr>
        <w:t>, </w:t>
      </w:r>
      <w:hyperlink r:id="rId29">
        <w:r>
          <w:rPr/>
          <w:t>ЈП за аеродромске услуге „Аеродром Ниш”</w:t>
        </w:r>
      </w:hyperlink>
      <w:r>
        <w:rPr>
          <w:rFonts w:ascii="Times New Roman" w:hAnsi="Times New Roman" w:cs="Times New Roman" w:eastAsia="Times New Roman" w:hint="default"/>
        </w:rPr>
        <w:t>, </w:t>
      </w:r>
      <w:hyperlink r:id="rId30">
        <w:r>
          <w:rPr/>
          <w:t>ЈП „Нишка</w:t>
        </w:r>
      </w:hyperlink>
      <w:r>
        <w:rPr/>
        <w:t> </w:t>
      </w:r>
      <w:r>
        <w:rPr/>
      </w:r>
      <w:hyperlink r:id="rId30">
        <w:r>
          <w:rPr/>
          <w:t>телевизија”</w:t>
        </w:r>
      </w:hyperlink>
      <w:r>
        <w:rPr>
          <w:rFonts w:ascii="Times New Roman" w:hAnsi="Times New Roman" w:cs="Times New Roman" w:eastAsia="Times New Roman" w:hint="default"/>
        </w:rPr>
        <w:t>, </w:t>
      </w:r>
      <w:hyperlink r:id="rId31">
        <w:r>
          <w:rPr/>
          <w:t>ЈП за стамбене услуге „Нишстан”</w:t>
        </w:r>
      </w:hyperlink>
      <w:r>
        <w:rPr/>
        <w:t> и </w:t>
      </w:r>
      <w:hyperlink r:id="rId32">
        <w:r>
          <w:rPr/>
          <w:t>ЈП „Завод за урбанизам”</w:t>
        </w:r>
      </w:hyperlink>
      <w:r>
        <w:rPr>
          <w:rFonts w:ascii="Times New Roman" w:hAnsi="Times New Roman" w:cs="Times New Roman" w:eastAsia="Times New Roman" w:hint="default"/>
        </w:rPr>
        <w:t>, </w:t>
      </w:r>
      <w:r>
        <w:rPr/>
        <w:t>следећих друштава са ограниченом одговорношћу: Регионална развоја агенција, Карантин за смештај животиња у унутрашњем промету „Карантин“ доо Горња Топоница и установе: Дечје одмаралиште „Дивљана“</w:t>
      </w:r>
      <w:r>
        <w:rPr>
          <w:spacing w:val="-5"/>
        </w:rPr>
        <w:t> </w:t>
      </w:r>
      <w:r>
        <w:rPr/>
        <w:t>Ниш.</w:t>
      </w:r>
    </w:p>
    <w:p>
      <w:pPr>
        <w:pStyle w:val="BodyText"/>
        <w:spacing w:line="240" w:lineRule="auto"/>
        <w:ind w:right="182" w:firstLine="566"/>
        <w:jc w:val="both"/>
        <w:rPr>
          <w:rFonts w:ascii="Times New Roman" w:hAnsi="Times New Roman" w:cs="Times New Roman" w:eastAsia="Times New Roman" w:hint="default"/>
        </w:rPr>
      </w:pPr>
      <w:r>
        <w:rPr/>
        <w:t>Образовање је организовано преко 36 основних школа, 19 средњих школа и универзитета са 13</w:t>
      </w:r>
      <w:r>
        <w:rPr>
          <w:spacing w:val="-11"/>
        </w:rPr>
        <w:t> </w:t>
      </w:r>
      <w:r>
        <w:rPr/>
        <w:t>факултета</w:t>
      </w:r>
      <w:r>
        <w:rPr>
          <w:rFonts w:ascii="Times New Roman" w:hAnsi="Times New Roman"/>
        </w:rPr>
        <w:t>.</w:t>
      </w:r>
    </w:p>
    <w:p>
      <w:pPr>
        <w:spacing w:after="0" w:line="240" w:lineRule="auto"/>
        <w:jc w:val="both"/>
        <w:rPr>
          <w:rFonts w:ascii="Times New Roman" w:hAnsi="Times New Roman" w:cs="Times New Roman" w:eastAsia="Times New Roman" w:hint="default"/>
        </w:rPr>
        <w:sectPr>
          <w:pgSz w:w="12240" w:h="15840"/>
          <w:pgMar w:header="740" w:footer="1274" w:top="1280" w:bottom="1460" w:left="1400" w:right="1260"/>
        </w:sectPr>
      </w:pPr>
    </w:p>
    <w:p>
      <w:pPr>
        <w:pStyle w:val="BodyText"/>
        <w:spacing w:line="240" w:lineRule="auto" w:before="122"/>
        <w:ind w:right="178" w:firstLine="566"/>
        <w:jc w:val="both"/>
      </w:pPr>
      <w:r>
        <w:rPr/>
        <w:t>Скупштина града Ниша донела је Статут као највиши правни акт. Органи Града су: Скупштина Града, Градоначелник, Градско веће, градске управе и Градско јавно правобранилаштво.</w:t>
      </w:r>
    </w:p>
    <w:p>
      <w:pPr>
        <w:pStyle w:val="BodyText"/>
        <w:spacing w:line="240" w:lineRule="auto"/>
        <w:ind w:right="172" w:firstLine="566"/>
        <w:jc w:val="both"/>
      </w:pPr>
      <w:r>
        <w:rPr/>
        <w:t>Скупштина град</w:t>
      </w:r>
      <w:r>
        <w:rPr>
          <w:rFonts w:ascii="Times New Roman" w:hAnsi="Times New Roman"/>
        </w:rPr>
        <w:t>a </w:t>
      </w:r>
      <w:r>
        <w:rPr/>
        <w:t>је највиши орган Града који врши основне функције локалне власти, утврђене Уставом, законом и Статутом. Скупштина Града има 61 одборника</w:t>
      </w:r>
      <w:r>
        <w:rPr>
          <w:rFonts w:ascii="Times New Roman" w:hAnsi="Times New Roman"/>
        </w:rPr>
        <w:t>. </w:t>
      </w:r>
      <w:r>
        <w:rPr/>
        <w:t>За разматрање питања из надлежности Скупштине, Скупштина Града оснива се стална и повремена радна тела. Стална радна тела су Одбор за именовање, Одбор за мандатно</w:t>
      </w:r>
      <w:r>
        <w:rPr>
          <w:rFonts w:ascii="Times New Roman" w:hAnsi="Times New Roman"/>
        </w:rPr>
        <w:t>- </w:t>
      </w:r>
      <w:r>
        <w:rPr/>
        <w:t>имунитетска питања, Одбор за административна питања, Комисија за називе делова насељених места и називе улица, Комисија за родну равноправност и једнаке  могућности, Комисија за верска питања, Комисија за социјална питања, Комисија за праћење примене етичког кодекса, Савет за младе и Кориснички савет јавних служби. Скупштина Града именује Савет за развој града Ниша који има 15</w:t>
      </w:r>
      <w:r>
        <w:rPr>
          <w:spacing w:val="-20"/>
        </w:rPr>
        <w:t> </w:t>
      </w:r>
      <w:r>
        <w:rPr/>
        <w:t>чланова.</w:t>
      </w:r>
    </w:p>
    <w:p>
      <w:pPr>
        <w:pStyle w:val="BodyText"/>
        <w:spacing w:line="240" w:lineRule="auto"/>
        <w:ind w:right="175" w:firstLine="566"/>
        <w:jc w:val="both"/>
      </w:pPr>
      <w:r>
        <w:rPr/>
        <w:t>Извршни органи Града су Градоначелник и Градско веће. Градоначелник има заменика</w:t>
      </w:r>
      <w:r>
        <w:rPr>
          <w:rFonts w:ascii="Times New Roman" w:hAnsi="Times New Roman" w:cs="Times New Roman" w:eastAsia="Times New Roman" w:hint="default"/>
        </w:rPr>
        <w:t>. </w:t>
      </w:r>
      <w:r>
        <w:rPr/>
        <w:t>Градоначелник и заменик Градоначелник су лица на сталном раду у Граду. Градско веће чине Градоначелник, заменик Градоначелника и девет чланова</w:t>
      </w:r>
      <w:r>
        <w:rPr>
          <w:rFonts w:ascii="Times New Roman" w:hAnsi="Times New Roman" w:cs="Times New Roman" w:eastAsia="Times New Roman" w:hint="default"/>
        </w:rPr>
        <w:t>. </w:t>
      </w:r>
      <w:r>
        <w:rPr/>
        <w:t>Градско веће образује Привредно – економски савет и Савет за људска и мањинска</w:t>
      </w:r>
      <w:r>
        <w:rPr>
          <w:spacing w:val="-23"/>
        </w:rPr>
        <w:t> </w:t>
      </w:r>
      <w:r>
        <w:rPr/>
        <w:t>права.</w:t>
      </w:r>
    </w:p>
    <w:p>
      <w:pPr>
        <w:pStyle w:val="BodyText"/>
        <w:spacing w:line="240" w:lineRule="auto"/>
        <w:ind w:right="176" w:firstLine="566"/>
        <w:jc w:val="both"/>
      </w:pPr>
      <w:r>
        <w:rPr/>
        <w:t>У граду је образовано више градских управа за поједине области. Акт о организацији градских управа доноси Скупштина града на предлог Градског већа. У оквиру управе, за вршење сродних послова могу се образовати унутрашње  организационе јединице. Правилник о унутрашњем уређењу и систематизацији поједине управе доноси начелник те управе, </w:t>
      </w:r>
      <w:r>
        <w:rPr>
          <w:spacing w:val="-3"/>
        </w:rPr>
        <w:t>уз </w:t>
      </w:r>
      <w:r>
        <w:rPr/>
        <w:t>сагласност Градског</w:t>
      </w:r>
      <w:r>
        <w:rPr>
          <w:spacing w:val="-13"/>
        </w:rPr>
        <w:t> </w:t>
      </w:r>
      <w:r>
        <w:rPr/>
        <w:t>већа.</w:t>
      </w:r>
    </w:p>
    <w:p>
      <w:pPr>
        <w:pStyle w:val="BodyText"/>
        <w:spacing w:line="240" w:lineRule="auto"/>
        <w:ind w:right="178" w:firstLine="566"/>
        <w:jc w:val="both"/>
      </w:pPr>
      <w:r>
        <w:rPr/>
        <w:t>Послове правне заштите имовинских права и интереса града Ниша, као и градских општина, по њиховом овлашћењу, врши Градско јавно</w:t>
      </w:r>
      <w:r>
        <w:rPr>
          <w:spacing w:val="-20"/>
        </w:rPr>
        <w:t> </w:t>
      </w:r>
      <w:r>
        <w:rPr/>
        <w:t>правобранилаштво.</w:t>
      </w:r>
    </w:p>
    <w:p>
      <w:pPr>
        <w:pStyle w:val="BodyText"/>
        <w:spacing w:line="240" w:lineRule="auto"/>
        <w:ind w:right="180" w:firstLine="566"/>
        <w:jc w:val="both"/>
      </w:pPr>
      <w:r>
        <w:rPr/>
        <w:t>У Граду је установљен заштитиник грађана који штити индивидуална и колективна права и интересе грађана, тако што врши општу контролу рада градских управа, управа градских општина и јавних</w:t>
      </w:r>
      <w:r>
        <w:rPr>
          <w:spacing w:val="-17"/>
        </w:rPr>
        <w:t> </w:t>
      </w:r>
      <w:r>
        <w:rPr/>
        <w:t>служби.</w:t>
      </w:r>
    </w:p>
    <w:p>
      <w:pPr>
        <w:pStyle w:val="BodyText"/>
        <w:spacing w:line="240" w:lineRule="auto"/>
        <w:ind w:left="726" w:right="141"/>
        <w:jc w:val="left"/>
      </w:pPr>
      <w:r>
        <w:rPr/>
        <w:t>Директни корисници средстава буџета града Ниша</w:t>
      </w:r>
      <w:r>
        <w:rPr>
          <w:spacing w:val="-25"/>
        </w:rPr>
        <w:t> </w:t>
      </w:r>
      <w:r>
        <w:rPr/>
        <w:t>су:</w:t>
      </w:r>
    </w:p>
    <w:p>
      <w:pPr>
        <w:pStyle w:val="ListParagraph"/>
        <w:numPr>
          <w:ilvl w:val="0"/>
          <w:numId w:val="18"/>
        </w:numPr>
        <w:tabs>
          <w:tab w:pos="401" w:val="left" w:leader="none"/>
        </w:tabs>
        <w:spacing w:line="240" w:lineRule="auto" w:before="0" w:after="0"/>
        <w:ind w:left="400" w:right="0" w:hanging="240"/>
        <w:jc w:val="left"/>
        <w:rPr>
          <w:rFonts w:ascii="Times New Roman" w:hAnsi="Times New Roman" w:cs="Times New Roman" w:eastAsia="Times New Roman" w:hint="default"/>
          <w:sz w:val="24"/>
          <w:szCs w:val="24"/>
        </w:rPr>
      </w:pPr>
      <w:r>
        <w:rPr>
          <w:rFonts w:ascii="Times New Roman" w:hAnsi="Times New Roman"/>
          <w:sz w:val="24"/>
        </w:rPr>
        <w:t>Скупштина</w:t>
      </w:r>
      <w:r>
        <w:rPr>
          <w:rFonts w:ascii="Times New Roman" w:hAnsi="Times New Roman"/>
          <w:spacing w:val="-7"/>
          <w:sz w:val="24"/>
        </w:rPr>
        <w:t> </w:t>
      </w:r>
      <w:r>
        <w:rPr>
          <w:rFonts w:ascii="Times New Roman" w:hAnsi="Times New Roman"/>
          <w:sz w:val="24"/>
        </w:rPr>
        <w:t>града</w:t>
      </w:r>
    </w:p>
    <w:p>
      <w:pPr>
        <w:pStyle w:val="ListParagraph"/>
        <w:numPr>
          <w:ilvl w:val="0"/>
          <w:numId w:val="18"/>
        </w:numPr>
        <w:tabs>
          <w:tab w:pos="401" w:val="left" w:leader="none"/>
        </w:tabs>
        <w:spacing w:line="240" w:lineRule="auto" w:before="0" w:after="0"/>
        <w:ind w:left="400" w:right="0" w:hanging="240"/>
        <w:jc w:val="left"/>
        <w:rPr>
          <w:rFonts w:ascii="Times New Roman" w:hAnsi="Times New Roman" w:cs="Times New Roman" w:eastAsia="Times New Roman" w:hint="default"/>
          <w:sz w:val="24"/>
          <w:szCs w:val="24"/>
        </w:rPr>
      </w:pPr>
      <w:r>
        <w:rPr>
          <w:rFonts w:ascii="Times New Roman" w:hAnsi="Times New Roman"/>
          <w:sz w:val="24"/>
        </w:rPr>
        <w:t>Градоначелник</w:t>
      </w:r>
    </w:p>
    <w:p>
      <w:pPr>
        <w:pStyle w:val="ListParagraph"/>
        <w:numPr>
          <w:ilvl w:val="0"/>
          <w:numId w:val="18"/>
        </w:numPr>
        <w:tabs>
          <w:tab w:pos="401" w:val="left" w:leader="none"/>
        </w:tabs>
        <w:spacing w:line="240" w:lineRule="auto" w:before="0" w:after="0"/>
        <w:ind w:left="400" w:right="0" w:hanging="240"/>
        <w:jc w:val="left"/>
        <w:rPr>
          <w:rFonts w:ascii="Times New Roman" w:hAnsi="Times New Roman" w:cs="Times New Roman" w:eastAsia="Times New Roman" w:hint="default"/>
          <w:sz w:val="24"/>
          <w:szCs w:val="24"/>
        </w:rPr>
      </w:pPr>
      <w:r>
        <w:rPr>
          <w:rFonts w:ascii="Times New Roman" w:hAnsi="Times New Roman"/>
          <w:sz w:val="24"/>
        </w:rPr>
        <w:t>Градско</w:t>
      </w:r>
      <w:r>
        <w:rPr>
          <w:rFonts w:ascii="Times New Roman" w:hAnsi="Times New Roman"/>
          <w:spacing w:val="-4"/>
          <w:sz w:val="24"/>
        </w:rPr>
        <w:t> </w:t>
      </w:r>
      <w:r>
        <w:rPr>
          <w:rFonts w:ascii="Times New Roman" w:hAnsi="Times New Roman"/>
          <w:sz w:val="24"/>
        </w:rPr>
        <w:t>веће</w:t>
      </w:r>
    </w:p>
    <w:p>
      <w:pPr>
        <w:pStyle w:val="ListParagraph"/>
        <w:numPr>
          <w:ilvl w:val="0"/>
          <w:numId w:val="18"/>
        </w:numPr>
        <w:tabs>
          <w:tab w:pos="401" w:val="left" w:leader="none"/>
        </w:tabs>
        <w:spacing w:line="240" w:lineRule="auto" w:before="0" w:after="0"/>
        <w:ind w:left="400" w:right="0" w:hanging="240"/>
        <w:jc w:val="left"/>
        <w:rPr>
          <w:rFonts w:ascii="Times New Roman" w:hAnsi="Times New Roman" w:cs="Times New Roman" w:eastAsia="Times New Roman" w:hint="default"/>
          <w:sz w:val="24"/>
          <w:szCs w:val="24"/>
        </w:rPr>
      </w:pPr>
      <w:r>
        <w:rPr>
          <w:rFonts w:ascii="Times New Roman" w:hAnsi="Times New Roman"/>
          <w:sz w:val="24"/>
        </w:rPr>
        <w:t>Заштитник</w:t>
      </w:r>
      <w:r>
        <w:rPr>
          <w:rFonts w:ascii="Times New Roman" w:hAnsi="Times New Roman"/>
          <w:spacing w:val="-7"/>
          <w:sz w:val="24"/>
        </w:rPr>
        <w:t> </w:t>
      </w:r>
      <w:r>
        <w:rPr>
          <w:rFonts w:ascii="Times New Roman" w:hAnsi="Times New Roman"/>
          <w:sz w:val="24"/>
        </w:rPr>
        <w:t>грађана</w:t>
      </w:r>
    </w:p>
    <w:p>
      <w:pPr>
        <w:pStyle w:val="ListParagraph"/>
        <w:numPr>
          <w:ilvl w:val="0"/>
          <w:numId w:val="18"/>
        </w:numPr>
        <w:tabs>
          <w:tab w:pos="401" w:val="left" w:leader="none"/>
        </w:tabs>
        <w:spacing w:line="240" w:lineRule="auto" w:before="0" w:after="0"/>
        <w:ind w:left="400" w:right="0" w:hanging="240"/>
        <w:jc w:val="left"/>
        <w:rPr>
          <w:rFonts w:ascii="Times New Roman" w:hAnsi="Times New Roman" w:cs="Times New Roman" w:eastAsia="Times New Roman" w:hint="default"/>
          <w:sz w:val="24"/>
          <w:szCs w:val="24"/>
        </w:rPr>
      </w:pPr>
      <w:r>
        <w:rPr>
          <w:rFonts w:ascii="Times New Roman" w:hAnsi="Times New Roman"/>
          <w:sz w:val="24"/>
        </w:rPr>
        <w:t>Правобранилаштво Града</w:t>
      </w:r>
      <w:r>
        <w:rPr>
          <w:rFonts w:ascii="Times New Roman" w:hAnsi="Times New Roman"/>
          <w:spacing w:val="-8"/>
          <w:sz w:val="24"/>
        </w:rPr>
        <w:t> </w:t>
      </w:r>
      <w:r>
        <w:rPr>
          <w:rFonts w:ascii="Times New Roman" w:hAnsi="Times New Roman"/>
          <w:sz w:val="24"/>
        </w:rPr>
        <w:t>Ниша</w:t>
      </w:r>
    </w:p>
    <w:p>
      <w:pPr>
        <w:pStyle w:val="ListParagraph"/>
        <w:numPr>
          <w:ilvl w:val="0"/>
          <w:numId w:val="18"/>
        </w:numPr>
        <w:tabs>
          <w:tab w:pos="401" w:val="left" w:leader="none"/>
        </w:tabs>
        <w:spacing w:line="240" w:lineRule="auto" w:before="0" w:after="0"/>
        <w:ind w:left="400" w:right="0" w:hanging="240"/>
        <w:jc w:val="left"/>
        <w:rPr>
          <w:rFonts w:ascii="Times New Roman" w:hAnsi="Times New Roman" w:cs="Times New Roman" w:eastAsia="Times New Roman" w:hint="default"/>
          <w:sz w:val="24"/>
          <w:szCs w:val="24"/>
        </w:rPr>
      </w:pPr>
      <w:r>
        <w:rPr>
          <w:rFonts w:ascii="Times New Roman" w:hAnsi="Times New Roman"/>
          <w:sz w:val="24"/>
        </w:rPr>
        <w:t>Управа за грађанска стања и опште</w:t>
      </w:r>
      <w:r>
        <w:rPr>
          <w:rFonts w:ascii="Times New Roman" w:hAnsi="Times New Roman"/>
          <w:spacing w:val="-12"/>
          <w:sz w:val="24"/>
        </w:rPr>
        <w:t> </w:t>
      </w:r>
      <w:r>
        <w:rPr>
          <w:rFonts w:ascii="Times New Roman" w:hAnsi="Times New Roman"/>
          <w:sz w:val="24"/>
        </w:rPr>
        <w:t>послове</w:t>
      </w:r>
    </w:p>
    <w:p>
      <w:pPr>
        <w:pStyle w:val="ListParagraph"/>
        <w:numPr>
          <w:ilvl w:val="0"/>
          <w:numId w:val="18"/>
        </w:numPr>
        <w:tabs>
          <w:tab w:pos="401" w:val="left" w:leader="none"/>
        </w:tabs>
        <w:spacing w:line="240" w:lineRule="auto" w:before="0" w:after="0"/>
        <w:ind w:left="400" w:right="0" w:hanging="240"/>
        <w:jc w:val="left"/>
        <w:rPr>
          <w:rFonts w:ascii="Times New Roman" w:hAnsi="Times New Roman" w:cs="Times New Roman" w:eastAsia="Times New Roman" w:hint="default"/>
          <w:sz w:val="24"/>
          <w:szCs w:val="24"/>
        </w:rPr>
      </w:pPr>
      <w:r>
        <w:rPr>
          <w:rFonts w:ascii="Times New Roman" w:hAnsi="Times New Roman"/>
          <w:sz w:val="24"/>
        </w:rPr>
        <w:t>Управа за финансије, изворне приходе локалне самоуправе и јавне</w:t>
      </w:r>
      <w:r>
        <w:rPr>
          <w:rFonts w:ascii="Times New Roman" w:hAnsi="Times New Roman"/>
          <w:spacing w:val="-26"/>
          <w:sz w:val="24"/>
        </w:rPr>
        <w:t> </w:t>
      </w:r>
      <w:r>
        <w:rPr>
          <w:rFonts w:ascii="Times New Roman" w:hAnsi="Times New Roman"/>
          <w:sz w:val="24"/>
        </w:rPr>
        <w:t>набавке</w:t>
      </w:r>
    </w:p>
    <w:p>
      <w:pPr>
        <w:pStyle w:val="ListParagraph"/>
        <w:numPr>
          <w:ilvl w:val="0"/>
          <w:numId w:val="18"/>
        </w:numPr>
        <w:tabs>
          <w:tab w:pos="401" w:val="left" w:leader="none"/>
        </w:tabs>
        <w:spacing w:line="275" w:lineRule="exact" w:before="0" w:after="0"/>
        <w:ind w:left="400" w:right="0" w:hanging="240"/>
        <w:jc w:val="left"/>
        <w:rPr>
          <w:rFonts w:ascii="Times New Roman" w:hAnsi="Times New Roman" w:cs="Times New Roman" w:eastAsia="Times New Roman" w:hint="default"/>
          <w:sz w:val="24"/>
          <w:szCs w:val="24"/>
        </w:rPr>
      </w:pPr>
      <w:r>
        <w:rPr>
          <w:rFonts w:ascii="Times New Roman" w:hAnsi="Times New Roman"/>
          <w:sz w:val="24"/>
        </w:rPr>
        <w:t>Управа за дечију, социјалну и примарну здравствену</w:t>
      </w:r>
      <w:r>
        <w:rPr>
          <w:rFonts w:ascii="Times New Roman" w:hAnsi="Times New Roman"/>
          <w:spacing w:val="-20"/>
          <w:sz w:val="24"/>
        </w:rPr>
        <w:t> </w:t>
      </w:r>
      <w:r>
        <w:rPr>
          <w:rFonts w:ascii="Times New Roman" w:hAnsi="Times New Roman"/>
          <w:sz w:val="24"/>
        </w:rPr>
        <w:t>заштиту</w:t>
      </w:r>
    </w:p>
    <w:p>
      <w:pPr>
        <w:pStyle w:val="ListParagraph"/>
        <w:numPr>
          <w:ilvl w:val="0"/>
          <w:numId w:val="18"/>
        </w:numPr>
        <w:tabs>
          <w:tab w:pos="401" w:val="left" w:leader="none"/>
        </w:tabs>
        <w:spacing w:line="275" w:lineRule="exact" w:before="0" w:after="0"/>
        <w:ind w:left="400" w:right="0" w:hanging="240"/>
        <w:jc w:val="left"/>
        <w:rPr>
          <w:rFonts w:ascii="Times New Roman" w:hAnsi="Times New Roman" w:cs="Times New Roman" w:eastAsia="Times New Roman" w:hint="default"/>
          <w:sz w:val="24"/>
          <w:szCs w:val="24"/>
        </w:rPr>
      </w:pPr>
      <w:r>
        <w:rPr>
          <w:rFonts w:ascii="Times New Roman" w:hAnsi="Times New Roman"/>
          <w:sz w:val="24"/>
        </w:rPr>
        <w:t>Управа за</w:t>
      </w:r>
      <w:r>
        <w:rPr>
          <w:rFonts w:ascii="Times New Roman" w:hAnsi="Times New Roman"/>
          <w:spacing w:val="-5"/>
          <w:sz w:val="24"/>
        </w:rPr>
        <w:t> </w:t>
      </w:r>
      <w:r>
        <w:rPr>
          <w:rFonts w:ascii="Times New Roman" w:hAnsi="Times New Roman"/>
          <w:sz w:val="24"/>
        </w:rPr>
        <w:t>образовање</w:t>
      </w:r>
    </w:p>
    <w:p>
      <w:pPr>
        <w:pStyle w:val="ListParagraph"/>
        <w:numPr>
          <w:ilvl w:val="0"/>
          <w:numId w:val="18"/>
        </w:numPr>
        <w:tabs>
          <w:tab w:pos="521" w:val="left" w:leader="none"/>
        </w:tabs>
        <w:spacing w:line="240" w:lineRule="auto" w:before="0" w:after="0"/>
        <w:ind w:left="520" w:right="0" w:hanging="360"/>
        <w:jc w:val="left"/>
        <w:rPr>
          <w:rFonts w:ascii="Times New Roman" w:hAnsi="Times New Roman" w:cs="Times New Roman" w:eastAsia="Times New Roman" w:hint="default"/>
          <w:sz w:val="24"/>
          <w:szCs w:val="24"/>
        </w:rPr>
      </w:pPr>
      <w:r>
        <w:rPr>
          <w:rFonts w:ascii="Times New Roman" w:hAnsi="Times New Roman"/>
          <w:sz w:val="24"/>
        </w:rPr>
        <w:t>Управа за</w:t>
      </w:r>
      <w:r>
        <w:rPr>
          <w:rFonts w:ascii="Times New Roman" w:hAnsi="Times New Roman"/>
          <w:spacing w:val="-3"/>
          <w:sz w:val="24"/>
        </w:rPr>
        <w:t> </w:t>
      </w:r>
      <w:r>
        <w:rPr>
          <w:rFonts w:ascii="Times New Roman" w:hAnsi="Times New Roman"/>
          <w:sz w:val="24"/>
        </w:rPr>
        <w:t>културу</w:t>
      </w:r>
    </w:p>
    <w:p>
      <w:pPr>
        <w:pStyle w:val="ListParagraph"/>
        <w:numPr>
          <w:ilvl w:val="0"/>
          <w:numId w:val="18"/>
        </w:numPr>
        <w:tabs>
          <w:tab w:pos="521" w:val="left" w:leader="none"/>
        </w:tabs>
        <w:spacing w:line="240" w:lineRule="auto" w:before="0" w:after="0"/>
        <w:ind w:left="520" w:right="0" w:hanging="360"/>
        <w:jc w:val="left"/>
        <w:rPr>
          <w:rFonts w:ascii="Times New Roman" w:hAnsi="Times New Roman" w:cs="Times New Roman" w:eastAsia="Times New Roman" w:hint="default"/>
          <w:sz w:val="24"/>
          <w:szCs w:val="24"/>
        </w:rPr>
      </w:pPr>
      <w:r>
        <w:rPr>
          <w:rFonts w:ascii="Times New Roman" w:hAnsi="Times New Roman"/>
          <w:sz w:val="24"/>
        </w:rPr>
        <w:t>Управа за омладину и</w:t>
      </w:r>
      <w:r>
        <w:rPr>
          <w:rFonts w:ascii="Times New Roman" w:hAnsi="Times New Roman"/>
          <w:spacing w:val="-3"/>
          <w:sz w:val="24"/>
        </w:rPr>
        <w:t> </w:t>
      </w:r>
      <w:r>
        <w:rPr>
          <w:rFonts w:ascii="Times New Roman" w:hAnsi="Times New Roman"/>
          <w:sz w:val="24"/>
        </w:rPr>
        <w:t>спорт</w:t>
      </w:r>
    </w:p>
    <w:p>
      <w:pPr>
        <w:pStyle w:val="ListParagraph"/>
        <w:numPr>
          <w:ilvl w:val="0"/>
          <w:numId w:val="18"/>
        </w:numPr>
        <w:tabs>
          <w:tab w:pos="521" w:val="left" w:leader="none"/>
        </w:tabs>
        <w:spacing w:line="240" w:lineRule="auto" w:before="0" w:after="0"/>
        <w:ind w:left="520" w:right="0" w:hanging="360"/>
        <w:jc w:val="left"/>
        <w:rPr>
          <w:rFonts w:ascii="Times New Roman" w:hAnsi="Times New Roman" w:cs="Times New Roman" w:eastAsia="Times New Roman" w:hint="default"/>
          <w:sz w:val="24"/>
          <w:szCs w:val="24"/>
        </w:rPr>
      </w:pPr>
      <w:r>
        <w:rPr>
          <w:rFonts w:ascii="Times New Roman" w:hAnsi="Times New Roman"/>
          <w:sz w:val="24"/>
        </w:rPr>
        <w:t>Управа за комуналне делатности, енергетику и</w:t>
      </w:r>
      <w:r>
        <w:rPr>
          <w:rFonts w:ascii="Times New Roman" w:hAnsi="Times New Roman"/>
          <w:spacing w:val="-21"/>
          <w:sz w:val="24"/>
        </w:rPr>
        <w:t> </w:t>
      </w:r>
      <w:r>
        <w:rPr>
          <w:rFonts w:ascii="Times New Roman" w:hAnsi="Times New Roman"/>
          <w:sz w:val="24"/>
        </w:rPr>
        <w:t>саобраћај</w:t>
      </w:r>
    </w:p>
    <w:p>
      <w:pPr>
        <w:pStyle w:val="ListParagraph"/>
        <w:numPr>
          <w:ilvl w:val="0"/>
          <w:numId w:val="18"/>
        </w:numPr>
        <w:tabs>
          <w:tab w:pos="521" w:val="left" w:leader="none"/>
        </w:tabs>
        <w:spacing w:line="240" w:lineRule="auto" w:before="0" w:after="0"/>
        <w:ind w:left="520" w:right="0" w:hanging="360"/>
        <w:jc w:val="left"/>
        <w:rPr>
          <w:rFonts w:ascii="Times New Roman" w:hAnsi="Times New Roman" w:cs="Times New Roman" w:eastAsia="Times New Roman" w:hint="default"/>
          <w:sz w:val="24"/>
          <w:szCs w:val="24"/>
        </w:rPr>
      </w:pPr>
      <w:r>
        <w:rPr>
          <w:rFonts w:ascii="Times New Roman" w:hAnsi="Times New Roman"/>
          <w:sz w:val="24"/>
        </w:rPr>
        <w:t>Управа за планирање и</w:t>
      </w:r>
      <w:r>
        <w:rPr>
          <w:rFonts w:ascii="Times New Roman" w:hAnsi="Times New Roman"/>
          <w:spacing w:val="-8"/>
          <w:sz w:val="24"/>
        </w:rPr>
        <w:t> </w:t>
      </w:r>
      <w:r>
        <w:rPr>
          <w:rFonts w:ascii="Times New Roman" w:hAnsi="Times New Roman"/>
          <w:sz w:val="24"/>
        </w:rPr>
        <w:t>изградњу</w:t>
      </w:r>
    </w:p>
    <w:p>
      <w:pPr>
        <w:pStyle w:val="ListParagraph"/>
        <w:numPr>
          <w:ilvl w:val="0"/>
          <w:numId w:val="18"/>
        </w:numPr>
        <w:tabs>
          <w:tab w:pos="521" w:val="left" w:leader="none"/>
        </w:tabs>
        <w:spacing w:line="240" w:lineRule="auto" w:before="0" w:after="0"/>
        <w:ind w:left="520" w:right="0" w:hanging="360"/>
        <w:jc w:val="left"/>
        <w:rPr>
          <w:rFonts w:ascii="Times New Roman" w:hAnsi="Times New Roman" w:cs="Times New Roman" w:eastAsia="Times New Roman" w:hint="default"/>
          <w:sz w:val="24"/>
          <w:szCs w:val="24"/>
        </w:rPr>
      </w:pPr>
      <w:r>
        <w:rPr>
          <w:rFonts w:ascii="Times New Roman" w:hAnsi="Times New Roman"/>
          <w:sz w:val="24"/>
        </w:rPr>
        <w:t>Управа за имовину и инспекцијске</w:t>
      </w:r>
      <w:r>
        <w:rPr>
          <w:rFonts w:ascii="Times New Roman" w:hAnsi="Times New Roman"/>
          <w:spacing w:val="-15"/>
          <w:sz w:val="24"/>
        </w:rPr>
        <w:t> </w:t>
      </w:r>
      <w:r>
        <w:rPr>
          <w:rFonts w:ascii="Times New Roman" w:hAnsi="Times New Roman"/>
          <w:sz w:val="24"/>
        </w:rPr>
        <w:t>послове</w:t>
      </w:r>
    </w:p>
    <w:p>
      <w:pPr>
        <w:pStyle w:val="ListParagraph"/>
        <w:numPr>
          <w:ilvl w:val="0"/>
          <w:numId w:val="18"/>
        </w:numPr>
        <w:tabs>
          <w:tab w:pos="521" w:val="left" w:leader="none"/>
        </w:tabs>
        <w:spacing w:line="240" w:lineRule="auto" w:before="0" w:after="0"/>
        <w:ind w:left="520" w:right="0" w:hanging="360"/>
        <w:jc w:val="left"/>
        <w:rPr>
          <w:rFonts w:ascii="Times New Roman" w:hAnsi="Times New Roman" w:cs="Times New Roman" w:eastAsia="Times New Roman" w:hint="default"/>
          <w:sz w:val="24"/>
          <w:szCs w:val="24"/>
        </w:rPr>
      </w:pPr>
      <w:r>
        <w:rPr>
          <w:rFonts w:ascii="Times New Roman" w:hAnsi="Times New Roman"/>
          <w:sz w:val="24"/>
        </w:rPr>
        <w:t>Управа за привреду, одрживи развој и заштиту животне</w:t>
      </w:r>
      <w:r>
        <w:rPr>
          <w:rFonts w:ascii="Times New Roman" w:hAnsi="Times New Roman"/>
          <w:spacing w:val="-20"/>
          <w:sz w:val="24"/>
        </w:rPr>
        <w:t> </w:t>
      </w:r>
      <w:r>
        <w:rPr>
          <w:rFonts w:ascii="Times New Roman" w:hAnsi="Times New Roman"/>
          <w:sz w:val="24"/>
        </w:rPr>
        <w:t>средине</w:t>
      </w:r>
    </w:p>
    <w:p>
      <w:pPr>
        <w:pStyle w:val="ListParagraph"/>
        <w:numPr>
          <w:ilvl w:val="0"/>
          <w:numId w:val="18"/>
        </w:numPr>
        <w:tabs>
          <w:tab w:pos="521" w:val="left" w:leader="none"/>
        </w:tabs>
        <w:spacing w:line="240" w:lineRule="auto" w:before="0" w:after="0"/>
        <w:ind w:left="520" w:right="0" w:hanging="360"/>
        <w:jc w:val="left"/>
        <w:rPr>
          <w:rFonts w:ascii="Times New Roman" w:hAnsi="Times New Roman" w:cs="Times New Roman" w:eastAsia="Times New Roman" w:hint="default"/>
          <w:sz w:val="24"/>
          <w:szCs w:val="24"/>
        </w:rPr>
      </w:pPr>
      <w:r>
        <w:rPr>
          <w:rFonts w:ascii="Times New Roman" w:hAnsi="Times New Roman"/>
          <w:sz w:val="24"/>
        </w:rPr>
        <w:t>Управа за пољопривреду и развој</w:t>
      </w:r>
      <w:r>
        <w:rPr>
          <w:rFonts w:ascii="Times New Roman" w:hAnsi="Times New Roman"/>
          <w:spacing w:val="-11"/>
          <w:sz w:val="24"/>
        </w:rPr>
        <w:t> </w:t>
      </w:r>
      <w:r>
        <w:rPr>
          <w:rFonts w:ascii="Times New Roman" w:hAnsi="Times New Roman"/>
          <w:sz w:val="24"/>
        </w:rPr>
        <w:t>села</w:t>
      </w:r>
    </w:p>
    <w:p>
      <w:pPr>
        <w:pStyle w:val="ListParagraph"/>
        <w:numPr>
          <w:ilvl w:val="0"/>
          <w:numId w:val="18"/>
        </w:numPr>
        <w:tabs>
          <w:tab w:pos="521" w:val="left" w:leader="none"/>
        </w:tabs>
        <w:spacing w:line="240" w:lineRule="auto" w:before="0" w:after="0"/>
        <w:ind w:left="520" w:right="0" w:hanging="36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Служба за одржавање и информатичко–комуникационе</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технологије</w:t>
      </w:r>
    </w:p>
    <w:p>
      <w:pPr>
        <w:pStyle w:val="ListParagraph"/>
        <w:numPr>
          <w:ilvl w:val="0"/>
          <w:numId w:val="18"/>
        </w:numPr>
        <w:tabs>
          <w:tab w:pos="521" w:val="left" w:leader="none"/>
        </w:tabs>
        <w:spacing w:line="240" w:lineRule="auto" w:before="0" w:after="0"/>
        <w:ind w:left="520" w:right="0" w:hanging="360"/>
        <w:jc w:val="left"/>
        <w:rPr>
          <w:rFonts w:ascii="Times New Roman" w:hAnsi="Times New Roman" w:cs="Times New Roman" w:eastAsia="Times New Roman" w:hint="default"/>
          <w:sz w:val="24"/>
          <w:szCs w:val="24"/>
        </w:rPr>
      </w:pPr>
      <w:r>
        <w:rPr>
          <w:rFonts w:ascii="Times New Roman" w:hAnsi="Times New Roman"/>
          <w:sz w:val="24"/>
        </w:rPr>
        <w:t>Служба за послове Скупштине</w:t>
      </w:r>
      <w:r>
        <w:rPr>
          <w:rFonts w:ascii="Times New Roman" w:hAnsi="Times New Roman"/>
          <w:spacing w:val="-13"/>
          <w:sz w:val="24"/>
        </w:rPr>
        <w:t> </w:t>
      </w:r>
      <w:r>
        <w:rPr>
          <w:rFonts w:ascii="Times New Roman" w:hAnsi="Times New Roman"/>
          <w:sz w:val="24"/>
        </w:rPr>
        <w:t>града</w:t>
      </w:r>
    </w:p>
    <w:p>
      <w:pPr>
        <w:pStyle w:val="ListParagraph"/>
        <w:numPr>
          <w:ilvl w:val="0"/>
          <w:numId w:val="18"/>
        </w:numPr>
        <w:tabs>
          <w:tab w:pos="521" w:val="left" w:leader="none"/>
        </w:tabs>
        <w:spacing w:line="240" w:lineRule="auto" w:before="0" w:after="0"/>
        <w:ind w:left="520" w:right="0" w:hanging="360"/>
        <w:jc w:val="left"/>
        <w:rPr>
          <w:rFonts w:ascii="Times New Roman" w:hAnsi="Times New Roman" w:cs="Times New Roman" w:eastAsia="Times New Roman" w:hint="default"/>
          <w:sz w:val="24"/>
          <w:szCs w:val="24"/>
        </w:rPr>
      </w:pPr>
      <w:r>
        <w:rPr>
          <w:rFonts w:ascii="Times New Roman" w:hAnsi="Times New Roman"/>
          <w:sz w:val="24"/>
        </w:rPr>
        <w:t>Служба за послове</w:t>
      </w:r>
      <w:r>
        <w:rPr>
          <w:rFonts w:ascii="Times New Roman" w:hAnsi="Times New Roman"/>
          <w:spacing w:val="-8"/>
          <w:sz w:val="24"/>
        </w:rPr>
        <w:t> </w:t>
      </w:r>
      <w:r>
        <w:rPr>
          <w:rFonts w:ascii="Times New Roman" w:hAnsi="Times New Roman"/>
          <w:sz w:val="24"/>
        </w:rPr>
        <w:t>Градоначелника</w:t>
      </w:r>
    </w:p>
    <w:p>
      <w:pPr>
        <w:spacing w:after="0" w:line="240" w:lineRule="auto"/>
        <w:jc w:val="left"/>
        <w:rPr>
          <w:rFonts w:ascii="Times New Roman" w:hAnsi="Times New Roman" w:cs="Times New Roman" w:eastAsia="Times New Roman" w:hint="default"/>
          <w:sz w:val="24"/>
          <w:szCs w:val="24"/>
        </w:rPr>
        <w:sectPr>
          <w:footerReference w:type="default" r:id="rId33"/>
          <w:pgSz w:w="12240" w:h="15840"/>
          <w:pgMar w:footer="1274" w:header="740" w:top="1280" w:bottom="1460" w:left="1400" w:right="1260"/>
          <w:pgNumType w:start="31"/>
        </w:sectPr>
      </w:pPr>
    </w:p>
    <w:p>
      <w:pPr>
        <w:spacing w:line="240" w:lineRule="auto" w:before="7"/>
        <w:rPr>
          <w:rFonts w:ascii="Times New Roman" w:hAnsi="Times New Roman" w:cs="Times New Roman" w:eastAsia="Times New Roman" w:hint="default"/>
          <w:sz w:val="28"/>
          <w:szCs w:val="28"/>
        </w:rPr>
      </w:pPr>
    </w:p>
    <w:p>
      <w:pPr>
        <w:pStyle w:val="ListParagraph"/>
        <w:numPr>
          <w:ilvl w:val="0"/>
          <w:numId w:val="18"/>
        </w:numPr>
        <w:tabs>
          <w:tab w:pos="521" w:val="left" w:leader="none"/>
        </w:tabs>
        <w:spacing w:line="240" w:lineRule="auto" w:before="69" w:after="0"/>
        <w:ind w:left="520" w:right="0" w:hanging="360"/>
        <w:jc w:val="both"/>
        <w:rPr>
          <w:rFonts w:ascii="Times New Roman" w:hAnsi="Times New Roman" w:cs="Times New Roman" w:eastAsia="Times New Roman" w:hint="default"/>
          <w:sz w:val="24"/>
          <w:szCs w:val="24"/>
        </w:rPr>
      </w:pPr>
      <w:r>
        <w:rPr>
          <w:rFonts w:ascii="Times New Roman" w:hAnsi="Times New Roman"/>
          <w:sz w:val="24"/>
        </w:rPr>
        <w:t>Служба за послове Градског</w:t>
      </w:r>
      <w:r>
        <w:rPr>
          <w:rFonts w:ascii="Times New Roman" w:hAnsi="Times New Roman"/>
          <w:spacing w:val="-9"/>
          <w:sz w:val="24"/>
        </w:rPr>
        <w:t> </w:t>
      </w:r>
      <w:r>
        <w:rPr>
          <w:rFonts w:ascii="Times New Roman" w:hAnsi="Times New Roman"/>
          <w:sz w:val="24"/>
        </w:rPr>
        <w:t>већа</w:t>
      </w:r>
      <w:r>
        <w:rPr>
          <w:rFonts w:ascii="Times New Roman" w:hAnsi="Times New Roman"/>
          <w:sz w:val="24"/>
        </w:rPr>
        <w:t>.</w:t>
      </w:r>
    </w:p>
    <w:p>
      <w:pPr>
        <w:pStyle w:val="BodyText"/>
        <w:spacing w:line="240" w:lineRule="auto"/>
        <w:ind w:left="726" w:right="141"/>
        <w:jc w:val="left"/>
      </w:pPr>
      <w:r>
        <w:rPr/>
        <w:t>Индиректни корисници буџета града Ниша</w:t>
      </w:r>
      <w:r>
        <w:rPr>
          <w:spacing w:val="-19"/>
        </w:rPr>
        <w:t> </w:t>
      </w:r>
      <w:r>
        <w:rPr/>
        <w:t>су:</w:t>
      </w:r>
    </w:p>
    <w:p>
      <w:pPr>
        <w:pStyle w:val="ListParagraph"/>
        <w:numPr>
          <w:ilvl w:val="0"/>
          <w:numId w:val="19"/>
        </w:numPr>
        <w:tabs>
          <w:tab w:pos="401" w:val="left" w:leader="none"/>
        </w:tabs>
        <w:spacing w:line="240" w:lineRule="auto" w:before="0" w:after="0"/>
        <w:ind w:left="160" w:right="928"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Центар за дневни боравак деце, омладине и одраслих лица ментално ометених у развоју</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„Мара“</w:t>
      </w:r>
    </w:p>
    <w:p>
      <w:pPr>
        <w:pStyle w:val="ListParagraph"/>
        <w:numPr>
          <w:ilvl w:val="0"/>
          <w:numId w:val="19"/>
        </w:numPr>
        <w:tabs>
          <w:tab w:pos="401" w:val="left" w:leader="none"/>
        </w:tabs>
        <w:spacing w:line="240" w:lineRule="auto" w:before="0" w:after="0"/>
        <w:ind w:left="400" w:right="0" w:hanging="24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Предшколска установа</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„Пчелица“</w:t>
      </w:r>
    </w:p>
    <w:p>
      <w:pPr>
        <w:pStyle w:val="ListParagraph"/>
        <w:numPr>
          <w:ilvl w:val="0"/>
          <w:numId w:val="19"/>
        </w:numPr>
        <w:tabs>
          <w:tab w:pos="401" w:val="left" w:leader="none"/>
        </w:tabs>
        <w:spacing w:line="240" w:lineRule="auto" w:before="0" w:after="0"/>
        <w:ind w:left="400" w:right="0" w:hanging="24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Установа „Дечији</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центар“</w:t>
      </w:r>
    </w:p>
    <w:p>
      <w:pPr>
        <w:pStyle w:val="ListParagraph"/>
        <w:numPr>
          <w:ilvl w:val="0"/>
          <w:numId w:val="19"/>
        </w:numPr>
        <w:tabs>
          <w:tab w:pos="401" w:val="left" w:leader="none"/>
        </w:tabs>
        <w:spacing w:line="240" w:lineRule="auto" w:before="0" w:after="0"/>
        <w:ind w:left="400" w:right="0" w:hanging="24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Установа „Народни</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музеј“</w:t>
      </w:r>
    </w:p>
    <w:p>
      <w:pPr>
        <w:pStyle w:val="ListParagraph"/>
        <w:numPr>
          <w:ilvl w:val="0"/>
          <w:numId w:val="19"/>
        </w:numPr>
        <w:tabs>
          <w:tab w:pos="401" w:val="left" w:leader="none"/>
        </w:tabs>
        <w:spacing w:line="240" w:lineRule="auto" w:before="0" w:after="0"/>
        <w:ind w:left="400" w:right="0" w:hanging="24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Установа „Народна библиотека“</w:t>
      </w:r>
    </w:p>
    <w:p>
      <w:pPr>
        <w:pStyle w:val="ListParagraph"/>
        <w:numPr>
          <w:ilvl w:val="0"/>
          <w:numId w:val="19"/>
        </w:numPr>
        <w:tabs>
          <w:tab w:pos="401" w:val="left" w:leader="none"/>
        </w:tabs>
        <w:spacing w:line="240" w:lineRule="auto" w:before="0" w:after="0"/>
        <w:ind w:left="400" w:right="0" w:hanging="24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Установа „Народно</w:t>
      </w:r>
      <w:r>
        <w:rPr>
          <w:rFonts w:ascii="Times New Roman" w:hAnsi="Times New Roman" w:cs="Times New Roman" w:eastAsia="Times New Roman" w:hint="default"/>
          <w:spacing w:val="-4"/>
          <w:sz w:val="24"/>
          <w:szCs w:val="24"/>
        </w:rPr>
        <w:t> </w:t>
      </w:r>
      <w:r>
        <w:rPr>
          <w:rFonts w:ascii="Times New Roman" w:hAnsi="Times New Roman" w:cs="Times New Roman" w:eastAsia="Times New Roman" w:hint="default"/>
          <w:sz w:val="24"/>
          <w:szCs w:val="24"/>
        </w:rPr>
        <w:t>позориште“</w:t>
      </w:r>
    </w:p>
    <w:p>
      <w:pPr>
        <w:pStyle w:val="ListParagraph"/>
        <w:numPr>
          <w:ilvl w:val="0"/>
          <w:numId w:val="19"/>
        </w:numPr>
        <w:tabs>
          <w:tab w:pos="401" w:val="left" w:leader="none"/>
        </w:tabs>
        <w:spacing w:line="240" w:lineRule="auto" w:before="0" w:after="0"/>
        <w:ind w:left="400" w:right="0" w:hanging="24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Установа „Позориште</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лутака“</w:t>
      </w:r>
    </w:p>
    <w:p>
      <w:pPr>
        <w:pStyle w:val="ListParagraph"/>
        <w:numPr>
          <w:ilvl w:val="0"/>
          <w:numId w:val="19"/>
        </w:numPr>
        <w:tabs>
          <w:tab w:pos="401" w:val="left" w:leader="none"/>
        </w:tabs>
        <w:spacing w:line="240" w:lineRule="auto" w:before="0" w:after="0"/>
        <w:ind w:left="400" w:right="0" w:hanging="24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Установа „Нишки симфонијски</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оркестар“</w:t>
      </w:r>
    </w:p>
    <w:p>
      <w:pPr>
        <w:pStyle w:val="ListParagraph"/>
        <w:numPr>
          <w:ilvl w:val="0"/>
          <w:numId w:val="19"/>
        </w:numPr>
        <w:tabs>
          <w:tab w:pos="401" w:val="left" w:leader="none"/>
        </w:tabs>
        <w:spacing w:line="240" w:lineRule="auto" w:before="0" w:after="0"/>
        <w:ind w:left="160" w:right="226"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Установа „Галерија савремене ликовне уметности“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Установа културе од</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националног </w:t>
      </w:r>
      <w:r>
        <w:rPr>
          <w:rFonts w:ascii="Times New Roman" w:hAnsi="Times New Roman" w:cs="Times New Roman" w:eastAsia="Times New Roman" w:hint="default"/>
          <w:sz w:val="24"/>
          <w:szCs w:val="24"/>
        </w:rPr>
        <w:t>значаја</w:t>
      </w:r>
    </w:p>
    <w:p>
      <w:pPr>
        <w:pStyle w:val="ListParagraph"/>
        <w:numPr>
          <w:ilvl w:val="0"/>
          <w:numId w:val="19"/>
        </w:numPr>
        <w:tabs>
          <w:tab w:pos="521" w:val="left" w:leader="none"/>
        </w:tabs>
        <w:spacing w:line="240" w:lineRule="auto" w:before="0" w:after="0"/>
        <w:ind w:left="520" w:right="0" w:hanging="36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Установа „Нишки културни</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центар“</w:t>
      </w:r>
    </w:p>
    <w:p>
      <w:pPr>
        <w:pStyle w:val="ListParagraph"/>
        <w:numPr>
          <w:ilvl w:val="0"/>
          <w:numId w:val="19"/>
        </w:numPr>
        <w:tabs>
          <w:tab w:pos="521" w:val="left" w:leader="none"/>
        </w:tabs>
        <w:spacing w:line="240" w:lineRule="auto" w:before="0" w:after="0"/>
        <w:ind w:left="520" w:right="0" w:hanging="36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Установа „Историјски</w:t>
      </w:r>
      <w:r>
        <w:rPr>
          <w:rFonts w:ascii="Times New Roman" w:hAnsi="Times New Roman" w:cs="Times New Roman" w:eastAsia="Times New Roman" w:hint="default"/>
          <w:spacing w:val="-2"/>
          <w:sz w:val="24"/>
          <w:szCs w:val="24"/>
        </w:rPr>
        <w:t> </w:t>
      </w:r>
      <w:r>
        <w:rPr>
          <w:rFonts w:ascii="Times New Roman" w:hAnsi="Times New Roman" w:cs="Times New Roman" w:eastAsia="Times New Roman" w:hint="default"/>
          <w:sz w:val="24"/>
          <w:szCs w:val="24"/>
        </w:rPr>
        <w:t>архив“</w:t>
      </w:r>
    </w:p>
    <w:p>
      <w:pPr>
        <w:pStyle w:val="ListParagraph"/>
        <w:numPr>
          <w:ilvl w:val="0"/>
          <w:numId w:val="19"/>
        </w:numPr>
        <w:tabs>
          <w:tab w:pos="521" w:val="left" w:leader="none"/>
        </w:tabs>
        <w:spacing w:line="240" w:lineRule="auto" w:before="0" w:after="0"/>
        <w:ind w:left="160" w:right="358"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Установа „Завод за заштиту споменика културе“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Установа културе од националног значаја</w:t>
      </w:r>
    </w:p>
    <w:p>
      <w:pPr>
        <w:pStyle w:val="ListParagraph"/>
        <w:numPr>
          <w:ilvl w:val="0"/>
          <w:numId w:val="19"/>
        </w:numPr>
        <w:tabs>
          <w:tab w:pos="521" w:val="left" w:leader="none"/>
        </w:tabs>
        <w:spacing w:line="240" w:lineRule="auto" w:before="0" w:after="0"/>
        <w:ind w:left="520" w:right="0" w:hanging="36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Установа за физичку културу Спортски центар</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„Чаир“</w:t>
      </w:r>
    </w:p>
    <w:p>
      <w:pPr>
        <w:pStyle w:val="ListParagraph"/>
        <w:numPr>
          <w:ilvl w:val="0"/>
          <w:numId w:val="19"/>
        </w:numPr>
        <w:tabs>
          <w:tab w:pos="521" w:val="left" w:leader="none"/>
        </w:tabs>
        <w:spacing w:line="240" w:lineRule="auto" w:before="0" w:after="0"/>
        <w:ind w:left="520" w:right="0" w:hanging="360"/>
        <w:jc w:val="both"/>
        <w:rPr>
          <w:rFonts w:ascii="Times New Roman" w:hAnsi="Times New Roman" w:cs="Times New Roman" w:eastAsia="Times New Roman" w:hint="default"/>
          <w:sz w:val="24"/>
          <w:szCs w:val="24"/>
        </w:rPr>
      </w:pPr>
      <w:r>
        <w:rPr>
          <w:rFonts w:ascii="Times New Roman" w:hAnsi="Times New Roman"/>
          <w:sz w:val="24"/>
        </w:rPr>
        <w:t>Регионални центар за професионални развој запослених у</w:t>
      </w:r>
      <w:r>
        <w:rPr>
          <w:rFonts w:ascii="Times New Roman" w:hAnsi="Times New Roman"/>
          <w:spacing w:val="-24"/>
          <w:sz w:val="24"/>
        </w:rPr>
        <w:t> </w:t>
      </w:r>
      <w:r>
        <w:rPr>
          <w:rFonts w:ascii="Times New Roman" w:hAnsi="Times New Roman"/>
          <w:sz w:val="24"/>
        </w:rPr>
        <w:t>образовању</w:t>
      </w:r>
    </w:p>
    <w:p>
      <w:pPr>
        <w:pStyle w:val="ListParagraph"/>
        <w:numPr>
          <w:ilvl w:val="0"/>
          <w:numId w:val="19"/>
        </w:numPr>
        <w:tabs>
          <w:tab w:pos="521" w:val="left" w:leader="none"/>
        </w:tabs>
        <w:spacing w:line="240" w:lineRule="auto" w:before="0" w:after="0"/>
        <w:ind w:left="520" w:right="0" w:hanging="36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ЈП „Дирекција за изградњу града</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Ниша“</w:t>
      </w:r>
    </w:p>
    <w:p>
      <w:pPr>
        <w:pStyle w:val="ListParagraph"/>
        <w:numPr>
          <w:ilvl w:val="0"/>
          <w:numId w:val="19"/>
        </w:numPr>
        <w:tabs>
          <w:tab w:pos="521" w:val="left" w:leader="none"/>
        </w:tabs>
        <w:spacing w:line="240" w:lineRule="auto" w:before="0" w:after="0"/>
        <w:ind w:left="520" w:right="0" w:hanging="360"/>
        <w:jc w:val="both"/>
        <w:rPr>
          <w:rFonts w:ascii="Times New Roman" w:hAnsi="Times New Roman" w:cs="Times New Roman" w:eastAsia="Times New Roman" w:hint="default"/>
          <w:sz w:val="24"/>
          <w:szCs w:val="24"/>
        </w:rPr>
      </w:pPr>
      <w:r>
        <w:rPr>
          <w:rFonts w:ascii="Times New Roman" w:hAnsi="Times New Roman"/>
          <w:sz w:val="24"/>
        </w:rPr>
        <w:t>Фонд за развој и самофинансирање заједничких потреба</w:t>
      </w:r>
      <w:r>
        <w:rPr>
          <w:rFonts w:ascii="Times New Roman" w:hAnsi="Times New Roman"/>
          <w:spacing w:val="-14"/>
          <w:sz w:val="24"/>
        </w:rPr>
        <w:t> </w:t>
      </w:r>
      <w:r>
        <w:rPr>
          <w:rFonts w:ascii="Times New Roman" w:hAnsi="Times New Roman"/>
          <w:sz w:val="24"/>
        </w:rPr>
        <w:t>грађана</w:t>
      </w:r>
    </w:p>
    <w:p>
      <w:pPr>
        <w:pStyle w:val="ListParagraph"/>
        <w:numPr>
          <w:ilvl w:val="0"/>
          <w:numId w:val="19"/>
        </w:numPr>
        <w:tabs>
          <w:tab w:pos="521" w:val="left" w:leader="none"/>
        </w:tabs>
        <w:spacing w:line="240" w:lineRule="auto" w:before="0" w:after="0"/>
        <w:ind w:left="520" w:right="0" w:hanging="360"/>
        <w:jc w:val="both"/>
        <w:rPr>
          <w:rFonts w:ascii="Times New Roman" w:hAnsi="Times New Roman" w:cs="Times New Roman" w:eastAsia="Times New Roman" w:hint="default"/>
          <w:sz w:val="24"/>
          <w:szCs w:val="24"/>
        </w:rPr>
      </w:pPr>
      <w:r>
        <w:rPr>
          <w:rFonts w:ascii="Times New Roman" w:hAnsi="Times New Roman"/>
          <w:sz w:val="24"/>
        </w:rPr>
        <w:t>Туристичка организација</w:t>
      </w:r>
      <w:r>
        <w:rPr>
          <w:rFonts w:ascii="Times New Roman" w:hAnsi="Times New Roman"/>
          <w:spacing w:val="-12"/>
          <w:sz w:val="24"/>
        </w:rPr>
        <w:t> </w:t>
      </w:r>
      <w:r>
        <w:rPr>
          <w:rFonts w:ascii="Times New Roman" w:hAnsi="Times New Roman"/>
          <w:sz w:val="24"/>
        </w:rPr>
        <w:t>Ниш</w:t>
      </w:r>
    </w:p>
    <w:p>
      <w:pPr>
        <w:pStyle w:val="ListParagraph"/>
        <w:numPr>
          <w:ilvl w:val="0"/>
          <w:numId w:val="19"/>
        </w:numPr>
        <w:tabs>
          <w:tab w:pos="521" w:val="left" w:leader="none"/>
        </w:tabs>
        <w:spacing w:line="240" w:lineRule="auto" w:before="0" w:after="0"/>
        <w:ind w:left="520" w:right="0" w:hanging="36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ЈП „Градска стамбена</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агенција“</w:t>
      </w:r>
    </w:p>
    <w:p>
      <w:pPr>
        <w:pStyle w:val="ListParagraph"/>
        <w:numPr>
          <w:ilvl w:val="0"/>
          <w:numId w:val="19"/>
        </w:numPr>
        <w:tabs>
          <w:tab w:pos="521" w:val="left" w:leader="none"/>
        </w:tabs>
        <w:spacing w:line="240" w:lineRule="auto" w:before="0" w:after="0"/>
        <w:ind w:left="520" w:right="0" w:hanging="36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Установа „Сигурна кућа за жену и деце жртве породичног</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насиља“</w:t>
      </w:r>
      <w:r>
        <w:rPr>
          <w:rFonts w:ascii="Times New Roman" w:hAnsi="Times New Roman" w:cs="Times New Roman" w:eastAsia="Times New Roman" w:hint="default"/>
          <w:sz w:val="24"/>
          <w:szCs w:val="24"/>
        </w:rPr>
        <w:t>.</w:t>
      </w:r>
    </w:p>
    <w:p>
      <w:pPr>
        <w:pStyle w:val="BodyText"/>
        <w:spacing w:line="240" w:lineRule="auto"/>
        <w:ind w:left="726" w:right="141"/>
        <w:jc w:val="left"/>
      </w:pPr>
      <w:r>
        <w:rPr/>
        <w:t>Град Ниш има својство правног лица.  Седиште Града је у Нишу, улица 7. јули </w:t>
      </w:r>
      <w:r>
        <w:rPr>
          <w:spacing w:val="8"/>
        </w:rPr>
        <w:t> </w:t>
      </w:r>
      <w:r>
        <w:rPr/>
        <w:t>број</w:t>
      </w:r>
    </w:p>
    <w:p>
      <w:pPr>
        <w:pStyle w:val="BodyText"/>
        <w:spacing w:line="240" w:lineRule="auto"/>
        <w:ind w:right="141"/>
        <w:jc w:val="left"/>
      </w:pPr>
      <w:r>
        <w:rPr/>
        <w:t>2. Матични број града Ниша је 17620541, ПИБ 100232752. Број текућег рачуна: 840 – </w:t>
      </w:r>
      <w:r>
        <w:rPr>
          <w:rFonts w:ascii="Times New Roman" w:hAnsi="Times New Roman" w:cs="Times New Roman" w:eastAsia="Times New Roman" w:hint="default"/>
        </w:rPr>
        <w:t>157640 </w:t>
      </w:r>
      <w:r>
        <w:rPr/>
        <w:t>– 83 који се води у  Управи за трезор</w:t>
      </w:r>
      <w:r>
        <w:rPr>
          <w:spacing w:val="-7"/>
        </w:rPr>
        <w:t> </w:t>
      </w:r>
      <w:r>
        <w:rPr/>
        <w:t>Ниш.</w:t>
      </w:r>
    </w:p>
    <w:p>
      <w:pPr>
        <w:spacing w:line="240" w:lineRule="auto" w:before="11"/>
        <w:rPr>
          <w:rFonts w:ascii="Times New Roman" w:hAnsi="Times New Roman" w:cs="Times New Roman" w:eastAsia="Times New Roman" w:hint="default"/>
          <w:sz w:val="21"/>
          <w:szCs w:val="21"/>
        </w:rPr>
      </w:pPr>
    </w:p>
    <w:p>
      <w:pPr>
        <w:pStyle w:val="BodyText"/>
        <w:spacing w:line="240" w:lineRule="auto"/>
        <w:ind w:right="177" w:firstLine="566"/>
        <w:jc w:val="both"/>
      </w:pPr>
      <w:r>
        <w:rPr/>
        <w:t>Због чињенице да се ревизија спроводи провером на бази узорака и да у систему интерне контроле и рачуноводственом систему постоје инхерентна ограничења, постоји могућност да поједине материјално значајне грешке остану</w:t>
      </w:r>
      <w:r>
        <w:rPr>
          <w:spacing w:val="-22"/>
        </w:rPr>
        <w:t> </w:t>
      </w:r>
      <w:r>
        <w:rPr/>
        <w:t>неоткривене.</w:t>
      </w:r>
    </w:p>
    <w:p>
      <w:pPr>
        <w:pStyle w:val="Heading1"/>
        <w:numPr>
          <w:ilvl w:val="0"/>
          <w:numId w:val="20"/>
        </w:numPr>
        <w:tabs>
          <w:tab w:pos="737" w:val="left" w:leader="none"/>
        </w:tabs>
        <w:spacing w:line="272" w:lineRule="exact" w:before="207" w:after="0"/>
        <w:ind w:left="736" w:right="0" w:hanging="576"/>
        <w:jc w:val="both"/>
        <w:rPr>
          <w:b w:val="0"/>
          <w:bCs w:val="0"/>
        </w:rPr>
      </w:pPr>
      <w:bookmarkStart w:name="_bookmark1" w:id="2"/>
      <w:bookmarkEnd w:id="2"/>
      <w:r>
        <w:rPr>
          <w:b w:val="0"/>
        </w:rPr>
      </w:r>
      <w:bookmarkStart w:name="_bookmark1" w:id="3"/>
      <w:bookmarkEnd w:id="3"/>
      <w:r>
        <w:rPr/>
        <w:t>П</w:t>
      </w:r>
      <w:r>
        <w:rPr/>
        <w:t>реглед извршених</w:t>
      </w:r>
      <w:r>
        <w:rPr>
          <w:spacing w:val="-9"/>
        </w:rPr>
        <w:t> </w:t>
      </w:r>
      <w:r>
        <w:rPr/>
        <w:t>контрола</w:t>
      </w:r>
      <w:r>
        <w:rPr>
          <w:b w:val="0"/>
        </w:rPr>
      </w:r>
    </w:p>
    <w:p>
      <w:pPr>
        <w:pStyle w:val="BodyText"/>
        <w:spacing w:line="240" w:lineRule="auto"/>
        <w:ind w:right="184" w:firstLine="566"/>
        <w:jc w:val="both"/>
      </w:pPr>
      <w:r>
        <w:rPr/>
        <w:t>У 2014. години следећи контролни органи су извршили контроле код директних и индиректних коирсника буџетских средстава града</w:t>
      </w:r>
      <w:r>
        <w:rPr>
          <w:spacing w:val="-25"/>
        </w:rPr>
        <w:t> </w:t>
      </w:r>
      <w:r>
        <w:rPr/>
        <w:t>Ниша:</w:t>
      </w:r>
    </w:p>
    <w:p>
      <w:pPr>
        <w:pStyle w:val="ListParagraph"/>
        <w:numPr>
          <w:ilvl w:val="0"/>
          <w:numId w:val="12"/>
        </w:numPr>
        <w:tabs>
          <w:tab w:pos="444"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Буџетска инспекција града Ниша извршила је контролу код: Управе за образовање, Управе за пољопривреду и развој села, Управе за дечију, социјалну и примарну здравствену заштиту, Управе за имовину и инспекцијске послове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Службе за одржавање и информатичко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комуникационе технологије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Регионалног центра за професионални развој запослених у образовању Ниш, Народне библиотеке „Стеван Сремац“ Ниш, Спортског центра „Чаир“ Ниш, </w:t>
      </w:r>
      <w:r>
        <w:rPr>
          <w:rFonts w:ascii="Times New Roman" w:hAnsi="Times New Roman" w:cs="Times New Roman" w:eastAsia="Times New Roman" w:hint="default"/>
          <w:sz w:val="24"/>
          <w:szCs w:val="24"/>
        </w:rPr>
        <w:t>J</w:t>
      </w:r>
      <w:r>
        <w:rPr>
          <w:rFonts w:ascii="Times New Roman" w:hAnsi="Times New Roman" w:cs="Times New Roman" w:eastAsia="Times New Roman" w:hint="default"/>
          <w:sz w:val="24"/>
          <w:szCs w:val="24"/>
        </w:rPr>
        <w:t>П „Градска стамбена агенција“ Ниш</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Историјског  архива</w:t>
      </w:r>
      <w:r>
        <w:rPr>
          <w:rFonts w:ascii="Times New Roman" w:hAnsi="Times New Roman" w:cs="Times New Roman" w:eastAsia="Times New Roman" w:hint="default"/>
          <w:spacing w:val="-2"/>
          <w:sz w:val="24"/>
          <w:szCs w:val="24"/>
        </w:rPr>
        <w:t> </w:t>
      </w:r>
      <w:r>
        <w:rPr>
          <w:rFonts w:ascii="Times New Roman" w:hAnsi="Times New Roman" w:cs="Times New Roman" w:eastAsia="Times New Roman" w:hint="default"/>
          <w:sz w:val="24"/>
          <w:szCs w:val="24"/>
        </w:rPr>
        <w:t>Ниш;</w:t>
      </w:r>
    </w:p>
    <w:p>
      <w:pPr>
        <w:pStyle w:val="ListParagraph"/>
        <w:numPr>
          <w:ilvl w:val="0"/>
          <w:numId w:val="12"/>
        </w:numPr>
        <w:tabs>
          <w:tab w:pos="444" w:val="left" w:leader="none"/>
        </w:tabs>
        <w:spacing w:line="240" w:lineRule="auto" w:before="0"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Министарство државне управе и локалне самоуправе Управни инспекторат извршило је контролу код: Управе за финансије, изворне приходе локалне самоуправе и јавне набавке, Управе за дечију, социјалну и примарну здравствену заштиту, Управе за грађанска</w:t>
      </w:r>
      <w:r>
        <w:rPr>
          <w:rFonts w:ascii="Times New Roman" w:hAnsi="Times New Roman"/>
          <w:spacing w:val="23"/>
          <w:sz w:val="24"/>
        </w:rPr>
        <w:t> </w:t>
      </w:r>
      <w:r>
        <w:rPr>
          <w:rFonts w:ascii="Times New Roman" w:hAnsi="Times New Roman"/>
          <w:sz w:val="24"/>
        </w:rPr>
        <w:t>стања</w:t>
      </w:r>
      <w:r>
        <w:rPr>
          <w:rFonts w:ascii="Times New Roman" w:hAnsi="Times New Roman"/>
          <w:spacing w:val="25"/>
          <w:sz w:val="24"/>
        </w:rPr>
        <w:t> </w:t>
      </w:r>
      <w:r>
        <w:rPr>
          <w:rFonts w:ascii="Times New Roman" w:hAnsi="Times New Roman"/>
          <w:sz w:val="24"/>
        </w:rPr>
        <w:t>и</w:t>
      </w:r>
      <w:r>
        <w:rPr>
          <w:rFonts w:ascii="Times New Roman" w:hAnsi="Times New Roman"/>
          <w:spacing w:val="25"/>
          <w:sz w:val="24"/>
        </w:rPr>
        <w:t> </w:t>
      </w:r>
      <w:r>
        <w:rPr>
          <w:rFonts w:ascii="Times New Roman" w:hAnsi="Times New Roman"/>
          <w:sz w:val="24"/>
        </w:rPr>
        <w:t>опште</w:t>
      </w:r>
      <w:r>
        <w:rPr>
          <w:rFonts w:ascii="Times New Roman" w:hAnsi="Times New Roman"/>
          <w:spacing w:val="23"/>
          <w:sz w:val="24"/>
        </w:rPr>
        <w:t> </w:t>
      </w:r>
      <w:r>
        <w:rPr>
          <w:rFonts w:ascii="Times New Roman" w:hAnsi="Times New Roman"/>
          <w:sz w:val="24"/>
        </w:rPr>
        <w:t>послове,</w:t>
      </w:r>
      <w:r>
        <w:rPr>
          <w:rFonts w:ascii="Times New Roman" w:hAnsi="Times New Roman"/>
          <w:spacing w:val="24"/>
          <w:sz w:val="24"/>
        </w:rPr>
        <w:t> </w:t>
      </w:r>
      <w:r>
        <w:rPr>
          <w:rFonts w:ascii="Times New Roman" w:hAnsi="Times New Roman"/>
          <w:sz w:val="24"/>
        </w:rPr>
        <w:t>Управе</w:t>
      </w:r>
      <w:r>
        <w:rPr>
          <w:rFonts w:ascii="Times New Roman" w:hAnsi="Times New Roman"/>
          <w:spacing w:val="22"/>
          <w:sz w:val="24"/>
        </w:rPr>
        <w:t> </w:t>
      </w:r>
      <w:r>
        <w:rPr>
          <w:rFonts w:ascii="Times New Roman" w:hAnsi="Times New Roman"/>
          <w:sz w:val="24"/>
        </w:rPr>
        <w:t>за</w:t>
      </w:r>
      <w:r>
        <w:rPr>
          <w:rFonts w:ascii="Times New Roman" w:hAnsi="Times New Roman"/>
          <w:spacing w:val="20"/>
          <w:sz w:val="24"/>
        </w:rPr>
        <w:t> </w:t>
      </w:r>
      <w:r>
        <w:rPr>
          <w:rFonts w:ascii="Times New Roman" w:hAnsi="Times New Roman"/>
          <w:sz w:val="24"/>
        </w:rPr>
        <w:t>образовање,</w:t>
      </w:r>
      <w:r>
        <w:rPr>
          <w:rFonts w:ascii="Times New Roman" w:hAnsi="Times New Roman"/>
          <w:spacing w:val="24"/>
          <w:sz w:val="24"/>
        </w:rPr>
        <w:t> </w:t>
      </w:r>
      <w:r>
        <w:rPr>
          <w:rFonts w:ascii="Times New Roman" w:hAnsi="Times New Roman"/>
          <w:sz w:val="24"/>
        </w:rPr>
        <w:t>Управе</w:t>
      </w:r>
      <w:r>
        <w:rPr>
          <w:rFonts w:ascii="Times New Roman" w:hAnsi="Times New Roman"/>
          <w:spacing w:val="22"/>
          <w:sz w:val="24"/>
        </w:rPr>
        <w:t> </w:t>
      </w:r>
      <w:r>
        <w:rPr>
          <w:rFonts w:ascii="Times New Roman" w:hAnsi="Times New Roman"/>
          <w:sz w:val="24"/>
        </w:rPr>
        <w:t>за</w:t>
      </w:r>
      <w:r>
        <w:rPr>
          <w:rFonts w:ascii="Times New Roman" w:hAnsi="Times New Roman"/>
          <w:spacing w:val="23"/>
          <w:sz w:val="24"/>
        </w:rPr>
        <w:t> </w:t>
      </w:r>
      <w:r>
        <w:rPr>
          <w:rFonts w:ascii="Times New Roman" w:hAnsi="Times New Roman"/>
          <w:sz w:val="24"/>
        </w:rPr>
        <w:t>културу,</w:t>
      </w:r>
      <w:r>
        <w:rPr>
          <w:rFonts w:ascii="Times New Roman" w:hAnsi="Times New Roman"/>
          <w:spacing w:val="24"/>
          <w:sz w:val="24"/>
        </w:rPr>
        <w:t> </w:t>
      </w:r>
      <w:r>
        <w:rPr>
          <w:rFonts w:ascii="Times New Roman" w:hAnsi="Times New Roman"/>
          <w:sz w:val="24"/>
        </w:rPr>
        <w:t>Управе</w:t>
      </w:r>
      <w:r>
        <w:rPr>
          <w:rFonts w:ascii="Times New Roman" w:hAnsi="Times New Roman"/>
          <w:spacing w:val="22"/>
          <w:sz w:val="24"/>
        </w:rPr>
        <w:t> </w:t>
      </w:r>
      <w:r>
        <w:rPr>
          <w:rFonts w:ascii="Times New Roman" w:hAnsi="Times New Roman"/>
          <w:sz w:val="24"/>
        </w:rPr>
        <w:t>за</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8"/>
        <w:jc w:val="both"/>
      </w:pPr>
      <w:r>
        <w:rPr/>
        <w:t>омладину и спорт, Управе за комуналне делатности, енергетику и саобраћај, Управе за планирање и изградњу, Управе за имовину и инспекцијске послове, Управе за привреду и одрживи развој, Управе за пољопривреду и развој села, Службе за послове Градског  већа, Службе за послове Градоначелника, Службе за послове Скупштине града, Службе за одржавање и информатичко </w:t>
      </w:r>
      <w:r>
        <w:rPr>
          <w:rFonts w:ascii="Times New Roman" w:hAnsi="Times New Roman"/>
        </w:rPr>
        <w:t>- </w:t>
      </w:r>
      <w:r>
        <w:rPr/>
        <w:t>комуникационе</w:t>
      </w:r>
      <w:r>
        <w:rPr>
          <w:spacing w:val="-20"/>
        </w:rPr>
        <w:t> </w:t>
      </w:r>
      <w:r>
        <w:rPr/>
        <w:t>технологије;</w:t>
      </w:r>
    </w:p>
    <w:p>
      <w:pPr>
        <w:pStyle w:val="ListParagraph"/>
        <w:numPr>
          <w:ilvl w:val="0"/>
          <w:numId w:val="12"/>
        </w:numPr>
        <w:tabs>
          <w:tab w:pos="303" w:val="left" w:leader="none"/>
        </w:tabs>
        <w:spacing w:line="240" w:lineRule="auto" w:before="0"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Министарство природних ресурса, рударства и просторног планирања извршило је контролу код Управе за пољопривреду и развој</w:t>
      </w:r>
      <w:r>
        <w:rPr>
          <w:rFonts w:ascii="Times New Roman" w:hAnsi="Times New Roman"/>
          <w:spacing w:val="-20"/>
          <w:sz w:val="24"/>
        </w:rPr>
        <w:t> </w:t>
      </w:r>
      <w:r>
        <w:rPr>
          <w:rFonts w:ascii="Times New Roman" w:hAnsi="Times New Roman"/>
          <w:sz w:val="24"/>
        </w:rPr>
        <w:t>села;</w:t>
      </w:r>
    </w:p>
    <w:p>
      <w:pPr>
        <w:pStyle w:val="ListParagraph"/>
        <w:numPr>
          <w:ilvl w:val="0"/>
          <w:numId w:val="12"/>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Министарство пољопривреде и заштите животне средине, Републичка дирекција за воде, Одељење водне инспекције, Одсек водне инспекције, као и Одељење пољопривредне инспекције извршили су контролу код Управе за пољопривреду и развој села;</w:t>
      </w:r>
    </w:p>
    <w:p>
      <w:pPr>
        <w:pStyle w:val="ListParagraph"/>
        <w:numPr>
          <w:ilvl w:val="0"/>
          <w:numId w:val="12"/>
        </w:numPr>
        <w:tabs>
          <w:tab w:pos="303" w:val="left" w:leader="none"/>
        </w:tabs>
        <w:spacing w:line="240" w:lineRule="auto" w:before="0"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Министарство за рад, запошљавање, борачка и социјална питања, Инспекторат за рад, Одељење инспекције рада, Нишавски управни округ извршило је контролу код  Спортског  центра  „Чаир“,  Предшколске   установе  „Пчелица“,  Народног  музеја,    </w:t>
      </w:r>
      <w:r>
        <w:rPr>
          <w:rFonts w:ascii="Times New Roman" w:hAnsi="Times New Roman" w:cs="Times New Roman" w:eastAsia="Times New Roman" w:hint="default"/>
          <w:spacing w:val="53"/>
          <w:sz w:val="24"/>
          <w:szCs w:val="24"/>
        </w:rPr>
        <w:t> </w:t>
      </w:r>
      <w:r>
        <w:rPr>
          <w:rFonts w:ascii="Times New Roman" w:hAnsi="Times New Roman" w:cs="Times New Roman" w:eastAsia="Times New Roman" w:hint="default"/>
          <w:sz w:val="24"/>
          <w:szCs w:val="24"/>
        </w:rPr>
        <w:t>ЈП</w:t>
      </w:r>
    </w:p>
    <w:p>
      <w:pPr>
        <w:pStyle w:val="BodyText"/>
        <w:spacing w:line="240" w:lineRule="auto"/>
        <w:ind w:right="0"/>
        <w:jc w:val="both"/>
      </w:pPr>
      <w:r>
        <w:rPr/>
        <w:t>„Дирекција за изградњу града</w:t>
      </w:r>
      <w:r>
        <w:rPr>
          <w:spacing w:val="-12"/>
        </w:rPr>
        <w:t> </w:t>
      </w:r>
      <w:r>
        <w:rPr/>
        <w:t>Ниша“;</w:t>
      </w:r>
    </w:p>
    <w:p>
      <w:pPr>
        <w:pStyle w:val="ListParagraph"/>
        <w:numPr>
          <w:ilvl w:val="0"/>
          <w:numId w:val="12"/>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Министарство унутрашњих послова, Сектор за ванредне ситуације, Управа за ванредне ситуације у Нишу, Одељење за управљање ризиком извршило је контролу код Спортског центра</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„Чаир“;</w:t>
      </w:r>
    </w:p>
    <w:p>
      <w:pPr>
        <w:pStyle w:val="ListParagraph"/>
        <w:numPr>
          <w:ilvl w:val="0"/>
          <w:numId w:val="12"/>
        </w:numPr>
        <w:tabs>
          <w:tab w:pos="303" w:val="left" w:leader="none"/>
        </w:tabs>
        <w:spacing w:line="240" w:lineRule="auto" w:before="0" w:after="0"/>
        <w:ind w:left="160" w:right="18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Министарство економије и регионалног развоја, сектор туристичке инспекције извршило је контролу код Спортског центра</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„Чаир“;</w:t>
      </w:r>
    </w:p>
    <w:p>
      <w:pPr>
        <w:pStyle w:val="ListParagraph"/>
        <w:numPr>
          <w:ilvl w:val="0"/>
          <w:numId w:val="12"/>
        </w:numPr>
        <w:tabs>
          <w:tab w:pos="303" w:val="left" w:leader="none"/>
        </w:tabs>
        <w:spacing w:line="240" w:lineRule="auto" w:before="0" w:after="0"/>
        <w:ind w:left="160" w:right="18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Управа за образовање града Ниша, Одсек за просветну инспекцију извршила је инспекцијски надзор код Предшколске установе</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„Пчелица“;</w:t>
      </w:r>
    </w:p>
    <w:p>
      <w:pPr>
        <w:pStyle w:val="ListParagraph"/>
        <w:numPr>
          <w:ilvl w:val="0"/>
          <w:numId w:val="12"/>
        </w:numPr>
        <w:tabs>
          <w:tab w:pos="303" w:val="left" w:leader="none"/>
        </w:tabs>
        <w:spacing w:line="240" w:lineRule="auto" w:before="0" w:after="0"/>
        <w:ind w:left="160" w:right="18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Министарство здравља, Сектор за инспекцијске послове, Одељење за санитарну инспекцију, Одсек/група за санитарни надзор Ниш извршило је надзор код Предшколске установе „Пчелица“ Ниш, Спортског центра „Чаир“, Центар за дневни боравак деце, омладине и одраслих лица ментално ометених у развоју</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„Мара“.</w:t>
      </w:r>
    </w:p>
    <w:p>
      <w:pPr>
        <w:pStyle w:val="BodyText"/>
        <w:spacing w:line="240" w:lineRule="auto"/>
        <w:ind w:right="184" w:firstLine="566"/>
        <w:jc w:val="both"/>
      </w:pPr>
      <w:r>
        <w:rPr/>
        <w:t>„HLB DST – Revizija“ доо Нови Београд извршила је ревизију консолидованих финансијских извештаја за 2013. годину града</w:t>
      </w:r>
      <w:r>
        <w:rPr>
          <w:spacing w:val="-15"/>
        </w:rPr>
        <w:t> </w:t>
      </w:r>
      <w:r>
        <w:rPr/>
        <w:t>Ниша.</w:t>
      </w:r>
    </w:p>
    <w:p>
      <w:pPr>
        <w:pStyle w:val="BodyText"/>
        <w:spacing w:line="240" w:lineRule="auto"/>
        <w:ind w:right="180" w:firstLine="566"/>
        <w:jc w:val="both"/>
      </w:pPr>
      <w:r>
        <w:rPr/>
        <w:t>Државна ревизорска институција извршила је ревизију финансијских извештаја завршног рачуна буџета града Ниша за 2010. годину, о чему је сачинила Извештај о ревизији финансијских извештаја завршног рачуна буџета града Ниша за 2010. годину број 400</w:t>
      </w:r>
      <w:r>
        <w:rPr>
          <w:rFonts w:ascii="Times New Roman" w:hAnsi="Times New Roman"/>
        </w:rPr>
        <w:t>-727/2011-</w:t>
      </w:r>
      <w:r>
        <w:rPr/>
        <w:t>01 од 21.03.2012.</w:t>
      </w:r>
      <w:r>
        <w:rPr>
          <w:spacing w:val="-1"/>
        </w:rPr>
        <w:t> </w:t>
      </w:r>
      <w:r>
        <w:rPr/>
        <w:t>године.</w:t>
      </w:r>
    </w:p>
    <w:p>
      <w:pPr>
        <w:spacing w:line="240" w:lineRule="auto" w:before="5"/>
        <w:rPr>
          <w:rFonts w:ascii="Times New Roman" w:hAnsi="Times New Roman" w:cs="Times New Roman" w:eastAsia="Times New Roman" w:hint="default"/>
          <w:sz w:val="24"/>
          <w:szCs w:val="24"/>
        </w:rPr>
      </w:pPr>
    </w:p>
    <w:p>
      <w:pPr>
        <w:pStyle w:val="Heading1"/>
        <w:numPr>
          <w:ilvl w:val="0"/>
          <w:numId w:val="20"/>
        </w:numPr>
        <w:tabs>
          <w:tab w:pos="737" w:val="left" w:leader="none"/>
        </w:tabs>
        <w:spacing w:line="274" w:lineRule="exact" w:before="0" w:after="0"/>
        <w:ind w:left="736" w:right="0" w:hanging="576"/>
        <w:jc w:val="both"/>
        <w:rPr>
          <w:b w:val="0"/>
          <w:bCs w:val="0"/>
        </w:rPr>
      </w:pPr>
      <w:bookmarkStart w:name="_bookmark2" w:id="4"/>
      <w:bookmarkEnd w:id="4"/>
      <w:r>
        <w:rPr>
          <w:b w:val="0"/>
        </w:rPr>
      </w:r>
      <w:bookmarkStart w:name="_bookmark2" w:id="5"/>
      <w:bookmarkEnd w:id="5"/>
      <w:r>
        <w:rPr/>
        <w:t>За</w:t>
      </w:r>
      <w:r>
        <w:rPr/>
        <w:t>кључак о функционисању система интерних</w:t>
      </w:r>
      <w:r>
        <w:rPr>
          <w:spacing w:val="-14"/>
        </w:rPr>
        <w:t> </w:t>
      </w:r>
      <w:r>
        <w:rPr/>
        <w:t>контрола</w:t>
      </w:r>
      <w:r>
        <w:rPr>
          <w:b w:val="0"/>
        </w:rPr>
      </w:r>
    </w:p>
    <w:p>
      <w:pPr>
        <w:pStyle w:val="BodyText"/>
        <w:spacing w:line="240" w:lineRule="auto"/>
        <w:ind w:right="181" w:firstLine="566"/>
        <w:jc w:val="both"/>
      </w:pPr>
      <w:r>
        <w:rPr/>
        <w:t>Према одредбама члана 80. Закона о буџетском систему, систем интерних контрола обухвата: финансијско управљање и контролу код корисника јавних средстава, интерну ревизију и хармонизацију и координацију финансијског управљања и контроле и интерне ревизије коју обавља Министарство финансија </w:t>
      </w:r>
      <w:r>
        <w:rPr>
          <w:rFonts w:ascii="Times New Roman" w:hAnsi="Times New Roman"/>
        </w:rPr>
        <w:t>- </w:t>
      </w:r>
      <w:r>
        <w:rPr/>
        <w:t>Централна јединица за</w:t>
      </w:r>
      <w:r>
        <w:rPr>
          <w:spacing w:val="-32"/>
        </w:rPr>
        <w:t> </w:t>
      </w:r>
      <w:r>
        <w:rPr/>
        <w:t>хармонизацију.</w:t>
      </w:r>
    </w:p>
    <w:p>
      <w:pPr>
        <w:pStyle w:val="BodyText"/>
        <w:spacing w:line="240" w:lineRule="auto"/>
        <w:ind w:right="187" w:firstLine="566"/>
        <w:jc w:val="both"/>
      </w:pPr>
      <w:r>
        <w:rPr/>
        <w:t>Финансијско управљање и контрола обухваћени су кроз: контролно окружење, управљање ризицима, контролне активности, информисање и комуникације и праћење и процену</w:t>
      </w:r>
      <w:r>
        <w:rPr>
          <w:spacing w:val="-9"/>
        </w:rPr>
        <w:t> </w:t>
      </w:r>
      <w:r>
        <w:rPr/>
        <w:t>система.</w:t>
      </w:r>
    </w:p>
    <w:p>
      <w:pPr>
        <w:pStyle w:val="Heading1"/>
        <w:numPr>
          <w:ilvl w:val="1"/>
          <w:numId w:val="20"/>
        </w:numPr>
        <w:tabs>
          <w:tab w:pos="1013" w:val="left" w:leader="none"/>
        </w:tabs>
        <w:spacing w:line="256" w:lineRule="exact" w:before="65" w:after="0"/>
        <w:ind w:left="1012" w:right="0" w:hanging="286"/>
        <w:jc w:val="left"/>
        <w:rPr>
          <w:b w:val="0"/>
          <w:bCs w:val="0"/>
        </w:rPr>
      </w:pPr>
      <w:r>
        <w:rPr/>
        <w:t>Контролно</w:t>
      </w:r>
      <w:r>
        <w:rPr>
          <w:spacing w:val="-10"/>
        </w:rPr>
        <w:t> </w:t>
      </w:r>
      <w:r>
        <w:rPr/>
        <w:t>окружење</w:t>
      </w:r>
      <w:r>
        <w:rPr>
          <w:b w:val="0"/>
        </w:rPr>
      </w:r>
    </w:p>
    <w:p>
      <w:pPr>
        <w:pStyle w:val="BodyText"/>
        <w:spacing w:line="276" w:lineRule="exact" w:before="18"/>
        <w:ind w:right="175" w:firstLine="566"/>
        <w:jc w:val="both"/>
        <w:rPr>
          <w:rFonts w:ascii="Times New Roman" w:hAnsi="Times New Roman" w:cs="Times New Roman" w:eastAsia="Times New Roman" w:hint="default"/>
        </w:rPr>
      </w:pPr>
      <w:r>
        <w:rPr/>
        <w:t>Органи града су донели низ аката. Поред Статута града</w:t>
      </w:r>
      <w:r>
        <w:rPr>
          <w:rFonts w:ascii="Times New Roman" w:hAnsi="Times New Roman"/>
          <w:position w:val="11"/>
          <w:sz w:val="16"/>
        </w:rPr>
        <w:t>9</w:t>
      </w:r>
      <w:r>
        <w:rPr/>
        <w:t>, Пословника Скупштине града,</w:t>
      </w:r>
      <w:r>
        <w:rPr>
          <w:spacing w:val="45"/>
        </w:rPr>
        <w:t> </w:t>
      </w:r>
      <w:hyperlink r:id="rId34">
        <w:r>
          <w:rPr/>
          <w:t>Стратегија</w:t>
        </w:r>
        <w:r>
          <w:rPr>
            <w:spacing w:val="47"/>
          </w:rPr>
          <w:t> </w:t>
        </w:r>
        <w:r>
          <w:rPr/>
          <w:t>развоја</w:t>
        </w:r>
        <w:r>
          <w:rPr>
            <w:spacing w:val="46"/>
          </w:rPr>
          <w:t> </w:t>
        </w:r>
        <w:r>
          <w:rPr/>
          <w:t>града</w:t>
        </w:r>
        <w:r>
          <w:rPr>
            <w:spacing w:val="47"/>
          </w:rPr>
          <w:t> </w:t>
        </w:r>
        <w:r>
          <w:rPr/>
          <w:t>Ниша</w:t>
        </w:r>
      </w:hyperlink>
      <w:r>
        <w:rPr>
          <w:spacing w:val="45"/>
        </w:rPr>
        <w:t> </w:t>
      </w:r>
      <w:r>
        <w:rPr>
          <w:rFonts w:ascii="Times New Roman" w:hAnsi="Times New Roman"/>
        </w:rPr>
        <w:t>2009-2020,</w:t>
      </w:r>
      <w:r>
        <w:rPr>
          <w:rFonts w:ascii="Times New Roman" w:hAnsi="Times New Roman"/>
          <w:spacing w:val="46"/>
        </w:rPr>
        <w:t> </w:t>
      </w:r>
      <w:hyperlink r:id="rId35">
        <w:r>
          <w:rPr/>
          <w:t>Стратегија</w:t>
        </w:r>
        <w:r>
          <w:rPr>
            <w:spacing w:val="47"/>
          </w:rPr>
          <w:t> </w:t>
        </w:r>
        <w:r>
          <w:rPr/>
          <w:t>безбедности</w:t>
        </w:r>
        <w:r>
          <w:rPr>
            <w:spacing w:val="47"/>
          </w:rPr>
          <w:t> </w:t>
        </w:r>
        <w:r>
          <w:rPr/>
          <w:t>града</w:t>
        </w:r>
        <w:r>
          <w:rPr>
            <w:spacing w:val="45"/>
          </w:rPr>
          <w:t> </w:t>
        </w:r>
        <w:r>
          <w:rPr/>
          <w:t>Ниша</w:t>
        </w:r>
      </w:hyperlink>
      <w:r>
        <w:rPr>
          <w:rFonts w:ascii="Times New Roman" w:hAnsi="Times New Roman"/>
        </w:rPr>
        <w:t>,</w:t>
      </w:r>
    </w:p>
    <w:p>
      <w:pPr>
        <w:spacing w:line="240" w:lineRule="auto" w:before="0"/>
        <w:rPr>
          <w:rFonts w:ascii="Times New Roman" w:hAnsi="Times New Roman" w:cs="Times New Roman" w:eastAsia="Times New Roman" w:hint="default"/>
          <w:sz w:val="20"/>
          <w:szCs w:val="20"/>
        </w:rPr>
      </w:pPr>
    </w:p>
    <w:p>
      <w:pPr>
        <w:spacing w:line="240" w:lineRule="auto" w:before="3"/>
        <w:rPr>
          <w:rFonts w:ascii="Times New Roman" w:hAnsi="Times New Roman" w:cs="Times New Roman" w:eastAsia="Times New Roman" w:hint="default"/>
          <w:sz w:val="14"/>
          <w:szCs w:val="14"/>
        </w:rPr>
      </w:pPr>
      <w:r>
        <w:rPr/>
        <w:pict>
          <v:group style="position:absolute;margin-left:78.024002pt;margin-top:9.440984pt;width:144.050pt;height:.1pt;mso-position-horizontal-relative:page;mso-position-vertical-relative:paragraph;z-index:1192;mso-wrap-distance-left:0;mso-wrap-distance-right:0" coordorigin="1560,189" coordsize="2881,2">
            <v:shape style="position:absolute;left:1560;top:189;width:2881;height:2" coordorigin="1560,189" coordsize="2881,0" path="m1560,189l4441,189e" filled="false" stroked="true" strokeweight=".599980pt" strokecolor="#000000">
              <v:path arrowok="t"/>
            </v:shape>
            <w10:wrap type="topAndBottom"/>
          </v:group>
        </w:pict>
      </w:r>
    </w:p>
    <w:p>
      <w:pPr>
        <w:spacing w:before="52"/>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9  </w:t>
      </w:r>
      <w:r>
        <w:rPr>
          <w:rFonts w:ascii="Times New Roman" w:hAnsi="Times New Roman" w:cs="Times New Roman" w:eastAsia="Times New Roman" w:hint="default"/>
          <w:sz w:val="16"/>
          <w:szCs w:val="16"/>
        </w:rPr>
        <w:t>„Службени лист града Ниша“ број</w:t>
      </w:r>
      <w:r>
        <w:rPr>
          <w:rFonts w:ascii="Times New Roman" w:hAnsi="Times New Roman" w:cs="Times New Roman" w:eastAsia="Times New Roman" w:hint="default"/>
          <w:spacing w:val="-26"/>
          <w:sz w:val="16"/>
          <w:szCs w:val="16"/>
        </w:rPr>
        <w:t> </w:t>
      </w:r>
      <w:r>
        <w:rPr>
          <w:rFonts w:ascii="Times New Roman" w:hAnsi="Times New Roman" w:cs="Times New Roman" w:eastAsia="Times New Roman" w:hint="default"/>
          <w:sz w:val="16"/>
          <w:szCs w:val="16"/>
        </w:rPr>
        <w:t>88/2008</w:t>
      </w:r>
    </w:p>
    <w:p>
      <w:pPr>
        <w:spacing w:after="0"/>
        <w:jc w:val="left"/>
        <w:rPr>
          <w:rFonts w:ascii="Times New Roman" w:hAnsi="Times New Roman" w:cs="Times New Roman" w:eastAsia="Times New Roman" w:hint="default"/>
          <w:sz w:val="16"/>
          <w:szCs w:val="16"/>
        </w:rPr>
        <w:sectPr>
          <w:pgSz w:w="12240" w:h="15840"/>
          <w:pgMar w:header="740" w:footer="1274" w:top="1280" w:bottom="1460" w:left="1400" w:right="1260"/>
        </w:sectPr>
      </w:pPr>
    </w:p>
    <w:p>
      <w:pPr>
        <w:pStyle w:val="BodyText"/>
        <w:spacing w:line="240" w:lineRule="auto" w:before="122"/>
        <w:ind w:right="171"/>
        <w:jc w:val="both"/>
        <w:rPr>
          <w:rFonts w:ascii="Times New Roman" w:hAnsi="Times New Roman" w:cs="Times New Roman" w:eastAsia="Times New Roman" w:hint="default"/>
        </w:rPr>
      </w:pPr>
      <w:hyperlink r:id="rId37">
        <w:r>
          <w:rPr/>
          <w:t>Стратегија за бригу о младима града Ниша </w:t>
        </w:r>
        <w:r>
          <w:rPr>
            <w:rFonts w:ascii="Times New Roman" w:hAnsi="Times New Roman" w:cs="Times New Roman" w:eastAsia="Times New Roman" w:hint="default"/>
          </w:rPr>
          <w:t>2015-2020</w:t>
        </w:r>
      </w:hyperlink>
      <w:r>
        <w:rPr>
          <w:rFonts w:ascii="Times New Roman" w:hAnsi="Times New Roman" w:cs="Times New Roman" w:eastAsia="Times New Roman" w:hint="default"/>
        </w:rPr>
        <w:t>, </w:t>
      </w:r>
      <w:hyperlink r:id="rId38">
        <w:r>
          <w:rPr/>
          <w:t>Стратегија безбедности младих</w:t>
        </w:r>
      </w:hyperlink>
      <w:r>
        <w:rPr/>
        <w:t> </w:t>
      </w:r>
      <w:r>
        <w:rPr/>
      </w:r>
      <w:hyperlink r:id="rId38">
        <w:r>
          <w:rPr/>
          <w:t>града Ниша</w:t>
        </w:r>
        <w:r>
          <w:rPr>
            <w:rFonts w:ascii="Times New Roman" w:hAnsi="Times New Roman" w:cs="Times New Roman" w:eastAsia="Times New Roman" w:hint="default"/>
          </w:rPr>
          <w:t>,</w:t>
        </w:r>
      </w:hyperlink>
      <w:r>
        <w:rPr>
          <w:rFonts w:ascii="Times New Roman" w:hAnsi="Times New Roman" w:cs="Times New Roman" w:eastAsia="Times New Roman" w:hint="default"/>
        </w:rPr>
        <w:t> </w:t>
      </w:r>
      <w:r>
        <w:rPr/>
        <w:t>Стратегија развоја пољопривреде 2014</w:t>
      </w:r>
      <w:r>
        <w:rPr>
          <w:rFonts w:ascii="Times New Roman" w:hAnsi="Times New Roman" w:cs="Times New Roman" w:eastAsia="Times New Roman" w:hint="default"/>
        </w:rPr>
        <w:t>-2024, </w:t>
      </w:r>
      <w:hyperlink r:id="rId39">
        <w:r>
          <w:rPr/>
          <w:t>Локални акциони план за</w:t>
        </w:r>
      </w:hyperlink>
      <w:r>
        <w:rPr/>
        <w:t>  </w:t>
      </w:r>
      <w:r>
        <w:rPr/>
      </w:r>
      <w:hyperlink r:id="rId39">
        <w:r>
          <w:rPr/>
          <w:t>младе града Ниша </w:t>
        </w:r>
        <w:r>
          <w:rPr>
            <w:rFonts w:ascii="Times New Roman" w:hAnsi="Times New Roman" w:cs="Times New Roman" w:eastAsia="Times New Roman" w:hint="default"/>
          </w:rPr>
          <w:t>2015-2020,</w:t>
        </w:r>
      </w:hyperlink>
      <w:r>
        <w:rPr>
          <w:rFonts w:ascii="Times New Roman" w:hAnsi="Times New Roman" w:cs="Times New Roman" w:eastAsia="Times New Roman" w:hint="default"/>
        </w:rPr>
        <w:t> </w:t>
      </w:r>
      <w:hyperlink r:id="rId40">
        <w:r>
          <w:rPr/>
          <w:t>Локални еколошки акциони план (ЛЕАП)</w:t>
        </w:r>
        <w:r>
          <w:rPr>
            <w:rFonts w:ascii="Times New Roman" w:hAnsi="Times New Roman" w:cs="Times New Roman" w:eastAsia="Times New Roman" w:hint="default"/>
          </w:rPr>
          <w:t>,</w:t>
        </w:r>
      </w:hyperlink>
      <w:r>
        <w:rPr>
          <w:rFonts w:ascii="Times New Roman" w:hAnsi="Times New Roman" w:cs="Times New Roman" w:eastAsia="Times New Roman" w:hint="default"/>
        </w:rPr>
        <w:t> </w:t>
      </w:r>
      <w:hyperlink r:id="rId41">
        <w:r>
          <w:rPr/>
          <w:t>Акциони план</w:t>
        </w:r>
      </w:hyperlink>
      <w:r>
        <w:rPr/>
        <w:t> </w:t>
      </w:r>
      <w:r>
        <w:rPr/>
      </w:r>
      <w:hyperlink r:id="rId41">
        <w:r>
          <w:rPr/>
          <w:t>одрживог развоја </w:t>
        </w:r>
        <w:r>
          <w:rPr>
            <w:rFonts w:ascii="Times New Roman" w:hAnsi="Times New Roman" w:cs="Times New Roman" w:eastAsia="Times New Roman" w:hint="default"/>
          </w:rPr>
          <w:t>2015-2020</w:t>
        </w:r>
      </w:hyperlink>
      <w:r>
        <w:rPr>
          <w:rFonts w:ascii="Times New Roman" w:hAnsi="Times New Roman" w:cs="Times New Roman" w:eastAsia="Times New Roman" w:hint="default"/>
        </w:rPr>
        <w:t>, </w:t>
      </w:r>
      <w:hyperlink r:id="rId42">
        <w:r>
          <w:rPr/>
          <w:t>Локални план акције за децу града Ниша – Ниш по мери</w:t>
        </w:r>
      </w:hyperlink>
      <w:r>
        <w:rPr/>
        <w:t> </w:t>
      </w:r>
      <w:r>
        <w:rPr/>
      </w:r>
      <w:hyperlink r:id="rId42">
        <w:r>
          <w:rPr/>
          <w:t>деце</w:t>
        </w:r>
        <w:r>
          <w:rPr>
            <w:rFonts w:ascii="Times New Roman" w:hAnsi="Times New Roman" w:cs="Times New Roman" w:eastAsia="Times New Roman" w:hint="default"/>
          </w:rPr>
          <w:t>.</w:t>
        </w:r>
      </w:hyperlink>
    </w:p>
    <w:p>
      <w:pPr>
        <w:pStyle w:val="BodyText"/>
        <w:spacing w:line="240" w:lineRule="auto"/>
        <w:ind w:right="179" w:firstLine="566"/>
        <w:jc w:val="both"/>
      </w:pPr>
      <w:r>
        <w:rPr/>
        <w:t>Према Списку корисника јавних средстава, који се води код Министарства финансија, Управе за трезор, град Ниш има 20 директних корисника и 21 индиректног корисника</w:t>
      </w:r>
      <w:r>
        <w:rPr>
          <w:spacing w:val="-12"/>
        </w:rPr>
        <w:t> </w:t>
      </w:r>
      <w:r>
        <w:rPr/>
        <w:t>буџета.</w:t>
      </w:r>
    </w:p>
    <w:p>
      <w:pPr>
        <w:pStyle w:val="BodyText"/>
        <w:spacing w:line="276" w:lineRule="exact" w:before="3"/>
        <w:ind w:right="186" w:firstLine="566"/>
        <w:jc w:val="both"/>
      </w:pPr>
      <w:r>
        <w:rPr/>
        <w:t>Организација и рад градских управа уређени су Oдлуком о организацији градских управа града Ниша</w:t>
      </w:r>
      <w:r>
        <w:rPr>
          <w:rFonts w:ascii="Times New Roman" w:hAnsi="Times New Roman"/>
          <w:position w:val="11"/>
          <w:sz w:val="16"/>
        </w:rPr>
        <w:t>10</w:t>
      </w:r>
      <w:r>
        <w:rPr/>
        <w:t>. Руководиоце управа поставља Градско</w:t>
      </w:r>
      <w:r>
        <w:rPr>
          <w:spacing w:val="-15"/>
        </w:rPr>
        <w:t> </w:t>
      </w:r>
      <w:r>
        <w:rPr/>
        <w:t>веће.</w:t>
      </w:r>
    </w:p>
    <w:p>
      <w:pPr>
        <w:pStyle w:val="Heading1"/>
        <w:spacing w:line="275" w:lineRule="exact" w:before="1"/>
        <w:ind w:right="141"/>
        <w:jc w:val="left"/>
        <w:rPr>
          <w:b w:val="0"/>
          <w:bCs w:val="0"/>
        </w:rPr>
      </w:pPr>
      <w:r>
        <w:rPr/>
        <w:t>На основу ревизије узорковане документације утврђено</w:t>
      </w:r>
      <w:r>
        <w:rPr>
          <w:spacing w:val="-12"/>
        </w:rPr>
        <w:t> </w:t>
      </w:r>
      <w:r>
        <w:rPr/>
        <w:t>је:</w:t>
      </w:r>
      <w:r>
        <w:rPr>
          <w:b w:val="0"/>
        </w:rPr>
      </w:r>
    </w:p>
    <w:p>
      <w:pPr>
        <w:pStyle w:val="ListParagraph"/>
        <w:numPr>
          <w:ilvl w:val="0"/>
          <w:numId w:val="9"/>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У Списку корисника јавних средстава, који се води код Управе за трезор, као индиректни корисници су исказани Буџетски фонд за заштиту животне средине (за који је надлежна Управа за привреду, одрживи развој и заштиту животне средине) и Буџетски фонд за пољопривреду и рурални развој (за који је надлежна Управа за пољопривреду и развој села), а у Списку директних и индиректних корисника буџета града који је саставни део Одлуке о буџету града Ниша за 2014. годину </w:t>
      </w:r>
      <w:r>
        <w:rPr>
          <w:rFonts w:ascii="Times New Roman" w:hAnsi="Times New Roman"/>
          <w:spacing w:val="2"/>
          <w:sz w:val="24"/>
        </w:rPr>
        <w:t>нису </w:t>
      </w:r>
      <w:r>
        <w:rPr>
          <w:rFonts w:ascii="Times New Roman" w:hAnsi="Times New Roman"/>
          <w:sz w:val="24"/>
        </w:rPr>
        <w:t>исказани као индиректни </w:t>
      </w:r>
      <w:r>
        <w:rPr>
          <w:rFonts w:ascii="Times New Roman" w:hAnsi="Times New Roman"/>
          <w:sz w:val="24"/>
        </w:rPr>
        <w:t>корисници. Руководиоци управа надлежних за ове буџетске фондове, као и шеф Одсека  за буџет нису упознати са статусом буџетских</w:t>
      </w:r>
      <w:r>
        <w:rPr>
          <w:rFonts w:ascii="Times New Roman" w:hAnsi="Times New Roman"/>
          <w:spacing w:val="-24"/>
          <w:sz w:val="24"/>
        </w:rPr>
        <w:t> </w:t>
      </w:r>
      <w:r>
        <w:rPr>
          <w:rFonts w:ascii="Times New Roman" w:hAnsi="Times New Roman"/>
          <w:sz w:val="24"/>
        </w:rPr>
        <w:t>фондова.</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Фонд за развој и самофинансирање заједничких потреба грађана је основан на основу Статута града Ниша Одлуком Скупштине града о оснивању број 01</w:t>
      </w:r>
      <w:r>
        <w:rPr>
          <w:rFonts w:ascii="Times New Roman" w:hAnsi="Times New Roman"/>
          <w:sz w:val="24"/>
        </w:rPr>
        <w:t>-248/97-</w:t>
      </w:r>
      <w:r>
        <w:rPr>
          <w:rFonts w:ascii="Times New Roman" w:hAnsi="Times New Roman"/>
          <w:sz w:val="24"/>
        </w:rPr>
        <w:t>3 од 10.10.1997. године и Одлуком о изменама Одлуке о оснивању од 26.12.2003. године и од 06.07.2011. године, а уписан је код Привредног суда Решењем </w:t>
      </w:r>
      <w:r>
        <w:rPr>
          <w:rFonts w:ascii="Times New Roman" w:hAnsi="Times New Roman"/>
          <w:sz w:val="24"/>
        </w:rPr>
        <w:t>Fi</w:t>
      </w:r>
      <w:r>
        <w:rPr>
          <w:rFonts w:ascii="Times New Roman" w:hAnsi="Times New Roman"/>
          <w:sz w:val="24"/>
        </w:rPr>
        <w:t>.654/98 од 20.02.1998. године</w:t>
      </w:r>
      <w:r>
        <w:rPr>
          <w:rFonts w:ascii="Times New Roman" w:hAnsi="Times New Roman"/>
          <w:sz w:val="24"/>
        </w:rPr>
        <w:t>, </w:t>
      </w:r>
      <w:r>
        <w:rPr>
          <w:rFonts w:ascii="Times New Roman" w:hAnsi="Times New Roman"/>
          <w:sz w:val="24"/>
        </w:rPr>
        <w:t>тако да је основан без основа који је у складу са законом</w:t>
      </w:r>
      <w:r>
        <w:rPr>
          <w:rFonts w:ascii="Times New Roman" w:hAnsi="Times New Roman"/>
          <w:sz w:val="24"/>
        </w:rPr>
        <w:t>. </w:t>
      </w:r>
      <w:r>
        <w:rPr>
          <w:rFonts w:ascii="Times New Roman" w:hAnsi="Times New Roman"/>
          <w:sz w:val="24"/>
        </w:rPr>
        <w:t>Такође, претежна делатност Фонда </w:t>
      </w:r>
      <w:r>
        <w:rPr>
          <w:rFonts w:ascii="Times New Roman" w:hAnsi="Times New Roman"/>
          <w:sz w:val="24"/>
        </w:rPr>
        <w:t>6499-</w:t>
      </w:r>
      <w:r>
        <w:rPr>
          <w:rFonts w:ascii="Times New Roman" w:hAnsi="Times New Roman"/>
          <w:sz w:val="24"/>
        </w:rPr>
        <w:t>остале непоменуте финансијске услуге, осим осигурања и пензијских фондова, није у надлежности Града, сходно Закону о локалној самоуправи и Статуту града</w:t>
      </w:r>
      <w:r>
        <w:rPr>
          <w:rFonts w:ascii="Times New Roman" w:hAnsi="Times New Roman"/>
          <w:spacing w:val="-8"/>
          <w:sz w:val="24"/>
        </w:rPr>
        <w:t> </w:t>
      </w:r>
      <w:r>
        <w:rPr>
          <w:rFonts w:ascii="Times New Roman" w:hAnsi="Times New Roman"/>
          <w:sz w:val="24"/>
        </w:rPr>
        <w:t>Ниша.</w:t>
      </w:r>
    </w:p>
    <w:p>
      <w:pPr>
        <w:pStyle w:val="ListParagraph"/>
        <w:numPr>
          <w:ilvl w:val="0"/>
          <w:numId w:val="9"/>
        </w:numPr>
        <w:tabs>
          <w:tab w:pos="303"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Чланом 60. Статута града Ниша предвиђено је да Градско веће има секретара кога поставља Градско веће, на предлог Градоначелника и да секретар Градског већа има заменика секретара који се поставља на исти начин и </w:t>
      </w:r>
      <w:r>
        <w:rPr>
          <w:rFonts w:ascii="Times New Roman" w:hAnsi="Times New Roman"/>
          <w:spacing w:val="2"/>
          <w:sz w:val="24"/>
        </w:rPr>
        <w:t>под </w:t>
      </w:r>
      <w:r>
        <w:rPr>
          <w:rFonts w:ascii="Times New Roman" w:hAnsi="Times New Roman"/>
          <w:sz w:val="24"/>
        </w:rPr>
        <w:t>истим условима као и секретар, </w:t>
      </w:r>
      <w:r>
        <w:rPr>
          <w:rFonts w:ascii="Times New Roman" w:hAnsi="Times New Roman"/>
          <w:sz w:val="24"/>
        </w:rPr>
        <w:t>што је у супротности са Законом о локалној самоуправи којим нису предвиђени секретар и заменик секретара Градског већа као постављена лица, а што је за последицу имало незакониту исплату средстава за плате и социјалне доприносе у укупном износу од </w:t>
      </w:r>
      <w:r>
        <w:rPr>
          <w:rFonts w:ascii="Times New Roman" w:hAnsi="Times New Roman"/>
          <w:sz w:val="24"/>
        </w:rPr>
        <w:t>3.312 </w:t>
      </w:r>
      <w:r>
        <w:rPr>
          <w:rFonts w:ascii="Times New Roman" w:hAnsi="Times New Roman"/>
          <w:sz w:val="24"/>
        </w:rPr>
        <w:t>хиљада динара, што је детаљније описано у тачки 4.1.4.1.</w:t>
      </w:r>
      <w:r>
        <w:rPr>
          <w:rFonts w:ascii="Times New Roman" w:hAnsi="Times New Roman"/>
          <w:spacing w:val="-17"/>
          <w:sz w:val="24"/>
        </w:rPr>
        <w:t> </w:t>
      </w:r>
      <w:r>
        <w:rPr>
          <w:rFonts w:ascii="Times New Roman" w:hAnsi="Times New Roman"/>
          <w:sz w:val="24"/>
        </w:rPr>
        <w:t>Напомена.</w:t>
      </w:r>
    </w:p>
    <w:p>
      <w:pPr>
        <w:pStyle w:val="ListParagraph"/>
        <w:numPr>
          <w:ilvl w:val="0"/>
          <w:numId w:val="9"/>
        </w:numPr>
        <w:tabs>
          <w:tab w:pos="303" w:val="left" w:leader="none"/>
        </w:tabs>
        <w:spacing w:line="237" w:lineRule="auto" w:before="4"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Статутом града Ниша предвиђено је да помоћнике градоначелника поставља и разрешава Градоначелник. Помоћници градоначелника нису постављени у градској управи, што је супротно члану 58. и 66. Закона о локалној</w:t>
      </w:r>
      <w:r>
        <w:rPr>
          <w:rFonts w:ascii="Times New Roman" w:hAnsi="Times New Roman"/>
          <w:spacing w:val="-13"/>
          <w:sz w:val="24"/>
        </w:rPr>
        <w:t> </w:t>
      </w:r>
      <w:r>
        <w:rPr>
          <w:rFonts w:ascii="Times New Roman" w:hAnsi="Times New Roman"/>
          <w:sz w:val="24"/>
        </w:rPr>
        <w:t>самоуправи.</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Чланом 36. Oдлуке о организацији градских управа града Ниша предвиђено је радно место помоћника начелника, које није регулисано Законом о радним односима у државним органима и Законом о платама у државним органима и јавним службама, што је за последицу имало незакониту исплату средстава за плате и социјалне доприносе за  32 помоћника начелника у укупном износу од </w:t>
      </w:r>
      <w:r>
        <w:rPr>
          <w:rFonts w:ascii="Times New Roman" w:hAnsi="Times New Roman"/>
          <w:sz w:val="24"/>
        </w:rPr>
        <w:t>37.414 </w:t>
      </w:r>
      <w:r>
        <w:rPr>
          <w:rFonts w:ascii="Times New Roman" w:hAnsi="Times New Roman"/>
          <w:sz w:val="24"/>
        </w:rPr>
        <w:t>хиљада динара</w:t>
      </w:r>
      <w:r>
        <w:rPr>
          <w:rFonts w:ascii="Times New Roman" w:hAnsi="Times New Roman"/>
          <w:sz w:val="24"/>
        </w:rPr>
        <w:t>, </w:t>
      </w:r>
      <w:r>
        <w:rPr>
          <w:rFonts w:ascii="Times New Roman" w:hAnsi="Times New Roman"/>
          <w:sz w:val="24"/>
        </w:rPr>
        <w:t>што је детаљније описано у тачки 4.1.4.1.</w:t>
      </w:r>
      <w:r>
        <w:rPr>
          <w:rFonts w:ascii="Times New Roman" w:hAnsi="Times New Roman"/>
          <w:spacing w:val="-11"/>
          <w:sz w:val="24"/>
        </w:rPr>
        <w:t> </w:t>
      </w:r>
      <w:r>
        <w:rPr>
          <w:rFonts w:ascii="Times New Roman" w:hAnsi="Times New Roman"/>
          <w:sz w:val="24"/>
        </w:rPr>
        <w:t>Напомена.</w:t>
      </w:r>
    </w:p>
    <w:p>
      <w:pPr>
        <w:spacing w:after="0" w:line="240" w:lineRule="auto"/>
        <w:jc w:val="both"/>
        <w:rPr>
          <w:rFonts w:ascii="Times New Roman" w:hAnsi="Times New Roman" w:cs="Times New Roman" w:eastAsia="Times New Roman" w:hint="default"/>
          <w:sz w:val="24"/>
          <w:szCs w:val="24"/>
        </w:rPr>
        <w:sectPr>
          <w:footerReference w:type="default" r:id="rId36"/>
          <w:pgSz w:w="12240" w:h="15840"/>
          <w:pgMar w:footer="1610" w:header="740" w:top="1280" w:bottom="1800" w:left="1400" w:right="1260"/>
          <w:pgNumType w:start="34"/>
        </w:sectPr>
      </w:pPr>
    </w:p>
    <w:p>
      <w:pPr>
        <w:pStyle w:val="ListParagraph"/>
        <w:numPr>
          <w:ilvl w:val="0"/>
          <w:numId w:val="9"/>
        </w:numPr>
        <w:tabs>
          <w:tab w:pos="303" w:val="left" w:leader="none"/>
        </w:tabs>
        <w:spacing w:line="240" w:lineRule="auto" w:before="124"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Одлука о накнадама, додацима на плату и другим примањима изабраних, постављених  и запослених лица у органима и службама града није усклађена са Законом о раду који је ступио на снагу 29.07.2014. године, а који се примењује од 29.08.2014. године јер предвиђа да запослени има право на накнаду зараде за време одсуствовања са рада на дан празника који је нерадни дан, годишњег одмора, плаћеног одсуства у висини просечне зараде у претхода три месеца, а Закон о раду у висини просечне зараде у претходних 12 месеци.</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Правилник о платама лица које бира и поставља Скупштина града Ниша у органима и службама града; Правилник о платама лица која поставља Градоначелник града Ниша; Правилник о платама лица које поставља Градско веће града Ниша; Правилник о звањима, занимањима и платама запослених у градским управама и службама, градском јавном правобранилаштву, канцеларији заштитника грађана и буџетској инспекцији  града Ниша; Закључак о увећању коефицијената по основу квалитета и резултата рада, запосленима са средњом и нижим стручним спремама нису усклађени са Законом о платама у држаним органима и јавним службама и Уредбом о коефицијентима за  обрачун и исплату плата именованих и постављених лица и запослених у државним органима, што је имало ефекте у већој исплати буџетских средстава, што је детаљније описано у тачки 4.1.4.1.</w:t>
      </w:r>
      <w:r>
        <w:rPr>
          <w:rFonts w:ascii="Times New Roman" w:hAnsi="Times New Roman"/>
          <w:spacing w:val="-11"/>
          <w:sz w:val="24"/>
        </w:rPr>
        <w:t> </w:t>
      </w:r>
      <w:r>
        <w:rPr>
          <w:rFonts w:ascii="Times New Roman" w:hAnsi="Times New Roman"/>
          <w:sz w:val="24"/>
        </w:rPr>
        <w:t>Напомена.</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Чланом 23. Одлуке о остваривању потреба и интереса грађана у области спорта у граду Нишу, предвиђено је да Градоначелник на предлог Градског већа може утврдити износ стимулативних средстава за суфинансирање њихових програма, што није у складу са Законом о спорту, што је детаљније описано у тачки 4.1.4.23.</w:t>
      </w:r>
      <w:r>
        <w:rPr>
          <w:rFonts w:ascii="Times New Roman" w:hAnsi="Times New Roman"/>
          <w:spacing w:val="-19"/>
          <w:sz w:val="24"/>
        </w:rPr>
        <w:t> </w:t>
      </w:r>
      <w:r>
        <w:rPr>
          <w:rFonts w:ascii="Times New Roman" w:hAnsi="Times New Roman"/>
          <w:sz w:val="24"/>
        </w:rPr>
        <w:t>Напомена.</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Начелник Управе за финансије је у „Инкубатор центар“ доо Ниш у 2014. години вршио функцију члана Надзорног одбора, што је супротно члану 35. Oдлуке о организацији градских управа града Ниша, којом је регулисано да начелник и заменик начелника не могу вршити никакву јавну, професионалну и другу дужност која је неспојива са њиховом функцијом, а „Инкубатор центар“ доо Ниш се великим делом финансира из буџета</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града.</w:t>
      </w:r>
    </w:p>
    <w:p>
      <w:pPr>
        <w:pStyle w:val="ListParagraph"/>
        <w:numPr>
          <w:ilvl w:val="0"/>
          <w:numId w:val="9"/>
        </w:numPr>
        <w:tabs>
          <w:tab w:pos="303" w:val="left" w:leader="none"/>
        </w:tabs>
        <w:spacing w:line="240" w:lineRule="auto" w:before="2"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Сајт града Ниша није ажуриран тако да су објављене стратегије и акциони планови који су истекли, затим Одлука о буџету града Ниша за 2014. годину није објављена, као и Одлука о завршном рачуну града Ниша за 2014. годину, што није у складу са чланом 8. Законом о буџетском</w:t>
      </w:r>
      <w:r>
        <w:rPr>
          <w:rFonts w:ascii="Times New Roman" w:hAnsi="Times New Roman"/>
          <w:spacing w:val="-11"/>
          <w:sz w:val="24"/>
        </w:rPr>
        <w:t> </w:t>
      </w:r>
      <w:r>
        <w:rPr>
          <w:rFonts w:ascii="Times New Roman" w:hAnsi="Times New Roman"/>
          <w:sz w:val="24"/>
        </w:rPr>
        <w:t>систему</w:t>
      </w:r>
      <w:r>
        <w:rPr>
          <w:rFonts w:ascii="Times New Roman" w:hAnsi="Times New Roman"/>
          <w:sz w:val="24"/>
        </w:rPr>
        <w:t>.</w:t>
      </w:r>
    </w:p>
    <w:p>
      <w:pPr>
        <w:pStyle w:val="ListParagraph"/>
        <w:numPr>
          <w:ilvl w:val="0"/>
          <w:numId w:val="9"/>
        </w:numPr>
        <w:tabs>
          <w:tab w:pos="341"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Град Ниш је ЈП „Градска стамбена агенција“ одредио за индиректног корисника  буџета. Обзиром да према Закону о социјалном становању, јединица локалне самоуправе оснива непрофитну стамбену организацију као стамбену агенцију, а не као јавно предузеће, то сходно члану 2. став 1. тачка 8. Закона о буџетском систему, стамбена агенција не може да буде индиректни корисник буџета. Град Ниш је основао стамбену агенцију као јавно предузеће, што је супротно члану </w:t>
      </w:r>
      <w:r>
        <w:rPr>
          <w:rFonts w:ascii="Times New Roman" w:hAnsi="Times New Roman" w:cs="Times New Roman" w:eastAsia="Times New Roman" w:hint="default"/>
          <w:spacing w:val="3"/>
          <w:sz w:val="24"/>
          <w:szCs w:val="24"/>
        </w:rPr>
        <w:t>2. </w:t>
      </w:r>
      <w:r>
        <w:rPr>
          <w:rFonts w:ascii="Times New Roman" w:hAnsi="Times New Roman" w:cs="Times New Roman" w:eastAsia="Times New Roman" w:hint="default"/>
          <w:sz w:val="24"/>
          <w:szCs w:val="24"/>
        </w:rPr>
        <w:t>Закона о јавним предузећима,  </w:t>
      </w:r>
      <w:r>
        <w:rPr>
          <w:rFonts w:ascii="Times New Roman" w:hAnsi="Times New Roman" w:cs="Times New Roman" w:eastAsia="Times New Roman" w:hint="default"/>
          <w:sz w:val="24"/>
          <w:szCs w:val="24"/>
        </w:rPr>
        <w:t>који прописује да се јавна предузећа оснивају ради обављања делатности од општег интереса, а социјално становање није делатност од општег интереса. Затим, сходно Закону</w:t>
      </w:r>
      <w:r>
        <w:rPr>
          <w:rFonts w:ascii="Times New Roman" w:hAnsi="Times New Roman" w:cs="Times New Roman" w:eastAsia="Times New Roman" w:hint="default"/>
          <w:spacing w:val="26"/>
          <w:sz w:val="24"/>
          <w:szCs w:val="24"/>
        </w:rPr>
        <w:t> </w:t>
      </w:r>
      <w:r>
        <w:rPr>
          <w:rFonts w:ascii="Times New Roman" w:hAnsi="Times New Roman" w:cs="Times New Roman" w:eastAsia="Times New Roman" w:hint="default"/>
          <w:sz w:val="24"/>
          <w:szCs w:val="24"/>
        </w:rPr>
        <w:t>о</w:t>
      </w:r>
      <w:r>
        <w:rPr>
          <w:rFonts w:ascii="Times New Roman" w:hAnsi="Times New Roman" w:cs="Times New Roman" w:eastAsia="Times New Roman" w:hint="default"/>
          <w:spacing w:val="30"/>
          <w:sz w:val="24"/>
          <w:szCs w:val="24"/>
        </w:rPr>
        <w:t> </w:t>
      </w:r>
      <w:r>
        <w:rPr>
          <w:rFonts w:ascii="Times New Roman" w:hAnsi="Times New Roman" w:cs="Times New Roman" w:eastAsia="Times New Roman" w:hint="default"/>
          <w:sz w:val="24"/>
          <w:szCs w:val="24"/>
        </w:rPr>
        <w:t>јавним</w:t>
      </w:r>
      <w:r>
        <w:rPr>
          <w:rFonts w:ascii="Times New Roman" w:hAnsi="Times New Roman" w:cs="Times New Roman" w:eastAsia="Times New Roman" w:hint="default"/>
          <w:spacing w:val="30"/>
          <w:sz w:val="24"/>
          <w:szCs w:val="24"/>
        </w:rPr>
        <w:t> </w:t>
      </w:r>
      <w:r>
        <w:rPr>
          <w:rFonts w:ascii="Times New Roman" w:hAnsi="Times New Roman" w:cs="Times New Roman" w:eastAsia="Times New Roman" w:hint="default"/>
          <w:sz w:val="24"/>
          <w:szCs w:val="24"/>
        </w:rPr>
        <w:t>предузећима,</w:t>
      </w:r>
      <w:r>
        <w:rPr>
          <w:rFonts w:ascii="Times New Roman" w:hAnsi="Times New Roman" w:cs="Times New Roman" w:eastAsia="Times New Roman" w:hint="default"/>
          <w:spacing w:val="30"/>
          <w:sz w:val="24"/>
          <w:szCs w:val="24"/>
        </w:rPr>
        <w:t> </w:t>
      </w:r>
      <w:r>
        <w:rPr>
          <w:rFonts w:ascii="Times New Roman" w:hAnsi="Times New Roman" w:cs="Times New Roman" w:eastAsia="Times New Roman" w:hint="default"/>
          <w:sz w:val="24"/>
          <w:szCs w:val="24"/>
        </w:rPr>
        <w:t>јавна</w:t>
      </w:r>
      <w:r>
        <w:rPr>
          <w:rFonts w:ascii="Times New Roman" w:hAnsi="Times New Roman" w:cs="Times New Roman" w:eastAsia="Times New Roman" w:hint="default"/>
          <w:spacing w:val="30"/>
          <w:sz w:val="24"/>
          <w:szCs w:val="24"/>
        </w:rPr>
        <w:t> </w:t>
      </w:r>
      <w:r>
        <w:rPr>
          <w:rFonts w:ascii="Times New Roman" w:hAnsi="Times New Roman" w:cs="Times New Roman" w:eastAsia="Times New Roman" w:hint="default"/>
          <w:sz w:val="24"/>
          <w:szCs w:val="24"/>
        </w:rPr>
        <w:t>предузећа</w:t>
      </w:r>
      <w:r>
        <w:rPr>
          <w:rFonts w:ascii="Times New Roman" w:hAnsi="Times New Roman" w:cs="Times New Roman" w:eastAsia="Times New Roman" w:hint="default"/>
          <w:spacing w:val="30"/>
          <w:sz w:val="24"/>
          <w:szCs w:val="24"/>
        </w:rPr>
        <w:t> </w:t>
      </w:r>
      <w:r>
        <w:rPr>
          <w:rFonts w:ascii="Times New Roman" w:hAnsi="Times New Roman" w:cs="Times New Roman" w:eastAsia="Times New Roman" w:hint="default"/>
          <w:sz w:val="24"/>
          <w:szCs w:val="24"/>
        </w:rPr>
        <w:t>се</w:t>
      </w:r>
      <w:r>
        <w:rPr>
          <w:rFonts w:ascii="Times New Roman" w:hAnsi="Times New Roman" w:cs="Times New Roman" w:eastAsia="Times New Roman" w:hint="default"/>
          <w:spacing w:val="30"/>
          <w:sz w:val="24"/>
          <w:szCs w:val="24"/>
        </w:rPr>
        <w:t> </w:t>
      </w:r>
      <w:r>
        <w:rPr>
          <w:rFonts w:ascii="Times New Roman" w:hAnsi="Times New Roman" w:cs="Times New Roman" w:eastAsia="Times New Roman" w:hint="default"/>
          <w:sz w:val="24"/>
          <w:szCs w:val="24"/>
        </w:rPr>
        <w:t>оснивају</w:t>
      </w:r>
      <w:r>
        <w:rPr>
          <w:rFonts w:ascii="Times New Roman" w:hAnsi="Times New Roman" w:cs="Times New Roman" w:eastAsia="Times New Roman" w:hint="default"/>
          <w:spacing w:val="26"/>
          <w:sz w:val="24"/>
          <w:szCs w:val="24"/>
        </w:rPr>
        <w:t> </w:t>
      </w:r>
      <w:r>
        <w:rPr>
          <w:rFonts w:ascii="Times New Roman" w:hAnsi="Times New Roman" w:cs="Times New Roman" w:eastAsia="Times New Roman" w:hint="default"/>
          <w:sz w:val="24"/>
          <w:szCs w:val="24"/>
        </w:rPr>
        <w:t>и</w:t>
      </w:r>
      <w:r>
        <w:rPr>
          <w:rFonts w:ascii="Times New Roman" w:hAnsi="Times New Roman" w:cs="Times New Roman" w:eastAsia="Times New Roman" w:hint="default"/>
          <w:spacing w:val="31"/>
          <w:sz w:val="24"/>
          <w:szCs w:val="24"/>
        </w:rPr>
        <w:t> </w:t>
      </w:r>
      <w:r>
        <w:rPr>
          <w:rFonts w:ascii="Times New Roman" w:hAnsi="Times New Roman" w:cs="Times New Roman" w:eastAsia="Times New Roman" w:hint="default"/>
          <w:sz w:val="24"/>
          <w:szCs w:val="24"/>
        </w:rPr>
        <w:t>послују,</w:t>
      </w:r>
      <w:r>
        <w:rPr>
          <w:rFonts w:ascii="Times New Roman" w:hAnsi="Times New Roman" w:cs="Times New Roman" w:eastAsia="Times New Roman" w:hint="default"/>
          <w:spacing w:val="33"/>
          <w:sz w:val="24"/>
          <w:szCs w:val="24"/>
        </w:rPr>
        <w:t> </w:t>
      </w:r>
      <w:r>
        <w:rPr>
          <w:rFonts w:ascii="Times New Roman" w:hAnsi="Times New Roman" w:cs="Times New Roman" w:eastAsia="Times New Roman" w:hint="default"/>
          <w:sz w:val="24"/>
          <w:szCs w:val="24"/>
        </w:rPr>
        <w:t>између</w:t>
      </w:r>
      <w:r>
        <w:rPr>
          <w:rFonts w:ascii="Times New Roman" w:hAnsi="Times New Roman" w:cs="Times New Roman" w:eastAsia="Times New Roman" w:hint="default"/>
          <w:spacing w:val="28"/>
          <w:sz w:val="24"/>
          <w:szCs w:val="24"/>
        </w:rPr>
        <w:t> </w:t>
      </w:r>
      <w:r>
        <w:rPr>
          <w:rFonts w:ascii="Times New Roman" w:hAnsi="Times New Roman" w:cs="Times New Roman" w:eastAsia="Times New Roman" w:hint="default"/>
          <w:sz w:val="24"/>
          <w:szCs w:val="24"/>
        </w:rPr>
        <w:t>осталог</w:t>
      </w:r>
      <w:r>
        <w:rPr>
          <w:rFonts w:ascii="Times New Roman" w:hAnsi="Times New Roman" w:cs="Times New Roman" w:eastAsia="Times New Roman" w:hint="default"/>
          <w:spacing w:val="33"/>
          <w:sz w:val="24"/>
          <w:szCs w:val="24"/>
        </w:rPr>
        <w:t> </w:t>
      </w:r>
      <w:r>
        <w:rPr>
          <w:rFonts w:ascii="Times New Roman" w:hAnsi="Times New Roman" w:cs="Times New Roman" w:eastAsia="Times New Roman" w:hint="default"/>
          <w:sz w:val="24"/>
          <w:szCs w:val="24"/>
        </w:rPr>
        <w:t>и</w:t>
      </w:r>
    </w:p>
    <w:p>
      <w:pPr>
        <w:pStyle w:val="BodyText"/>
        <w:spacing w:line="225" w:lineRule="auto" w:before="11"/>
        <w:ind w:right="176"/>
        <w:jc w:val="both"/>
      </w:pPr>
      <w:r>
        <w:rPr/>
        <w:t>ради стицања добити, док стамбену агенцију, према члану 4. и 13. Закона о социјалном становању</w:t>
      </w:r>
      <w:r>
        <w:rPr>
          <w:rFonts w:ascii="Times New Roman" w:hAnsi="Times New Roman"/>
          <w:position w:val="11"/>
          <w:sz w:val="16"/>
        </w:rPr>
        <w:t>11 </w:t>
      </w:r>
      <w:r>
        <w:rPr/>
        <w:t>јединица локалне самоуправе оснива као непрофитну стамбену организацију.</w:t>
      </w:r>
    </w:p>
    <w:p>
      <w:pPr>
        <w:spacing w:after="0" w:line="225" w:lineRule="auto"/>
        <w:jc w:val="both"/>
        <w:sectPr>
          <w:footerReference w:type="default" r:id="rId43"/>
          <w:pgSz w:w="12240" w:h="15840"/>
          <w:pgMar w:footer="1610" w:header="740" w:top="1280" w:bottom="1800" w:left="1400" w:right="1260"/>
        </w:sectPr>
      </w:pPr>
    </w:p>
    <w:p>
      <w:pPr>
        <w:spacing w:line="240" w:lineRule="auto" w:before="11"/>
        <w:rPr>
          <w:rFonts w:ascii="Times New Roman" w:hAnsi="Times New Roman" w:cs="Times New Roman" w:eastAsia="Times New Roman" w:hint="default"/>
          <w:sz w:val="29"/>
          <w:szCs w:val="29"/>
        </w:rPr>
      </w:pPr>
    </w:p>
    <w:p>
      <w:pPr>
        <w:pStyle w:val="ListParagraph"/>
        <w:numPr>
          <w:ilvl w:val="0"/>
          <w:numId w:val="9"/>
        </w:numPr>
        <w:tabs>
          <w:tab w:pos="303" w:val="left" w:leader="none"/>
        </w:tabs>
        <w:spacing w:line="274" w:lineRule="exact" w:before="77"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Град Ниш нема локалну стамбену стратегију, што је супротно члану 4. Закона о социјалном</w:t>
      </w:r>
      <w:r>
        <w:rPr>
          <w:rFonts w:ascii="Times New Roman" w:hAnsi="Times New Roman"/>
          <w:spacing w:val="-10"/>
          <w:sz w:val="24"/>
        </w:rPr>
        <w:t> </w:t>
      </w:r>
      <w:r>
        <w:rPr>
          <w:rFonts w:ascii="Times New Roman" w:hAnsi="Times New Roman"/>
          <w:sz w:val="24"/>
        </w:rPr>
        <w:t>становању.</w:t>
      </w:r>
    </w:p>
    <w:p>
      <w:pPr>
        <w:pStyle w:val="ListParagraph"/>
        <w:numPr>
          <w:ilvl w:val="0"/>
          <w:numId w:val="9"/>
        </w:numPr>
        <w:tabs>
          <w:tab w:pos="303" w:val="left" w:leader="none"/>
        </w:tabs>
        <w:spacing w:line="240" w:lineRule="auto" w:before="0"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Одлукама о оснивању установа културе регулисано је да градоначелник и установе закључују уговор о финансирању програма у трајању од једне године, а нису закључени уговори за 2014. годину, што је супротно члану 75. Закона о култури и одлукама о оснивању установа</w:t>
      </w:r>
      <w:r>
        <w:rPr>
          <w:rFonts w:ascii="Times New Roman" w:hAnsi="Times New Roman"/>
          <w:spacing w:val="-15"/>
          <w:sz w:val="24"/>
        </w:rPr>
        <w:t> </w:t>
      </w:r>
      <w:r>
        <w:rPr>
          <w:rFonts w:ascii="Times New Roman" w:hAnsi="Times New Roman"/>
          <w:sz w:val="24"/>
        </w:rPr>
        <w:t>културе.</w:t>
      </w:r>
    </w:p>
    <w:p>
      <w:pPr>
        <w:pStyle w:val="ListParagraph"/>
        <w:numPr>
          <w:ilvl w:val="0"/>
          <w:numId w:val="9"/>
        </w:numPr>
        <w:tabs>
          <w:tab w:pos="303" w:val="left" w:leader="none"/>
        </w:tabs>
        <w:spacing w:line="237"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Одлуком о одређивању комуналних делатности од локалног интереса</w:t>
      </w:r>
      <w:r>
        <w:rPr>
          <w:rFonts w:ascii="Times New Roman" w:hAnsi="Times New Roman"/>
          <w:position w:val="11"/>
          <w:sz w:val="16"/>
        </w:rPr>
        <w:t>12 </w:t>
      </w:r>
      <w:r>
        <w:rPr>
          <w:rFonts w:ascii="Times New Roman" w:hAnsi="Times New Roman"/>
          <w:sz w:val="24"/>
        </w:rPr>
        <w:t>предвиђена је комунална делатност од локалног интереса </w:t>
      </w:r>
      <w:r>
        <w:rPr>
          <w:rFonts w:ascii="Times New Roman" w:hAnsi="Times New Roman"/>
          <w:sz w:val="24"/>
        </w:rPr>
        <w:t>- </w:t>
      </w:r>
      <w:r>
        <w:rPr>
          <w:rFonts w:ascii="Times New Roman" w:hAnsi="Times New Roman"/>
          <w:sz w:val="24"/>
        </w:rPr>
        <w:t>извођење радова на изградњи и реконструкцији водоводне и канализационе мреже и повезивање новоизграђених  </w:t>
      </w:r>
      <w:r>
        <w:rPr>
          <w:rFonts w:ascii="Times New Roman" w:hAnsi="Times New Roman"/>
          <w:spacing w:val="36"/>
          <w:sz w:val="24"/>
        </w:rPr>
        <w:t> </w:t>
      </w:r>
      <w:r>
        <w:rPr>
          <w:rFonts w:ascii="Times New Roman" w:hAnsi="Times New Roman"/>
          <w:sz w:val="24"/>
        </w:rPr>
        <w:t>мрежа</w:t>
      </w:r>
    </w:p>
    <w:p>
      <w:pPr>
        <w:pStyle w:val="BodyText"/>
        <w:spacing w:line="240" w:lineRule="auto"/>
        <w:ind w:right="172"/>
        <w:jc w:val="both"/>
      </w:pPr>
      <w:r>
        <w:rPr/>
        <w:t>на постојећи систем. Чланом 2. Закона о комуналним делатностима прописано је да Скупштина јединице локалне самоуправе може као комуналне</w:t>
      </w:r>
      <w:r>
        <w:rPr>
          <w:rFonts w:ascii="Times New Roman" w:hAnsi="Times New Roman"/>
        </w:rPr>
        <w:t>, </w:t>
      </w:r>
      <w:r>
        <w:rPr/>
        <w:t>одредити и друге делатности од локалног интереса и прописати услове њиховог обављања</w:t>
      </w:r>
      <w:r>
        <w:rPr>
          <w:rFonts w:ascii="Times New Roman" w:hAnsi="Times New Roman"/>
        </w:rPr>
        <w:t>. </w:t>
      </w:r>
      <w:r>
        <w:rPr/>
        <w:t>Међутим, у поступку ревизије нисмо се уверили да је извођење радова на изградњи и реконструкцији водоводне и канализационе мреже комунална делатност од локалног интереса коју треба поверити без поступка јавне</w:t>
      </w:r>
      <w:r>
        <w:rPr>
          <w:spacing w:val="-15"/>
        </w:rPr>
        <w:t> </w:t>
      </w:r>
      <w:r>
        <w:rPr/>
        <w:t>набавке.</w:t>
      </w:r>
    </w:p>
    <w:p>
      <w:pPr>
        <w:pStyle w:val="ListParagraph"/>
        <w:numPr>
          <w:ilvl w:val="0"/>
          <w:numId w:val="9"/>
        </w:numPr>
        <w:tabs>
          <w:tab w:pos="303" w:val="left" w:leader="none"/>
        </w:tabs>
        <w:spacing w:line="274" w:lineRule="exact" w:before="24"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Расподелу добити остварене у 2013. години није извршило ЈП „Дирекција за јавни превоз  града  Ниша“,  ЈП  „Завод  за  урбанизам“  и  ЈП  „Нишка  телевизија“,  док    </w:t>
      </w:r>
      <w:r>
        <w:rPr>
          <w:rFonts w:ascii="Times New Roman" w:hAnsi="Times New Roman" w:cs="Times New Roman" w:eastAsia="Times New Roman" w:hint="default"/>
          <w:spacing w:val="27"/>
          <w:sz w:val="24"/>
          <w:szCs w:val="24"/>
        </w:rPr>
        <w:t> </w:t>
      </w:r>
      <w:r>
        <w:rPr>
          <w:rFonts w:ascii="Times New Roman" w:hAnsi="Times New Roman" w:cs="Times New Roman" w:eastAsia="Times New Roman" w:hint="default"/>
          <w:sz w:val="24"/>
          <w:szCs w:val="24"/>
        </w:rPr>
        <w:t>ЈКП</w:t>
      </w:r>
    </w:p>
    <w:p>
      <w:pPr>
        <w:pStyle w:val="BodyText"/>
        <w:spacing w:line="240" w:lineRule="auto"/>
        <w:ind w:right="178"/>
        <w:jc w:val="both"/>
      </w:pPr>
      <w:r>
        <w:rPr/>
        <w:t>„Паркинг сервис“ није уплатило оснивачу део добити од 3.775 хиљада динара, иако је на Одлуку Надзорног одбора о расподели добити сагласност дао оснивач. Наведено је супротно члану 49. Закона о јавним</w:t>
      </w:r>
      <w:r>
        <w:rPr>
          <w:spacing w:val="-18"/>
        </w:rPr>
        <w:t> </w:t>
      </w:r>
      <w:r>
        <w:rPr/>
        <w:t>предузећима.</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Чланом 10. Одлуке о накнадама, додацима на плату и другим примањима изабраних, постављених и запослених лица у органима и службама града Ниша број 15</w:t>
      </w:r>
      <w:r>
        <w:rPr>
          <w:rFonts w:ascii="Times New Roman" w:hAnsi="Times New Roman"/>
          <w:sz w:val="24"/>
        </w:rPr>
        <w:t>-</w:t>
      </w:r>
      <w:r>
        <w:rPr>
          <w:rFonts w:ascii="Times New Roman" w:hAnsi="Times New Roman"/>
          <w:sz w:val="24"/>
        </w:rPr>
        <w:t>27/2008 од </w:t>
      </w:r>
      <w:r>
        <w:rPr>
          <w:rFonts w:ascii="Times New Roman" w:hAnsi="Times New Roman"/>
          <w:sz w:val="24"/>
        </w:rPr>
        <w:t>17.01.2008. </w:t>
      </w:r>
      <w:r>
        <w:rPr>
          <w:rFonts w:ascii="Times New Roman" w:hAnsi="Times New Roman"/>
          <w:sz w:val="24"/>
        </w:rPr>
        <w:t>године одређено је да Градоначелник издаје налог за службено путовање градоначелнику и да председник скупштине издаје налог за службено путовање председнику скупштине, тако да су наведена лица сама себе упутила на службени пут, чиме су поступили супротно члану 4. Уредбе о накнади трошкова и отпремнини државних службеника и</w:t>
      </w:r>
      <w:r>
        <w:rPr>
          <w:rFonts w:ascii="Times New Roman" w:hAnsi="Times New Roman"/>
          <w:spacing w:val="-13"/>
          <w:sz w:val="24"/>
        </w:rPr>
        <w:t> </w:t>
      </w:r>
      <w:r>
        <w:rPr>
          <w:rFonts w:ascii="Times New Roman" w:hAnsi="Times New Roman"/>
          <w:sz w:val="24"/>
        </w:rPr>
        <w:t>намештеника.</w:t>
      </w:r>
    </w:p>
    <w:p>
      <w:pPr>
        <w:pStyle w:val="ListParagraph"/>
        <w:numPr>
          <w:ilvl w:val="0"/>
          <w:numId w:val="9"/>
        </w:numPr>
        <w:tabs>
          <w:tab w:pos="303" w:val="left" w:leader="none"/>
        </w:tabs>
        <w:spacing w:line="240" w:lineRule="auto" w:before="2" w:after="0"/>
        <w:ind w:left="160" w:right="250" w:firstLine="0"/>
        <w:jc w:val="both"/>
        <w:rPr>
          <w:rFonts w:ascii="Times New Roman" w:hAnsi="Times New Roman" w:cs="Times New Roman" w:eastAsia="Times New Roman" w:hint="default"/>
          <w:sz w:val="24"/>
          <w:szCs w:val="24"/>
        </w:rPr>
      </w:pPr>
      <w:r>
        <w:rPr>
          <w:rFonts w:ascii="Times New Roman" w:hAnsi="Times New Roman"/>
          <w:sz w:val="24"/>
        </w:rPr>
        <w:t>Одлука о образовању робних резерви донета је 1998. године на основу Закона о робним резервама из </w:t>
      </w:r>
      <w:r>
        <w:rPr>
          <w:rFonts w:ascii="Times New Roman" w:hAnsi="Times New Roman"/>
          <w:sz w:val="24"/>
        </w:rPr>
        <w:t>1992. </w:t>
      </w:r>
      <w:r>
        <w:rPr>
          <w:rFonts w:ascii="Times New Roman" w:hAnsi="Times New Roman"/>
          <w:sz w:val="24"/>
        </w:rPr>
        <w:t>године, иако је </w:t>
      </w:r>
      <w:r>
        <w:rPr>
          <w:rFonts w:ascii="Times New Roman" w:hAnsi="Times New Roman"/>
          <w:sz w:val="24"/>
        </w:rPr>
        <w:t>y 2013. </w:t>
      </w:r>
      <w:r>
        <w:rPr>
          <w:rFonts w:ascii="Times New Roman" w:hAnsi="Times New Roman"/>
          <w:sz w:val="24"/>
        </w:rPr>
        <w:t>години донет нови  Закон о робним</w:t>
      </w:r>
      <w:r>
        <w:rPr>
          <w:rFonts w:ascii="Times New Roman" w:hAnsi="Times New Roman"/>
          <w:spacing w:val="-18"/>
          <w:sz w:val="24"/>
        </w:rPr>
        <w:t> </w:t>
      </w:r>
      <w:r>
        <w:rPr>
          <w:rFonts w:ascii="Times New Roman" w:hAnsi="Times New Roman"/>
          <w:sz w:val="24"/>
        </w:rPr>
        <w:t>резервама.</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Скупштина града Ниша је на седници од 18.09.2012. године, донела Решење о именовању вршиоца дужности директора Народног позоришта у Нишу и именовала лице које у том тренутку није испуњавало услове захтеване за радно место Директора Народног позоришта у Нишу. Правилником о унутрашњој организацији и систематизацији радних места у Народном позоришту у Нишу број 01</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695 од 20.12.2007. године, у члану 10. прописани су услови који су потребни за свако радно место, тако да  је за радно место Директора прописана „Уметничка академија или један од факултета друштвеног смера, са најмање три године радног искуства. Увидом у досије директора Народног позоришта, утврдили смо да је именовани дипломирао дана 26.09.2012. године, што је осам дана после именовања за вршиоца дужности директора Народног позоришта. Из наведеног произилази да именовани није испуњавао услове за директора, што је супротно члану 24. Закона о раду, члану 36. Закона о култури, члану 17. Статута Народног  позоришта  број  01</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315/3  од  14.02.2011.  године  и  члану  10.  Правилника </w:t>
      </w:r>
      <w:r>
        <w:rPr>
          <w:rFonts w:ascii="Times New Roman" w:hAnsi="Times New Roman" w:cs="Times New Roman" w:eastAsia="Times New Roman" w:hint="default"/>
          <w:spacing w:val="36"/>
          <w:sz w:val="24"/>
          <w:szCs w:val="24"/>
        </w:rPr>
        <w:t> </w:t>
      </w:r>
      <w:r>
        <w:rPr>
          <w:rFonts w:ascii="Times New Roman" w:hAnsi="Times New Roman" w:cs="Times New Roman" w:eastAsia="Times New Roman" w:hint="default"/>
          <w:sz w:val="24"/>
          <w:szCs w:val="24"/>
        </w:rPr>
        <w:t>о</w:t>
      </w:r>
    </w:p>
    <w:p>
      <w:pPr>
        <w:spacing w:after="0" w:line="240" w:lineRule="auto"/>
        <w:jc w:val="both"/>
        <w:rPr>
          <w:rFonts w:ascii="Times New Roman" w:hAnsi="Times New Roman" w:cs="Times New Roman" w:eastAsia="Times New Roman" w:hint="default"/>
          <w:sz w:val="24"/>
          <w:szCs w:val="24"/>
        </w:rPr>
        <w:sectPr>
          <w:footerReference w:type="default" r:id="rId44"/>
          <w:pgSz w:w="12240" w:h="15840"/>
          <w:pgMar w:footer="1610" w:header="740" w:top="1280" w:bottom="1800" w:left="1400" w:right="1260"/>
        </w:sectPr>
      </w:pPr>
    </w:p>
    <w:p>
      <w:pPr>
        <w:pStyle w:val="BodyText"/>
        <w:spacing w:line="240" w:lineRule="auto" w:before="122"/>
        <w:ind w:right="141"/>
        <w:jc w:val="left"/>
      </w:pPr>
      <w:r>
        <w:rPr/>
        <w:t>унутрашњој организацији и систематизацији радних места у Народном позоришту у Нишу.</w:t>
      </w:r>
    </w:p>
    <w:p>
      <w:pPr>
        <w:pStyle w:val="ListParagraph"/>
        <w:numPr>
          <w:ilvl w:val="0"/>
          <w:numId w:val="9"/>
        </w:numPr>
        <w:tabs>
          <w:tab w:pos="303" w:val="left" w:leader="none"/>
        </w:tabs>
        <w:spacing w:line="292" w:lineRule="exact" w:before="2" w:after="0"/>
        <w:ind w:left="302" w:right="0" w:hanging="142"/>
        <w:jc w:val="left"/>
        <w:rPr>
          <w:rFonts w:ascii="Times New Roman" w:hAnsi="Times New Roman" w:cs="Times New Roman" w:eastAsia="Times New Roman" w:hint="default"/>
          <w:sz w:val="24"/>
          <w:szCs w:val="24"/>
        </w:rPr>
      </w:pPr>
      <w:r>
        <w:rPr>
          <w:rFonts w:ascii="Times New Roman" w:hAnsi="Times New Roman"/>
          <w:sz w:val="24"/>
        </w:rPr>
        <w:t>Правилником  о  изменама  Правилника  о  регресирању  трошкова  боравка  деце  у</w:t>
      </w:r>
      <w:r>
        <w:rPr>
          <w:rFonts w:ascii="Times New Roman" w:hAnsi="Times New Roman"/>
          <w:spacing w:val="48"/>
          <w:sz w:val="24"/>
        </w:rPr>
        <w:t> </w:t>
      </w:r>
      <w:r>
        <w:rPr>
          <w:rFonts w:ascii="Times New Roman" w:hAnsi="Times New Roman"/>
          <w:sz w:val="24"/>
        </w:rPr>
        <w:t>ПУ</w:t>
      </w:r>
    </w:p>
    <w:p>
      <w:pPr>
        <w:pStyle w:val="BodyText"/>
        <w:spacing w:line="240" w:lineRule="auto"/>
        <w:ind w:right="175"/>
        <w:jc w:val="both"/>
      </w:pPr>
      <w:r>
        <w:rPr/>
        <w:t>„Пчелица“ Ниш, донетом од стране Градског већа дана 22.02.2013. године предвиђено је да се регресирање трошкова услуге боравка у ПУ „Пчелица“ Ниш утврђује на начин да родитељи корисници услуга боравка у ПУ имају учешће 26% од економске цене услуга</w:t>
      </w:r>
      <w:r>
        <w:rPr>
          <w:rFonts w:ascii="Times New Roman" w:hAnsi="Times New Roman" w:cs="Times New Roman" w:eastAsia="Times New Roman" w:hint="default"/>
        </w:rPr>
        <w:t>, </w:t>
      </w:r>
      <w:r>
        <w:rPr/>
        <w:t>а Правилником  о  изменама  Правилника  о  регресирању  трошкова  боравка  деце  у   </w:t>
      </w:r>
      <w:r>
        <w:rPr>
          <w:spacing w:val="16"/>
        </w:rPr>
        <w:t> </w:t>
      </w:r>
      <w:r>
        <w:rPr/>
        <w:t>ПУ</w:t>
      </w:r>
    </w:p>
    <w:p>
      <w:pPr>
        <w:pStyle w:val="BodyText"/>
        <w:spacing w:line="240" w:lineRule="auto"/>
        <w:ind w:right="234"/>
        <w:jc w:val="left"/>
        <w:rPr>
          <w:rFonts w:ascii="Times New Roman" w:hAnsi="Times New Roman" w:cs="Times New Roman" w:eastAsia="Times New Roman" w:hint="default"/>
        </w:rPr>
      </w:pPr>
      <w:r>
        <w:rPr/>
        <w:t>„Пчелица“ Ниш, донетом од стране Градског већа дана 25.06.2014. године предвиђено је да се регресирање трошкова услуге боравка у ПУ „Пчелица“ Ниш утврђује на начин да родитељи корисници услуга боравка у ПУ имају учешће 29% од економске цене услуга</w:t>
      </w:r>
      <w:r>
        <w:rPr>
          <w:rFonts w:ascii="Times New Roman" w:hAnsi="Times New Roman" w:cs="Times New Roman" w:eastAsia="Times New Roman" w:hint="default"/>
        </w:rPr>
        <w:t>. </w:t>
      </w:r>
      <w:r>
        <w:rPr/>
        <w:t>На основу наведеног Градско веће је поступило супротно члану 159. Закона о основама система васпитања и образовања, члану 50. Закона о предшколском васпитању и образовању и члану 23. Одлуке о финансијској подршци породици са децом на територији града Ниша, којим је одређено да се средства за финансирање целодневног боравка обезбеђују у буџету града Ниша у износу од 80% и учешћа корисника у износу од 20% од економске цене, просечно по</w:t>
      </w:r>
      <w:r>
        <w:rPr>
          <w:spacing w:val="-10"/>
        </w:rPr>
        <w:t> </w:t>
      </w:r>
      <w:r>
        <w:rPr/>
        <w:t>детету</w:t>
      </w:r>
      <w:r>
        <w:rPr>
          <w:rFonts w:ascii="Times New Roman" w:hAnsi="Times New Roman" w:cs="Times New Roman" w:eastAsia="Times New Roman" w:hint="default"/>
        </w:rPr>
        <w:t>.</w:t>
      </w:r>
    </w:p>
    <w:p>
      <w:pPr>
        <w:pStyle w:val="Heading2"/>
        <w:spacing w:line="240" w:lineRule="auto"/>
        <w:ind w:right="174"/>
        <w:jc w:val="both"/>
        <w:rPr>
          <w:b w:val="0"/>
          <w:bCs w:val="0"/>
          <w:i w:val="0"/>
        </w:rPr>
      </w:pPr>
      <w:r>
        <w:rPr>
          <w:i/>
        </w:rPr>
        <w:t>Препоручује се одговорним лицима да: ускладе Списак корисника јавних средстава буџета локалне власти који су укључени у систем Консолидованог рачуна трезора у оквиру трезора </w:t>
      </w:r>
      <w:r>
        <w:rPr>
          <w:rFonts w:ascii="Times New Roman" w:hAnsi="Times New Roman"/>
          <w:i/>
        </w:rPr>
        <w:t>521 </w:t>
      </w:r>
      <w:r>
        <w:rPr>
          <w:i/>
        </w:rPr>
        <w:t>са важећим прописима и интерним актима; ускладе интерна акта са важећим прописима; примењују донета интерна</w:t>
      </w:r>
      <w:r>
        <w:rPr>
          <w:i/>
          <w:spacing w:val="-15"/>
        </w:rPr>
        <w:t> </w:t>
      </w:r>
      <w:r>
        <w:rPr>
          <w:i/>
        </w:rPr>
        <w:t>акта.</w:t>
      </w:r>
      <w:r>
        <w:rPr>
          <w:b w:val="0"/>
          <w:i w:val="0"/>
        </w:rPr>
      </w:r>
    </w:p>
    <w:p>
      <w:pPr>
        <w:pStyle w:val="ListParagraph"/>
        <w:numPr>
          <w:ilvl w:val="1"/>
          <w:numId w:val="20"/>
        </w:numPr>
        <w:tabs>
          <w:tab w:pos="1013" w:val="left" w:leader="none"/>
        </w:tabs>
        <w:spacing w:line="274" w:lineRule="exact" w:before="60" w:after="0"/>
        <w:ind w:left="1012" w:right="0" w:hanging="286"/>
        <w:jc w:val="left"/>
        <w:rPr>
          <w:rFonts w:ascii="Times New Roman" w:hAnsi="Times New Roman" w:cs="Times New Roman" w:eastAsia="Times New Roman" w:hint="default"/>
          <w:sz w:val="24"/>
          <w:szCs w:val="24"/>
        </w:rPr>
      </w:pPr>
      <w:r>
        <w:rPr>
          <w:rFonts w:ascii="Times New Roman" w:hAnsi="Times New Roman"/>
          <w:b/>
          <w:sz w:val="24"/>
        </w:rPr>
        <w:t>Управљање</w:t>
      </w:r>
      <w:r>
        <w:rPr>
          <w:rFonts w:ascii="Times New Roman" w:hAnsi="Times New Roman"/>
          <w:b/>
          <w:spacing w:val="-5"/>
          <w:sz w:val="24"/>
        </w:rPr>
        <w:t> </w:t>
      </w:r>
      <w:r>
        <w:rPr>
          <w:rFonts w:ascii="Times New Roman" w:hAnsi="Times New Roman"/>
          <w:b/>
          <w:sz w:val="24"/>
        </w:rPr>
        <w:t>ризицима</w:t>
      </w:r>
      <w:r>
        <w:rPr>
          <w:rFonts w:ascii="Times New Roman" w:hAnsi="Times New Roman"/>
          <w:sz w:val="24"/>
        </w:rPr>
      </w:r>
    </w:p>
    <w:p>
      <w:pPr>
        <w:pStyle w:val="BodyText"/>
        <w:spacing w:line="240" w:lineRule="auto"/>
        <w:ind w:right="181" w:firstLine="566"/>
        <w:jc w:val="both"/>
      </w:pPr>
      <w:r>
        <w:rPr/>
        <w:t>Ефикасан систем интерне контроле захтева препознавање и континуирану процену и оцењивање материјалних ризика који могу онемогућити постизање планираних циљева.</w:t>
      </w:r>
    </w:p>
    <w:p>
      <w:pPr>
        <w:pStyle w:val="BodyText"/>
        <w:spacing w:line="276" w:lineRule="exact" w:before="3"/>
        <w:ind w:right="177" w:firstLine="566"/>
        <w:jc w:val="both"/>
        <w:rPr>
          <w:rFonts w:ascii="Times New Roman" w:hAnsi="Times New Roman" w:cs="Times New Roman" w:eastAsia="Times New Roman" w:hint="default"/>
        </w:rPr>
      </w:pPr>
      <w:r>
        <w:rPr>
          <w:rFonts w:ascii="Times New Roman" w:hAnsi="Times New Roman"/>
          <w:b/>
        </w:rPr>
        <w:t>На основу ревизије узорковане документације утврђено је </w:t>
      </w:r>
      <w:r>
        <w:rPr/>
        <w:t>да руководство града Ниша није усвојило стратегију управљања ризиком и нису на одговарајући начин спроведене контроле које служе за свођење ризика на прихватљив ниво, сходно члану 6. Правилника о заједничким критеријумима и стандардима за успостављање, функционисање и извештавање о систему финансијског управљања и контроле у јавном сектору</w:t>
      </w:r>
      <w:r>
        <w:rPr>
          <w:rFonts w:ascii="Times New Roman" w:hAnsi="Times New Roman"/>
          <w:position w:val="11"/>
          <w:sz w:val="16"/>
        </w:rPr>
        <w:t>13</w:t>
      </w:r>
      <w:r>
        <w:rPr>
          <w:rFonts w:ascii="Times New Roman" w:hAnsi="Times New Roman"/>
        </w:rPr>
        <w:t>.</w:t>
      </w:r>
    </w:p>
    <w:p>
      <w:pPr>
        <w:pStyle w:val="Heading2"/>
        <w:spacing w:line="240" w:lineRule="auto" w:before="1"/>
        <w:ind w:right="175"/>
        <w:jc w:val="both"/>
        <w:rPr>
          <w:b w:val="0"/>
          <w:bCs w:val="0"/>
          <w:i w:val="0"/>
        </w:rPr>
      </w:pPr>
      <w:r>
        <w:rPr>
          <w:i/>
        </w:rPr>
        <w:t>Препоручује се одговорним лицима да: идентификују кључне циљеве и оперативне процесе; утврде потенцијална проблематична подручја, фазе рада и појединачне трансакције; процене вероватноћу настанка ризика; процене значај могућег утицаја на рад директних корисника буџета; одреде  материјалност излагања ризику; усвоје стратегију управљања ризиком; успоставе приоритетне контроле које служе за свођење ризика на прихватљив ниво и исте анализирају и ажурирају најмање једном</w:t>
      </w:r>
      <w:r>
        <w:rPr>
          <w:i/>
          <w:spacing w:val="-7"/>
        </w:rPr>
        <w:t> </w:t>
      </w:r>
      <w:r>
        <w:rPr>
          <w:i/>
        </w:rPr>
        <w:t>годишње.</w:t>
      </w:r>
      <w:r>
        <w:rPr>
          <w:b w:val="0"/>
          <w:i w:val="0"/>
        </w:rPr>
      </w:r>
    </w:p>
    <w:p>
      <w:pPr>
        <w:pStyle w:val="ListParagraph"/>
        <w:numPr>
          <w:ilvl w:val="1"/>
          <w:numId w:val="20"/>
        </w:numPr>
        <w:tabs>
          <w:tab w:pos="972" w:val="left" w:leader="none"/>
        </w:tabs>
        <w:spacing w:line="274" w:lineRule="exact" w:before="60" w:after="0"/>
        <w:ind w:left="971" w:right="0" w:hanging="245"/>
        <w:jc w:val="left"/>
        <w:rPr>
          <w:rFonts w:ascii="Times New Roman" w:hAnsi="Times New Roman" w:cs="Times New Roman" w:eastAsia="Times New Roman" w:hint="default"/>
          <w:sz w:val="24"/>
          <w:szCs w:val="24"/>
        </w:rPr>
      </w:pPr>
      <w:r>
        <w:rPr>
          <w:rFonts w:ascii="Times New Roman" w:hAnsi="Times New Roman"/>
          <w:b/>
          <w:sz w:val="24"/>
        </w:rPr>
        <w:t>Контролне</w:t>
      </w:r>
      <w:r>
        <w:rPr>
          <w:rFonts w:ascii="Times New Roman" w:hAnsi="Times New Roman"/>
          <w:b/>
          <w:spacing w:val="-6"/>
          <w:sz w:val="24"/>
        </w:rPr>
        <w:t> </w:t>
      </w:r>
      <w:r>
        <w:rPr>
          <w:rFonts w:ascii="Times New Roman" w:hAnsi="Times New Roman"/>
          <w:b/>
          <w:sz w:val="24"/>
        </w:rPr>
        <w:t>активности</w:t>
      </w:r>
      <w:r>
        <w:rPr>
          <w:rFonts w:ascii="Times New Roman" w:hAnsi="Times New Roman"/>
          <w:sz w:val="24"/>
        </w:rPr>
      </w:r>
    </w:p>
    <w:p>
      <w:pPr>
        <w:pStyle w:val="BodyText"/>
        <w:spacing w:line="240" w:lineRule="auto"/>
        <w:ind w:right="181" w:firstLine="566"/>
        <w:jc w:val="both"/>
      </w:pPr>
      <w:r>
        <w:rPr/>
        <w:t>Контролне активности представљају политике и процедуре које успоставља руководство у писаном облику, а које му помажу у спровођењу мера и предузимању одговарајућих радњи ради смањења могућих ризика који могу настати и угрозити предвиђене циљеве у вези са извршењем донетог буџета и планираних активности, задатака и програма. Политиком се дефинише шта треба радити, док поступци служе за спровођење дефинисане</w:t>
      </w:r>
      <w:r>
        <w:rPr>
          <w:spacing w:val="-11"/>
        </w:rPr>
        <w:t> </w:t>
      </w:r>
      <w:r>
        <w:rPr/>
        <w:t>политике.</w:t>
      </w:r>
    </w:p>
    <w:p>
      <w:pPr>
        <w:spacing w:line="240" w:lineRule="auto" w:before="7"/>
        <w:rPr>
          <w:rFonts w:ascii="Times New Roman" w:hAnsi="Times New Roman" w:cs="Times New Roman" w:eastAsia="Times New Roman" w:hint="default"/>
          <w:sz w:val="27"/>
          <w:szCs w:val="27"/>
        </w:rPr>
      </w:pPr>
      <w:r>
        <w:rPr/>
        <w:pict>
          <v:group style="position:absolute;margin-left:78.024002pt;margin-top:17.144304pt;width:144.050pt;height:.1pt;mso-position-horizontal-relative:page;mso-position-vertical-relative:paragraph;z-index:1216;mso-wrap-distance-left:0;mso-wrap-distance-right:0" coordorigin="1560,343" coordsize="2881,2">
            <v:shape style="position:absolute;left:1560;top:343;width:2881;height:2" coordorigin="1560,343" coordsize="2881,0" path="m1560,343l4441,343e" filled="false" stroked="true" strokeweight=".599980pt" strokecolor="#000000">
              <v:path arrowok="t"/>
            </v:shape>
            <w10:wrap type="topAndBottom"/>
          </v:group>
        </w:pict>
      </w:r>
    </w:p>
    <w:p>
      <w:pPr>
        <w:spacing w:before="52"/>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13 </w:t>
      </w:r>
      <w:r>
        <w:rPr>
          <w:rFonts w:ascii="Times New Roman" w:hAnsi="Times New Roman" w:cs="Times New Roman" w:eastAsia="Times New Roman" w:hint="default"/>
          <w:sz w:val="16"/>
          <w:szCs w:val="16"/>
        </w:rPr>
        <w:t>„Службени гласник Републике Србије“ број</w:t>
      </w:r>
      <w:r>
        <w:rPr>
          <w:rFonts w:ascii="Times New Roman" w:hAnsi="Times New Roman" w:cs="Times New Roman" w:eastAsia="Times New Roman" w:hint="default"/>
          <w:spacing w:val="-6"/>
          <w:sz w:val="16"/>
          <w:szCs w:val="16"/>
        </w:rPr>
        <w:t> </w:t>
      </w:r>
      <w:r>
        <w:rPr>
          <w:rFonts w:ascii="Times New Roman" w:hAnsi="Times New Roman" w:cs="Times New Roman" w:eastAsia="Times New Roman" w:hint="default"/>
          <w:sz w:val="16"/>
          <w:szCs w:val="16"/>
        </w:rPr>
        <w:t>99/2011</w:t>
      </w:r>
    </w:p>
    <w:p>
      <w:pPr>
        <w:spacing w:after="0"/>
        <w:jc w:val="left"/>
        <w:rPr>
          <w:rFonts w:ascii="Times New Roman" w:hAnsi="Times New Roman" w:cs="Times New Roman" w:eastAsia="Times New Roman" w:hint="default"/>
          <w:sz w:val="16"/>
          <w:szCs w:val="16"/>
        </w:rPr>
        <w:sectPr>
          <w:footerReference w:type="default" r:id="rId45"/>
          <w:pgSz w:w="12240" w:h="15840"/>
          <w:pgMar w:footer="1274" w:header="740" w:top="1280" w:bottom="1460" w:left="1400" w:right="1260"/>
          <w:pgNumType w:start="37"/>
        </w:sectPr>
      </w:pPr>
    </w:p>
    <w:p>
      <w:pPr>
        <w:pStyle w:val="Heading1"/>
        <w:spacing w:line="275" w:lineRule="exact" w:before="126"/>
        <w:ind w:right="141"/>
        <w:jc w:val="left"/>
        <w:rPr>
          <w:b w:val="0"/>
          <w:bCs w:val="0"/>
        </w:rPr>
      </w:pPr>
      <w:r>
        <w:rPr/>
        <w:t>На основу ревизије узорковане документације утврђено</w:t>
      </w:r>
      <w:r>
        <w:rPr>
          <w:spacing w:val="-15"/>
        </w:rPr>
        <w:t> </w:t>
      </w:r>
      <w:r>
        <w:rPr/>
        <w:t>је:</w:t>
      </w:r>
      <w:r>
        <w:rPr>
          <w:b w:val="0"/>
        </w:rPr>
      </w:r>
    </w:p>
    <w:p>
      <w:pPr>
        <w:pStyle w:val="ListParagraph"/>
        <w:numPr>
          <w:ilvl w:val="0"/>
          <w:numId w:val="9"/>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Није вршена контрола реализације закључених уговора за набавку добара, радова и услуга те је вршена набавка у вредности већој од уговорене</w:t>
      </w:r>
      <w:r>
        <w:rPr>
          <w:rFonts w:ascii="Times New Roman" w:hAnsi="Times New Roman"/>
          <w:sz w:val="24"/>
        </w:rPr>
        <w:t>. </w:t>
      </w:r>
      <w:r>
        <w:rPr>
          <w:rFonts w:ascii="Times New Roman" w:hAnsi="Times New Roman"/>
          <w:sz w:val="24"/>
        </w:rPr>
        <w:t>Такође, због невршења контроле реализације закључених уговора (за јавни превоз, наплату посебне накнаде за унапређење и заштиту животне средине и накнаде за коришћење градског грађевинског земљишта) постоји ризик од злоупотребе буџетских средстава, што је описано у </w:t>
      </w:r>
      <w:r>
        <w:rPr>
          <w:rFonts w:ascii="Times New Roman" w:hAnsi="Times New Roman"/>
          <w:spacing w:val="31"/>
          <w:sz w:val="24"/>
        </w:rPr>
        <w:t> </w:t>
      </w:r>
      <w:r>
        <w:rPr>
          <w:rFonts w:ascii="Times New Roman" w:hAnsi="Times New Roman"/>
          <w:sz w:val="24"/>
        </w:rPr>
        <w:t>тачкама</w:t>
      </w:r>
    </w:p>
    <w:p>
      <w:pPr>
        <w:pStyle w:val="BodyText"/>
        <w:spacing w:line="240" w:lineRule="auto"/>
        <w:ind w:right="0"/>
        <w:jc w:val="both"/>
      </w:pPr>
      <w:r>
        <w:rPr/>
        <w:t>4.1.4. и 4.1.5.</w:t>
      </w:r>
      <w:r>
        <w:rPr>
          <w:spacing w:val="-5"/>
        </w:rPr>
        <w:t> </w:t>
      </w:r>
      <w:r>
        <w:rPr/>
        <w:t>Напомена.</w:t>
      </w:r>
    </w:p>
    <w:p>
      <w:pPr>
        <w:pStyle w:val="ListParagraph"/>
        <w:numPr>
          <w:ilvl w:val="0"/>
          <w:numId w:val="9"/>
        </w:numPr>
        <w:tabs>
          <w:tab w:pos="303" w:val="left" w:leader="none"/>
        </w:tabs>
        <w:spacing w:line="274" w:lineRule="exact" w:before="24"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Поједини Уговори су закључени са ретроактивним дејством, што је описано у тачкама 4.1.4.11, 4.1.4.17, 4.1.4.22.</w:t>
      </w:r>
      <w:r>
        <w:rPr>
          <w:rFonts w:ascii="Times New Roman" w:hAnsi="Times New Roman"/>
          <w:spacing w:val="-5"/>
          <w:sz w:val="24"/>
        </w:rPr>
        <w:t> </w:t>
      </w:r>
      <w:r>
        <w:rPr>
          <w:rFonts w:ascii="Times New Roman" w:hAnsi="Times New Roman"/>
          <w:sz w:val="24"/>
        </w:rPr>
        <w:t>Напомена.</w:t>
      </w:r>
    </w:p>
    <w:p>
      <w:pPr>
        <w:pStyle w:val="ListParagraph"/>
        <w:numPr>
          <w:ilvl w:val="0"/>
          <w:numId w:val="9"/>
        </w:numPr>
        <w:tabs>
          <w:tab w:pos="303"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За остварене приходе (745141</w:t>
      </w:r>
      <w:r>
        <w:rPr>
          <w:rFonts w:ascii="Times New Roman" w:hAnsi="Times New Roman"/>
          <w:sz w:val="24"/>
        </w:rPr>
        <w:t>-</w:t>
      </w:r>
      <w:r>
        <w:rPr>
          <w:rFonts w:ascii="Times New Roman" w:hAnsi="Times New Roman"/>
          <w:sz w:val="24"/>
        </w:rPr>
        <w:t>остали приходи у корист нивоа градова, 711181</w:t>
      </w:r>
      <w:r>
        <w:rPr>
          <w:rFonts w:ascii="Times New Roman" w:hAnsi="Times New Roman"/>
          <w:sz w:val="24"/>
        </w:rPr>
        <w:t>- </w:t>
      </w:r>
      <w:r>
        <w:rPr>
          <w:rFonts w:ascii="Times New Roman" w:hAnsi="Times New Roman"/>
          <w:sz w:val="24"/>
        </w:rPr>
        <w:t>самодопринос) Управа за финансије није могла у поступку ревизије да нам пружи основ остваривања. За примљене наменске трансфере из Републике, Управа за финансије је у поступку контроле дошла до сазнања о намени тих средстава, што указује на недовољно праћење остварених прихода, што је описано у тачки 4.1.2.</w:t>
      </w:r>
      <w:r>
        <w:rPr>
          <w:rFonts w:ascii="Times New Roman" w:hAnsi="Times New Roman"/>
          <w:spacing w:val="-17"/>
          <w:sz w:val="24"/>
        </w:rPr>
        <w:t> </w:t>
      </w:r>
      <w:r>
        <w:rPr>
          <w:rFonts w:ascii="Times New Roman" w:hAnsi="Times New Roman"/>
          <w:sz w:val="24"/>
        </w:rPr>
        <w:t>Напомена.</w:t>
      </w:r>
    </w:p>
    <w:p>
      <w:pPr>
        <w:pStyle w:val="ListParagraph"/>
        <w:numPr>
          <w:ilvl w:val="0"/>
          <w:numId w:val="9"/>
        </w:numPr>
        <w:tabs>
          <w:tab w:pos="303" w:val="left" w:leader="none"/>
        </w:tabs>
        <w:spacing w:line="274" w:lineRule="exact" w:before="24"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Наменски јавни приходи нису искоришћени за прописане намене, што је детаљно описано у тачки 4.1.2.</w:t>
      </w:r>
      <w:r>
        <w:rPr>
          <w:rFonts w:ascii="Times New Roman" w:hAnsi="Times New Roman"/>
          <w:spacing w:val="-13"/>
          <w:sz w:val="24"/>
        </w:rPr>
        <w:t> </w:t>
      </w:r>
      <w:r>
        <w:rPr>
          <w:rFonts w:ascii="Times New Roman" w:hAnsi="Times New Roman"/>
          <w:sz w:val="24"/>
        </w:rPr>
        <w:t>Напомена.</w:t>
      </w:r>
    </w:p>
    <w:p>
      <w:pPr>
        <w:pStyle w:val="ListParagraph"/>
        <w:numPr>
          <w:ilvl w:val="0"/>
          <w:numId w:val="9"/>
        </w:numPr>
        <w:tabs>
          <w:tab w:pos="303" w:val="left" w:leader="none"/>
        </w:tabs>
        <w:spacing w:line="240" w:lineRule="auto" w:before="0"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Контролне активности нису адекватне обзиром да је у 2014. години Град био у блокади 1 дан, а индиректни корисници су били у блокади: ПУ Пчелица 76 дана, Нишки културни центар 77 дана, СЦ Чаир 8 дана, ЈП Дирекција 104 дана и</w:t>
      </w:r>
      <w:r>
        <w:rPr>
          <w:rFonts w:ascii="Times New Roman" w:hAnsi="Times New Roman"/>
          <w:spacing w:val="-17"/>
          <w:sz w:val="24"/>
        </w:rPr>
        <w:t> </w:t>
      </w:r>
      <w:r>
        <w:rPr>
          <w:rFonts w:ascii="Times New Roman" w:hAnsi="Times New Roman"/>
          <w:sz w:val="24"/>
        </w:rPr>
        <w:t>други.</w:t>
      </w:r>
    </w:p>
    <w:p>
      <w:pPr>
        <w:pStyle w:val="ListParagraph"/>
        <w:numPr>
          <w:ilvl w:val="0"/>
          <w:numId w:val="9"/>
        </w:numPr>
        <w:tabs>
          <w:tab w:pos="303" w:val="left" w:leader="none"/>
        </w:tabs>
        <w:spacing w:line="274" w:lineRule="exact" w:before="24"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Упутством о поступку и роковима извештавања о рефакцији акциза за лож </w:t>
      </w:r>
      <w:r>
        <w:rPr>
          <w:rFonts w:ascii="Times New Roman" w:hAnsi="Times New Roman"/>
          <w:spacing w:val="-2"/>
          <w:sz w:val="24"/>
        </w:rPr>
        <w:t>уље </w:t>
      </w:r>
      <w:r>
        <w:rPr>
          <w:rFonts w:ascii="Times New Roman" w:hAnsi="Times New Roman"/>
          <w:sz w:val="24"/>
        </w:rPr>
        <w:t>није </w:t>
      </w:r>
      <w:r>
        <w:rPr>
          <w:rFonts w:ascii="Times New Roman" w:hAnsi="Times New Roman"/>
          <w:sz w:val="24"/>
        </w:rPr>
        <w:t>обухваћена ПУ</w:t>
      </w:r>
      <w:r>
        <w:rPr>
          <w:rFonts w:ascii="Times New Roman" w:hAnsi="Times New Roman"/>
          <w:spacing w:val="-7"/>
          <w:sz w:val="24"/>
        </w:rPr>
        <w:t> </w:t>
      </w:r>
      <w:r>
        <w:rPr>
          <w:rFonts w:ascii="Times New Roman" w:hAnsi="Times New Roman"/>
          <w:sz w:val="24"/>
        </w:rPr>
        <w:t>Пчелица.</w:t>
      </w:r>
    </w:p>
    <w:p>
      <w:pPr>
        <w:pStyle w:val="ListParagraph"/>
        <w:numPr>
          <w:ilvl w:val="0"/>
          <w:numId w:val="9"/>
        </w:numPr>
        <w:tabs>
          <w:tab w:pos="303" w:val="left" w:leader="none"/>
        </w:tabs>
        <w:spacing w:line="237" w:lineRule="auto" w:before="2"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Галерија савремене ликовне уметности је дневнице за службени пут у земљи обрачунавала по нетачном податку за износ дневнице, што је детаљније објашњено у тачки 4.3.2.</w:t>
      </w:r>
      <w:r>
        <w:rPr>
          <w:rFonts w:ascii="Times New Roman" w:hAnsi="Times New Roman"/>
          <w:spacing w:val="-7"/>
          <w:sz w:val="24"/>
        </w:rPr>
        <w:t> </w:t>
      </w:r>
      <w:r>
        <w:rPr>
          <w:rFonts w:ascii="Times New Roman" w:hAnsi="Times New Roman"/>
          <w:sz w:val="24"/>
        </w:rPr>
        <w:t>Напомена.</w:t>
      </w:r>
    </w:p>
    <w:p>
      <w:pPr>
        <w:pStyle w:val="ListParagraph"/>
        <w:numPr>
          <w:ilvl w:val="0"/>
          <w:numId w:val="9"/>
        </w:numPr>
        <w:tabs>
          <w:tab w:pos="363" w:val="left" w:leader="none"/>
        </w:tabs>
        <w:spacing w:line="237" w:lineRule="auto" w:before="5" w:after="0"/>
        <w:ind w:left="160" w:right="183" w:firstLine="0"/>
        <w:jc w:val="both"/>
        <w:rPr>
          <w:rFonts w:ascii="Times New Roman" w:hAnsi="Times New Roman" w:cs="Times New Roman" w:eastAsia="Times New Roman" w:hint="default"/>
          <w:sz w:val="24"/>
          <w:szCs w:val="24"/>
        </w:rPr>
      </w:pPr>
      <w:r>
        <w:rPr>
          <w:rFonts w:ascii="Times New Roman" w:hAnsi="Times New Roman"/>
          <w:sz w:val="24"/>
        </w:rPr>
        <w:t>Нишки културни центар користи простор без правног основа јер је Уговор о коришћењу простора у Нишу, ул. Станоја Бунушевца бб број 2165/1 од 17.11.2009. године закључен са градом, истеко 04.11.2014. године и који није</w:t>
      </w:r>
      <w:r>
        <w:rPr>
          <w:rFonts w:ascii="Times New Roman" w:hAnsi="Times New Roman"/>
          <w:spacing w:val="-18"/>
          <w:sz w:val="24"/>
        </w:rPr>
        <w:t> </w:t>
      </w:r>
      <w:r>
        <w:rPr>
          <w:rFonts w:ascii="Times New Roman" w:hAnsi="Times New Roman"/>
          <w:sz w:val="24"/>
        </w:rPr>
        <w:t>обновљен.</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Значајан део рачуна, није евидентиран у пословним књигама у року од два дана од дана настанка пословне промене, односно истог или најкасније наредног дана од дана добијања рачуноводствене исправе, већ у моменту плаћања, што је и више месеци касније. На пример: рачун „Телеком Србија“ ад Београд број </w:t>
      </w:r>
      <w:r>
        <w:rPr>
          <w:rFonts w:ascii="Times New Roman" w:hAnsi="Times New Roman" w:cs="Times New Roman" w:eastAsia="Times New Roman" w:hint="default"/>
          <w:sz w:val="24"/>
          <w:szCs w:val="24"/>
        </w:rPr>
        <w:t>66-145-018-</w:t>
      </w:r>
      <w:r>
        <w:rPr>
          <w:rFonts w:ascii="Times New Roman" w:hAnsi="Times New Roman" w:cs="Times New Roman" w:eastAsia="Times New Roman" w:hint="default"/>
          <w:sz w:val="24"/>
          <w:szCs w:val="24"/>
        </w:rPr>
        <w:t>0003016 од 01.11.2013. године за извршену услугу интернета</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преноса података за месец октобар 2013. године заведен је у деловодну књигу Службе ИКТ под бројем 16</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1852 дана 13.11.2013. године, а захтев за плаћање по рачуну број 16</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2989/2014 испостављен је 09.06.2014. године, док је евидентирање обавезе по рачуну у пословним књигама Града извршено дана 02.07.2014. године налогом за књижење број 123, након више од седам месеци. Наведено је описано у тачкама 4.1.4.8. и 4.1.4.11.</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Напомена.</w:t>
      </w:r>
    </w:p>
    <w:p>
      <w:pPr>
        <w:pStyle w:val="ListParagraph"/>
        <w:numPr>
          <w:ilvl w:val="0"/>
          <w:numId w:val="9"/>
        </w:numPr>
        <w:tabs>
          <w:tab w:pos="341"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Обустава прекорачења запосленима у потрошњи мобилног телефона по рачунима за месец октобар и новембар 2013. године извршена је пре него што је обавезе по тим рачунима евидентирана у пословним књигама, обзиром да су обавезе по рачунима евидентиране у моменту плаћања рачуна, што је описано у тачки 4.1.4.8</w:t>
      </w:r>
      <w:r>
        <w:rPr>
          <w:rFonts w:ascii="Times New Roman" w:hAnsi="Times New Roman"/>
          <w:spacing w:val="-22"/>
          <w:sz w:val="24"/>
        </w:rPr>
        <w:t> </w:t>
      </w:r>
      <w:r>
        <w:rPr>
          <w:rFonts w:ascii="Times New Roman" w:hAnsi="Times New Roman"/>
          <w:sz w:val="24"/>
        </w:rPr>
        <w:t>Напомена.</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Поједини Захтеви за плаћање – трансфер средстава нису потписани од стране одговорног лица Управе за финансије, изворне приходе локалне самоуправе и јавне набавке за одобравање плаћања, што је супротно члану 58. Закона о буџетском рачуноводству</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члану 16. Уредбе о буџетском рачуноводству и Упутству о раду  </w:t>
      </w:r>
      <w:r>
        <w:rPr>
          <w:rFonts w:ascii="Times New Roman" w:hAnsi="Times New Roman" w:cs="Times New Roman" w:eastAsia="Times New Roman" w:hint="default"/>
          <w:spacing w:val="45"/>
          <w:sz w:val="24"/>
          <w:szCs w:val="24"/>
        </w:rPr>
        <w:t> </w:t>
      </w:r>
      <w:r>
        <w:rPr>
          <w:rFonts w:ascii="Times New Roman" w:hAnsi="Times New Roman" w:cs="Times New Roman" w:eastAsia="Times New Roman" w:hint="default"/>
          <w:sz w:val="24"/>
          <w:szCs w:val="24"/>
        </w:rPr>
        <w:t>трезора</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0"/>
        <w:jc w:val="both"/>
        <w:rPr>
          <w:rFonts w:ascii="Times New Roman" w:hAnsi="Times New Roman" w:cs="Times New Roman" w:eastAsia="Times New Roman" w:hint="default"/>
        </w:rPr>
      </w:pPr>
      <w:r>
        <w:rPr/>
        <w:t>града Ниша, што је описано у тачкама </w:t>
      </w:r>
      <w:r>
        <w:rPr>
          <w:rFonts w:ascii="Times New Roman" w:hAnsi="Times New Roman"/>
        </w:rPr>
        <w:t>4.1.4.4, 4.1.4.8, 4.1.4.10, 4.1.4.11, 4.1.4.12,  </w:t>
      </w:r>
      <w:r>
        <w:rPr>
          <w:rFonts w:ascii="Times New Roman" w:hAnsi="Times New Roman"/>
          <w:spacing w:val="29"/>
        </w:rPr>
        <w:t> </w:t>
      </w:r>
      <w:r>
        <w:rPr>
          <w:rFonts w:ascii="Times New Roman" w:hAnsi="Times New Roman"/>
        </w:rPr>
        <w:t>4.1.4.21.</w:t>
      </w:r>
    </w:p>
    <w:p>
      <w:pPr>
        <w:pStyle w:val="BodyText"/>
        <w:spacing w:line="240" w:lineRule="auto"/>
        <w:ind w:right="0"/>
        <w:jc w:val="both"/>
      </w:pPr>
      <w:r>
        <w:rPr/>
        <w:t>и 4.1.4.22.</w:t>
      </w:r>
      <w:r>
        <w:rPr>
          <w:spacing w:val="-5"/>
        </w:rPr>
        <w:t> </w:t>
      </w:r>
      <w:r>
        <w:rPr/>
        <w:t>Напомена.</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Поједини рачуни нису потписани од стране лица које је исправу контролисало и лица одговорног за насталу пословну промену</w:t>
      </w:r>
      <w:r>
        <w:rPr>
          <w:rFonts w:ascii="Times New Roman" w:hAnsi="Times New Roman"/>
          <w:sz w:val="24"/>
        </w:rPr>
        <w:t>, </w:t>
      </w:r>
      <w:r>
        <w:rPr>
          <w:rFonts w:ascii="Times New Roman" w:hAnsi="Times New Roman"/>
          <w:sz w:val="24"/>
        </w:rPr>
        <w:t>што је супротно члану 58. Закона о буџетском рачуноводству</w:t>
      </w:r>
      <w:r>
        <w:rPr>
          <w:rFonts w:ascii="Times New Roman" w:hAnsi="Times New Roman"/>
          <w:sz w:val="24"/>
        </w:rPr>
        <w:t>, </w:t>
      </w:r>
      <w:r>
        <w:rPr>
          <w:rFonts w:ascii="Times New Roman" w:hAnsi="Times New Roman"/>
          <w:sz w:val="24"/>
        </w:rPr>
        <w:t>члану 16. Уредбе о буџетском рачуноводству и Упутству о раду трезора града Ниша, што је описано у тачкама 4.1.4.8, 4.1.4.10, 4.1.4.11. и 4.1.5.1.</w:t>
      </w:r>
      <w:r>
        <w:rPr>
          <w:rFonts w:ascii="Times New Roman" w:hAnsi="Times New Roman"/>
          <w:spacing w:val="-10"/>
          <w:sz w:val="24"/>
        </w:rPr>
        <w:t> </w:t>
      </w:r>
      <w:r>
        <w:rPr>
          <w:rFonts w:ascii="Times New Roman" w:hAnsi="Times New Roman"/>
          <w:sz w:val="24"/>
        </w:rPr>
        <w:t>Напомена.</w:t>
      </w:r>
    </w:p>
    <w:p>
      <w:pPr>
        <w:pStyle w:val="ListParagraph"/>
        <w:numPr>
          <w:ilvl w:val="0"/>
          <w:numId w:val="9"/>
        </w:numPr>
        <w:tabs>
          <w:tab w:pos="303"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У Извештају о реализацији средстава Буџетског фонда за заштиту животне средине за 2014. годину који је сачињен 26.02.2015. године, исказан је већи утрошак средстава Буџетског фонда од стварног утрошка за 12.826 хиљада динара, јер је у Извештају приказана уговорена вредност активности по програму у укупном износу од 47.086 хиљада динара, а не реализована вредност у износу од 34.260 хиљада</w:t>
      </w:r>
      <w:r>
        <w:rPr>
          <w:rFonts w:ascii="Times New Roman" w:hAnsi="Times New Roman"/>
          <w:spacing w:val="-12"/>
          <w:sz w:val="24"/>
        </w:rPr>
        <w:t> </w:t>
      </w:r>
      <w:r>
        <w:rPr>
          <w:rFonts w:ascii="Times New Roman" w:hAnsi="Times New Roman"/>
          <w:sz w:val="24"/>
        </w:rPr>
        <w:t>динара</w:t>
      </w:r>
      <w:r>
        <w:rPr>
          <w:rFonts w:ascii="Times New Roman" w:hAnsi="Times New Roman"/>
          <w:sz w:val="24"/>
        </w:rPr>
        <w:t>.</w:t>
      </w:r>
    </w:p>
    <w:p>
      <w:pPr>
        <w:pStyle w:val="ListParagraph"/>
        <w:numPr>
          <w:ilvl w:val="0"/>
          <w:numId w:val="9"/>
        </w:numPr>
        <w:tabs>
          <w:tab w:pos="303" w:val="left" w:leader="none"/>
        </w:tabs>
        <w:spacing w:line="237" w:lineRule="auto" w:before="5" w:after="0"/>
        <w:ind w:left="160" w:right="18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 буџетских средстава плаћена је закупнина за пословни простор који користи индиректни корисник ЈП „Градска стамбена агенција“, а Град располаже са слободним пословним простором, као и пословним простором за који закупци не измирују</w:t>
      </w:r>
      <w:r>
        <w:rPr>
          <w:rFonts w:ascii="Times New Roman" w:hAnsi="Times New Roman" w:cs="Times New Roman" w:eastAsia="Times New Roman" w:hint="default"/>
          <w:spacing w:val="-33"/>
          <w:sz w:val="24"/>
          <w:szCs w:val="24"/>
        </w:rPr>
        <w:t> </w:t>
      </w:r>
      <w:r>
        <w:rPr>
          <w:rFonts w:ascii="Times New Roman" w:hAnsi="Times New Roman" w:cs="Times New Roman" w:eastAsia="Times New Roman" w:hint="default"/>
          <w:sz w:val="24"/>
          <w:szCs w:val="24"/>
        </w:rPr>
        <w:t>обавезе.</w:t>
      </w:r>
    </w:p>
    <w:p>
      <w:pPr>
        <w:pStyle w:val="ListParagraph"/>
        <w:numPr>
          <w:ilvl w:val="0"/>
          <w:numId w:val="9"/>
        </w:numPr>
        <w:tabs>
          <w:tab w:pos="303" w:val="left" w:leader="none"/>
        </w:tabs>
        <w:spacing w:line="240" w:lineRule="auto" w:before="2" w:after="0"/>
        <w:ind w:left="160" w:right="18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 седници Скупштине „Инкубатор центар“ доо Ниш одржаној 01.01.2014. године једногласно је донета Одлука којом је усвојено да за 2014. годину постоји потреба за 30 запослених, иако је Законом о буџетском систему регулисано да корисници јавних средстава не могу засновати радни однос са новим лицима ради попуњавања слободних, односно упражњених радних места до 31.12.2015.</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године.</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Кашњењем у исплати уговорених обавеза Град је увећао расходе по основу камата и судских</w:t>
      </w:r>
      <w:r>
        <w:rPr>
          <w:rFonts w:ascii="Times New Roman" w:hAnsi="Times New Roman"/>
          <w:spacing w:val="-4"/>
          <w:sz w:val="24"/>
        </w:rPr>
        <w:t> </w:t>
      </w:r>
      <w:r>
        <w:rPr>
          <w:rFonts w:ascii="Times New Roman" w:hAnsi="Times New Roman"/>
          <w:sz w:val="24"/>
        </w:rPr>
        <w:t>трошкова</w:t>
      </w:r>
      <w:r>
        <w:rPr>
          <w:rFonts w:ascii="Times New Roman" w:hAnsi="Times New Roman"/>
          <w:sz w:val="24"/>
        </w:rPr>
        <w:t>.</w:t>
      </w:r>
    </w:p>
    <w:p>
      <w:pPr>
        <w:pStyle w:val="ListParagraph"/>
        <w:numPr>
          <w:ilvl w:val="0"/>
          <w:numId w:val="9"/>
        </w:numPr>
        <w:tabs>
          <w:tab w:pos="303" w:val="left" w:leader="none"/>
        </w:tabs>
        <w:spacing w:line="237" w:lineRule="auto" w:before="5" w:after="0"/>
        <w:ind w:left="160" w:right="185" w:firstLine="0"/>
        <w:jc w:val="both"/>
        <w:rPr>
          <w:rFonts w:ascii="Times New Roman" w:hAnsi="Times New Roman" w:cs="Times New Roman" w:eastAsia="Times New Roman" w:hint="default"/>
          <w:sz w:val="24"/>
          <w:szCs w:val="24"/>
        </w:rPr>
      </w:pPr>
      <w:r>
        <w:rPr>
          <w:rFonts w:ascii="Times New Roman" w:hAnsi="Times New Roman"/>
          <w:sz w:val="24"/>
        </w:rPr>
        <w:t>Превентивна и корективна контролна активност и самоконтрола код појединих запослених нису развијене у толикој мери у којој се на тачан, објективан и поуздан начин пружају одговори на тражене податке у току поступка</w:t>
      </w:r>
      <w:r>
        <w:rPr>
          <w:rFonts w:ascii="Times New Roman" w:hAnsi="Times New Roman"/>
          <w:spacing w:val="-21"/>
          <w:sz w:val="24"/>
        </w:rPr>
        <w:t> </w:t>
      </w:r>
      <w:r>
        <w:rPr>
          <w:rFonts w:ascii="Times New Roman" w:hAnsi="Times New Roman"/>
          <w:sz w:val="24"/>
        </w:rPr>
        <w:t>ревизије.</w:t>
      </w:r>
    </w:p>
    <w:p>
      <w:pPr>
        <w:pStyle w:val="Heading2"/>
        <w:spacing w:line="240" w:lineRule="auto"/>
        <w:ind w:right="179"/>
        <w:jc w:val="both"/>
        <w:rPr>
          <w:rFonts w:ascii="Times New Roman" w:hAnsi="Times New Roman" w:cs="Times New Roman" w:eastAsia="Times New Roman" w:hint="default"/>
          <w:b w:val="0"/>
          <w:bCs w:val="0"/>
          <w:i w:val="0"/>
        </w:rPr>
      </w:pPr>
      <w:r>
        <w:rPr>
          <w:i/>
        </w:rPr>
        <w:t>Препоручује се одговорним лицима да доследно примене адекватне поступке којим би се обухватила кључна контролна места и основне функције контролних активности које се односе на разграничење и раздвајање дужности, овлашћење и ауторизацију, адекватно документовање, упоређивање и усаглашавање, имовинску безбедност и интерну верификацију и поуздано</w:t>
      </w:r>
      <w:r>
        <w:rPr>
          <w:i/>
          <w:spacing w:val="-13"/>
        </w:rPr>
        <w:t> </w:t>
      </w:r>
      <w:r>
        <w:rPr>
          <w:i/>
        </w:rPr>
        <w:t>извештавање</w:t>
      </w:r>
      <w:r>
        <w:rPr>
          <w:rFonts w:ascii="Times New Roman" w:hAnsi="Times New Roman"/>
          <w:i/>
        </w:rPr>
        <w:t>.</w:t>
      </w:r>
      <w:r>
        <w:rPr>
          <w:rFonts w:ascii="Times New Roman" w:hAnsi="Times New Roman"/>
          <w:b w:val="0"/>
          <w:i w:val="0"/>
        </w:rPr>
      </w:r>
    </w:p>
    <w:p>
      <w:pPr>
        <w:pStyle w:val="ListParagraph"/>
        <w:numPr>
          <w:ilvl w:val="1"/>
          <w:numId w:val="20"/>
        </w:numPr>
        <w:tabs>
          <w:tab w:pos="1013" w:val="left" w:leader="none"/>
        </w:tabs>
        <w:spacing w:line="274" w:lineRule="exact" w:before="60" w:after="0"/>
        <w:ind w:left="1012" w:right="0" w:hanging="286"/>
        <w:jc w:val="left"/>
        <w:rPr>
          <w:rFonts w:ascii="Times New Roman" w:hAnsi="Times New Roman" w:cs="Times New Roman" w:eastAsia="Times New Roman" w:hint="default"/>
          <w:sz w:val="24"/>
          <w:szCs w:val="24"/>
        </w:rPr>
      </w:pPr>
      <w:r>
        <w:rPr>
          <w:rFonts w:ascii="Times New Roman" w:hAnsi="Times New Roman"/>
          <w:b/>
          <w:sz w:val="24"/>
        </w:rPr>
        <w:t>Информације и</w:t>
      </w:r>
      <w:r>
        <w:rPr>
          <w:rFonts w:ascii="Times New Roman" w:hAnsi="Times New Roman"/>
          <w:b/>
          <w:spacing w:val="-9"/>
          <w:sz w:val="24"/>
        </w:rPr>
        <w:t> </w:t>
      </w:r>
      <w:r>
        <w:rPr>
          <w:rFonts w:ascii="Times New Roman" w:hAnsi="Times New Roman"/>
          <w:b/>
          <w:sz w:val="24"/>
        </w:rPr>
        <w:t>комуникације</w:t>
      </w:r>
      <w:r>
        <w:rPr>
          <w:rFonts w:ascii="Times New Roman" w:hAnsi="Times New Roman"/>
          <w:sz w:val="24"/>
        </w:rPr>
      </w:r>
    </w:p>
    <w:p>
      <w:pPr>
        <w:pStyle w:val="BodyText"/>
        <w:spacing w:line="240" w:lineRule="auto"/>
        <w:ind w:right="180" w:firstLine="566"/>
        <w:jc w:val="both"/>
      </w:pPr>
      <w:r>
        <w:rPr/>
        <w:t>Вођење буџетског рачуноводства обавља се коришћењем софтверског пакета Завода за унапређење пословања „Саветник плус“. Обрачун плата, накнада и осталих примања врши се коришћењем програмског пакета који је израдио запослени у Служби  за одржавање и информатичко</w:t>
      </w:r>
      <w:r>
        <w:rPr>
          <w:rFonts w:ascii="Times New Roman" w:hAnsi="Times New Roman" w:cs="Times New Roman" w:eastAsia="Times New Roman" w:hint="default"/>
        </w:rPr>
        <w:t>-</w:t>
      </w:r>
      <w:r>
        <w:rPr/>
        <w:t>комуникационе</w:t>
      </w:r>
      <w:r>
        <w:rPr>
          <w:spacing w:val="-19"/>
        </w:rPr>
        <w:t> </w:t>
      </w:r>
      <w:r>
        <w:rPr/>
        <w:t>технологије.</w:t>
      </w:r>
    </w:p>
    <w:p>
      <w:pPr>
        <w:pStyle w:val="BodyText"/>
        <w:spacing w:line="240" w:lineRule="auto"/>
        <w:ind w:right="177" w:firstLine="566"/>
        <w:jc w:val="both"/>
      </w:pPr>
      <w:r>
        <w:rPr/>
        <w:t>Скупштина општине је донела Одлуку о завршном рачуну буџета града Ниша за 2014. годину дана 08</w:t>
      </w:r>
      <w:r>
        <w:rPr>
          <w:rFonts w:ascii="Times New Roman" w:hAnsi="Times New Roman"/>
        </w:rPr>
        <w:t>.06.2015</w:t>
      </w:r>
      <w:r>
        <w:rPr/>
        <w:t>.</w:t>
      </w:r>
      <w:r>
        <w:rPr>
          <w:spacing w:val="-4"/>
        </w:rPr>
        <w:t> </w:t>
      </w:r>
      <w:r>
        <w:rPr/>
        <w:t>године.</w:t>
      </w:r>
    </w:p>
    <w:p>
      <w:pPr>
        <w:pStyle w:val="BodyText"/>
        <w:spacing w:line="240" w:lineRule="auto"/>
        <w:ind w:right="174" w:firstLine="566"/>
        <w:jc w:val="both"/>
      </w:pPr>
      <w:r>
        <w:rPr/>
        <w:t>Овлашћено лице Државне ревизорске институције, Сектора за подршку ревизији</w:t>
      </w:r>
      <w:r>
        <w:rPr>
          <w:rFonts w:ascii="Times New Roman" w:hAnsi="Times New Roman"/>
        </w:rPr>
        <w:t>- </w:t>
      </w:r>
      <w:r>
        <w:rPr/>
        <w:t>Службе за ИТ преузело је податке из рачуноводствене апликације Града и обавило је основни преглед инсталације програма за финансијско књиговодство. Пријем података је обављен 24.0</w:t>
      </w:r>
      <w:r>
        <w:rPr>
          <w:rFonts w:ascii="Times New Roman" w:hAnsi="Times New Roman"/>
        </w:rPr>
        <w:t>7</w:t>
      </w:r>
      <w:r>
        <w:rPr/>
        <w:t>.2015. године у </w:t>
      </w:r>
      <w:r>
        <w:rPr>
          <w:rFonts w:ascii="Times New Roman" w:hAnsi="Times New Roman"/>
        </w:rPr>
        <w:t>MDB </w:t>
      </w:r>
      <w:r>
        <w:rPr/>
        <w:t>формату и над којим су извршене унакрсне контроле и потребни обрачуни. Предмет посматрања је био интегритет базе података за предметну годину и њена поузданост за израду финансијских</w:t>
      </w:r>
      <w:r>
        <w:rPr>
          <w:spacing w:val="-21"/>
        </w:rPr>
        <w:t> </w:t>
      </w:r>
      <w:r>
        <w:rPr/>
        <w:t>извештаја.</w:t>
      </w:r>
    </w:p>
    <w:p>
      <w:pPr>
        <w:pStyle w:val="Heading1"/>
        <w:spacing w:line="240" w:lineRule="auto"/>
        <w:ind w:left="160" w:right="181" w:firstLine="566"/>
        <w:jc w:val="both"/>
        <w:rPr>
          <w:b w:val="0"/>
          <w:bCs w:val="0"/>
        </w:rPr>
      </w:pPr>
      <w:r>
        <w:rPr/>
        <w:t>На основу извршене ревизије наведених поступака и узоркованих докумената, утврђени су следећи недостаци код информационог</w:t>
      </w:r>
      <w:r>
        <w:rPr>
          <w:spacing w:val="-21"/>
        </w:rPr>
        <w:t> </w:t>
      </w:r>
      <w:r>
        <w:rPr/>
        <w:t>система:</w:t>
      </w:r>
      <w:r>
        <w:rPr>
          <w:b w:val="0"/>
        </w:rPr>
      </w:r>
    </w:p>
    <w:p>
      <w:pPr>
        <w:pStyle w:val="ListParagraph"/>
        <w:numPr>
          <w:ilvl w:val="0"/>
          <w:numId w:val="9"/>
        </w:numPr>
        <w:tabs>
          <w:tab w:pos="303" w:val="left" w:leader="none"/>
        </w:tabs>
        <w:spacing w:line="276" w:lineRule="exact" w:before="17"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На терет и у корист главне књиге евидентирано је 68.393.605.435,48 динара</w:t>
      </w:r>
      <w:r>
        <w:rPr>
          <w:rFonts w:ascii="Times New Roman" w:hAnsi="Times New Roman"/>
          <w:sz w:val="24"/>
        </w:rPr>
        <w:t>. </w:t>
      </w:r>
      <w:r>
        <w:rPr>
          <w:rFonts w:ascii="Times New Roman" w:hAnsi="Times New Roman"/>
          <w:sz w:val="24"/>
        </w:rPr>
        <w:t>Главна књига је у равнотежи. Не постоји равнотежа извора финансирања. У Дневнику је</w:t>
      </w:r>
      <w:r>
        <w:rPr>
          <w:rFonts w:ascii="Times New Roman" w:hAnsi="Times New Roman"/>
          <w:spacing w:val="49"/>
          <w:sz w:val="24"/>
        </w:rPr>
        <w:t> </w:t>
      </w:r>
      <w:r>
        <w:rPr>
          <w:rFonts w:ascii="Times New Roman" w:hAnsi="Times New Roman"/>
          <w:sz w:val="24"/>
        </w:rPr>
        <w:t>вршено</w:t>
      </w:r>
    </w:p>
    <w:p>
      <w:pPr>
        <w:spacing w:after="0" w:line="276" w:lineRule="exact"/>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4"/>
        <w:jc w:val="both"/>
      </w:pPr>
      <w:r>
        <w:rPr/>
        <w:t>евидентирање пословних промена 305 дана од којих је 294 дана дневник био без равнотеже. У Дневнику се евидентирање вршило почев од 21.01.2014. године до 03.07.2015. године. Утврђено је да није вршено евидентирање хронолошки, уредно и ажурно у прописаним роковима. У току ревидиране пословне године евидентирале су се промене на 468 финансијских картица и приликом завршних књижења није затворено  397 картица и на класама 4, 5, 7 и 8 чиме је неправилно затворена главна књига и извршено формирање почетног стања за следећу пословну годину. Евидентирана је ставка за чији датум плаћања је 01.09.2501. година у износу 124.203,70 дин са описом </w:t>
      </w:r>
      <w:r>
        <w:rPr>
          <w:rFonts w:ascii="Times New Roman" w:hAnsi="Times New Roman"/>
        </w:rPr>
        <w:t>7/2014. </w:t>
      </w:r>
      <w:r>
        <w:rPr/>
        <w:t>У главној књизи евидентирано је 23480 ставки пословних промена чији је датум старији више од 10 дана. Књижење у главну књигу се врши без адекватних апликативних контрола.</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Увидом у базу података главне књиге трезора локалне самоуправе може се сматрати да није поуздана основа за обезбеђивање тачних и потпуних књиговодствених евиденција, јер не обезбеђује евидентирање пословних промена хронолошки, уредно и ажурно. Из стања података у бази може се закључити да софтвер који се користи за вођење књига не обезбеђује функционисање система интерних рачуноводствених контрола. Нефункционалност апликативних контрола у софтверу повећавају ризик израде нетачних финансијских</w:t>
      </w:r>
      <w:r>
        <w:rPr>
          <w:rFonts w:ascii="Times New Roman" w:hAnsi="Times New Roman"/>
          <w:spacing w:val="-11"/>
          <w:sz w:val="24"/>
        </w:rPr>
        <w:t> </w:t>
      </w:r>
      <w:r>
        <w:rPr>
          <w:rFonts w:ascii="Times New Roman" w:hAnsi="Times New Roman"/>
          <w:sz w:val="24"/>
        </w:rPr>
        <w:t>извештаја.</w:t>
      </w:r>
    </w:p>
    <w:p>
      <w:pPr>
        <w:pStyle w:val="ListParagraph"/>
        <w:numPr>
          <w:ilvl w:val="0"/>
          <w:numId w:val="9"/>
        </w:numPr>
        <w:tabs>
          <w:tab w:pos="303" w:val="left" w:leader="none"/>
        </w:tabs>
        <w:spacing w:line="240" w:lineRule="auto" w:before="2"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Управа за финансије, изворне приходе локалне самоуправе и јавне набавке и поједини индиректни корисници буџета Града нису пријављивали обавезе у Регистар измирења новчаних обавеза РИНО, што је супротно Закону о роковима измирења новчаних обавеза и Правилнику о начину и поступцима вршења надзора над спровођењем Закона о роковима измирења новчаних</w:t>
      </w:r>
      <w:r>
        <w:rPr>
          <w:rFonts w:ascii="Times New Roman" w:hAnsi="Times New Roman"/>
          <w:spacing w:val="-14"/>
          <w:sz w:val="24"/>
        </w:rPr>
        <w:t> </w:t>
      </w:r>
      <w:r>
        <w:rPr>
          <w:rFonts w:ascii="Times New Roman" w:hAnsi="Times New Roman"/>
          <w:sz w:val="24"/>
        </w:rPr>
        <w:t>обавеза.</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Предлоге финансијских планова нису сачинили поједини директни корисници средстава буџета (Градоначелник, Управа за финансије, изворне приходе локлане самоуправе и јавне набавке, Служба за послове Скупштине града, Служба за послове Градског већа и Служба за послове Градоначелника) и доставили Управи за</w:t>
      </w:r>
      <w:r>
        <w:rPr>
          <w:rFonts w:ascii="Times New Roman" w:hAnsi="Times New Roman"/>
          <w:spacing w:val="-18"/>
          <w:sz w:val="24"/>
        </w:rPr>
        <w:t> </w:t>
      </w:r>
      <w:r>
        <w:rPr>
          <w:rFonts w:ascii="Times New Roman" w:hAnsi="Times New Roman"/>
          <w:sz w:val="24"/>
        </w:rPr>
        <w:t>финансије.</w:t>
      </w:r>
    </w:p>
    <w:p>
      <w:pPr>
        <w:pStyle w:val="ListParagraph"/>
        <w:numPr>
          <w:ilvl w:val="0"/>
          <w:numId w:val="9"/>
        </w:numPr>
        <w:tabs>
          <w:tab w:pos="303" w:val="left" w:leader="none"/>
        </w:tabs>
        <w:spacing w:line="237" w:lineRule="auto" w:before="4"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Буџет није у потпуности припремљен на основу система јединствене буџетске класификације, јер није испоштована организациона класификација и економска класификација, што је детаљније описано у тачки 4.1.1.</w:t>
      </w:r>
      <w:r>
        <w:rPr>
          <w:rFonts w:ascii="Times New Roman" w:hAnsi="Times New Roman"/>
          <w:spacing w:val="-19"/>
          <w:sz w:val="24"/>
        </w:rPr>
        <w:t> </w:t>
      </w:r>
      <w:r>
        <w:rPr>
          <w:rFonts w:ascii="Times New Roman" w:hAnsi="Times New Roman"/>
          <w:sz w:val="24"/>
        </w:rPr>
        <w:t>Напомена.</w:t>
      </w:r>
    </w:p>
    <w:p>
      <w:pPr>
        <w:pStyle w:val="ListParagraph"/>
        <w:numPr>
          <w:ilvl w:val="0"/>
          <w:numId w:val="9"/>
        </w:numPr>
        <w:tabs>
          <w:tab w:pos="303" w:val="left" w:leader="none"/>
        </w:tabs>
        <w:spacing w:line="240" w:lineRule="auto" w:before="2"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Одлука о буџету Града за 2014. годину није обухватила приходе из свих извора, већ само буџетске приходе, што је супротно члану 2. став 1 тачка 2. и 23. Закона о буџетском систему.</w:t>
      </w:r>
    </w:p>
    <w:p>
      <w:pPr>
        <w:pStyle w:val="ListParagraph"/>
        <w:numPr>
          <w:ilvl w:val="0"/>
          <w:numId w:val="9"/>
        </w:numPr>
        <w:tabs>
          <w:tab w:pos="303" w:val="left" w:leader="none"/>
        </w:tabs>
        <w:spacing w:line="240" w:lineRule="auto" w:before="2" w:after="0"/>
        <w:ind w:left="160" w:right="183" w:firstLine="0"/>
        <w:jc w:val="both"/>
        <w:rPr>
          <w:rFonts w:ascii="Times New Roman" w:hAnsi="Times New Roman" w:cs="Times New Roman" w:eastAsia="Times New Roman" w:hint="default"/>
          <w:sz w:val="24"/>
          <w:szCs w:val="24"/>
        </w:rPr>
      </w:pPr>
      <w:r>
        <w:rPr>
          <w:rFonts w:ascii="Times New Roman" w:hAnsi="Times New Roman"/>
          <w:sz w:val="24"/>
        </w:rPr>
        <w:t>Управа за финансије нема податке о одобреним апропријацијама индиректним корисницима, већ само о директним</w:t>
      </w:r>
      <w:r>
        <w:rPr>
          <w:rFonts w:ascii="Times New Roman" w:hAnsi="Times New Roman"/>
          <w:spacing w:val="43"/>
          <w:sz w:val="24"/>
        </w:rPr>
        <w:t> </w:t>
      </w:r>
      <w:r>
        <w:rPr>
          <w:rFonts w:ascii="Times New Roman" w:hAnsi="Times New Roman"/>
          <w:sz w:val="24"/>
        </w:rPr>
        <w:t>корисницима</w:t>
      </w:r>
      <w:r>
        <w:rPr>
          <w:rFonts w:ascii="Times New Roman" w:hAnsi="Times New Roman"/>
          <w:sz w:val="24"/>
        </w:rPr>
        <w:t>.</w:t>
      </w:r>
    </w:p>
    <w:p>
      <w:pPr>
        <w:pStyle w:val="ListParagraph"/>
        <w:numPr>
          <w:ilvl w:val="0"/>
          <w:numId w:val="9"/>
        </w:numPr>
        <w:tabs>
          <w:tab w:pos="303" w:val="left" w:leader="none"/>
        </w:tabs>
        <w:spacing w:line="274" w:lineRule="exact" w:before="24" w:after="0"/>
        <w:ind w:left="160" w:right="187" w:firstLine="0"/>
        <w:jc w:val="both"/>
        <w:rPr>
          <w:rFonts w:ascii="Times New Roman" w:hAnsi="Times New Roman" w:cs="Times New Roman" w:eastAsia="Times New Roman" w:hint="default"/>
          <w:sz w:val="24"/>
          <w:szCs w:val="24"/>
        </w:rPr>
      </w:pPr>
      <w:r>
        <w:rPr>
          <w:rFonts w:ascii="Times New Roman" w:hAnsi="Times New Roman"/>
          <w:sz w:val="24"/>
        </w:rPr>
        <w:t>Решења о промени апропријација нису достављена ИБК, тако да они нису упознати са изменама</w:t>
      </w:r>
      <w:r>
        <w:rPr>
          <w:rFonts w:ascii="Times New Roman" w:hAnsi="Times New Roman"/>
          <w:spacing w:val="-13"/>
          <w:sz w:val="24"/>
        </w:rPr>
        <w:t> </w:t>
      </w:r>
      <w:r>
        <w:rPr>
          <w:rFonts w:ascii="Times New Roman" w:hAnsi="Times New Roman"/>
          <w:sz w:val="24"/>
        </w:rPr>
        <w:t>апропријацијама.</w:t>
      </w:r>
    </w:p>
    <w:p>
      <w:pPr>
        <w:pStyle w:val="ListParagraph"/>
        <w:numPr>
          <w:ilvl w:val="0"/>
          <w:numId w:val="9"/>
        </w:numPr>
        <w:tabs>
          <w:tab w:pos="303" w:val="left" w:leader="none"/>
        </w:tabs>
        <w:spacing w:line="240" w:lineRule="auto" w:before="0"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Решењем Начелника Управе за финансије, изворне приходе локалне самоуправе и јавне набавке одређена је квота за четврти квартал: за директног корисника Градоначелника за плате и социјалне доприносе у износу од нула динара, односно није одређен износ за исплату, за директног корисника Управу за финансије изворне приходе локалне самоуправе и јавне набавке за накнаде у натури у износу од нула динара, односно није одређен износ за куповину маркица за превоз на посао и са посла. Тек Изменом решења за четврти квартал, одређене су квоте за наведене</w:t>
      </w:r>
      <w:r>
        <w:rPr>
          <w:rFonts w:ascii="Times New Roman" w:hAnsi="Times New Roman"/>
          <w:spacing w:val="-14"/>
          <w:sz w:val="24"/>
        </w:rPr>
        <w:t> </w:t>
      </w:r>
      <w:r>
        <w:rPr>
          <w:rFonts w:ascii="Times New Roman" w:hAnsi="Times New Roman"/>
          <w:sz w:val="24"/>
        </w:rPr>
        <w:t>расходе.</w:t>
      </w:r>
    </w:p>
    <w:p>
      <w:pPr>
        <w:pStyle w:val="ListParagraph"/>
        <w:numPr>
          <w:ilvl w:val="0"/>
          <w:numId w:val="9"/>
        </w:numPr>
        <w:tabs>
          <w:tab w:pos="303" w:val="left" w:leader="none"/>
        </w:tabs>
        <w:spacing w:line="292" w:lineRule="exact" w:before="2"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Планске вредности  нису унете  у Консолидовани Извештај  о извршењу за период    </w:t>
      </w:r>
      <w:r>
        <w:rPr>
          <w:rFonts w:ascii="Times New Roman" w:hAnsi="Times New Roman"/>
          <w:spacing w:val="32"/>
          <w:sz w:val="24"/>
        </w:rPr>
        <w:t> </w:t>
      </w:r>
      <w:r>
        <w:rPr>
          <w:rFonts w:ascii="Times New Roman" w:hAnsi="Times New Roman"/>
          <w:sz w:val="24"/>
        </w:rPr>
        <w:t>од</w:t>
      </w:r>
    </w:p>
    <w:p>
      <w:pPr>
        <w:pStyle w:val="BodyText"/>
        <w:spacing w:line="274" w:lineRule="exact"/>
        <w:ind w:right="0"/>
        <w:jc w:val="both"/>
      </w:pPr>
      <w:r>
        <w:rPr>
          <w:rFonts w:ascii="Times New Roman" w:hAnsi="Times New Roman"/>
        </w:rPr>
        <w:t>01.01. </w:t>
      </w:r>
      <w:r>
        <w:rPr/>
        <w:t>до 31.12.2014. године </w:t>
      </w:r>
      <w:r>
        <w:rPr>
          <w:rFonts w:ascii="Times New Roman" w:hAnsi="Times New Roman"/>
        </w:rPr>
        <w:t>- </w:t>
      </w:r>
      <w:r>
        <w:rPr/>
        <w:t>Образац</w:t>
      </w:r>
      <w:r>
        <w:rPr>
          <w:spacing w:val="-4"/>
        </w:rPr>
        <w:t> </w:t>
      </w:r>
      <w:r>
        <w:rPr/>
        <w:t>5.</w:t>
      </w:r>
    </w:p>
    <w:p>
      <w:pPr>
        <w:spacing w:after="0" w:line="274" w:lineRule="exact"/>
        <w:jc w:val="both"/>
        <w:sectPr>
          <w:footerReference w:type="default" r:id="rId46"/>
          <w:pgSz w:w="12240" w:h="15840"/>
          <w:pgMar w:footer="1274" w:header="740" w:top="1280" w:bottom="1460" w:left="1400" w:right="1260"/>
        </w:sectPr>
      </w:pPr>
    </w:p>
    <w:p>
      <w:pPr>
        <w:pStyle w:val="ListParagraph"/>
        <w:numPr>
          <w:ilvl w:val="0"/>
          <w:numId w:val="9"/>
        </w:numPr>
        <w:tabs>
          <w:tab w:pos="303" w:val="left" w:leader="none"/>
        </w:tabs>
        <w:spacing w:line="237" w:lineRule="auto" w:before="126"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Одлука о завршном рачуну не исказује план и извршење из укупних средстава, већ само из буџетских средстава, што је супротно члану 2. став 1. тачка 53. Закона о буџетском систему.</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Чланом 43. Одлуке о организацији градских управа регулисано је да су Градске управе дужне да међусобно сарађују, када то захтева природа послова локалне самоуправе, размењују податке и обавештења неопходна за рад и остварују друге облике заједничког рада и сарадње. Уверили смо се да сарадња између управа, а посебно сарадња са  Управом за финансије, изворне приходе локалне самоуправе и јавне набавке није на одговарајућем</w:t>
      </w:r>
      <w:r>
        <w:rPr>
          <w:rFonts w:ascii="Times New Roman" w:hAnsi="Times New Roman"/>
          <w:spacing w:val="-6"/>
          <w:sz w:val="24"/>
        </w:rPr>
        <w:t> </w:t>
      </w:r>
      <w:r>
        <w:rPr>
          <w:rFonts w:ascii="Times New Roman" w:hAnsi="Times New Roman"/>
          <w:sz w:val="24"/>
        </w:rPr>
        <w:t>нивоу.</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Део улазних рачуна није правилно евидентиран у складу са структуром конта која је прописана Правилником о стандардном класификационом оквиру и контном плану за буџетски систем, што ће бити детаљније приказано у тачки 4.1.4. и 4.1.5, као и у припадајућим табелама. Иста неправилност утврђена је и у поступку ревизије финансијских извештаја завршног рачуна буџета града Ниша за 2010.</w:t>
      </w:r>
      <w:r>
        <w:rPr>
          <w:rFonts w:ascii="Times New Roman" w:hAnsi="Times New Roman"/>
          <w:spacing w:val="-26"/>
          <w:sz w:val="24"/>
        </w:rPr>
        <w:t> </w:t>
      </w:r>
      <w:r>
        <w:rPr>
          <w:rFonts w:ascii="Times New Roman" w:hAnsi="Times New Roman"/>
          <w:sz w:val="24"/>
        </w:rPr>
        <w:t>годину.</w:t>
      </w:r>
    </w:p>
    <w:p>
      <w:pPr>
        <w:pStyle w:val="ListParagraph"/>
        <w:numPr>
          <w:ilvl w:val="0"/>
          <w:numId w:val="9"/>
        </w:numPr>
        <w:tabs>
          <w:tab w:pos="303" w:val="left" w:leader="none"/>
        </w:tabs>
        <w:spacing w:line="274" w:lineRule="exact" w:before="24"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У пословним књигама директних корисника не води се аналитичка евиденција о издвојеним новчаним средствима на подрачунима и девизном</w:t>
      </w:r>
      <w:r>
        <w:rPr>
          <w:rFonts w:ascii="Times New Roman" w:hAnsi="Times New Roman"/>
          <w:spacing w:val="-29"/>
          <w:sz w:val="24"/>
        </w:rPr>
        <w:t> </w:t>
      </w:r>
      <w:r>
        <w:rPr>
          <w:rFonts w:ascii="Times New Roman" w:hAnsi="Times New Roman"/>
          <w:sz w:val="24"/>
        </w:rPr>
        <w:t>рачуну.</w:t>
      </w:r>
    </w:p>
    <w:p>
      <w:pPr>
        <w:pStyle w:val="ListParagraph"/>
        <w:numPr>
          <w:ilvl w:val="0"/>
          <w:numId w:val="9"/>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У пословним књигама директних корисника не евидентирају се промене на подрачунима, што је детаљно описано у тачки 4.3.4</w:t>
      </w:r>
      <w:r>
        <w:rPr>
          <w:rFonts w:ascii="Times New Roman" w:hAnsi="Times New Roman"/>
          <w:sz w:val="24"/>
        </w:rPr>
        <w:t>.</w:t>
      </w:r>
      <w:r>
        <w:rPr>
          <w:rFonts w:ascii="Times New Roman" w:hAnsi="Times New Roman"/>
          <w:spacing w:val="-17"/>
          <w:sz w:val="24"/>
        </w:rPr>
        <w:t> </w:t>
      </w:r>
      <w:r>
        <w:rPr>
          <w:rFonts w:ascii="Times New Roman" w:hAnsi="Times New Roman"/>
          <w:sz w:val="24"/>
        </w:rPr>
        <w:t>Напомена.</w:t>
      </w:r>
    </w:p>
    <w:p>
      <w:pPr>
        <w:pStyle w:val="ListParagraph"/>
        <w:numPr>
          <w:ilvl w:val="0"/>
          <w:numId w:val="9"/>
        </w:numPr>
        <w:tabs>
          <w:tab w:pos="303" w:val="left" w:leader="none"/>
        </w:tabs>
        <w:spacing w:line="240" w:lineRule="auto" w:before="2" w:after="0"/>
        <w:ind w:left="160" w:right="18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Део зграда и грађевинских објеката евидентиран је у Билансу стања „буџета града“ који није корисник буџетских средстава, део код Управе за финансије, изворне приходе локалне самоуправе и јавне набавке, а део код индиректних корисника буџетских средстава.</w:t>
      </w:r>
    </w:p>
    <w:p>
      <w:pPr>
        <w:pStyle w:val="ListParagraph"/>
        <w:numPr>
          <w:ilvl w:val="0"/>
          <w:numId w:val="9"/>
        </w:numPr>
        <w:tabs>
          <w:tab w:pos="303" w:val="left" w:leader="none"/>
        </w:tabs>
        <w:spacing w:line="237" w:lineRule="auto" w:before="4" w:after="0"/>
        <w:ind w:left="160" w:right="183" w:firstLine="0"/>
        <w:jc w:val="both"/>
        <w:rPr>
          <w:rFonts w:ascii="Times New Roman" w:hAnsi="Times New Roman" w:cs="Times New Roman" w:eastAsia="Times New Roman" w:hint="default"/>
          <w:sz w:val="24"/>
          <w:szCs w:val="24"/>
        </w:rPr>
      </w:pPr>
      <w:r>
        <w:rPr>
          <w:rFonts w:ascii="Times New Roman" w:hAnsi="Times New Roman"/>
          <w:sz w:val="24"/>
        </w:rPr>
        <w:t>По неколико корисника води у пословним књигама исте зграде и грађевинске објекте у различитим вредностима, тако да се не може утврдити права вредност зграда и грађевинских објеката, односно</w:t>
      </w:r>
      <w:r>
        <w:rPr>
          <w:rFonts w:ascii="Times New Roman" w:hAnsi="Times New Roman"/>
          <w:spacing w:val="-11"/>
          <w:sz w:val="24"/>
        </w:rPr>
        <w:t> </w:t>
      </w:r>
      <w:r>
        <w:rPr>
          <w:rFonts w:ascii="Times New Roman" w:hAnsi="Times New Roman"/>
          <w:sz w:val="24"/>
        </w:rPr>
        <w:t>имовине.</w:t>
      </w:r>
    </w:p>
    <w:p>
      <w:pPr>
        <w:pStyle w:val="ListParagraph"/>
        <w:numPr>
          <w:ilvl w:val="0"/>
          <w:numId w:val="9"/>
        </w:numPr>
        <w:tabs>
          <w:tab w:pos="348" w:val="left" w:leader="none"/>
        </w:tabs>
        <w:spacing w:line="274" w:lineRule="exact" w:before="24"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Помоћна књига основних средстава се састоји од подпрограма, који сви почињу од редног броја 1, тако да има пуно основних средстава са истим инвентарским</w:t>
      </w:r>
      <w:r>
        <w:rPr>
          <w:rFonts w:ascii="Times New Roman" w:hAnsi="Times New Roman"/>
          <w:spacing w:val="-25"/>
          <w:sz w:val="24"/>
        </w:rPr>
        <w:t> </w:t>
      </w:r>
      <w:r>
        <w:rPr>
          <w:rFonts w:ascii="Times New Roman" w:hAnsi="Times New Roman"/>
          <w:sz w:val="24"/>
        </w:rPr>
        <w:t>бројем.</w:t>
      </w:r>
    </w:p>
    <w:p>
      <w:pPr>
        <w:pStyle w:val="ListParagraph"/>
        <w:numPr>
          <w:ilvl w:val="0"/>
          <w:numId w:val="9"/>
        </w:numPr>
        <w:tabs>
          <w:tab w:pos="348" w:val="left" w:leader="none"/>
        </w:tabs>
        <w:spacing w:line="274" w:lineRule="exact" w:before="21"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Поједини индиректни корисници су евидентирали исправку вредности нефинансијске имовине у припреми (СЦ Чаир), што је описано у тачки 4.3.4.</w:t>
      </w:r>
      <w:r>
        <w:rPr>
          <w:rFonts w:ascii="Times New Roman" w:hAnsi="Times New Roman"/>
          <w:spacing w:val="-15"/>
          <w:sz w:val="24"/>
        </w:rPr>
        <w:t> </w:t>
      </w:r>
      <w:r>
        <w:rPr>
          <w:rFonts w:ascii="Times New Roman" w:hAnsi="Times New Roman"/>
          <w:sz w:val="24"/>
        </w:rPr>
        <w:t>Напомена.</w:t>
      </w:r>
    </w:p>
    <w:p>
      <w:pPr>
        <w:pStyle w:val="ListParagraph"/>
        <w:numPr>
          <w:ilvl w:val="0"/>
          <w:numId w:val="9"/>
        </w:numPr>
        <w:tabs>
          <w:tab w:pos="348" w:val="left" w:leader="none"/>
        </w:tabs>
        <w:spacing w:line="293" w:lineRule="exact" w:before="0" w:after="0"/>
        <w:ind w:left="347" w:right="0" w:hanging="187"/>
        <w:jc w:val="both"/>
        <w:rPr>
          <w:rFonts w:ascii="Times New Roman" w:hAnsi="Times New Roman" w:cs="Times New Roman" w:eastAsia="Times New Roman" w:hint="default"/>
          <w:sz w:val="24"/>
          <w:szCs w:val="24"/>
        </w:rPr>
      </w:pPr>
      <w:r>
        <w:rPr>
          <w:rFonts w:ascii="Times New Roman" w:hAnsi="Times New Roman"/>
          <w:sz w:val="24"/>
        </w:rPr>
        <w:t>Нефинансијска имовина у сталним средствима у активи и у пасиви нису</w:t>
      </w:r>
      <w:r>
        <w:rPr>
          <w:rFonts w:ascii="Times New Roman" w:hAnsi="Times New Roman"/>
          <w:spacing w:val="-32"/>
          <w:sz w:val="24"/>
        </w:rPr>
        <w:t> </w:t>
      </w:r>
      <w:r>
        <w:rPr>
          <w:rFonts w:ascii="Times New Roman" w:hAnsi="Times New Roman"/>
          <w:sz w:val="24"/>
        </w:rPr>
        <w:t>усаглашене.</w:t>
      </w:r>
    </w:p>
    <w:p>
      <w:pPr>
        <w:pStyle w:val="ListParagraph"/>
        <w:numPr>
          <w:ilvl w:val="0"/>
          <w:numId w:val="9"/>
        </w:numPr>
        <w:tabs>
          <w:tab w:pos="348"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Поједини индиректни корисници (ПУ Пчелица, Нишки културни центар, Туристичка организација) су подносили директним корисницима захтеве за пренос средстава за измирења већ измирених обавеза, па су у том случају одступали од захтева за пренос средстава, а директни корисници нису вршили сравњење са индиректним корисницима  за које су надлежни, што је описано у тачкама 4.1.4.8, 4.1.4.10, 4.1.4.12, 4.1.4.13. и 4.1.5.1. Напомена.</w:t>
      </w:r>
    </w:p>
    <w:p>
      <w:pPr>
        <w:pStyle w:val="ListParagraph"/>
        <w:numPr>
          <w:ilvl w:val="0"/>
          <w:numId w:val="9"/>
        </w:numPr>
        <w:tabs>
          <w:tab w:pos="303" w:val="left" w:leader="none"/>
        </w:tabs>
        <w:spacing w:line="240" w:lineRule="auto" w:before="2" w:after="0"/>
        <w:ind w:left="160" w:right="184" w:firstLine="0"/>
        <w:jc w:val="both"/>
        <w:rPr>
          <w:rFonts w:ascii="Times New Roman" w:hAnsi="Times New Roman" w:cs="Times New Roman" w:eastAsia="Times New Roman" w:hint="default"/>
          <w:sz w:val="24"/>
          <w:szCs w:val="24"/>
        </w:rPr>
      </w:pPr>
      <w:r>
        <w:rPr>
          <w:rFonts w:ascii="Times New Roman" w:hAnsi="Times New Roman"/>
          <w:sz w:val="24"/>
        </w:rPr>
        <w:t>Код ЈП Дирекција, за улице за које је увећана набавна вредност током године, амортизација се не</w:t>
      </w:r>
      <w:r>
        <w:rPr>
          <w:rFonts w:ascii="Times New Roman" w:hAnsi="Times New Roman"/>
          <w:spacing w:val="-13"/>
          <w:sz w:val="24"/>
        </w:rPr>
        <w:t> </w:t>
      </w:r>
      <w:r>
        <w:rPr>
          <w:rFonts w:ascii="Times New Roman" w:hAnsi="Times New Roman"/>
          <w:sz w:val="24"/>
        </w:rPr>
        <w:t>обрачунава.</w:t>
      </w:r>
    </w:p>
    <w:p>
      <w:pPr>
        <w:pStyle w:val="ListParagraph"/>
        <w:numPr>
          <w:ilvl w:val="0"/>
          <w:numId w:val="9"/>
        </w:numPr>
        <w:tabs>
          <w:tab w:pos="303" w:val="left" w:leader="none"/>
        </w:tabs>
        <w:spacing w:line="293" w:lineRule="exact" w:before="2"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Помоћна евиденција основних средстава није усаглашена са главном</w:t>
      </w:r>
      <w:r>
        <w:rPr>
          <w:rFonts w:ascii="Times New Roman" w:hAnsi="Times New Roman"/>
          <w:spacing w:val="-18"/>
          <w:sz w:val="24"/>
        </w:rPr>
        <w:t> </w:t>
      </w:r>
      <w:r>
        <w:rPr>
          <w:rFonts w:ascii="Times New Roman" w:hAnsi="Times New Roman"/>
          <w:sz w:val="24"/>
        </w:rPr>
        <w:t>књигом.</w:t>
      </w:r>
    </w:p>
    <w:p>
      <w:pPr>
        <w:pStyle w:val="ListParagraph"/>
        <w:numPr>
          <w:ilvl w:val="0"/>
          <w:numId w:val="9"/>
        </w:numPr>
        <w:tabs>
          <w:tab w:pos="303" w:val="left" w:leader="none"/>
        </w:tabs>
        <w:spacing w:line="274" w:lineRule="exact" w:before="21" w:after="0"/>
        <w:ind w:left="160" w:right="171" w:firstLine="0"/>
        <w:jc w:val="both"/>
        <w:rPr>
          <w:rFonts w:ascii="Times New Roman" w:hAnsi="Times New Roman" w:cs="Times New Roman" w:eastAsia="Times New Roman" w:hint="default"/>
          <w:sz w:val="24"/>
          <w:szCs w:val="24"/>
        </w:rPr>
      </w:pPr>
      <w:r>
        <w:rPr>
          <w:rFonts w:ascii="Times New Roman" w:hAnsi="Times New Roman"/>
          <w:sz w:val="24"/>
        </w:rPr>
        <w:t>Не води се уредна евиденција о становима и локалима Града, што је ближе објашњено у тачки 4.3.2. и 4.3.3.</w:t>
      </w:r>
      <w:r>
        <w:rPr>
          <w:rFonts w:ascii="Times New Roman" w:hAnsi="Times New Roman"/>
          <w:spacing w:val="-9"/>
          <w:sz w:val="24"/>
        </w:rPr>
        <w:t> </w:t>
      </w:r>
      <w:r>
        <w:rPr>
          <w:rFonts w:ascii="Times New Roman" w:hAnsi="Times New Roman"/>
          <w:sz w:val="24"/>
        </w:rPr>
        <w:t>Напомена.</w:t>
      </w:r>
    </w:p>
    <w:p>
      <w:pPr>
        <w:pStyle w:val="ListParagraph"/>
        <w:numPr>
          <w:ilvl w:val="0"/>
          <w:numId w:val="9"/>
        </w:numPr>
        <w:tabs>
          <w:tab w:pos="303" w:val="left" w:leader="none"/>
        </w:tabs>
        <w:spacing w:line="274" w:lineRule="exact" w:before="21" w:after="0"/>
        <w:ind w:left="160" w:right="183" w:firstLine="0"/>
        <w:jc w:val="both"/>
        <w:rPr>
          <w:rFonts w:ascii="Times New Roman" w:hAnsi="Times New Roman" w:cs="Times New Roman" w:eastAsia="Times New Roman" w:hint="default"/>
          <w:sz w:val="24"/>
          <w:szCs w:val="24"/>
        </w:rPr>
      </w:pPr>
      <w:r>
        <w:rPr>
          <w:rFonts w:ascii="Times New Roman" w:hAnsi="Times New Roman"/>
          <w:sz w:val="24"/>
        </w:rPr>
        <w:t>Није вршено упоређивање података из властите евиденције са подацима из других, спољних извора, путем извода отворених</w:t>
      </w:r>
      <w:r>
        <w:rPr>
          <w:rFonts w:ascii="Times New Roman" w:hAnsi="Times New Roman"/>
          <w:spacing w:val="-15"/>
          <w:sz w:val="24"/>
        </w:rPr>
        <w:t> </w:t>
      </w:r>
      <w:r>
        <w:rPr>
          <w:rFonts w:ascii="Times New Roman" w:hAnsi="Times New Roman"/>
          <w:sz w:val="24"/>
        </w:rPr>
        <w:t>ставки</w:t>
      </w:r>
      <w:r>
        <w:rPr>
          <w:rFonts w:ascii="Times New Roman" w:hAnsi="Times New Roman"/>
          <w:sz w:val="24"/>
        </w:rPr>
        <w:t>.</w:t>
      </w:r>
    </w:p>
    <w:p>
      <w:pPr>
        <w:pStyle w:val="ListParagraph"/>
        <w:numPr>
          <w:ilvl w:val="0"/>
          <w:numId w:val="9"/>
        </w:numPr>
        <w:tabs>
          <w:tab w:pos="303" w:val="left" w:leader="none"/>
        </w:tabs>
        <w:spacing w:line="274" w:lineRule="exact" w:before="21"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Није вршена провера основаности постојања евидентираних потраживања и обавеза, нити анализа потраживања и обавеза са аспекта њихове наплативости и</w:t>
      </w:r>
      <w:r>
        <w:rPr>
          <w:rFonts w:ascii="Times New Roman" w:hAnsi="Times New Roman"/>
          <w:spacing w:val="-29"/>
          <w:sz w:val="24"/>
        </w:rPr>
        <w:t> </w:t>
      </w:r>
      <w:r>
        <w:rPr>
          <w:rFonts w:ascii="Times New Roman" w:hAnsi="Times New Roman"/>
          <w:sz w:val="24"/>
        </w:rPr>
        <w:t>застарелости.</w:t>
      </w:r>
    </w:p>
    <w:p>
      <w:pPr>
        <w:spacing w:after="0" w:line="274" w:lineRule="exact"/>
        <w:jc w:val="both"/>
        <w:rPr>
          <w:rFonts w:ascii="Times New Roman" w:hAnsi="Times New Roman" w:cs="Times New Roman" w:eastAsia="Times New Roman" w:hint="default"/>
          <w:sz w:val="24"/>
          <w:szCs w:val="24"/>
        </w:rPr>
        <w:sectPr>
          <w:footerReference w:type="default" r:id="rId47"/>
          <w:pgSz w:w="12240" w:h="15840"/>
          <w:pgMar w:footer="1274" w:header="740" w:top="1280" w:bottom="1460" w:left="1400" w:right="1260"/>
          <w:pgNumType w:start="41"/>
        </w:sectPr>
      </w:pPr>
    </w:p>
    <w:p>
      <w:pPr>
        <w:pStyle w:val="ListParagraph"/>
        <w:numPr>
          <w:ilvl w:val="0"/>
          <w:numId w:val="9"/>
        </w:numPr>
        <w:tabs>
          <w:tab w:pos="303" w:val="left" w:leader="none"/>
        </w:tabs>
        <w:spacing w:line="274" w:lineRule="exact" w:before="146" w:after="0"/>
        <w:ind w:left="160" w:right="189" w:firstLine="0"/>
        <w:jc w:val="left"/>
        <w:rPr>
          <w:rFonts w:ascii="Times New Roman" w:hAnsi="Times New Roman" w:cs="Times New Roman" w:eastAsia="Times New Roman" w:hint="default"/>
          <w:sz w:val="24"/>
          <w:szCs w:val="24"/>
        </w:rPr>
      </w:pPr>
      <w:r>
        <w:rPr>
          <w:rFonts w:ascii="Times New Roman" w:hAnsi="Times New Roman"/>
          <w:sz w:val="24"/>
        </w:rPr>
        <w:t>Нису исказана потраживања по основу закупа станова, закупа пословног простора и откупа</w:t>
      </w:r>
      <w:r>
        <w:rPr>
          <w:rFonts w:ascii="Times New Roman" w:hAnsi="Times New Roman"/>
          <w:spacing w:val="-8"/>
          <w:sz w:val="24"/>
        </w:rPr>
        <w:t> </w:t>
      </w:r>
      <w:r>
        <w:rPr>
          <w:rFonts w:ascii="Times New Roman" w:hAnsi="Times New Roman"/>
          <w:sz w:val="24"/>
        </w:rPr>
        <w:t>станова.</w:t>
      </w:r>
    </w:p>
    <w:p>
      <w:pPr>
        <w:pStyle w:val="Heading2"/>
        <w:spacing w:line="240" w:lineRule="auto" w:before="2"/>
        <w:ind w:right="174"/>
        <w:jc w:val="both"/>
        <w:rPr>
          <w:b w:val="0"/>
          <w:bCs w:val="0"/>
          <w:i w:val="0"/>
        </w:rPr>
      </w:pPr>
      <w:r>
        <w:rPr>
          <w:i/>
        </w:rPr>
        <w:t>Препоручује се одговорним лицима да: интерним и другим прописима уреде организацију и функционисање на такав начин да се пословне књиге ажурирају, закључе и израде резервне копије у складу са прописима</w:t>
      </w:r>
      <w:r>
        <w:rPr>
          <w:rFonts w:ascii="Times New Roman" w:hAnsi="Times New Roman"/>
          <w:b w:val="0"/>
          <w:i w:val="0"/>
        </w:rPr>
        <w:t>; </w:t>
      </w:r>
      <w:r>
        <w:rPr>
          <w:i/>
        </w:rPr>
        <w:t>користе документацију и систем тока документације, а у циљу правилног, благовременог и свеобухватног евидентирања, адекватног третирања извршених трансакција и успостављања одговарајућег система истинитог, објективног и поузданог извештавања; обезбеде пријављивање обавеза у систем</w:t>
      </w:r>
      <w:r>
        <w:rPr>
          <w:i/>
          <w:spacing w:val="-7"/>
        </w:rPr>
        <w:t> </w:t>
      </w:r>
      <w:r>
        <w:rPr>
          <w:i/>
        </w:rPr>
        <w:t>РИНО.</w:t>
      </w:r>
      <w:r>
        <w:rPr>
          <w:b w:val="0"/>
          <w:i w:val="0"/>
        </w:rPr>
      </w:r>
    </w:p>
    <w:p>
      <w:pPr>
        <w:pStyle w:val="ListParagraph"/>
        <w:numPr>
          <w:ilvl w:val="1"/>
          <w:numId w:val="20"/>
        </w:numPr>
        <w:tabs>
          <w:tab w:pos="1013" w:val="left" w:leader="none"/>
        </w:tabs>
        <w:spacing w:line="274" w:lineRule="exact" w:before="60" w:after="0"/>
        <w:ind w:left="1012" w:right="0" w:hanging="286"/>
        <w:jc w:val="left"/>
        <w:rPr>
          <w:rFonts w:ascii="Times New Roman" w:hAnsi="Times New Roman" w:cs="Times New Roman" w:eastAsia="Times New Roman" w:hint="default"/>
          <w:sz w:val="24"/>
          <w:szCs w:val="24"/>
        </w:rPr>
      </w:pPr>
      <w:r>
        <w:rPr>
          <w:rFonts w:ascii="Times New Roman" w:hAnsi="Times New Roman"/>
          <w:b/>
          <w:sz w:val="24"/>
        </w:rPr>
        <w:t>Праћење и процена</w:t>
      </w:r>
      <w:r>
        <w:rPr>
          <w:rFonts w:ascii="Times New Roman" w:hAnsi="Times New Roman"/>
          <w:b/>
          <w:spacing w:val="-9"/>
          <w:sz w:val="24"/>
        </w:rPr>
        <w:t> </w:t>
      </w:r>
      <w:r>
        <w:rPr>
          <w:rFonts w:ascii="Times New Roman" w:hAnsi="Times New Roman"/>
          <w:b/>
          <w:sz w:val="24"/>
        </w:rPr>
        <w:t>система</w:t>
      </w:r>
      <w:r>
        <w:rPr>
          <w:rFonts w:ascii="Times New Roman" w:hAnsi="Times New Roman"/>
          <w:sz w:val="24"/>
        </w:rPr>
      </w:r>
    </w:p>
    <w:p>
      <w:pPr>
        <w:pStyle w:val="BodyText"/>
        <w:spacing w:line="240" w:lineRule="auto"/>
        <w:ind w:right="177" w:firstLine="566"/>
        <w:jc w:val="both"/>
      </w:pPr>
      <w:r>
        <w:rPr/>
        <w:t>Праћење и процена система подразумева континуирани процес надгледања финансијског управљања и контроле његове адекватности, функционалности, као и одговарајуће дизајнирање, са циљем побољшања његове ефикасности. Праћење и процена система се изводи на неколико начина: текућим увидом, самопроцењивањем и интерном</w:t>
      </w:r>
      <w:r>
        <w:rPr>
          <w:spacing w:val="-6"/>
        </w:rPr>
        <w:t> </w:t>
      </w:r>
      <w:r>
        <w:rPr/>
        <w:t>ревизијом.</w:t>
      </w:r>
    </w:p>
    <w:p>
      <w:pPr>
        <w:pStyle w:val="BodyText"/>
        <w:spacing w:line="240" w:lineRule="auto"/>
        <w:ind w:right="173" w:firstLine="566"/>
        <w:jc w:val="both"/>
      </w:pPr>
      <w:r>
        <w:rPr/>
        <w:t>У циљу текућег увида и инспекцијског надзора над извршавањем закона, подзаконских аката и прописа</w:t>
      </w:r>
      <w:r>
        <w:rPr>
          <w:rFonts w:ascii="Times New Roman" w:hAnsi="Times New Roman"/>
        </w:rPr>
        <w:t>, </w:t>
      </w:r>
      <w:r>
        <w:rPr/>
        <w:t>Град је организовао комуналну полицију, затим Правилником о унутрашњем уређењу и систематизацији радних места у Управи за имовину и инспекцијске послове предвиђени су одсеци грађевинске инспекције</w:t>
      </w:r>
      <w:r>
        <w:rPr>
          <w:rFonts w:ascii="Times New Roman" w:hAnsi="Times New Roman"/>
        </w:rPr>
        <w:t>, </w:t>
      </w:r>
      <w:r>
        <w:rPr/>
        <w:t>инспекције за путеве и саобраћајне инспекције, инспекције за заштиту животне средине</w:t>
      </w:r>
      <w:r>
        <w:rPr>
          <w:rFonts w:ascii="Times New Roman" w:hAnsi="Times New Roman"/>
        </w:rPr>
        <w:t>, </w:t>
      </w:r>
      <w:r>
        <w:rPr/>
        <w:t>Правилником о унутрашњем уређењу и систематизацији радних места у Управи за образовање предвиђен је одсек за просветну</w:t>
      </w:r>
      <w:r>
        <w:rPr>
          <w:spacing w:val="-23"/>
        </w:rPr>
        <w:t> </w:t>
      </w:r>
      <w:r>
        <w:rPr/>
        <w:t>инспекцију.</w:t>
      </w:r>
    </w:p>
    <w:p>
      <w:pPr>
        <w:pStyle w:val="BodyText"/>
        <w:spacing w:line="240" w:lineRule="auto"/>
        <w:ind w:right="173" w:firstLine="566"/>
        <w:jc w:val="both"/>
      </w:pPr>
      <w:r>
        <w:rPr/>
        <w:t>Буџетска инспекција је успостављена Одлуком о оснивању и раду буџетске инспекције 2009. године. Правилником о унутрашњем уређењу и систематизацији  радних места у Буџетској инспекцији града Ниша и изменама истог предвиђено је 5 радних места са 11 извршилаца, а распоређено је шест запослених, док је једно лице постављено.</w:t>
      </w:r>
    </w:p>
    <w:p>
      <w:pPr>
        <w:pStyle w:val="BodyText"/>
        <w:spacing w:line="276" w:lineRule="exact" w:before="3"/>
        <w:ind w:right="182" w:firstLine="566"/>
        <w:jc w:val="both"/>
        <w:rPr>
          <w:rFonts w:ascii="Times New Roman" w:hAnsi="Times New Roman" w:cs="Times New Roman" w:eastAsia="Times New Roman" w:hint="default"/>
        </w:rPr>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Интерна ревизија </w:t>
      </w:r>
      <w:r>
        <w:rPr/>
        <w:t>– Град Ниш није успоставио и организовао интерну ревизију, што </w:t>
      </w:r>
      <w:r>
        <w:rPr/>
        <w:t>није у складу са чланом 82. Закона о буџетском систему и чланом 35. Правилника о заједничким критеријумима за организовање и стандардима и методолошким упутствима за поступање и извештавање интерне ревизије у јавном</w:t>
      </w:r>
      <w:r>
        <w:rPr>
          <w:spacing w:val="-18"/>
        </w:rPr>
        <w:t> </w:t>
      </w:r>
      <w:r>
        <w:rPr/>
        <w:t>сектору</w:t>
      </w:r>
      <w:r>
        <w:rPr>
          <w:rFonts w:ascii="Times New Roman" w:hAnsi="Times New Roman" w:cs="Times New Roman" w:eastAsia="Times New Roman" w:hint="default"/>
          <w:position w:val="11"/>
          <w:sz w:val="16"/>
          <w:szCs w:val="16"/>
        </w:rPr>
        <w:t>14</w:t>
      </w:r>
      <w:r>
        <w:rPr>
          <w:rFonts w:ascii="Times New Roman" w:hAnsi="Times New Roman" w:cs="Times New Roman" w:eastAsia="Times New Roman" w:hint="default"/>
        </w:rPr>
        <w:t>.</w:t>
      </w:r>
    </w:p>
    <w:p>
      <w:pPr>
        <w:pStyle w:val="BodyText"/>
        <w:spacing w:line="240" w:lineRule="auto"/>
        <w:ind w:right="177" w:firstLine="566"/>
        <w:jc w:val="both"/>
      </w:pPr>
      <w:r>
        <w:rPr/>
        <w:t>Иста неправилност је утврђена и у поступку ревизије финансијских извештаја завршног рачуна буџета града Ниша за 2010.</w:t>
      </w:r>
      <w:r>
        <w:rPr>
          <w:spacing w:val="-14"/>
        </w:rPr>
        <w:t> </w:t>
      </w:r>
      <w:r>
        <w:rPr/>
        <w:t>годину.</w:t>
      </w:r>
    </w:p>
    <w:p>
      <w:pPr>
        <w:pStyle w:val="Heading2"/>
        <w:spacing w:line="240" w:lineRule="auto"/>
        <w:ind w:right="183"/>
        <w:jc w:val="both"/>
        <w:rPr>
          <w:b w:val="0"/>
          <w:bCs w:val="0"/>
          <w:i w:val="0"/>
        </w:rPr>
      </w:pPr>
      <w:r>
        <w:rPr>
          <w:i/>
        </w:rPr>
        <w:t>Препоручује се одговорним лицима да организују и успоставе интерну ревизију како би адекватно креирали и дизајнирали систем за надгледање финансијског управљања и контроле, како би се текућим увидом, самопроцењивањем и интерном ревизијом на најефикаснији начин обавило праћење и процена</w:t>
      </w:r>
      <w:r>
        <w:rPr>
          <w:i/>
          <w:spacing w:val="-19"/>
        </w:rPr>
        <w:t> </w:t>
      </w:r>
      <w:r>
        <w:rPr>
          <w:i/>
        </w:rPr>
        <w:t>система.</w:t>
      </w:r>
      <w:r>
        <w:rPr>
          <w:b w:val="0"/>
          <w:i w:val="0"/>
        </w:rPr>
      </w:r>
    </w:p>
    <w:p>
      <w:pPr>
        <w:spacing w:before="182"/>
        <w:ind w:left="160" w:right="177" w:firstLine="566"/>
        <w:jc w:val="both"/>
        <w:rPr>
          <w:rFonts w:ascii="Times New Roman" w:hAnsi="Times New Roman" w:cs="Times New Roman" w:eastAsia="Times New Roman" w:hint="default"/>
          <w:sz w:val="24"/>
          <w:szCs w:val="24"/>
        </w:rPr>
      </w:pPr>
      <w:r>
        <w:rPr>
          <w:rFonts w:ascii="Times New Roman" w:hAnsi="Times New Roman"/>
          <w:b/>
          <w:sz w:val="24"/>
        </w:rPr>
        <w:t>На основу спроведене ревизије функционисања система интерних контрола која је извршена анализом његових елемената: контролног окружења, управљања ризицима, контролних активности, информација и комуникација и праћења и процене система, утврдили смо да успостављени систем интерних контрола није ефикасан за обезбеђење разумног уверавања да ће постављени циљеви бити остварени кроз: пословање у складу са важећим прописима, реалност и интегритет финансијских  и  пословних  извештаја,  добро  финансијско  управљање  и</w:t>
      </w:r>
      <w:r>
        <w:rPr>
          <w:rFonts w:ascii="Times New Roman" w:hAnsi="Times New Roman"/>
          <w:b/>
          <w:spacing w:val="23"/>
          <w:sz w:val="24"/>
        </w:rPr>
        <w:t> </w:t>
      </w:r>
      <w:r>
        <w:rPr>
          <w:rFonts w:ascii="Times New Roman" w:hAnsi="Times New Roman"/>
          <w:b/>
          <w:sz w:val="24"/>
        </w:rPr>
        <w:t>заштиту</w:t>
      </w:r>
      <w:r>
        <w:rPr>
          <w:rFonts w:ascii="Times New Roman" w:hAnsi="Times New Roman"/>
          <w:sz w:val="24"/>
        </w:rPr>
      </w:r>
    </w:p>
    <w:p>
      <w:pPr>
        <w:spacing w:line="240" w:lineRule="auto" w:before="7"/>
        <w:rPr>
          <w:rFonts w:ascii="Times New Roman" w:hAnsi="Times New Roman" w:cs="Times New Roman" w:eastAsia="Times New Roman" w:hint="default"/>
          <w:b/>
          <w:bCs/>
          <w:sz w:val="16"/>
          <w:szCs w:val="16"/>
        </w:rPr>
      </w:pPr>
      <w:r>
        <w:rPr/>
        <w:pict>
          <v:group style="position:absolute;margin-left:78.024002pt;margin-top:10.784305pt;width:144.050pt;height:.1pt;mso-position-horizontal-relative:page;mso-position-vertical-relative:paragraph;z-index:1240;mso-wrap-distance-left:0;mso-wrap-distance-right:0" coordorigin="1560,216" coordsize="2881,2">
            <v:shape style="position:absolute;left:1560;top:216;width:2881;height:2" coordorigin="1560,216" coordsize="2881,0" path="m1560,216l4441,216e" filled="false" stroked="true" strokeweight=".599980pt" strokecolor="#000000">
              <v:path arrowok="t"/>
            </v:shape>
            <w10:wrap type="topAndBottom"/>
          </v:group>
        </w:pict>
      </w:r>
    </w:p>
    <w:p>
      <w:pPr>
        <w:spacing w:before="52"/>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14 </w:t>
      </w:r>
      <w:r>
        <w:rPr>
          <w:rFonts w:ascii="Times New Roman" w:hAnsi="Times New Roman" w:cs="Times New Roman" w:eastAsia="Times New Roman" w:hint="default"/>
          <w:sz w:val="16"/>
          <w:szCs w:val="16"/>
        </w:rPr>
        <w:t>„Службени гласник Републике Србије“ број  99/2011 и</w:t>
      </w:r>
      <w:r>
        <w:rPr>
          <w:rFonts w:ascii="Times New Roman" w:hAnsi="Times New Roman" w:cs="Times New Roman" w:eastAsia="Times New Roman" w:hint="default"/>
          <w:spacing w:val="-11"/>
          <w:sz w:val="16"/>
          <w:szCs w:val="16"/>
        </w:rPr>
        <w:t> </w:t>
      </w:r>
      <w:r>
        <w:rPr>
          <w:rFonts w:ascii="Times New Roman" w:hAnsi="Times New Roman" w:cs="Times New Roman" w:eastAsia="Times New Roman" w:hint="default"/>
          <w:sz w:val="16"/>
          <w:szCs w:val="16"/>
        </w:rPr>
        <w:t>106/2013</w:t>
      </w:r>
    </w:p>
    <w:p>
      <w:pPr>
        <w:spacing w:after="0"/>
        <w:jc w:val="left"/>
        <w:rPr>
          <w:rFonts w:ascii="Times New Roman" w:hAnsi="Times New Roman" w:cs="Times New Roman" w:eastAsia="Times New Roman" w:hint="default"/>
          <w:sz w:val="16"/>
          <w:szCs w:val="16"/>
        </w:rPr>
        <w:sectPr>
          <w:pgSz w:w="12240" w:h="15840"/>
          <w:pgMar w:header="740" w:footer="1274" w:top="1280" w:bottom="1460" w:left="1400" w:right="1260"/>
        </w:sectPr>
      </w:pPr>
    </w:p>
    <w:p>
      <w:pPr>
        <w:pStyle w:val="Heading1"/>
        <w:spacing w:line="240" w:lineRule="auto" w:before="126"/>
        <w:ind w:left="160" w:right="234"/>
        <w:jc w:val="left"/>
        <w:rPr>
          <w:b w:val="0"/>
          <w:bCs w:val="0"/>
        </w:rPr>
      </w:pPr>
      <w:r>
        <w:rPr/>
        <w:t>средстава и да наведени систем за указане слабости треба додатно креирати, пратити и повремено</w:t>
      </w:r>
      <w:r>
        <w:rPr>
          <w:spacing w:val="-17"/>
        </w:rPr>
        <w:t> </w:t>
      </w:r>
      <w:r>
        <w:rPr/>
        <w:t>дизајнирати.</w:t>
      </w:r>
      <w:r>
        <w:rPr>
          <w:b w:val="0"/>
        </w:rPr>
      </w:r>
    </w:p>
    <w:p>
      <w:pPr>
        <w:pStyle w:val="Heading1"/>
        <w:numPr>
          <w:ilvl w:val="0"/>
          <w:numId w:val="20"/>
        </w:numPr>
        <w:tabs>
          <w:tab w:pos="737" w:val="left" w:leader="none"/>
        </w:tabs>
        <w:spacing w:line="240" w:lineRule="auto" w:before="201" w:after="0"/>
        <w:ind w:left="736" w:right="0" w:hanging="576"/>
        <w:jc w:val="left"/>
        <w:rPr>
          <w:b w:val="0"/>
          <w:bCs w:val="0"/>
        </w:rPr>
      </w:pPr>
      <w:bookmarkStart w:name="_bookmark3" w:id="6"/>
      <w:bookmarkEnd w:id="6"/>
      <w:r>
        <w:rPr>
          <w:b w:val="0"/>
        </w:rPr>
      </w:r>
      <w:bookmarkStart w:name="_bookmark3" w:id="7"/>
      <w:bookmarkEnd w:id="7"/>
      <w:r>
        <w:rPr/>
        <w:t>Фи</w:t>
      </w:r>
      <w:r>
        <w:rPr/>
        <w:t>нансијски извештаји завршног</w:t>
      </w:r>
      <w:r>
        <w:rPr>
          <w:spacing w:val="-18"/>
        </w:rPr>
        <w:t> </w:t>
      </w:r>
      <w:r>
        <w:rPr/>
        <w:t>рачуна</w:t>
      </w:r>
      <w:r>
        <w:rPr>
          <w:b w:val="0"/>
        </w:rPr>
      </w:r>
    </w:p>
    <w:p>
      <w:pPr>
        <w:pStyle w:val="Heading1"/>
        <w:tabs>
          <w:tab w:pos="726" w:val="left" w:leader="none"/>
        </w:tabs>
        <w:spacing w:line="274" w:lineRule="exact" w:before="57"/>
        <w:ind w:left="160" w:right="141"/>
        <w:jc w:val="left"/>
        <w:rPr>
          <w:b w:val="0"/>
          <w:bCs w:val="0"/>
        </w:rPr>
      </w:pPr>
      <w:bookmarkStart w:name="_bookmark4" w:id="8"/>
      <w:bookmarkEnd w:id="8"/>
      <w:r>
        <w:rPr>
          <w:b w:val="0"/>
        </w:rPr>
      </w:r>
      <w:r>
        <w:rPr>
          <w:rFonts w:ascii="Times New Roman" w:hAnsi="Times New Roman"/>
        </w:rPr>
        <w:t>4.1</w:t>
        <w:tab/>
      </w:r>
      <w:r>
        <w:rPr/>
        <w:t>Извештај о извршењу</w:t>
      </w:r>
      <w:r>
        <w:rPr>
          <w:spacing w:val="-7"/>
        </w:rPr>
        <w:t> </w:t>
      </w:r>
      <w:r>
        <w:rPr/>
        <w:t>буџета</w:t>
      </w:r>
      <w:r>
        <w:rPr>
          <w:b w:val="0"/>
        </w:rPr>
      </w:r>
    </w:p>
    <w:p>
      <w:pPr>
        <w:pStyle w:val="BodyText"/>
        <w:spacing w:line="240" w:lineRule="auto"/>
        <w:ind w:right="183" w:firstLine="566"/>
        <w:jc w:val="both"/>
      </w:pPr>
      <w:r>
        <w:rPr/>
        <w:t>У консолидованом Извештају о извршењу буџета града Ниша у периоду од 01.01.  до 31.12.2014. године (Образац 5) исказани су укупни приходи и примања у износу од 7.668.615 хиљада динара и укупни расходи и издаци у износу од 7.629.782 хиљадe динара.</w:t>
      </w:r>
    </w:p>
    <w:p>
      <w:pPr>
        <w:pStyle w:val="Heading1"/>
        <w:spacing w:line="274" w:lineRule="exact" w:before="204"/>
        <w:ind w:left="160" w:right="141"/>
        <w:jc w:val="left"/>
        <w:rPr>
          <w:b w:val="0"/>
          <w:bCs w:val="0"/>
        </w:rPr>
      </w:pPr>
      <w:bookmarkStart w:name="_bookmark5" w:id="9"/>
      <w:bookmarkEnd w:id="9"/>
      <w:r>
        <w:rPr>
          <w:b w:val="0"/>
        </w:rPr>
      </w:r>
      <w:r>
        <w:rPr>
          <w:rFonts w:ascii="Times New Roman" w:hAnsi="Times New Roman"/>
        </w:rPr>
        <w:t>4.1.1  </w:t>
      </w:r>
      <w:r>
        <w:rPr/>
        <w:t>Припрема и доношење</w:t>
      </w:r>
      <w:r>
        <w:rPr>
          <w:spacing w:val="-10"/>
        </w:rPr>
        <w:t> </w:t>
      </w:r>
      <w:r>
        <w:rPr/>
        <w:t>буџета</w:t>
      </w:r>
      <w:r>
        <w:rPr>
          <w:b w:val="0"/>
        </w:rPr>
      </w:r>
    </w:p>
    <w:p>
      <w:pPr>
        <w:pStyle w:val="BodyText"/>
        <w:spacing w:line="276" w:lineRule="exact" w:before="1"/>
        <w:ind w:right="182" w:firstLine="566"/>
        <w:jc w:val="both"/>
        <w:rPr>
          <w:rFonts w:ascii="Times New Roman" w:hAnsi="Times New Roman" w:cs="Times New Roman" w:eastAsia="Times New Roman" w:hint="default"/>
        </w:rPr>
      </w:pPr>
      <w:r>
        <w:rPr/>
        <w:t>Припрема и доношење буџета Града засновани су на одредбама Закона о локалној самоуправи</w:t>
      </w:r>
      <w:r>
        <w:rPr>
          <w:rFonts w:ascii="Times New Roman" w:hAnsi="Times New Roman"/>
          <w:position w:val="11"/>
          <w:sz w:val="16"/>
        </w:rPr>
        <w:t>15</w:t>
      </w:r>
      <w:r>
        <w:rPr/>
        <w:t>, Закона о буџетском систему и Статута града</w:t>
      </w:r>
      <w:r>
        <w:rPr>
          <w:spacing w:val="-8"/>
        </w:rPr>
        <w:t> </w:t>
      </w:r>
      <w:r>
        <w:rPr/>
        <w:t>Ниша</w:t>
      </w:r>
      <w:r>
        <w:rPr>
          <w:rFonts w:ascii="Times New Roman" w:hAnsi="Times New Roman"/>
          <w:position w:val="11"/>
          <w:sz w:val="16"/>
        </w:rPr>
        <w:t>16</w:t>
      </w:r>
      <w:r>
        <w:rPr>
          <w:rFonts w:ascii="Times New Roman" w:hAnsi="Times New Roman"/>
        </w:rPr>
        <w:t>.</w:t>
      </w:r>
    </w:p>
    <w:p>
      <w:pPr>
        <w:pStyle w:val="BodyText"/>
        <w:spacing w:line="240" w:lineRule="auto"/>
        <w:ind w:right="178" w:firstLine="566"/>
        <w:jc w:val="both"/>
      </w:pPr>
      <w:r>
        <w:rPr/>
        <w:t>Град Ниш је активности на припреми Нацрта Одлуке о буџету за 2014. годину отпочео дана 09.10.2013. године када је Управа за финансије, изворне приходе локалне самоуправе и јавне набавке доставила Упутство за припрему буџета града Ниша за 2014. годину број </w:t>
      </w:r>
      <w:r>
        <w:rPr>
          <w:rFonts w:ascii="Times New Roman" w:hAnsi="Times New Roman"/>
        </w:rPr>
        <w:t>11-</w:t>
      </w:r>
      <w:r>
        <w:rPr/>
        <w:t>1488/2013 директним корисницима буџета града Ниша и градским општинама града Ниша. У допису којим је прослеђено упутство наведено је да је због кашњења у припреми упутства</w:t>
      </w:r>
      <w:r>
        <w:rPr>
          <w:rFonts w:ascii="Times New Roman" w:hAnsi="Times New Roman"/>
        </w:rPr>
        <w:t>, </w:t>
      </w:r>
      <w:r>
        <w:rPr/>
        <w:t>рок за достављање Управи за финансије, изворне  приходе локалне самоуправе и јавне набавке предлога финансијских планова за буџетску и наредне две фискалне године закључно са 21.10.2013. године. У самом тексту упутства наведено је да је рок за достављање предлога финансијских планова 17.10.2013.</w:t>
      </w:r>
      <w:r>
        <w:rPr>
          <w:spacing w:val="-17"/>
        </w:rPr>
        <w:t> </w:t>
      </w:r>
      <w:r>
        <w:rPr/>
        <w:t>године.</w:t>
      </w:r>
    </w:p>
    <w:p>
      <w:pPr>
        <w:spacing w:line="240" w:lineRule="auto" w:before="0"/>
        <w:rPr>
          <w:rFonts w:ascii="Times New Roman" w:hAnsi="Times New Roman" w:cs="Times New Roman" w:eastAsia="Times New Roman" w:hint="default"/>
          <w:sz w:val="24"/>
          <w:szCs w:val="24"/>
        </w:rPr>
      </w:pPr>
    </w:p>
    <w:p>
      <w:pPr>
        <w:pStyle w:val="BodyText"/>
        <w:spacing w:line="240" w:lineRule="auto"/>
        <w:ind w:right="177" w:firstLine="566"/>
        <w:jc w:val="both"/>
        <w:rPr>
          <w:rFonts w:ascii="Times New Roman" w:hAnsi="Times New Roman" w:cs="Times New Roman" w:eastAsia="Times New Roman" w:hint="default"/>
        </w:rPr>
      </w:pPr>
      <w:r>
        <w:rPr/>
        <w:t>Управа за финансије, изворне приходе локалне самоуправе и јавне набавке израдила је Нацрт Одлуке о буџету града Ниша за 2014. годину и дана 03.12.2013. године доставила Градском већу. Нацрт Одлуке о буџету за 2014. годину објављен је на званичном сајту града Ниша дана 03.12.2013. године. Рок за јавну расправу о Нацрту истиче дана 09.12.2013. године. Управа за финансије, изворне приходе локалне самоуправе и јавне набавке доставила је Градском већу, дана 10.12.2013. године Нацрт Одлуке о</w:t>
      </w:r>
      <w:r>
        <w:rPr>
          <w:spacing w:val="-5"/>
        </w:rPr>
        <w:t> </w:t>
      </w:r>
      <w:r>
        <w:rPr/>
        <w:t>буџету</w:t>
      </w:r>
      <w:r>
        <w:rPr>
          <w:rFonts w:ascii="Times New Roman" w:hAnsi="Times New Roman"/>
        </w:rPr>
        <w:t>.</w:t>
      </w:r>
    </w:p>
    <w:p>
      <w:pPr>
        <w:pStyle w:val="BodyText"/>
        <w:spacing w:line="240" w:lineRule="auto"/>
        <w:ind w:right="180" w:firstLine="566"/>
        <w:jc w:val="both"/>
      </w:pPr>
      <w:r>
        <w:rPr/>
        <w:t>Градско веће града Ниша је, на седници дана 10.12.2013. године, донело Решење број 1701</w:t>
      </w:r>
      <w:r>
        <w:rPr>
          <w:rFonts w:ascii="Times New Roman" w:hAnsi="Times New Roman"/>
        </w:rPr>
        <w:t>-2/2013-</w:t>
      </w:r>
      <w:r>
        <w:rPr/>
        <w:t>03 којим је утврдило Предлог Одлуке о буџету града Ниша за 2014. годину и наредног дана, 11.12.2013. године доставило Скупштини</w:t>
      </w:r>
      <w:r>
        <w:rPr>
          <w:spacing w:val="-16"/>
        </w:rPr>
        <w:t> </w:t>
      </w:r>
      <w:r>
        <w:rPr/>
        <w:t>града.</w:t>
      </w:r>
    </w:p>
    <w:p>
      <w:pPr>
        <w:pStyle w:val="BodyText"/>
        <w:spacing w:line="240" w:lineRule="auto"/>
        <w:ind w:right="174" w:firstLine="566"/>
        <w:jc w:val="both"/>
      </w:pPr>
      <w:r>
        <w:rPr/>
        <w:t>Скупштина града Ниша донела је Одлуку о буџету на седници одржаној дана 17.12.2013. године и иста је објављена у „Службеном листу града Ниша“ број 95/2013. Одлука о буџету града Ниша за 201</w:t>
      </w:r>
      <w:r>
        <w:rPr>
          <w:rFonts w:ascii="Times New Roman" w:hAnsi="Times New Roman" w:cs="Times New Roman" w:eastAsia="Times New Roman" w:hint="default"/>
        </w:rPr>
        <w:t>4</w:t>
      </w:r>
      <w:r>
        <w:rPr/>
        <w:t>. годину достављена је Министарству финансија Републике Србије дана </w:t>
      </w:r>
      <w:r>
        <w:rPr>
          <w:rFonts w:ascii="Times New Roman" w:hAnsi="Times New Roman" w:cs="Times New Roman" w:eastAsia="Times New Roman" w:hint="default"/>
        </w:rPr>
        <w:t>19.12.2013. </w:t>
      </w:r>
      <w:r>
        <w:rPr/>
        <w:t>године. Буџет је утврђен у износу од </w:t>
      </w:r>
      <w:r>
        <w:rPr>
          <w:rFonts w:ascii="Times New Roman" w:hAnsi="Times New Roman" w:cs="Times New Roman" w:eastAsia="Times New Roman" w:hint="default"/>
        </w:rPr>
        <w:t>10.654.379 </w:t>
      </w:r>
      <w:r>
        <w:rPr/>
        <w:t>од чега буџетска средства износе 9.980.059 хиљада</w:t>
      </w:r>
      <w:r>
        <w:rPr>
          <w:spacing w:val="-15"/>
        </w:rPr>
        <w:t> </w:t>
      </w:r>
      <w:r>
        <w:rPr/>
        <w:t>динара.</w:t>
      </w:r>
    </w:p>
    <w:p>
      <w:pPr>
        <w:pStyle w:val="BodyText"/>
        <w:spacing w:line="240" w:lineRule="auto"/>
        <w:ind w:left="726" w:right="141"/>
        <w:jc w:val="left"/>
      </w:pPr>
      <w:r>
        <w:rPr/>
        <w:t>Током 201</w:t>
      </w:r>
      <w:r>
        <w:rPr>
          <w:rFonts w:ascii="Times New Roman" w:hAnsi="Times New Roman"/>
        </w:rPr>
        <w:t>4</w:t>
      </w:r>
      <w:r>
        <w:rPr/>
        <w:t>. године, ради уравнотежења буџета, извршен је ребаланс</w:t>
      </w:r>
      <w:r>
        <w:rPr>
          <w:spacing w:val="-18"/>
        </w:rPr>
        <w:t> </w:t>
      </w:r>
      <w:r>
        <w:rPr/>
        <w:t>буџета.</w:t>
      </w:r>
    </w:p>
    <w:p>
      <w:pPr>
        <w:pStyle w:val="BodyText"/>
        <w:spacing w:line="240" w:lineRule="auto"/>
        <w:ind w:right="181" w:firstLine="566"/>
        <w:jc w:val="both"/>
      </w:pPr>
      <w:r>
        <w:rPr/>
        <w:t>Дана 07.10.2014. године Управа за финансије, изворне приходе локалне самоуправе и јавне набавке је доставила Градском већу града Ниша Нацрт Одлуке о изменама и допунама Одлуке о буџету града Ниша за 2014.</w:t>
      </w:r>
      <w:r>
        <w:rPr>
          <w:spacing w:val="-17"/>
        </w:rPr>
        <w:t> </w:t>
      </w:r>
      <w:r>
        <w:rPr/>
        <w:t>годину.</w:t>
      </w: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1"/>
        <w:rPr>
          <w:rFonts w:ascii="Times New Roman" w:hAnsi="Times New Roman" w:cs="Times New Roman" w:eastAsia="Times New Roman" w:hint="default"/>
          <w:sz w:val="20"/>
          <w:szCs w:val="20"/>
        </w:rPr>
      </w:pPr>
      <w:r>
        <w:rPr/>
        <w:pict>
          <v:group style="position:absolute;margin-left:78.024002pt;margin-top:12.78723pt;width:144.050pt;height:.1pt;mso-position-horizontal-relative:page;mso-position-vertical-relative:paragraph;z-index:1264;mso-wrap-distance-left:0;mso-wrap-distance-right:0" coordorigin="1560,256" coordsize="2881,2">
            <v:shape style="position:absolute;left:1560;top:256;width:2881;height:2" coordorigin="1560,256" coordsize="2881,0" path="m1560,256l4441,256e" filled="false" stroked="true" strokeweight=".599980pt" strokecolor="#000000">
              <v:path arrowok="t"/>
            </v:shape>
            <w10:wrap type="topAndBottom"/>
          </v:group>
        </w:pict>
      </w:r>
    </w:p>
    <w:p>
      <w:pPr>
        <w:spacing w:line="191" w:lineRule="exact" w:before="5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15 </w:t>
      </w:r>
      <w:r>
        <w:rPr>
          <w:rFonts w:ascii="Times New Roman" w:hAnsi="Times New Roman" w:cs="Times New Roman" w:eastAsia="Times New Roman" w:hint="default"/>
          <w:sz w:val="16"/>
          <w:szCs w:val="16"/>
        </w:rPr>
        <w:t>„Службени гласник Републике Србије“ број</w:t>
      </w:r>
      <w:r>
        <w:rPr>
          <w:rFonts w:ascii="Times New Roman" w:hAnsi="Times New Roman" w:cs="Times New Roman" w:eastAsia="Times New Roman" w:hint="default"/>
          <w:spacing w:val="-5"/>
          <w:sz w:val="16"/>
          <w:szCs w:val="16"/>
        </w:rPr>
        <w:t> </w:t>
      </w:r>
      <w:r>
        <w:rPr>
          <w:rFonts w:ascii="Times New Roman" w:hAnsi="Times New Roman" w:cs="Times New Roman" w:eastAsia="Times New Roman" w:hint="default"/>
          <w:sz w:val="16"/>
          <w:szCs w:val="16"/>
        </w:rPr>
        <w:t>129/07</w:t>
      </w:r>
    </w:p>
    <w:p>
      <w:pPr>
        <w:spacing w:line="191" w:lineRule="exact" w:before="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16  </w:t>
      </w:r>
      <w:r>
        <w:rPr>
          <w:rFonts w:ascii="Times New Roman" w:hAnsi="Times New Roman" w:cs="Times New Roman" w:eastAsia="Times New Roman" w:hint="default"/>
          <w:sz w:val="16"/>
          <w:szCs w:val="16"/>
        </w:rPr>
        <w:t>„Службени лист града Ниша“ број</w:t>
      </w:r>
      <w:r>
        <w:rPr>
          <w:rFonts w:ascii="Times New Roman" w:hAnsi="Times New Roman" w:cs="Times New Roman" w:eastAsia="Times New Roman" w:hint="default"/>
          <w:spacing w:val="-23"/>
          <w:sz w:val="16"/>
          <w:szCs w:val="16"/>
        </w:rPr>
        <w:t> </w:t>
      </w:r>
      <w:r>
        <w:rPr>
          <w:rFonts w:ascii="Times New Roman" w:hAnsi="Times New Roman" w:cs="Times New Roman" w:eastAsia="Times New Roman" w:hint="default"/>
          <w:sz w:val="16"/>
          <w:szCs w:val="16"/>
        </w:rPr>
        <w:t>88/2008</w:t>
      </w:r>
    </w:p>
    <w:p>
      <w:pPr>
        <w:spacing w:after="0" w:line="191" w:lineRule="exact"/>
        <w:jc w:val="left"/>
        <w:rPr>
          <w:rFonts w:ascii="Times New Roman" w:hAnsi="Times New Roman" w:cs="Times New Roman" w:eastAsia="Times New Roman" w:hint="default"/>
          <w:sz w:val="16"/>
          <w:szCs w:val="16"/>
        </w:rPr>
        <w:sectPr>
          <w:pgSz w:w="12240" w:h="15840"/>
          <w:pgMar w:header="740" w:footer="1274" w:top="1280" w:bottom="1460" w:left="1400" w:right="1260"/>
        </w:sectPr>
      </w:pPr>
    </w:p>
    <w:p>
      <w:pPr>
        <w:pStyle w:val="BodyText"/>
        <w:spacing w:line="240" w:lineRule="auto" w:before="122"/>
        <w:ind w:right="178" w:firstLine="566"/>
        <w:jc w:val="both"/>
      </w:pPr>
      <w:r>
        <w:rPr/>
        <w:t>Градско веће града Ниша је, на седници дана 08.10.2014. године, донело Решење број 1492</w:t>
      </w:r>
      <w:r>
        <w:rPr>
          <w:rFonts w:ascii="Times New Roman" w:hAnsi="Times New Roman"/>
        </w:rPr>
        <w:t>-1/2014-</w:t>
      </w:r>
      <w:r>
        <w:rPr/>
        <w:t>03 којим је утврдило Предлог Одлуке о изменама и допунама Одлуке о буџету града Ниша за 2014. годину и истог дана доставило Скупштини</w:t>
      </w:r>
      <w:r>
        <w:rPr>
          <w:spacing w:val="-17"/>
        </w:rPr>
        <w:t> </w:t>
      </w:r>
      <w:r>
        <w:rPr/>
        <w:t>града.</w:t>
      </w:r>
    </w:p>
    <w:p>
      <w:pPr>
        <w:pStyle w:val="BodyText"/>
        <w:spacing w:line="240" w:lineRule="auto"/>
        <w:ind w:right="182" w:firstLine="566"/>
        <w:jc w:val="both"/>
      </w:pPr>
      <w:r>
        <w:rPr/>
        <w:t>Дана 14.10.2014. године на седници Скупштине града Ниша донета је Одлука о изменама</w:t>
      </w:r>
      <w:r>
        <w:rPr>
          <w:spacing w:val="25"/>
        </w:rPr>
        <w:t> </w:t>
      </w:r>
      <w:r>
        <w:rPr/>
        <w:t>и</w:t>
      </w:r>
      <w:r>
        <w:rPr>
          <w:spacing w:val="26"/>
        </w:rPr>
        <w:t> </w:t>
      </w:r>
      <w:r>
        <w:rPr/>
        <w:t>допунама</w:t>
      </w:r>
      <w:r>
        <w:rPr>
          <w:spacing w:val="28"/>
        </w:rPr>
        <w:t> </w:t>
      </w:r>
      <w:r>
        <w:rPr/>
        <w:t>Одлуке</w:t>
      </w:r>
      <w:r>
        <w:rPr>
          <w:spacing w:val="24"/>
        </w:rPr>
        <w:t> </w:t>
      </w:r>
      <w:r>
        <w:rPr/>
        <w:t>о</w:t>
      </w:r>
      <w:r>
        <w:rPr>
          <w:spacing w:val="27"/>
        </w:rPr>
        <w:t> </w:t>
      </w:r>
      <w:r>
        <w:rPr/>
        <w:t>буџету</w:t>
      </w:r>
      <w:r>
        <w:rPr>
          <w:spacing w:val="20"/>
        </w:rPr>
        <w:t> </w:t>
      </w:r>
      <w:r>
        <w:rPr/>
        <w:t>града</w:t>
      </w:r>
      <w:r>
        <w:rPr>
          <w:spacing w:val="26"/>
        </w:rPr>
        <w:t> </w:t>
      </w:r>
      <w:r>
        <w:rPr/>
        <w:t>Ниша</w:t>
      </w:r>
      <w:r>
        <w:rPr>
          <w:spacing w:val="24"/>
        </w:rPr>
        <w:t> </w:t>
      </w:r>
      <w:r>
        <w:rPr/>
        <w:t>за</w:t>
      </w:r>
      <w:r>
        <w:rPr>
          <w:spacing w:val="24"/>
        </w:rPr>
        <w:t> </w:t>
      </w:r>
      <w:r>
        <w:rPr/>
        <w:t>2014.</w:t>
      </w:r>
      <w:r>
        <w:rPr>
          <w:spacing w:val="25"/>
        </w:rPr>
        <w:t> </w:t>
      </w:r>
      <w:r>
        <w:rPr/>
        <w:t>годину</w:t>
      </w:r>
      <w:r>
        <w:rPr>
          <w:spacing w:val="22"/>
        </w:rPr>
        <w:t> </w:t>
      </w:r>
      <w:r>
        <w:rPr/>
        <w:t>која</w:t>
      </w:r>
      <w:r>
        <w:rPr>
          <w:spacing w:val="24"/>
        </w:rPr>
        <w:t> </w:t>
      </w:r>
      <w:r>
        <w:rPr/>
        <w:t>је</w:t>
      </w:r>
      <w:r>
        <w:rPr>
          <w:spacing w:val="24"/>
        </w:rPr>
        <w:t> </w:t>
      </w:r>
      <w:r>
        <w:rPr/>
        <w:t>објављена</w:t>
      </w:r>
      <w:r>
        <w:rPr>
          <w:spacing w:val="29"/>
        </w:rPr>
        <w:t> </w:t>
      </w:r>
      <w:r>
        <w:rPr/>
        <w:t>у</w:t>
      </w:r>
    </w:p>
    <w:p>
      <w:pPr>
        <w:pStyle w:val="BodyText"/>
        <w:spacing w:line="240" w:lineRule="auto"/>
        <w:ind w:right="175"/>
        <w:jc w:val="both"/>
      </w:pPr>
      <w:r>
        <w:rPr/>
        <w:t>„Службеном листу града Ниша“ број 85/2014. Одлуком о изменама и допунама Одлуке о буџету обим буџета је увећан у односу на буџет по Одлуци о буџету града Ниша за 2014. годину за </w:t>
      </w:r>
      <w:r>
        <w:rPr>
          <w:rFonts w:ascii="Times New Roman" w:hAnsi="Times New Roman" w:cs="Times New Roman" w:eastAsia="Times New Roman" w:hint="default"/>
        </w:rPr>
        <w:t>415.200 </w:t>
      </w:r>
      <w:r>
        <w:rPr/>
        <w:t>хиљада динара, од чега буџетска средства износе </w:t>
      </w:r>
      <w:r>
        <w:rPr>
          <w:rFonts w:ascii="Times New Roman" w:hAnsi="Times New Roman" w:cs="Times New Roman" w:eastAsia="Times New Roman" w:hint="default"/>
        </w:rPr>
        <w:t>398.605 </w:t>
      </w:r>
      <w:r>
        <w:rPr/>
        <w:t>хиљада динара и то по основу увећања прихода и примања од продаје нефинансијске имовине у износу од 781.056 хиљада динара, по основу увећања примања од продаје финансијске имовине (конта 9211, </w:t>
      </w:r>
      <w:r>
        <w:rPr>
          <w:rFonts w:ascii="Times New Roman" w:hAnsi="Times New Roman" w:cs="Times New Roman" w:eastAsia="Times New Roman" w:hint="default"/>
        </w:rPr>
        <w:t>9219, </w:t>
      </w:r>
      <w:r>
        <w:rPr/>
        <w:t>9221, 9227, 9228) у износу од 83.000 хиљада динара, по основу смањења примања од задуживања у износу од 476.666 хиљада динара и по основу увећања неутрошених средстава у износу од 11.215 хиљада динара. Одлуком о изменама и допунама Одлуке о буџету утврђен је буџет у износу од 11.069.579 хиљада динара од чега буџетска средства износе </w:t>
      </w:r>
      <w:r>
        <w:rPr>
          <w:rFonts w:ascii="Times New Roman" w:hAnsi="Times New Roman" w:cs="Times New Roman" w:eastAsia="Times New Roman" w:hint="default"/>
        </w:rPr>
        <w:t>10.378.664 </w:t>
      </w:r>
      <w:r>
        <w:rPr/>
        <w:t>хиљаде</w:t>
      </w:r>
      <w:r>
        <w:rPr>
          <w:spacing w:val="-14"/>
        </w:rPr>
        <w:t> </w:t>
      </w:r>
      <w:r>
        <w:rPr/>
        <w:t>динара.</w:t>
      </w:r>
    </w:p>
    <w:p>
      <w:pPr>
        <w:pStyle w:val="BodyText"/>
        <w:spacing w:line="240" w:lineRule="auto"/>
        <w:ind w:right="178" w:firstLine="566"/>
        <w:jc w:val="both"/>
        <w:rPr>
          <w:rFonts w:ascii="Times New Roman" w:hAnsi="Times New Roman" w:cs="Times New Roman" w:eastAsia="Times New Roman" w:hint="default"/>
        </w:rPr>
      </w:pPr>
      <w:r>
        <w:rPr/>
        <w:t>Директни корисници буџетских средстава су својим индиректним корисницима доставили Обавештења о додели апропријација до краја јануара 2014.</w:t>
      </w:r>
      <w:r>
        <w:rPr>
          <w:spacing w:val="-11"/>
        </w:rPr>
        <w:t> </w:t>
      </w:r>
      <w:r>
        <w:rPr/>
        <w:t>године</w:t>
      </w:r>
      <w:r>
        <w:rPr>
          <w:rFonts w:ascii="Times New Roman" w:hAnsi="Times New Roman"/>
        </w:rPr>
        <w:t>.</w:t>
      </w:r>
    </w:p>
    <w:p>
      <w:pPr>
        <w:pStyle w:val="BodyText"/>
        <w:spacing w:line="240" w:lineRule="auto"/>
        <w:ind w:right="175" w:firstLine="566"/>
        <w:jc w:val="both"/>
      </w:pPr>
      <w:r>
        <w:rPr/>
        <w:t>Управа за финансије, изворне приходе локалне самоуправе и јавне набавке је, током 2014. године</w:t>
      </w:r>
      <w:r>
        <w:rPr>
          <w:rFonts w:ascii="Times New Roman" w:hAnsi="Times New Roman" w:cs="Times New Roman" w:eastAsia="Times New Roman" w:hint="default"/>
        </w:rPr>
        <w:t>, </w:t>
      </w:r>
      <w:r>
        <w:rPr/>
        <w:t>одредила обим расхода (квота) за тромесечни период и то за јануар – март, април – јун, јул – септембар и октобар –</w:t>
      </w:r>
      <w:r>
        <w:rPr>
          <w:spacing w:val="-14"/>
        </w:rPr>
        <w:t> </w:t>
      </w:r>
      <w:r>
        <w:rPr/>
        <w:t>новембар.</w:t>
      </w:r>
    </w:p>
    <w:p>
      <w:pPr>
        <w:pStyle w:val="BodyText"/>
        <w:spacing w:line="240" w:lineRule="auto"/>
        <w:ind w:right="178" w:firstLine="566"/>
        <w:jc w:val="both"/>
        <w:rPr>
          <w:rFonts w:ascii="Times New Roman" w:hAnsi="Times New Roman" w:cs="Times New Roman" w:eastAsia="Times New Roman" w:hint="default"/>
        </w:rPr>
      </w:pPr>
      <w:r>
        <w:rPr/>
        <w:t>Градоначелник града Ниша донео је </w:t>
      </w:r>
      <w:r>
        <w:rPr>
          <w:rFonts w:ascii="Times New Roman" w:hAnsi="Times New Roman"/>
        </w:rPr>
        <w:t>20 </w:t>
      </w:r>
      <w:r>
        <w:rPr/>
        <w:t>решења о употреби средстава текуће буџетске резерве</w:t>
      </w:r>
      <w:r>
        <w:rPr>
          <w:rFonts w:ascii="Times New Roman" w:hAnsi="Times New Roman"/>
        </w:rPr>
        <w:t>. </w:t>
      </w:r>
      <w:r>
        <w:rPr/>
        <w:t>У 2014. години није искоришћена стална буџетска</w:t>
      </w:r>
      <w:r>
        <w:rPr>
          <w:spacing w:val="-16"/>
        </w:rPr>
        <w:t> </w:t>
      </w:r>
      <w:r>
        <w:rPr/>
        <w:t>резерва</w:t>
      </w:r>
      <w:r>
        <w:rPr>
          <w:rFonts w:ascii="Times New Roman" w:hAnsi="Times New Roman"/>
        </w:rPr>
        <w:t>.</w:t>
      </w:r>
    </w:p>
    <w:p>
      <w:pPr>
        <w:pStyle w:val="BodyText"/>
        <w:spacing w:line="240" w:lineRule="auto"/>
        <w:ind w:right="173" w:firstLine="566"/>
        <w:jc w:val="both"/>
        <w:rPr>
          <w:rFonts w:ascii="Times New Roman" w:hAnsi="Times New Roman" w:cs="Times New Roman" w:eastAsia="Times New Roman" w:hint="default"/>
        </w:rPr>
      </w:pPr>
      <w:r>
        <w:rPr/>
        <w:t>Посебни део Одлуке о буџету садржи пет раздела: раздео 1 – Скупштина града Ниша, раздео 2 – Градоначелник и Градско веће, раздео 3 – Управе града, раздео 4 – Заштитник грађана и раздео 5 – Градско јавно</w:t>
      </w:r>
      <w:r>
        <w:rPr>
          <w:spacing w:val="-14"/>
        </w:rPr>
        <w:t> </w:t>
      </w:r>
      <w:r>
        <w:rPr/>
        <w:t>правобранилаштво</w:t>
      </w:r>
      <w:r>
        <w:rPr>
          <w:rFonts w:ascii="Times New Roman" w:hAnsi="Times New Roman" w:cs="Times New Roman" w:eastAsia="Times New Roman" w:hint="default"/>
        </w:rPr>
        <w:t>.</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41"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Није у потпуности поштован буџетски календар, што је супротно члану 31. Закона о буџетском систему. Према објашњењу одговорних лица, буџетски календар није испоштован из разлога што је Министарство финансија дана 04.10.2013. године објавило на сајту Упутство за припрему Одлуке о буџету локалне власти за 2014. годину са пројекцијама за 2015. и 2016. годину. Упутство за припрему буџета града Ниша достављено је директним корисницима буџетских средстава 09.10.2014. године. Утврђен рок за достављање предлога финансијских планова је 21.10.2013. године, а не 01.09.201</w:t>
      </w:r>
      <w:r>
        <w:rPr>
          <w:rFonts w:ascii="Times New Roman" w:hAnsi="Times New Roman"/>
          <w:sz w:val="24"/>
        </w:rPr>
        <w:t>3. </w:t>
      </w:r>
      <w:r>
        <w:rPr>
          <w:rFonts w:ascii="Times New Roman" w:hAnsi="Times New Roman"/>
          <w:sz w:val="24"/>
        </w:rPr>
        <w:t>године, што је супротно члану 31. Закона о буџетском</w:t>
      </w:r>
      <w:r>
        <w:rPr>
          <w:rFonts w:ascii="Times New Roman" w:hAnsi="Times New Roman"/>
          <w:spacing w:val="-17"/>
          <w:sz w:val="24"/>
        </w:rPr>
        <w:t> </w:t>
      </w:r>
      <w:r>
        <w:rPr>
          <w:rFonts w:ascii="Times New Roman" w:hAnsi="Times New Roman"/>
          <w:sz w:val="24"/>
        </w:rPr>
        <w:t>систему.</w:t>
      </w:r>
    </w:p>
    <w:p>
      <w:pPr>
        <w:pStyle w:val="ListParagraph"/>
        <w:numPr>
          <w:ilvl w:val="0"/>
          <w:numId w:val="9"/>
        </w:numPr>
        <w:tabs>
          <w:tab w:pos="341"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Нисмо се уверили да је јавна расправа о Нацрту Одлуке о буџету одржана, с обзиром да документ дат у поступку ревизије </w:t>
      </w:r>
      <w:r>
        <w:rPr>
          <w:rFonts w:ascii="Times New Roman" w:hAnsi="Times New Roman"/>
          <w:sz w:val="24"/>
        </w:rPr>
        <w:t>- </w:t>
      </w:r>
      <w:r>
        <w:rPr>
          <w:rFonts w:ascii="Times New Roman" w:hAnsi="Times New Roman"/>
          <w:sz w:val="24"/>
        </w:rPr>
        <w:t>Извештај о примедбама на Нацрт Одлуке о буџету града Ниша за 2014. годину, не садржи елементе из којих би се могло утврдити када, где и ко је присуствовао јавној</w:t>
      </w:r>
      <w:r>
        <w:rPr>
          <w:rFonts w:ascii="Times New Roman" w:hAnsi="Times New Roman"/>
          <w:spacing w:val="-10"/>
          <w:sz w:val="24"/>
        </w:rPr>
        <w:t> </w:t>
      </w:r>
      <w:r>
        <w:rPr>
          <w:rFonts w:ascii="Times New Roman" w:hAnsi="Times New Roman"/>
          <w:sz w:val="24"/>
        </w:rPr>
        <w:t>расправи.</w:t>
      </w:r>
    </w:p>
    <w:p>
      <w:pPr>
        <w:pStyle w:val="ListParagraph"/>
        <w:numPr>
          <w:ilvl w:val="0"/>
          <w:numId w:val="9"/>
        </w:numPr>
        <w:tabs>
          <w:tab w:pos="341"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Градоначелник, Управа за финансије, изворне приходе локалне самоуправе и јавне набавке, Служба за послове Скупштине града, Служба за послове Градског већа, Служба за послове Градоначелника, нису доставили предлоге финансијских планова, што је супротно члану 2. став 1. тачка 3., члану 28. став </w:t>
      </w:r>
      <w:r>
        <w:rPr>
          <w:rFonts w:ascii="Times New Roman" w:hAnsi="Times New Roman"/>
          <w:sz w:val="24"/>
        </w:rPr>
        <w:t>4</w:t>
      </w:r>
      <w:r>
        <w:rPr>
          <w:rFonts w:ascii="Times New Roman" w:hAnsi="Times New Roman"/>
          <w:sz w:val="24"/>
        </w:rPr>
        <w:t>., члану 31. став 1. тачка 2. подтачка 2. и члану 41. Закона о буџетском</w:t>
      </w:r>
      <w:r>
        <w:rPr>
          <w:rFonts w:ascii="Times New Roman" w:hAnsi="Times New Roman"/>
          <w:spacing w:val="-14"/>
          <w:sz w:val="24"/>
        </w:rPr>
        <w:t> </w:t>
      </w:r>
      <w:r>
        <w:rPr>
          <w:rFonts w:ascii="Times New Roman" w:hAnsi="Times New Roman"/>
          <w:sz w:val="24"/>
        </w:rPr>
        <w:t>систему.</w:t>
      </w:r>
    </w:p>
    <w:p>
      <w:pPr>
        <w:pStyle w:val="ListParagraph"/>
        <w:numPr>
          <w:ilvl w:val="0"/>
          <w:numId w:val="9"/>
        </w:numPr>
        <w:tabs>
          <w:tab w:pos="341" w:val="left" w:leader="none"/>
        </w:tabs>
        <w:spacing w:line="237" w:lineRule="auto" w:before="5"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Градско веће града Ниша, Управа за дечију, социјалну и примарну здравствену заштиту, Управа за комуналне делатности, енергетику и саобраћај нису доставили предлоге финансијских планова до 21.10.2013. године, тј. у року утврђеном Упутством</w:t>
      </w:r>
      <w:r>
        <w:rPr>
          <w:rFonts w:ascii="Times New Roman" w:hAnsi="Times New Roman"/>
          <w:spacing w:val="18"/>
          <w:sz w:val="24"/>
        </w:rPr>
        <w:t> </w:t>
      </w:r>
      <w:r>
        <w:rPr>
          <w:rFonts w:ascii="Times New Roman" w:hAnsi="Times New Roman"/>
          <w:sz w:val="24"/>
        </w:rPr>
        <w:t>за</w:t>
      </w:r>
    </w:p>
    <w:p>
      <w:pPr>
        <w:spacing w:after="0" w:line="237"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9"/>
        <w:jc w:val="both"/>
        <w:rPr>
          <w:rFonts w:ascii="Times New Roman" w:hAnsi="Times New Roman" w:cs="Times New Roman" w:eastAsia="Times New Roman" w:hint="default"/>
        </w:rPr>
      </w:pPr>
      <w:r>
        <w:rPr/>
        <w:t>припрему буџета града Ниша, већ накнадно, што је супротно члану 31. Закона о буџетском</w:t>
      </w:r>
      <w:r>
        <w:rPr>
          <w:spacing w:val="-9"/>
        </w:rPr>
        <w:t> </w:t>
      </w:r>
      <w:r>
        <w:rPr/>
        <w:t>систему</w:t>
      </w:r>
      <w:r>
        <w:rPr>
          <w:rFonts w:ascii="Times New Roman" w:hAnsi="Times New Roman"/>
        </w:rPr>
        <w:t>.</w:t>
      </w:r>
    </w:p>
    <w:p>
      <w:pPr>
        <w:pStyle w:val="ListParagraph"/>
        <w:numPr>
          <w:ilvl w:val="0"/>
          <w:numId w:val="9"/>
        </w:numPr>
        <w:tabs>
          <w:tab w:pos="341" w:val="left" w:leader="none"/>
        </w:tabs>
        <w:spacing w:line="237" w:lineRule="auto" w:before="4"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Предлог финансијског плана Скупштине града Ниша не садржи детаљно писано образложење расхода и издатака, као и извора финансирања, што је супротно члану 41. Закона о буџетском</w:t>
      </w:r>
      <w:r>
        <w:rPr>
          <w:rFonts w:ascii="Times New Roman" w:hAnsi="Times New Roman"/>
          <w:spacing w:val="-14"/>
          <w:sz w:val="24"/>
        </w:rPr>
        <w:t> </w:t>
      </w:r>
      <w:r>
        <w:rPr>
          <w:rFonts w:ascii="Times New Roman" w:hAnsi="Times New Roman"/>
          <w:sz w:val="24"/>
        </w:rPr>
        <w:t>систему.</w:t>
      </w:r>
    </w:p>
    <w:p>
      <w:pPr>
        <w:pStyle w:val="ListParagraph"/>
        <w:numPr>
          <w:ilvl w:val="0"/>
          <w:numId w:val="9"/>
        </w:numPr>
        <w:tabs>
          <w:tab w:pos="341" w:val="left" w:leader="none"/>
        </w:tabs>
        <w:spacing w:line="240" w:lineRule="auto" w:before="2"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Предлози финансијских планова не садрже расходе и издатке за трогодишњи период, осим Управе за комуналне делатности, енергетику и саобраћај, Управе за пољопривреду и развој села, Управе за привреду, одрживи развој и заштиту животне средине, Управе за имовину и инспекцијске послове и Градског јавног правобранилаштва, што је супротно члану 41. Закона о буџетском</w:t>
      </w:r>
      <w:r>
        <w:rPr>
          <w:rFonts w:ascii="Times New Roman" w:hAnsi="Times New Roman"/>
          <w:spacing w:val="-14"/>
          <w:sz w:val="24"/>
        </w:rPr>
        <w:t> </w:t>
      </w:r>
      <w:r>
        <w:rPr>
          <w:rFonts w:ascii="Times New Roman" w:hAnsi="Times New Roman"/>
          <w:sz w:val="24"/>
        </w:rPr>
        <w:t>систему.</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Одлуком о буџету су планирани приходи и примања само из буџетских средстава, док из других извора нису планирани приходи и примања, што је супротно члану 2. став 1. тачка 23. Закона о буџетском</w:t>
      </w:r>
      <w:r>
        <w:rPr>
          <w:rFonts w:ascii="Times New Roman" w:hAnsi="Times New Roman"/>
          <w:spacing w:val="-12"/>
          <w:sz w:val="24"/>
        </w:rPr>
        <w:t> </w:t>
      </w:r>
      <w:r>
        <w:rPr>
          <w:rFonts w:ascii="Times New Roman" w:hAnsi="Times New Roman"/>
          <w:sz w:val="24"/>
        </w:rPr>
        <w:t>систему</w:t>
      </w:r>
      <w:r>
        <w:rPr>
          <w:rFonts w:ascii="Times New Roman" w:hAnsi="Times New Roman"/>
          <w:sz w:val="24"/>
        </w:rPr>
        <w:t>.</w:t>
      </w:r>
    </w:p>
    <w:p>
      <w:pPr>
        <w:pStyle w:val="ListParagraph"/>
        <w:numPr>
          <w:ilvl w:val="0"/>
          <w:numId w:val="9"/>
        </w:numPr>
        <w:tabs>
          <w:tab w:pos="303" w:val="left" w:leader="none"/>
        </w:tabs>
        <w:spacing w:line="240" w:lineRule="auto" w:before="2" w:after="0"/>
        <w:ind w:left="160" w:right="17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Одлуком о буџету нису обухваћени сви приходи, те на прописане рачуне јавних прихода није уплаћен износ од 261.760 хиљада динара и то: део добити остварен код јавних предузећа у 2013. години у износу од 3.775 хиљада динара, приходи од закупнине које је остварило ЈП „Нишстан“ Ниш по основу издавања станова у јавној својини у износу од 11.794 хиљаде динара, приходи од закупнине које су остварили индиректни буџетски корисници по основу издавања пословног простора у јавној својини у износу</w:t>
      </w:r>
      <w:r>
        <w:rPr>
          <w:rFonts w:ascii="Times New Roman" w:hAnsi="Times New Roman" w:cs="Times New Roman" w:eastAsia="Times New Roman" w:hint="default"/>
          <w:spacing w:val="-25"/>
          <w:sz w:val="24"/>
          <w:szCs w:val="24"/>
        </w:rPr>
        <w:t> </w:t>
      </w:r>
      <w:r>
        <w:rPr>
          <w:rFonts w:ascii="Times New Roman" w:hAnsi="Times New Roman" w:cs="Times New Roman" w:eastAsia="Times New Roman" w:hint="default"/>
          <w:sz w:val="24"/>
          <w:szCs w:val="24"/>
        </w:rPr>
        <w:t>од</w:t>
      </w:r>
    </w:p>
    <w:p>
      <w:pPr>
        <w:pStyle w:val="BodyText"/>
        <w:spacing w:line="240" w:lineRule="auto"/>
        <w:ind w:right="177"/>
        <w:jc w:val="both"/>
      </w:pPr>
      <w:r>
        <w:rPr/>
        <w:t>15.327 хиљада динара и приходи по основу паркирања које наплаћује ЈКП „Паркинг сервис“ Ниш у износу од 230.864 хиљаде динара, што је супротно   </w:t>
      </w:r>
      <w:r>
        <w:rPr>
          <w:spacing w:val="21"/>
        </w:rPr>
        <w:t> </w:t>
      </w:r>
      <w:r>
        <w:rPr/>
        <w:t>члану 2. став 1. тачка</w:t>
      </w:r>
    </w:p>
    <w:p>
      <w:pPr>
        <w:pStyle w:val="BodyText"/>
        <w:spacing w:line="240" w:lineRule="auto"/>
        <w:ind w:right="189"/>
        <w:jc w:val="both"/>
      </w:pPr>
      <w:r>
        <w:rPr/>
        <w:t>2. и 14. Закона о буџетском систему, а у вези члана 49. Закона о јавним предузећима, члана </w:t>
      </w:r>
      <w:r>
        <w:rPr>
          <w:rFonts w:ascii="Times New Roman" w:hAnsi="Times New Roman"/>
        </w:rPr>
        <w:t>5, 6</w:t>
      </w:r>
      <w:r>
        <w:rPr/>
        <w:t>, 15. и 32. Закона о финансирању локалне</w:t>
      </w:r>
      <w:r>
        <w:rPr>
          <w:spacing w:val="-16"/>
        </w:rPr>
        <w:t> </w:t>
      </w:r>
      <w:r>
        <w:rPr/>
        <w:t>самоуправе.</w:t>
      </w:r>
    </w:p>
    <w:p>
      <w:pPr>
        <w:pStyle w:val="ListParagraph"/>
        <w:numPr>
          <w:ilvl w:val="0"/>
          <w:numId w:val="9"/>
        </w:numPr>
        <w:tabs>
          <w:tab w:pos="341" w:val="left" w:leader="none"/>
        </w:tabs>
        <w:spacing w:line="240" w:lineRule="auto" w:before="2"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Средства за финансирање редовног рада политичких субјеката су планирана у износу који је за 880 хиљада динара већи од прописаног, што је супротно члану 16. Закона о финансирању политичких активности и члану 5. Закона о буџетском систему. Одлуком о буџету града Ниша за 2014. годину планирано је за финансирање редовног рада политичких странака 10.873 хиљаде динара</w:t>
      </w:r>
      <w:r>
        <w:rPr>
          <w:rFonts w:ascii="Times New Roman" w:hAnsi="Times New Roman"/>
          <w:sz w:val="24"/>
        </w:rPr>
        <w:t>. </w:t>
      </w:r>
      <w:r>
        <w:rPr>
          <w:rFonts w:ascii="Times New Roman" w:hAnsi="Times New Roman"/>
          <w:sz w:val="24"/>
        </w:rPr>
        <w:t>Одлуком о буџету града Ниша за 2014. годину планирани су порески приходи (група 71) у износу 6.661.863 хиљаде динара, те је сходно члану 5. Закона о буџетском систему</w:t>
      </w:r>
      <w:r>
        <w:rPr>
          <w:rFonts w:ascii="Times New Roman" w:hAnsi="Times New Roman"/>
          <w:sz w:val="24"/>
        </w:rPr>
        <w:t>, </w:t>
      </w:r>
      <w:r>
        <w:rPr>
          <w:rFonts w:ascii="Times New Roman" w:hAnsi="Times New Roman"/>
          <w:sz w:val="24"/>
        </w:rPr>
        <w:t>за финансирање редовног рада политичких странака требало планирати износ од 9.993 хиљаде динара, што чини 0,15% пореских прихода.</w:t>
      </w:r>
    </w:p>
    <w:p>
      <w:pPr>
        <w:pStyle w:val="ListParagraph"/>
        <w:numPr>
          <w:ilvl w:val="0"/>
          <w:numId w:val="9"/>
        </w:numPr>
        <w:tabs>
          <w:tab w:pos="348" w:val="left" w:leader="none"/>
        </w:tabs>
        <w:spacing w:line="276" w:lineRule="exact" w:before="23"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Одлуком о буџету за 2014. годину планиране су субвенције јавним предузећима, без предложених посебних програма</w:t>
      </w:r>
      <w:r>
        <w:rPr>
          <w:rFonts w:ascii="Times New Roman" w:hAnsi="Times New Roman"/>
          <w:sz w:val="24"/>
        </w:rPr>
        <w:t>, </w:t>
      </w:r>
      <w:r>
        <w:rPr>
          <w:rFonts w:ascii="Times New Roman" w:hAnsi="Times New Roman"/>
          <w:sz w:val="24"/>
        </w:rPr>
        <w:t>што је супротно члану 50. Закона о јавним предузећима</w:t>
      </w:r>
      <w:r>
        <w:rPr>
          <w:rFonts w:ascii="Times New Roman" w:hAnsi="Times New Roman"/>
          <w:position w:val="10"/>
          <w:sz w:val="14"/>
        </w:rPr>
        <w:t>17</w:t>
      </w:r>
      <w:r>
        <w:rPr>
          <w:rFonts w:ascii="Times New Roman" w:hAnsi="Times New Roman"/>
          <w:sz w:val="24"/>
        </w:rPr>
        <w:t>.</w:t>
      </w:r>
    </w:p>
    <w:p>
      <w:pPr>
        <w:pStyle w:val="ListParagraph"/>
        <w:numPr>
          <w:ilvl w:val="0"/>
          <w:numId w:val="9"/>
        </w:numPr>
        <w:tabs>
          <w:tab w:pos="303" w:val="left" w:leader="none"/>
        </w:tabs>
        <w:spacing w:line="240" w:lineRule="auto" w:before="0"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Директни корисници буџетских средстава, који су у буџетском смислу одговорни за индиректне кориснике буџетских средстава, нису у року од 15 дана од дана ступања на снагу Одлуке о буџету обавестили своје индиректне кориснике о одобреним апропријацијама, што је супротно члану 50. Закона о буџетском</w:t>
      </w:r>
      <w:r>
        <w:rPr>
          <w:rFonts w:ascii="Times New Roman" w:hAnsi="Times New Roman"/>
          <w:spacing w:val="-21"/>
          <w:sz w:val="24"/>
        </w:rPr>
        <w:t> </w:t>
      </w:r>
      <w:r>
        <w:rPr>
          <w:rFonts w:ascii="Times New Roman" w:hAnsi="Times New Roman"/>
          <w:sz w:val="24"/>
        </w:rPr>
        <w:t>систему.</w:t>
      </w:r>
    </w:p>
    <w:p>
      <w:pPr>
        <w:pStyle w:val="ListParagraph"/>
        <w:numPr>
          <w:ilvl w:val="0"/>
          <w:numId w:val="9"/>
        </w:numPr>
        <w:tabs>
          <w:tab w:pos="348" w:val="left" w:leader="none"/>
        </w:tabs>
        <w:spacing w:line="274" w:lineRule="exact" w:before="24"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Буџет није у потпуности припремљен на основу система јединствене буџетске класификације, што је супротно члану 29. Закона о буџетском систему и</w:t>
      </w:r>
      <w:r>
        <w:rPr>
          <w:rFonts w:ascii="Times New Roman" w:hAnsi="Times New Roman"/>
          <w:spacing w:val="-21"/>
          <w:sz w:val="24"/>
        </w:rPr>
        <w:t> </w:t>
      </w:r>
      <w:r>
        <w:rPr>
          <w:rFonts w:ascii="Times New Roman" w:hAnsi="Times New Roman"/>
          <w:sz w:val="24"/>
        </w:rPr>
        <w:t>то:</w:t>
      </w:r>
    </w:p>
    <w:p>
      <w:pPr>
        <w:pStyle w:val="ListParagraph"/>
        <w:numPr>
          <w:ilvl w:val="1"/>
          <w:numId w:val="9"/>
        </w:numPr>
        <w:tabs>
          <w:tab w:pos="866" w:val="left" w:leader="none"/>
        </w:tabs>
        <w:spacing w:line="273" w:lineRule="exact" w:before="0" w:after="0"/>
        <w:ind w:left="866" w:right="0" w:hanging="140"/>
        <w:jc w:val="left"/>
        <w:rPr>
          <w:rFonts w:ascii="Times New Roman" w:hAnsi="Times New Roman" w:cs="Times New Roman" w:eastAsia="Times New Roman" w:hint="default"/>
          <w:sz w:val="24"/>
          <w:szCs w:val="24"/>
        </w:rPr>
      </w:pPr>
      <w:r>
        <w:rPr>
          <w:rFonts w:ascii="Times New Roman" w:hAnsi="Times New Roman"/>
          <w:sz w:val="24"/>
        </w:rPr>
        <w:t>организациона класификација није испоштована,</w:t>
      </w:r>
      <w:r>
        <w:rPr>
          <w:rFonts w:ascii="Times New Roman" w:hAnsi="Times New Roman"/>
          <w:spacing w:val="-16"/>
          <w:sz w:val="24"/>
        </w:rPr>
        <w:t> </w:t>
      </w:r>
      <w:r>
        <w:rPr>
          <w:rFonts w:ascii="Times New Roman" w:hAnsi="Times New Roman"/>
          <w:sz w:val="24"/>
        </w:rPr>
        <w:t>јер</w:t>
      </w:r>
      <w:r>
        <w:rPr>
          <w:rFonts w:ascii="Times New Roman" w:hAnsi="Times New Roman"/>
          <w:sz w:val="24"/>
        </w:rPr>
        <w:t>:</w:t>
      </w:r>
    </w:p>
    <w:p>
      <w:pPr>
        <w:pStyle w:val="ListParagraph"/>
        <w:numPr>
          <w:ilvl w:val="0"/>
          <w:numId w:val="12"/>
        </w:numPr>
        <w:tabs>
          <w:tab w:pos="312" w:val="left" w:leader="none"/>
        </w:tabs>
        <w:spacing w:line="240" w:lineRule="auto" w:before="0" w:after="0"/>
        <w:ind w:left="160" w:right="186" w:firstLine="0"/>
        <w:jc w:val="both"/>
        <w:rPr>
          <w:rFonts w:ascii="Times New Roman" w:hAnsi="Times New Roman" w:cs="Times New Roman" w:eastAsia="Times New Roman" w:hint="default"/>
          <w:sz w:val="24"/>
          <w:szCs w:val="24"/>
        </w:rPr>
      </w:pPr>
      <w:r>
        <w:rPr>
          <w:rFonts w:ascii="Times New Roman" w:hAnsi="Times New Roman"/>
          <w:sz w:val="24"/>
        </w:rPr>
        <w:t>нису исказани расходи и издаци за управе и службе као директне кориснике буџетских средстава</w:t>
      </w:r>
      <w:r>
        <w:rPr>
          <w:rFonts w:ascii="Times New Roman" w:hAnsi="Times New Roman"/>
          <w:spacing w:val="24"/>
          <w:sz w:val="24"/>
        </w:rPr>
        <w:t> </w:t>
      </w:r>
      <w:r>
        <w:rPr>
          <w:rFonts w:ascii="Times New Roman" w:hAnsi="Times New Roman"/>
          <w:sz w:val="24"/>
        </w:rPr>
        <w:t>по</w:t>
      </w:r>
      <w:r>
        <w:rPr>
          <w:rFonts w:ascii="Times New Roman" w:hAnsi="Times New Roman"/>
          <w:spacing w:val="25"/>
          <w:sz w:val="24"/>
        </w:rPr>
        <w:t> </w:t>
      </w:r>
      <w:r>
        <w:rPr>
          <w:rFonts w:ascii="Times New Roman" w:hAnsi="Times New Roman"/>
          <w:sz w:val="24"/>
        </w:rPr>
        <w:t>посебним</w:t>
      </w:r>
      <w:r>
        <w:rPr>
          <w:rFonts w:ascii="Times New Roman" w:hAnsi="Times New Roman"/>
          <w:spacing w:val="24"/>
          <w:sz w:val="24"/>
        </w:rPr>
        <w:t> </w:t>
      </w:r>
      <w:r>
        <w:rPr>
          <w:rFonts w:ascii="Times New Roman" w:hAnsi="Times New Roman"/>
          <w:sz w:val="24"/>
        </w:rPr>
        <w:t>разделима.</w:t>
      </w:r>
      <w:r>
        <w:rPr>
          <w:rFonts w:ascii="Times New Roman" w:hAnsi="Times New Roman"/>
          <w:spacing w:val="25"/>
          <w:sz w:val="24"/>
        </w:rPr>
        <w:t> </w:t>
      </w:r>
      <w:r>
        <w:rPr>
          <w:rFonts w:ascii="Times New Roman" w:hAnsi="Times New Roman"/>
          <w:sz w:val="24"/>
        </w:rPr>
        <w:t>У</w:t>
      </w:r>
      <w:r>
        <w:rPr>
          <w:rFonts w:ascii="Times New Roman" w:hAnsi="Times New Roman"/>
          <w:spacing w:val="25"/>
          <w:sz w:val="24"/>
        </w:rPr>
        <w:t> </w:t>
      </w:r>
      <w:r>
        <w:rPr>
          <w:rFonts w:ascii="Times New Roman" w:hAnsi="Times New Roman"/>
          <w:sz w:val="24"/>
        </w:rPr>
        <w:t>оквиру</w:t>
      </w:r>
      <w:r>
        <w:rPr>
          <w:rFonts w:ascii="Times New Roman" w:hAnsi="Times New Roman"/>
          <w:spacing w:val="22"/>
          <w:sz w:val="24"/>
        </w:rPr>
        <w:t> </w:t>
      </w:r>
      <w:r>
        <w:rPr>
          <w:rFonts w:ascii="Times New Roman" w:hAnsi="Times New Roman"/>
          <w:sz w:val="24"/>
        </w:rPr>
        <w:t>планираног</w:t>
      </w:r>
      <w:r>
        <w:rPr>
          <w:rFonts w:ascii="Times New Roman" w:hAnsi="Times New Roman"/>
          <w:spacing w:val="25"/>
          <w:sz w:val="24"/>
        </w:rPr>
        <w:t> </w:t>
      </w:r>
      <w:r>
        <w:rPr>
          <w:rFonts w:ascii="Times New Roman" w:hAnsi="Times New Roman"/>
          <w:sz w:val="24"/>
        </w:rPr>
        <w:t>раздела</w:t>
      </w:r>
      <w:r>
        <w:rPr>
          <w:rFonts w:ascii="Times New Roman" w:hAnsi="Times New Roman"/>
          <w:spacing w:val="24"/>
          <w:sz w:val="24"/>
        </w:rPr>
        <w:t> </w:t>
      </w:r>
      <w:r>
        <w:rPr>
          <w:rFonts w:ascii="Times New Roman" w:hAnsi="Times New Roman"/>
          <w:sz w:val="24"/>
        </w:rPr>
        <w:t>3.</w:t>
      </w:r>
      <w:r>
        <w:rPr>
          <w:rFonts w:ascii="Times New Roman" w:hAnsi="Times New Roman"/>
          <w:spacing w:val="25"/>
          <w:sz w:val="24"/>
        </w:rPr>
        <w:t> </w:t>
      </w:r>
      <w:r>
        <w:rPr>
          <w:rFonts w:ascii="Times New Roman" w:hAnsi="Times New Roman"/>
          <w:sz w:val="24"/>
        </w:rPr>
        <w:t>Управа</w:t>
      </w:r>
      <w:r>
        <w:rPr>
          <w:rFonts w:ascii="Times New Roman" w:hAnsi="Times New Roman"/>
          <w:spacing w:val="23"/>
          <w:sz w:val="24"/>
        </w:rPr>
        <w:t> </w:t>
      </w:r>
      <w:r>
        <w:rPr>
          <w:rFonts w:ascii="Times New Roman" w:hAnsi="Times New Roman"/>
          <w:sz w:val="24"/>
        </w:rPr>
        <w:t>града,</w:t>
      </w:r>
      <w:r>
        <w:rPr>
          <w:rFonts w:ascii="Times New Roman" w:hAnsi="Times New Roman"/>
          <w:spacing w:val="27"/>
          <w:sz w:val="24"/>
        </w:rPr>
        <w:t> </w:t>
      </w:r>
      <w:r>
        <w:rPr>
          <w:rFonts w:ascii="Times New Roman" w:hAnsi="Times New Roman"/>
          <w:sz w:val="24"/>
        </w:rPr>
        <w:t>главе</w:t>
      </w:r>
    </w:p>
    <w:p>
      <w:pPr>
        <w:spacing w:line="240" w:lineRule="auto" w:before="7"/>
        <w:rPr>
          <w:rFonts w:ascii="Times New Roman" w:hAnsi="Times New Roman" w:cs="Times New Roman" w:eastAsia="Times New Roman" w:hint="default"/>
          <w:sz w:val="27"/>
          <w:szCs w:val="27"/>
        </w:rPr>
      </w:pPr>
      <w:r>
        <w:rPr/>
        <w:pict>
          <v:group style="position:absolute;margin-left:78.024002pt;margin-top:17.144304pt;width:144.050pt;height:.1pt;mso-position-horizontal-relative:page;mso-position-vertical-relative:paragraph;z-index:1288;mso-wrap-distance-left:0;mso-wrap-distance-right:0" coordorigin="1560,343" coordsize="2881,2">
            <v:shape style="position:absolute;left:1560;top:343;width:2881;height:2" coordorigin="1560,343" coordsize="2881,0" path="m1560,343l4441,343e" filled="false" stroked="true" strokeweight=".599980pt" strokecolor="#000000">
              <v:path arrowok="t"/>
            </v:shape>
            <w10:wrap type="topAndBottom"/>
          </v:group>
        </w:pict>
      </w:r>
    </w:p>
    <w:p>
      <w:pPr>
        <w:spacing w:before="52"/>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17 </w:t>
      </w:r>
      <w:r>
        <w:rPr>
          <w:rFonts w:ascii="Times New Roman" w:hAnsi="Times New Roman" w:cs="Times New Roman" w:eastAsia="Times New Roman" w:hint="default"/>
          <w:sz w:val="16"/>
          <w:szCs w:val="16"/>
        </w:rPr>
        <w:t>„Службени гласник Републике Србије“ број 119/2012 и 116/2013 </w:t>
      </w:r>
      <w:r>
        <w:rPr>
          <w:rFonts w:ascii="Times New Roman" w:hAnsi="Times New Roman" w:cs="Times New Roman" w:eastAsia="Times New Roman" w:hint="default"/>
          <w:sz w:val="16"/>
          <w:szCs w:val="16"/>
        </w:rPr>
        <w:t>- </w:t>
      </w:r>
      <w:r>
        <w:rPr>
          <w:rFonts w:ascii="Times New Roman" w:hAnsi="Times New Roman" w:cs="Times New Roman" w:eastAsia="Times New Roman" w:hint="default"/>
          <w:sz w:val="16"/>
          <w:szCs w:val="16"/>
        </w:rPr>
        <w:t>аутентично</w:t>
      </w:r>
      <w:r>
        <w:rPr>
          <w:rFonts w:ascii="Times New Roman" w:hAnsi="Times New Roman" w:cs="Times New Roman" w:eastAsia="Times New Roman" w:hint="default"/>
          <w:spacing w:val="-22"/>
          <w:sz w:val="16"/>
          <w:szCs w:val="16"/>
        </w:rPr>
        <w:t> </w:t>
      </w:r>
      <w:r>
        <w:rPr>
          <w:rFonts w:ascii="Times New Roman" w:hAnsi="Times New Roman" w:cs="Times New Roman" w:eastAsia="Times New Roman" w:hint="default"/>
          <w:sz w:val="16"/>
          <w:szCs w:val="16"/>
        </w:rPr>
        <w:t>тумачење</w:t>
      </w:r>
    </w:p>
    <w:p>
      <w:pPr>
        <w:spacing w:after="0"/>
        <w:jc w:val="left"/>
        <w:rPr>
          <w:rFonts w:ascii="Times New Roman" w:hAnsi="Times New Roman" w:cs="Times New Roman" w:eastAsia="Times New Roman" w:hint="default"/>
          <w:sz w:val="16"/>
          <w:szCs w:val="16"/>
        </w:rPr>
        <w:sectPr>
          <w:pgSz w:w="12240" w:h="15840"/>
          <w:pgMar w:header="740" w:footer="1274" w:top="1280" w:bottom="1460" w:left="1400" w:right="1260"/>
        </w:sectPr>
      </w:pPr>
    </w:p>
    <w:p>
      <w:pPr>
        <w:pStyle w:val="BodyText"/>
        <w:spacing w:line="240" w:lineRule="auto" w:before="122"/>
        <w:ind w:right="178"/>
        <w:jc w:val="both"/>
      </w:pPr>
      <w:r>
        <w:rPr/>
        <w:t>3.2. Управа за финансије, изворне приходе локалне самоуправе и јавне  набавке планирана су средства за плате, додатке и накнаде запослених (зараде), социјалне доприносе на терет послодавца, накнаде у натури, социјална давања запосленима, награде запосленима, услуге по уговору и остали посебни расходи у управама и службама града, уместо у оквиру сваке управе и службе, као директног корисника средстава буџета града. Служба за послове Скупштине града, Служба за послове Градоначелника и Служба за послове Градског већа који су директни корисници буџетских средстава града Ниша нису исказани по посебним</w:t>
      </w:r>
      <w:r>
        <w:rPr>
          <w:spacing w:val="-17"/>
        </w:rPr>
        <w:t> </w:t>
      </w:r>
      <w:r>
        <w:rPr/>
        <w:t>разделима;</w:t>
      </w:r>
    </w:p>
    <w:p>
      <w:pPr>
        <w:pStyle w:val="ListParagraph"/>
        <w:numPr>
          <w:ilvl w:val="0"/>
          <w:numId w:val="12"/>
        </w:numPr>
        <w:tabs>
          <w:tab w:pos="382"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средства за Буџетску инспекцију града Ниша планирана су код више директних буџетских</w:t>
      </w:r>
      <w:r>
        <w:rPr>
          <w:rFonts w:ascii="Times New Roman" w:hAnsi="Times New Roman"/>
          <w:spacing w:val="-8"/>
          <w:sz w:val="24"/>
        </w:rPr>
        <w:t> </w:t>
      </w:r>
      <w:r>
        <w:rPr>
          <w:rFonts w:ascii="Times New Roman" w:hAnsi="Times New Roman"/>
          <w:sz w:val="24"/>
        </w:rPr>
        <w:t>корисника</w:t>
      </w:r>
      <w:r>
        <w:rPr>
          <w:rFonts w:ascii="Times New Roman" w:hAnsi="Times New Roman"/>
          <w:sz w:val="24"/>
        </w:rPr>
        <w:t>;</w:t>
      </w:r>
    </w:p>
    <w:p>
      <w:pPr>
        <w:pStyle w:val="ListParagraph"/>
        <w:numPr>
          <w:ilvl w:val="0"/>
          <w:numId w:val="12"/>
        </w:numPr>
        <w:tabs>
          <w:tab w:pos="305"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средства за новчане казне и пенале по решењу судова по судским споровима директних буџетских корисника планирана су код Градског јавног правобранилаштва уместо код директног корисника који је учесник у судском</w:t>
      </w:r>
      <w:r>
        <w:rPr>
          <w:rFonts w:ascii="Times New Roman" w:hAnsi="Times New Roman"/>
          <w:spacing w:val="-24"/>
          <w:sz w:val="24"/>
        </w:rPr>
        <w:t> </w:t>
      </w:r>
      <w:r>
        <w:rPr>
          <w:rFonts w:ascii="Times New Roman" w:hAnsi="Times New Roman"/>
          <w:sz w:val="24"/>
        </w:rPr>
        <w:t>поступку;</w:t>
      </w:r>
    </w:p>
    <w:p>
      <w:pPr>
        <w:pStyle w:val="ListParagraph"/>
        <w:numPr>
          <w:ilvl w:val="0"/>
          <w:numId w:val="12"/>
        </w:numPr>
        <w:tabs>
          <w:tab w:pos="327"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у овиру раздела Градоначелника и Градског већа, главе Градоначелника планирана су средства за посланички додатак, трансфере осталим нивоима власти, средства за дотације невладиним организацијама</w:t>
      </w:r>
      <w:r>
        <w:rPr>
          <w:rFonts w:ascii="Times New Roman" w:hAnsi="Times New Roman"/>
          <w:sz w:val="24"/>
        </w:rPr>
        <w:t>, </w:t>
      </w:r>
      <w:r>
        <w:rPr>
          <w:rFonts w:ascii="Times New Roman" w:hAnsi="Times New Roman"/>
          <w:sz w:val="24"/>
        </w:rPr>
        <w:t>што није у надлежности овог директног</w:t>
      </w:r>
      <w:r>
        <w:rPr>
          <w:rFonts w:ascii="Times New Roman" w:hAnsi="Times New Roman"/>
          <w:spacing w:val="-19"/>
          <w:sz w:val="24"/>
        </w:rPr>
        <w:t> </w:t>
      </w:r>
      <w:r>
        <w:rPr>
          <w:rFonts w:ascii="Times New Roman" w:hAnsi="Times New Roman"/>
          <w:sz w:val="24"/>
        </w:rPr>
        <w:t>корисника;</w:t>
      </w:r>
    </w:p>
    <w:p>
      <w:pPr>
        <w:pStyle w:val="ListParagraph"/>
        <w:numPr>
          <w:ilvl w:val="0"/>
          <w:numId w:val="12"/>
        </w:numPr>
        <w:tabs>
          <w:tab w:pos="307" w:val="left" w:leader="none"/>
        </w:tabs>
        <w:spacing w:line="240" w:lineRule="auto" w:before="0" w:after="0"/>
        <w:ind w:left="160" w:right="170" w:firstLine="0"/>
        <w:jc w:val="both"/>
        <w:rPr>
          <w:rFonts w:ascii="Times New Roman" w:hAnsi="Times New Roman" w:cs="Times New Roman" w:eastAsia="Times New Roman" w:hint="default"/>
          <w:sz w:val="24"/>
          <w:szCs w:val="24"/>
        </w:rPr>
      </w:pPr>
      <w:r>
        <w:rPr>
          <w:rFonts w:ascii="Times New Roman" w:hAnsi="Times New Roman"/>
          <w:sz w:val="24"/>
        </w:rPr>
        <w:t>трошкови регистрације возила планирани су код Управе за финансије, изворне приходе локалне самоуправе и јавне набавке уместо код Службе за одржавање и информатичко</w:t>
      </w:r>
      <w:r>
        <w:rPr>
          <w:rFonts w:ascii="Times New Roman" w:hAnsi="Times New Roman"/>
          <w:sz w:val="24"/>
        </w:rPr>
        <w:t>- </w:t>
      </w:r>
      <w:r>
        <w:rPr>
          <w:rFonts w:ascii="Times New Roman" w:hAnsi="Times New Roman"/>
          <w:sz w:val="24"/>
        </w:rPr>
        <w:t>комуникационе технологије у складу са чланом 17. Одлуке о прибављању, располагању и управљању стварима у јавној својини града Ниша, којим је прописано да покретним стварима у јавној својини Града, осим новцем и хартијама од вредности, управља Служба града Ниша надлежна за одржавање и информатичко</w:t>
      </w:r>
      <w:r>
        <w:rPr>
          <w:rFonts w:ascii="Times New Roman" w:hAnsi="Times New Roman"/>
          <w:sz w:val="24"/>
        </w:rPr>
        <w:t>-</w:t>
      </w:r>
      <w:r>
        <w:rPr>
          <w:rFonts w:ascii="Times New Roman" w:hAnsi="Times New Roman"/>
          <w:sz w:val="24"/>
        </w:rPr>
        <w:t>комуникационе</w:t>
      </w:r>
      <w:r>
        <w:rPr>
          <w:rFonts w:ascii="Times New Roman" w:hAnsi="Times New Roman"/>
          <w:spacing w:val="-22"/>
          <w:sz w:val="24"/>
        </w:rPr>
        <w:t> </w:t>
      </w:r>
      <w:r>
        <w:rPr>
          <w:rFonts w:ascii="Times New Roman" w:hAnsi="Times New Roman"/>
          <w:sz w:val="24"/>
        </w:rPr>
        <w:t>технологије;</w:t>
      </w:r>
    </w:p>
    <w:p>
      <w:pPr>
        <w:pStyle w:val="ListParagraph"/>
        <w:numPr>
          <w:ilvl w:val="0"/>
          <w:numId w:val="12"/>
        </w:numPr>
        <w:tabs>
          <w:tab w:pos="307" w:val="left" w:leader="none"/>
        </w:tabs>
        <w:spacing w:line="240" w:lineRule="auto" w:before="0" w:after="0"/>
        <w:ind w:left="160" w:right="170" w:firstLine="0"/>
        <w:jc w:val="both"/>
        <w:rPr>
          <w:rFonts w:ascii="Times New Roman" w:hAnsi="Times New Roman" w:cs="Times New Roman" w:eastAsia="Times New Roman" w:hint="default"/>
          <w:sz w:val="24"/>
          <w:szCs w:val="24"/>
        </w:rPr>
      </w:pPr>
      <w:r>
        <w:rPr>
          <w:rFonts w:ascii="Times New Roman" w:hAnsi="Times New Roman"/>
          <w:sz w:val="24"/>
        </w:rPr>
        <w:t>издаци за зграде и грађевинске објекте (511000) планирани су код Управе за финансије, изворне приходе локалне самоуправе и јавне набавке, Управе за дечију, социјалну и примарну здравствену заштиту, Управе за образовање, Управе за културу, Управе за омладину и спорт, Управе за комуналне делатности, енергетику и саобраћај, Управе за планирање и изградњу, Управе за привреду, одрживи развој и заштиту животне средине, Управе за пољопривреду и развој села и код Службе за одржавање и информатичко</w:t>
      </w:r>
      <w:r>
        <w:rPr>
          <w:rFonts w:ascii="Times New Roman" w:hAnsi="Times New Roman"/>
          <w:sz w:val="24"/>
        </w:rPr>
        <w:t>- </w:t>
      </w:r>
      <w:r>
        <w:rPr>
          <w:rFonts w:ascii="Times New Roman" w:hAnsi="Times New Roman"/>
          <w:sz w:val="24"/>
        </w:rPr>
        <w:t>комуникационе технологије уместо код Управе за имовину и инспекцијске послове, што је супротно члану 11. Одлуке о прибављању, располагању и управљању стварима у јавној својини града Ниша, којим је прописано да непокретним стварима у јавној својини Града управља управа надлежна за имовину града</w:t>
      </w:r>
      <w:r>
        <w:rPr>
          <w:rFonts w:ascii="Times New Roman" w:hAnsi="Times New Roman"/>
          <w:spacing w:val="-13"/>
          <w:sz w:val="24"/>
        </w:rPr>
        <w:t> </w:t>
      </w:r>
      <w:r>
        <w:rPr>
          <w:rFonts w:ascii="Times New Roman" w:hAnsi="Times New Roman"/>
          <w:sz w:val="24"/>
        </w:rPr>
        <w:t>Ниша;</w:t>
      </w:r>
    </w:p>
    <w:p>
      <w:pPr>
        <w:pStyle w:val="ListParagraph"/>
        <w:numPr>
          <w:ilvl w:val="0"/>
          <w:numId w:val="12"/>
        </w:numPr>
        <w:tabs>
          <w:tab w:pos="324" w:val="left" w:leader="none"/>
        </w:tabs>
        <w:spacing w:line="240" w:lineRule="auto" w:before="0" w:after="0"/>
        <w:ind w:left="160" w:right="170" w:firstLine="0"/>
        <w:jc w:val="both"/>
        <w:rPr>
          <w:rFonts w:ascii="Times New Roman" w:hAnsi="Times New Roman" w:cs="Times New Roman" w:eastAsia="Times New Roman" w:hint="default"/>
          <w:sz w:val="24"/>
          <w:szCs w:val="24"/>
        </w:rPr>
      </w:pPr>
      <w:r>
        <w:rPr>
          <w:rFonts w:ascii="Times New Roman" w:hAnsi="Times New Roman"/>
          <w:sz w:val="24"/>
        </w:rPr>
        <w:t>издаци за машине и опрему (512000) планирани су код Управе за дечију, социјалну и примарну здравствену заштиту, Управе за образовање, Управе за културу, Управе за омладину и спорт, Управе за комуналне делатности, енергетику и саобраћај, Управе за планирање и изградњу, Управе за привреду, одрживи развој и заштиту животне средине, Управе за пољопривреду и развој села и код Службе за одржавање и информатичко</w:t>
      </w:r>
      <w:r>
        <w:rPr>
          <w:rFonts w:ascii="Times New Roman" w:hAnsi="Times New Roman"/>
          <w:sz w:val="24"/>
        </w:rPr>
        <w:t>- </w:t>
      </w:r>
      <w:r>
        <w:rPr>
          <w:rFonts w:ascii="Times New Roman" w:hAnsi="Times New Roman"/>
          <w:sz w:val="24"/>
        </w:rPr>
        <w:t>комуникационе технологије уместо да у целости буду планирани код Службе за одржавање и информатичко</w:t>
      </w:r>
      <w:r>
        <w:rPr>
          <w:rFonts w:ascii="Times New Roman" w:hAnsi="Times New Roman"/>
          <w:sz w:val="24"/>
        </w:rPr>
        <w:t>-</w:t>
      </w:r>
      <w:r>
        <w:rPr>
          <w:rFonts w:ascii="Times New Roman" w:hAnsi="Times New Roman"/>
          <w:sz w:val="24"/>
        </w:rPr>
        <w:t>комуникационе технологије, како је регулисано чланом 17. Одлуке о прибављању, располагању и управљању стварима у јавној својини града</w:t>
      </w:r>
      <w:r>
        <w:rPr>
          <w:rFonts w:ascii="Times New Roman" w:hAnsi="Times New Roman"/>
          <w:spacing w:val="-17"/>
          <w:sz w:val="24"/>
        </w:rPr>
        <w:t> </w:t>
      </w:r>
      <w:r>
        <w:rPr>
          <w:rFonts w:ascii="Times New Roman" w:hAnsi="Times New Roman"/>
          <w:sz w:val="24"/>
        </w:rPr>
        <w:t>Ниша.</w:t>
      </w:r>
    </w:p>
    <w:p>
      <w:pPr>
        <w:pStyle w:val="BodyText"/>
        <w:spacing w:line="240" w:lineRule="auto"/>
        <w:ind w:right="141" w:firstLine="566"/>
        <w:jc w:val="left"/>
      </w:pPr>
      <w:r>
        <w:rPr>
          <w:rFonts w:ascii="Times New Roman" w:hAnsi="Times New Roman"/>
        </w:rPr>
        <w:t>- </w:t>
      </w:r>
      <w:r>
        <w:rPr/>
        <w:t>економска класификација расхода и издатака није испоштована, као што је објашњено у наредним тачкама Напомена </w:t>
      </w:r>
      <w:r>
        <w:rPr>
          <w:spacing w:val="-4"/>
        </w:rPr>
        <w:t>уз</w:t>
      </w:r>
      <w:r>
        <w:rPr>
          <w:spacing w:val="-9"/>
        </w:rPr>
        <w:t> </w:t>
      </w:r>
      <w:r>
        <w:rPr/>
        <w:t>извештај.</w:t>
      </w:r>
    </w:p>
    <w:p>
      <w:pPr>
        <w:pStyle w:val="ListParagraph"/>
        <w:numPr>
          <w:ilvl w:val="0"/>
          <w:numId w:val="9"/>
        </w:numPr>
        <w:tabs>
          <w:tab w:pos="341" w:val="left" w:leader="none"/>
        </w:tabs>
        <w:spacing w:line="240" w:lineRule="auto" w:before="2" w:after="0"/>
        <w:ind w:left="160" w:right="171" w:firstLine="0"/>
        <w:jc w:val="both"/>
        <w:rPr>
          <w:rFonts w:ascii="Times New Roman" w:hAnsi="Times New Roman" w:cs="Times New Roman" w:eastAsia="Times New Roman" w:hint="default"/>
          <w:sz w:val="24"/>
          <w:szCs w:val="24"/>
        </w:rPr>
      </w:pPr>
      <w:r>
        <w:rPr>
          <w:rFonts w:ascii="Times New Roman" w:hAnsi="Times New Roman"/>
          <w:sz w:val="24"/>
        </w:rPr>
        <w:t>У Списку индиректних корисника, који чини саставни део Одлуке о буџету града Ниша нису наведени као индиректни корисници средстава буџета Буџетски фонд за заштиту животне средине града Ниша и Буџетски фонд за пољопривреду и рурални развој, који су уписани у Списак корисника јавних средстава Управе за</w:t>
      </w:r>
      <w:r>
        <w:rPr>
          <w:rFonts w:ascii="Times New Roman" w:hAnsi="Times New Roman"/>
          <w:spacing w:val="-22"/>
          <w:sz w:val="24"/>
        </w:rPr>
        <w:t> </w:t>
      </w:r>
      <w:r>
        <w:rPr>
          <w:rFonts w:ascii="Times New Roman" w:hAnsi="Times New Roman"/>
          <w:sz w:val="24"/>
        </w:rPr>
        <w:t>трезор.</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ListParagraph"/>
        <w:numPr>
          <w:ilvl w:val="0"/>
          <w:numId w:val="9"/>
        </w:numPr>
        <w:tabs>
          <w:tab w:pos="303" w:val="left" w:leader="none"/>
        </w:tabs>
        <w:spacing w:line="274" w:lineRule="exact" w:before="146" w:after="0"/>
        <w:ind w:left="160" w:right="351" w:firstLine="0"/>
        <w:jc w:val="both"/>
        <w:rPr>
          <w:rFonts w:ascii="Times New Roman" w:hAnsi="Times New Roman" w:cs="Times New Roman" w:eastAsia="Times New Roman" w:hint="default"/>
          <w:sz w:val="24"/>
          <w:szCs w:val="24"/>
        </w:rPr>
      </w:pPr>
      <w:r>
        <w:rPr>
          <w:rFonts w:ascii="Times New Roman" w:hAnsi="Times New Roman"/>
          <w:sz w:val="24"/>
        </w:rPr>
        <w:t>Измене и допуне буџета нису донете по поступку за доношење буџета, што је супротно члану 47. Закона о буџетском</w:t>
      </w:r>
      <w:r>
        <w:rPr>
          <w:rFonts w:ascii="Times New Roman" w:hAnsi="Times New Roman"/>
          <w:spacing w:val="-13"/>
          <w:sz w:val="24"/>
        </w:rPr>
        <w:t> </w:t>
      </w:r>
      <w:r>
        <w:rPr>
          <w:rFonts w:ascii="Times New Roman" w:hAnsi="Times New Roman"/>
          <w:sz w:val="24"/>
        </w:rPr>
        <w:t>систему.</w:t>
      </w:r>
    </w:p>
    <w:p>
      <w:pPr>
        <w:pStyle w:val="ListParagraph"/>
        <w:numPr>
          <w:ilvl w:val="0"/>
          <w:numId w:val="9"/>
        </w:numPr>
        <w:tabs>
          <w:tab w:pos="303" w:val="left" w:leader="none"/>
        </w:tabs>
        <w:spacing w:line="240" w:lineRule="auto" w:before="0" w:after="0"/>
        <w:ind w:left="160" w:right="337" w:firstLine="0"/>
        <w:jc w:val="both"/>
        <w:rPr>
          <w:rFonts w:ascii="Times New Roman" w:hAnsi="Times New Roman" w:cs="Times New Roman" w:eastAsia="Times New Roman" w:hint="default"/>
          <w:sz w:val="24"/>
          <w:szCs w:val="24"/>
        </w:rPr>
      </w:pPr>
      <w:r>
        <w:rPr>
          <w:rFonts w:ascii="Times New Roman" w:hAnsi="Times New Roman"/>
          <w:sz w:val="24"/>
        </w:rPr>
        <w:t>Квоте нису реално одређене, јер Решењем Начелника Управе за финансије, изворне приходе локалне самоуправе и јавне набавке одређена је квота за четврти квартал: за директног корисника Градоначелника за плате и социјалне доприносе у износу од нула динара, за директног корисника Управу за финансије изворне приходе локалне самоуправе и јавне набавке за накнаде у натури у износу од нула динара. Решењем о измени решења о тромесечном плану буџета града Ниша за октобар</w:t>
      </w:r>
      <w:r>
        <w:rPr>
          <w:rFonts w:ascii="Times New Roman" w:hAnsi="Times New Roman"/>
          <w:sz w:val="24"/>
        </w:rPr>
        <w:t>-</w:t>
      </w:r>
      <w:r>
        <w:rPr>
          <w:rFonts w:ascii="Times New Roman" w:hAnsi="Times New Roman"/>
          <w:sz w:val="24"/>
        </w:rPr>
        <w:t>децембар 2014. године од 06.11.2014. године, предвиђена је квота за напред наведене</w:t>
      </w:r>
      <w:r>
        <w:rPr>
          <w:rFonts w:ascii="Times New Roman" w:hAnsi="Times New Roman"/>
          <w:spacing w:val="-18"/>
          <w:sz w:val="24"/>
        </w:rPr>
        <w:t> </w:t>
      </w:r>
      <w:r>
        <w:rPr>
          <w:rFonts w:ascii="Times New Roman" w:hAnsi="Times New Roman"/>
          <w:sz w:val="24"/>
        </w:rPr>
        <w:t>расходе.</w:t>
      </w:r>
    </w:p>
    <w:p>
      <w:pPr>
        <w:pStyle w:val="Heading2"/>
        <w:spacing w:line="240" w:lineRule="auto"/>
        <w:ind w:right="333"/>
        <w:jc w:val="both"/>
        <w:rPr>
          <w:rFonts w:ascii="Times New Roman" w:hAnsi="Times New Roman" w:cs="Times New Roman" w:eastAsia="Times New Roman" w:hint="default"/>
          <w:b w:val="0"/>
          <w:bCs w:val="0"/>
          <w:i w:val="0"/>
        </w:rPr>
      </w:pPr>
      <w:r>
        <w:rPr>
          <w:i/>
        </w:rPr>
        <w:t>Препоручује се одговорним лицима да: упутство за припрему нацрта буџета локалне власти са свим прописаним елементима достављају свим директним корисницима у прописаном року; директни корисници буџета сачињавају и достављају предлоге својих финансијских планова; предлози финансијских планова корисника буџетских средстава обухватају расходе и издатке за трогодишњи  период, исказане по буџетској класификацији и детаљно писано образложење расхода и издатака; корисници буџетских средстава доносе финансијске планове; планирају све приходе и примања из свих извора; буџет припремају на  основу  система јединствене буџетске класификације; измену буџета врше по поступку за доношење буџета; средства за финансирање редовног рада субјеката планирају у складу са прописима; квоте реално</w:t>
      </w:r>
      <w:r>
        <w:rPr>
          <w:i/>
          <w:spacing w:val="-12"/>
        </w:rPr>
        <w:t> </w:t>
      </w:r>
      <w:r>
        <w:rPr>
          <w:i/>
        </w:rPr>
        <w:t>одређују</w:t>
      </w:r>
      <w:r>
        <w:rPr>
          <w:rFonts w:ascii="Times New Roman" w:hAnsi="Times New Roman"/>
          <w:i/>
        </w:rPr>
        <w:t>.</w:t>
      </w:r>
      <w:r>
        <w:rPr>
          <w:rFonts w:ascii="Times New Roman" w:hAnsi="Times New Roman"/>
          <w:b w:val="0"/>
          <w:i w:val="0"/>
        </w:rPr>
      </w:r>
    </w:p>
    <w:p>
      <w:pPr>
        <w:pStyle w:val="Heading1"/>
        <w:numPr>
          <w:ilvl w:val="2"/>
          <w:numId w:val="21"/>
        </w:numPr>
        <w:tabs>
          <w:tab w:pos="701" w:val="left" w:leader="none"/>
        </w:tabs>
        <w:spacing w:line="274" w:lineRule="exact" w:before="185" w:after="0"/>
        <w:ind w:left="700" w:right="0" w:hanging="540"/>
        <w:jc w:val="both"/>
        <w:rPr>
          <w:b w:val="0"/>
          <w:bCs w:val="0"/>
        </w:rPr>
      </w:pPr>
      <w:bookmarkStart w:name="_bookmark6" w:id="10"/>
      <w:bookmarkEnd w:id="10"/>
      <w:r>
        <w:rPr>
          <w:b w:val="0"/>
        </w:rPr>
      </w:r>
      <w:bookmarkStart w:name="_bookmark6" w:id="11"/>
      <w:bookmarkEnd w:id="11"/>
      <w:r>
        <w:rPr/>
        <w:t>П</w:t>
      </w:r>
      <w:r>
        <w:rPr/>
        <w:t>риходи</w:t>
      </w:r>
      <w:r>
        <w:rPr>
          <w:b w:val="0"/>
        </w:rPr>
      </w:r>
    </w:p>
    <w:p>
      <w:pPr>
        <w:pStyle w:val="BodyText"/>
        <w:spacing w:line="240" w:lineRule="auto"/>
        <w:ind w:right="342" w:firstLine="566"/>
        <w:jc w:val="both"/>
      </w:pPr>
      <w:r>
        <w:rPr/>
        <w:t>Град Ниш је у 2014. години планирао текуће приходе у износу од 9.289.438 хиљада динара. Одлуком о завршном рачуну буџета града за 2014. годину исказано је остварење текућих прихода у износу од 6.613.410 хиљада динара. У Извештају о извршењу буџета исказано је укупно остварење текућих прихода у износу од 7.030.829 хиљада</w:t>
      </w:r>
      <w:r>
        <w:rPr>
          <w:spacing w:val="-27"/>
        </w:rPr>
        <w:t> </w:t>
      </w:r>
      <w:r>
        <w:rPr/>
        <w:t>динара.</w:t>
      </w:r>
    </w:p>
    <w:p>
      <w:pPr>
        <w:pStyle w:val="BodyText"/>
        <w:spacing w:line="240" w:lineRule="auto"/>
        <w:ind w:right="335" w:firstLine="566"/>
        <w:jc w:val="both"/>
      </w:pPr>
      <w:r>
        <w:rPr>
          <w:rFonts w:ascii="Times New Roman" w:hAnsi="Times New Roman"/>
          <w:b/>
        </w:rPr>
        <w:t>На основу ревизије узорковане документације утврђено је </w:t>
      </w:r>
      <w:r>
        <w:rPr/>
        <w:t>да Одлуком о завршном рачуну нису утврђени укупно остварени приходи и примања и укупно извршени расходи и издаци укључујући сопствене приходе и примања и расходе и издатке из осталих прихода корисника средстава буџета локалне власти, што је супротно члану 2. став 1. тачка 53. Закона о буџетском</w:t>
      </w:r>
      <w:r>
        <w:rPr>
          <w:spacing w:val="-19"/>
        </w:rPr>
        <w:t> </w:t>
      </w:r>
      <w:r>
        <w:rPr/>
        <w:t>систему.</w:t>
      </w:r>
    </w:p>
    <w:p>
      <w:pPr>
        <w:pStyle w:val="Heading2"/>
        <w:spacing w:line="240" w:lineRule="auto"/>
        <w:ind w:right="333"/>
        <w:jc w:val="both"/>
        <w:rPr>
          <w:b w:val="0"/>
          <w:bCs w:val="0"/>
          <w:i w:val="0"/>
        </w:rPr>
      </w:pPr>
      <w:r>
        <w:rPr>
          <w:i/>
        </w:rPr>
        <w:t>Препоручује се одговорним лицима да приликом доношења Одлуке о завршном рачуну буџета утврде укупно остварене приходе и примања и укупно извршене расходе и</w:t>
      </w:r>
      <w:r>
        <w:rPr>
          <w:i/>
          <w:spacing w:val="-3"/>
        </w:rPr>
        <w:t> </w:t>
      </w:r>
      <w:r>
        <w:rPr>
          <w:i/>
        </w:rPr>
        <w:t>издатке.</w:t>
      </w:r>
      <w:r>
        <w:rPr>
          <w:b w:val="0"/>
          <w:i w:val="0"/>
        </w:rPr>
      </w:r>
    </w:p>
    <w:p>
      <w:pPr>
        <w:spacing w:line="240" w:lineRule="auto" w:before="9"/>
        <w:rPr>
          <w:rFonts w:ascii="Times New Roman" w:hAnsi="Times New Roman" w:cs="Times New Roman" w:eastAsia="Times New Roman" w:hint="default"/>
          <w:b/>
          <w:bCs/>
          <w:i/>
          <w:sz w:val="23"/>
          <w:szCs w:val="23"/>
        </w:rPr>
      </w:pPr>
    </w:p>
    <w:p>
      <w:pPr>
        <w:spacing w:before="0" w:after="5"/>
        <w:ind w:left="726" w:right="0" w:firstLine="0"/>
        <w:jc w:val="left"/>
        <w:rPr>
          <w:rFonts w:ascii="Times New Roman" w:hAnsi="Times New Roman" w:cs="Times New Roman" w:eastAsia="Times New Roman" w:hint="default"/>
          <w:sz w:val="22"/>
          <w:szCs w:val="22"/>
        </w:rPr>
      </w:pPr>
      <w:r>
        <w:rPr>
          <w:rFonts w:ascii="Times New Roman" w:hAnsi="Times New Roman"/>
          <w:sz w:val="22"/>
        </w:rPr>
        <w:t>Структура планираних и остварених прихода дата је у наредној</w:t>
      </w:r>
      <w:r>
        <w:rPr>
          <w:rFonts w:ascii="Times New Roman" w:hAnsi="Times New Roman"/>
          <w:spacing w:val="-9"/>
          <w:sz w:val="22"/>
        </w:rPr>
        <w:t> </w:t>
      </w:r>
      <w:r>
        <w:rPr>
          <w:rFonts w:ascii="Times New Roman" w:hAnsi="Times New Roman"/>
          <w:sz w:val="22"/>
        </w:rPr>
        <w:t>табели:</w:t>
      </w:r>
    </w:p>
    <w:tbl>
      <w:tblPr>
        <w:tblW w:w="0" w:type="auto"/>
        <w:jc w:val="left"/>
        <w:tblInd w:w="155" w:type="dxa"/>
        <w:tblLayout w:type="fixed"/>
        <w:tblCellMar>
          <w:top w:w="0" w:type="dxa"/>
          <w:left w:w="0" w:type="dxa"/>
          <w:bottom w:w="0" w:type="dxa"/>
          <w:right w:w="0" w:type="dxa"/>
        </w:tblCellMar>
        <w:tblLook w:val="01E0"/>
      </w:tblPr>
      <w:tblGrid>
        <w:gridCol w:w="631"/>
        <w:gridCol w:w="4952"/>
        <w:gridCol w:w="989"/>
        <w:gridCol w:w="991"/>
        <w:gridCol w:w="989"/>
        <w:gridCol w:w="900"/>
      </w:tblGrid>
      <w:tr>
        <w:trPr>
          <w:trHeight w:val="199" w:hRule="exact"/>
        </w:trPr>
        <w:tc>
          <w:tcPr>
            <w:tcW w:w="9453" w:type="dxa"/>
            <w:gridSpan w:val="6"/>
            <w:tcBorders>
              <w:top w:val="single" w:sz="4" w:space="0" w:color="000000"/>
              <w:left w:val="single" w:sz="4" w:space="0" w:color="000000"/>
              <w:bottom w:val="single" w:sz="8" w:space="0" w:color="000000"/>
              <w:right w:val="single" w:sz="4" w:space="0" w:color="000000"/>
            </w:tcBorders>
          </w:tcPr>
          <w:p>
            <w:pPr>
              <w:pStyle w:val="TableParagraph"/>
              <w:tabs>
                <w:tab w:pos="7211" w:val="left" w:leader="none"/>
              </w:tabs>
              <w:spacing w:line="181" w:lineRule="exact"/>
              <w:ind w:left="103" w:right="0"/>
              <w:jc w:val="left"/>
              <w:rPr>
                <w:rFonts w:ascii="Times New Roman" w:hAnsi="Times New Roman" w:cs="Times New Roman" w:eastAsia="Times New Roman" w:hint="default"/>
                <w:sz w:val="16"/>
                <w:szCs w:val="16"/>
              </w:rPr>
            </w:pPr>
            <w:r>
              <w:rPr>
                <w:rFonts w:ascii="Times New Roman" w:hAnsi="Times New Roman"/>
                <w:b/>
                <w:sz w:val="16"/>
              </w:rPr>
              <w:t>Табела: Планирани и остварени приходи Града за </w:t>
            </w:r>
            <w:r>
              <w:rPr>
                <w:rFonts w:ascii="Times New Roman" w:hAnsi="Times New Roman"/>
                <w:b/>
                <w:spacing w:val="11"/>
                <w:sz w:val="16"/>
              </w:rPr>
              <w:t> </w:t>
            </w:r>
            <w:r>
              <w:rPr>
                <w:rFonts w:ascii="Times New Roman" w:hAnsi="Times New Roman"/>
                <w:b/>
                <w:sz w:val="16"/>
              </w:rPr>
              <w:t>2014.</w:t>
            </w:r>
            <w:r>
              <w:rPr>
                <w:rFonts w:ascii="Times New Roman" w:hAnsi="Times New Roman"/>
                <w:b/>
                <w:spacing w:val="5"/>
                <w:sz w:val="16"/>
              </w:rPr>
              <w:t> </w:t>
            </w:r>
            <w:r>
              <w:rPr>
                <w:rFonts w:ascii="Times New Roman" w:hAnsi="Times New Roman"/>
                <w:b/>
                <w:sz w:val="16"/>
              </w:rPr>
              <w:t>годину</w:t>
              <w:tab/>
              <w:t>у хиљадама</w:t>
            </w:r>
            <w:r>
              <w:rPr>
                <w:rFonts w:ascii="Times New Roman" w:hAnsi="Times New Roman"/>
                <w:b/>
                <w:spacing w:val="-9"/>
                <w:sz w:val="16"/>
              </w:rPr>
              <w:t> </w:t>
            </w:r>
            <w:r>
              <w:rPr>
                <w:rFonts w:ascii="Times New Roman" w:hAnsi="Times New Roman"/>
                <w:b/>
                <w:sz w:val="16"/>
              </w:rPr>
              <w:t>динара</w:t>
            </w:r>
            <w:r>
              <w:rPr>
                <w:rFonts w:ascii="Times New Roman" w:hAnsi="Times New Roman"/>
                <w:sz w:val="16"/>
              </w:rPr>
            </w:r>
          </w:p>
        </w:tc>
      </w:tr>
      <w:tr>
        <w:trPr>
          <w:trHeight w:val="566" w:hRule="exact"/>
        </w:trPr>
        <w:tc>
          <w:tcPr>
            <w:tcW w:w="631" w:type="dxa"/>
            <w:tcBorders>
              <w:top w:val="single" w:sz="8" w:space="0" w:color="000000"/>
              <w:left w:val="single" w:sz="4" w:space="0" w:color="000000"/>
              <w:bottom w:val="single" w:sz="4" w:space="0" w:color="000000"/>
              <w:right w:val="single" w:sz="4" w:space="0" w:color="000000"/>
            </w:tcBorders>
          </w:tcPr>
          <w:p>
            <w:pPr>
              <w:pStyle w:val="TableParagraph"/>
              <w:spacing w:line="240" w:lineRule="auto" w:before="88"/>
              <w:ind w:left="16" w:right="19" w:firstLine="81"/>
              <w:jc w:val="left"/>
              <w:rPr>
                <w:rFonts w:ascii="Times New Roman" w:hAnsi="Times New Roman" w:cs="Times New Roman" w:eastAsia="Times New Roman" w:hint="default"/>
                <w:sz w:val="16"/>
                <w:szCs w:val="16"/>
              </w:rPr>
            </w:pPr>
            <w:r>
              <w:rPr>
                <w:rFonts w:ascii="Times New Roman" w:hAnsi="Times New Roman"/>
                <w:b/>
                <w:sz w:val="16"/>
              </w:rPr>
              <w:t>Екон. класиф.</w:t>
            </w:r>
            <w:r>
              <w:rPr>
                <w:rFonts w:ascii="Times New Roman" w:hAnsi="Times New Roman"/>
                <w:sz w:val="16"/>
              </w:rPr>
            </w:r>
          </w:p>
        </w:tc>
        <w:tc>
          <w:tcPr>
            <w:tcW w:w="4952" w:type="dxa"/>
            <w:tcBorders>
              <w:top w:val="single" w:sz="8" w:space="0" w:color="000000"/>
              <w:left w:val="single" w:sz="4" w:space="0" w:color="000000"/>
              <w:bottom w:val="single" w:sz="4" w:space="0" w:color="000000"/>
              <w:right w:val="single" w:sz="4" w:space="0" w:color="000000"/>
            </w:tcBorders>
          </w:tcPr>
          <w:p>
            <w:pPr>
              <w:pStyle w:val="TableParagraph"/>
              <w:spacing w:line="240" w:lineRule="auto" w:before="9"/>
              <w:ind w:right="0"/>
              <w:jc w:val="left"/>
              <w:rPr>
                <w:rFonts w:ascii="Times New Roman" w:hAnsi="Times New Roman" w:cs="Times New Roman" w:eastAsia="Times New Roman" w:hint="default"/>
                <w:sz w:val="15"/>
                <w:szCs w:val="15"/>
              </w:rPr>
            </w:pPr>
          </w:p>
          <w:p>
            <w:pPr>
              <w:pStyle w:val="TableParagraph"/>
              <w:spacing w:line="240" w:lineRule="auto"/>
              <w:ind w:left="2149" w:right="2151"/>
              <w:jc w:val="center"/>
              <w:rPr>
                <w:rFonts w:ascii="Times New Roman" w:hAnsi="Times New Roman" w:cs="Times New Roman" w:eastAsia="Times New Roman" w:hint="default"/>
                <w:sz w:val="16"/>
                <w:szCs w:val="16"/>
              </w:rPr>
            </w:pPr>
            <w:r>
              <w:rPr>
                <w:rFonts w:ascii="Times New Roman" w:hAnsi="Times New Roman"/>
                <w:b/>
                <w:sz w:val="16"/>
              </w:rPr>
              <w:t>О П И</w:t>
            </w:r>
            <w:r>
              <w:rPr>
                <w:rFonts w:ascii="Times New Roman" w:hAnsi="Times New Roman"/>
                <w:b/>
                <w:spacing w:val="2"/>
                <w:sz w:val="16"/>
              </w:rPr>
              <w:t> </w:t>
            </w:r>
            <w:r>
              <w:rPr>
                <w:rFonts w:ascii="Times New Roman" w:hAnsi="Times New Roman"/>
                <w:b/>
                <w:sz w:val="16"/>
              </w:rPr>
              <w:t>С</w:t>
            </w:r>
            <w:r>
              <w:rPr>
                <w:rFonts w:ascii="Times New Roman" w:hAnsi="Times New Roman"/>
                <w:sz w:val="16"/>
              </w:rPr>
            </w:r>
          </w:p>
        </w:tc>
        <w:tc>
          <w:tcPr>
            <w:tcW w:w="989" w:type="dxa"/>
            <w:tcBorders>
              <w:top w:val="single" w:sz="8" w:space="0" w:color="000000"/>
              <w:left w:val="single" w:sz="4" w:space="0" w:color="000000"/>
              <w:bottom w:val="single" w:sz="4" w:space="0" w:color="000000"/>
              <w:right w:val="single" w:sz="4" w:space="0" w:color="000000"/>
            </w:tcBorders>
          </w:tcPr>
          <w:p>
            <w:pPr>
              <w:pStyle w:val="TableParagraph"/>
              <w:spacing w:line="240" w:lineRule="auto" w:before="9"/>
              <w:ind w:right="0"/>
              <w:jc w:val="left"/>
              <w:rPr>
                <w:rFonts w:ascii="Times New Roman" w:hAnsi="Times New Roman" w:cs="Times New Roman" w:eastAsia="Times New Roman" w:hint="default"/>
                <w:sz w:val="15"/>
                <w:szCs w:val="15"/>
              </w:rPr>
            </w:pPr>
          </w:p>
          <w:p>
            <w:pPr>
              <w:pStyle w:val="TableParagraph"/>
              <w:spacing w:line="183" w:lineRule="exact"/>
              <w:ind w:left="70" w:right="71"/>
              <w:jc w:val="center"/>
              <w:rPr>
                <w:rFonts w:ascii="Times New Roman" w:hAnsi="Times New Roman" w:cs="Times New Roman" w:eastAsia="Times New Roman" w:hint="default"/>
                <w:sz w:val="16"/>
                <w:szCs w:val="16"/>
              </w:rPr>
            </w:pPr>
            <w:r>
              <w:rPr>
                <w:rFonts w:ascii="Times New Roman" w:hAnsi="Times New Roman"/>
                <w:b/>
                <w:sz w:val="16"/>
              </w:rPr>
              <w:t>План</w:t>
            </w:r>
            <w:r>
              <w:rPr>
                <w:rFonts w:ascii="Times New Roman" w:hAnsi="Times New Roman"/>
                <w:sz w:val="16"/>
              </w:rPr>
            </w:r>
          </w:p>
          <w:p>
            <w:pPr>
              <w:pStyle w:val="TableParagraph"/>
              <w:spacing w:line="183" w:lineRule="exact"/>
              <w:ind w:left="179" w:right="71"/>
              <w:jc w:val="center"/>
              <w:rPr>
                <w:rFonts w:ascii="Times New Roman" w:hAnsi="Times New Roman" w:cs="Times New Roman" w:eastAsia="Times New Roman" w:hint="default"/>
                <w:sz w:val="16"/>
                <w:szCs w:val="16"/>
              </w:rPr>
            </w:pPr>
            <w:r>
              <w:rPr>
                <w:rFonts w:ascii="Times New Roman" w:hAnsi="Times New Roman"/>
                <w:b/>
                <w:sz w:val="16"/>
              </w:rPr>
              <w:t>из</w:t>
            </w:r>
            <w:r>
              <w:rPr>
                <w:rFonts w:ascii="Times New Roman" w:hAnsi="Times New Roman"/>
                <w:b/>
                <w:spacing w:val="-6"/>
                <w:sz w:val="16"/>
              </w:rPr>
              <w:t> </w:t>
            </w:r>
            <w:r>
              <w:rPr>
                <w:rFonts w:ascii="Times New Roman" w:hAnsi="Times New Roman"/>
                <w:b/>
                <w:sz w:val="16"/>
              </w:rPr>
              <w:t>Буџета</w:t>
            </w:r>
            <w:r>
              <w:rPr>
                <w:rFonts w:ascii="Times New Roman" w:hAnsi="Times New Roman"/>
                <w:sz w:val="16"/>
              </w:rPr>
            </w:r>
          </w:p>
        </w:tc>
        <w:tc>
          <w:tcPr>
            <w:tcW w:w="991" w:type="dxa"/>
            <w:tcBorders>
              <w:top w:val="single" w:sz="8" w:space="0" w:color="000000"/>
              <w:left w:val="single" w:sz="4" w:space="0" w:color="000000"/>
              <w:bottom w:val="single" w:sz="4" w:space="0" w:color="000000"/>
              <w:right w:val="single" w:sz="4" w:space="0" w:color="000000"/>
            </w:tcBorders>
          </w:tcPr>
          <w:p>
            <w:pPr>
              <w:pStyle w:val="TableParagraph"/>
              <w:spacing w:line="240" w:lineRule="auto" w:before="9"/>
              <w:ind w:right="0"/>
              <w:jc w:val="left"/>
              <w:rPr>
                <w:rFonts w:ascii="Times New Roman" w:hAnsi="Times New Roman" w:cs="Times New Roman" w:eastAsia="Times New Roman" w:hint="default"/>
                <w:sz w:val="15"/>
                <w:szCs w:val="15"/>
              </w:rPr>
            </w:pPr>
          </w:p>
          <w:p>
            <w:pPr>
              <w:pStyle w:val="TableParagraph"/>
              <w:spacing w:line="240" w:lineRule="auto"/>
              <w:ind w:left="103" w:right="117" w:hanging="48"/>
              <w:jc w:val="left"/>
              <w:rPr>
                <w:rFonts w:ascii="Times New Roman" w:hAnsi="Times New Roman" w:cs="Times New Roman" w:eastAsia="Times New Roman" w:hint="default"/>
                <w:sz w:val="16"/>
                <w:szCs w:val="16"/>
              </w:rPr>
            </w:pPr>
            <w:r>
              <w:rPr>
                <w:rFonts w:ascii="Times New Roman" w:hAnsi="Times New Roman"/>
                <w:b/>
                <w:sz w:val="16"/>
              </w:rPr>
              <w:t>Остварење из</w:t>
            </w:r>
            <w:r>
              <w:rPr>
                <w:rFonts w:ascii="Times New Roman" w:hAnsi="Times New Roman"/>
                <w:b/>
                <w:spacing w:val="-6"/>
                <w:sz w:val="16"/>
              </w:rPr>
              <w:t> </w:t>
            </w:r>
            <w:r>
              <w:rPr>
                <w:rFonts w:ascii="Times New Roman" w:hAnsi="Times New Roman"/>
                <w:b/>
                <w:sz w:val="16"/>
              </w:rPr>
              <w:t>Буџета</w:t>
            </w:r>
            <w:r>
              <w:rPr>
                <w:rFonts w:ascii="Times New Roman" w:hAnsi="Times New Roman"/>
                <w:sz w:val="16"/>
              </w:rPr>
            </w:r>
          </w:p>
        </w:tc>
        <w:tc>
          <w:tcPr>
            <w:tcW w:w="989" w:type="dxa"/>
            <w:tcBorders>
              <w:top w:val="single" w:sz="8" w:space="0" w:color="000000"/>
              <w:left w:val="single" w:sz="4" w:space="0" w:color="000000"/>
              <w:bottom w:val="single" w:sz="4" w:space="0" w:color="000000"/>
              <w:right w:val="single" w:sz="4" w:space="0" w:color="000000"/>
            </w:tcBorders>
          </w:tcPr>
          <w:p>
            <w:pPr>
              <w:pStyle w:val="TableParagraph"/>
              <w:spacing w:line="240" w:lineRule="auto"/>
              <w:ind w:left="120" w:right="115" w:firstLine="91"/>
              <w:jc w:val="left"/>
              <w:rPr>
                <w:rFonts w:ascii="Times New Roman" w:hAnsi="Times New Roman" w:cs="Times New Roman" w:eastAsia="Times New Roman" w:hint="default"/>
                <w:sz w:val="16"/>
                <w:szCs w:val="16"/>
              </w:rPr>
            </w:pPr>
            <w:r>
              <w:rPr>
                <w:rFonts w:ascii="Times New Roman" w:hAnsi="Times New Roman"/>
                <w:b/>
                <w:sz w:val="16"/>
              </w:rPr>
              <w:t>Укупно оствар. из Обрасца</w:t>
            </w:r>
            <w:r>
              <w:rPr>
                <w:rFonts w:ascii="Times New Roman" w:hAnsi="Times New Roman"/>
                <w:b/>
                <w:spacing w:val="-3"/>
                <w:sz w:val="16"/>
              </w:rPr>
              <w:t> </w:t>
            </w:r>
            <w:r>
              <w:rPr>
                <w:rFonts w:ascii="Times New Roman" w:hAnsi="Times New Roman"/>
                <w:b/>
                <w:sz w:val="16"/>
              </w:rPr>
              <w:t>5</w:t>
            </w:r>
            <w:r>
              <w:rPr>
                <w:rFonts w:ascii="Times New Roman" w:hAnsi="Times New Roman"/>
                <w:sz w:val="16"/>
              </w:rPr>
            </w:r>
          </w:p>
        </w:tc>
        <w:tc>
          <w:tcPr>
            <w:tcW w:w="900" w:type="dxa"/>
            <w:tcBorders>
              <w:top w:val="single" w:sz="8" w:space="0" w:color="000000"/>
              <w:left w:val="single" w:sz="4" w:space="0" w:color="000000"/>
              <w:bottom w:val="single" w:sz="4" w:space="0" w:color="000000"/>
              <w:right w:val="single" w:sz="4" w:space="0" w:color="000000"/>
            </w:tcBorders>
          </w:tcPr>
          <w:p>
            <w:pPr>
              <w:pStyle w:val="TableParagraph"/>
              <w:spacing w:line="240" w:lineRule="auto" w:before="9"/>
              <w:ind w:right="0"/>
              <w:jc w:val="left"/>
              <w:rPr>
                <w:rFonts w:ascii="Times New Roman" w:hAnsi="Times New Roman" w:cs="Times New Roman" w:eastAsia="Times New Roman" w:hint="default"/>
                <w:sz w:val="15"/>
                <w:szCs w:val="15"/>
              </w:rPr>
            </w:pPr>
          </w:p>
          <w:p>
            <w:pPr>
              <w:pStyle w:val="TableParagraph"/>
              <w:spacing w:line="240" w:lineRule="auto"/>
              <w:ind w:left="398" w:right="222" w:hanging="180"/>
              <w:jc w:val="left"/>
              <w:rPr>
                <w:rFonts w:ascii="Times New Roman" w:hAnsi="Times New Roman" w:cs="Times New Roman" w:eastAsia="Times New Roman" w:hint="default"/>
                <w:sz w:val="16"/>
                <w:szCs w:val="16"/>
              </w:rPr>
            </w:pPr>
            <w:r>
              <w:rPr>
                <w:rFonts w:ascii="Times New Roman" w:hAnsi="Times New Roman"/>
                <w:w w:val="100"/>
                <w:sz w:val="16"/>
              </w:rPr>
            </w:r>
            <w:r>
              <w:rPr>
                <w:rFonts w:ascii="Times New Roman" w:hAnsi="Times New Roman"/>
                <w:spacing w:val="-41"/>
                <w:w w:val="100"/>
                <w:sz w:val="16"/>
                <w:u w:val="single" w:color="000000"/>
              </w:rPr>
              <w:t> </w:t>
            </w:r>
            <w:r>
              <w:rPr>
                <w:rFonts w:ascii="Times New Roman" w:hAnsi="Times New Roman"/>
                <w:b/>
                <w:sz w:val="16"/>
                <w:u w:val="single" w:color="000000"/>
              </w:rPr>
              <w:t>4 х100 </w:t>
            </w:r>
            <w:r>
              <w:rPr>
                <w:rFonts w:ascii="Times New Roman" w:hAnsi="Times New Roman"/>
                <w:b/>
                <w:sz w:val="16"/>
              </w:rPr>
            </w:r>
            <w:r>
              <w:rPr>
                <w:rFonts w:ascii="Times New Roman" w:hAnsi="Times New Roman"/>
                <w:b/>
                <w:sz w:val="16"/>
              </w:rPr>
            </w:r>
            <w:r>
              <w:rPr>
                <w:rFonts w:ascii="Times New Roman" w:hAnsi="Times New Roman"/>
                <w:b/>
                <w:sz w:val="16"/>
              </w:rPr>
              <w:t>3</w:t>
            </w:r>
            <w:r>
              <w:rPr>
                <w:rFonts w:ascii="Times New Roman" w:hAnsi="Times New Roman"/>
                <w:sz w:val="16"/>
              </w:rPr>
            </w:r>
          </w:p>
        </w:tc>
      </w:tr>
      <w:tr>
        <w:trPr>
          <w:trHeight w:val="175" w:hRule="exact"/>
        </w:trPr>
        <w:tc>
          <w:tcPr>
            <w:tcW w:w="631" w:type="dxa"/>
            <w:tcBorders>
              <w:top w:val="single" w:sz="4" w:space="0" w:color="000000"/>
              <w:left w:val="single" w:sz="4" w:space="0" w:color="000000"/>
              <w:bottom w:val="single" w:sz="8" w:space="0" w:color="000000"/>
              <w:right w:val="single" w:sz="4" w:space="0" w:color="000000"/>
            </w:tcBorders>
          </w:tcPr>
          <w:p>
            <w:pPr>
              <w:pStyle w:val="TableParagraph"/>
              <w:spacing w:line="240" w:lineRule="auto" w:before="8"/>
              <w:ind w:right="12"/>
              <w:jc w:val="center"/>
              <w:rPr>
                <w:rFonts w:ascii="Times New Roman" w:hAnsi="Times New Roman" w:cs="Times New Roman" w:eastAsia="Times New Roman" w:hint="default"/>
                <w:sz w:val="12"/>
                <w:szCs w:val="12"/>
              </w:rPr>
            </w:pPr>
            <w:r>
              <w:rPr>
                <w:rFonts w:ascii="Times New Roman"/>
                <w:sz w:val="12"/>
              </w:rPr>
              <w:t>1</w:t>
            </w:r>
          </w:p>
        </w:tc>
        <w:tc>
          <w:tcPr>
            <w:tcW w:w="4952" w:type="dxa"/>
            <w:tcBorders>
              <w:top w:val="single" w:sz="4" w:space="0" w:color="000000"/>
              <w:left w:val="single" w:sz="4" w:space="0" w:color="000000"/>
              <w:bottom w:val="single" w:sz="8" w:space="0" w:color="000000"/>
              <w:right w:val="single" w:sz="4" w:space="0" w:color="000000"/>
            </w:tcBorders>
          </w:tcPr>
          <w:p>
            <w:pPr>
              <w:pStyle w:val="TableParagraph"/>
              <w:spacing w:line="240" w:lineRule="auto" w:before="8"/>
              <w:ind w:right="2"/>
              <w:jc w:val="center"/>
              <w:rPr>
                <w:rFonts w:ascii="Times New Roman" w:hAnsi="Times New Roman" w:cs="Times New Roman" w:eastAsia="Times New Roman" w:hint="default"/>
                <w:sz w:val="12"/>
                <w:szCs w:val="12"/>
              </w:rPr>
            </w:pPr>
            <w:r>
              <w:rPr>
                <w:rFonts w:ascii="Times New Roman"/>
                <w:sz w:val="12"/>
              </w:rPr>
              <w:t>2</w:t>
            </w:r>
          </w:p>
        </w:tc>
        <w:tc>
          <w:tcPr>
            <w:tcW w:w="989" w:type="dxa"/>
            <w:tcBorders>
              <w:top w:val="single" w:sz="4" w:space="0" w:color="000000"/>
              <w:left w:val="single" w:sz="4" w:space="0" w:color="000000"/>
              <w:bottom w:val="single" w:sz="8" w:space="0" w:color="000000"/>
              <w:right w:val="single" w:sz="4" w:space="0" w:color="000000"/>
            </w:tcBorders>
          </w:tcPr>
          <w:p>
            <w:pPr>
              <w:pStyle w:val="TableParagraph"/>
              <w:spacing w:line="240" w:lineRule="auto" w:before="8"/>
              <w:ind w:right="1"/>
              <w:jc w:val="center"/>
              <w:rPr>
                <w:rFonts w:ascii="Times New Roman" w:hAnsi="Times New Roman" w:cs="Times New Roman" w:eastAsia="Times New Roman" w:hint="default"/>
                <w:sz w:val="12"/>
                <w:szCs w:val="12"/>
              </w:rPr>
            </w:pPr>
            <w:r>
              <w:rPr>
                <w:rFonts w:ascii="Times New Roman"/>
                <w:sz w:val="12"/>
              </w:rPr>
              <w:t>3</w:t>
            </w:r>
          </w:p>
        </w:tc>
        <w:tc>
          <w:tcPr>
            <w:tcW w:w="991" w:type="dxa"/>
            <w:tcBorders>
              <w:top w:val="single" w:sz="4" w:space="0" w:color="000000"/>
              <w:left w:val="single" w:sz="4" w:space="0" w:color="000000"/>
              <w:bottom w:val="single" w:sz="8" w:space="0" w:color="000000"/>
              <w:right w:val="single" w:sz="4" w:space="0" w:color="000000"/>
            </w:tcBorders>
          </w:tcPr>
          <w:p>
            <w:pPr>
              <w:pStyle w:val="TableParagraph"/>
              <w:spacing w:line="240" w:lineRule="auto" w:before="8"/>
              <w:ind w:right="108"/>
              <w:jc w:val="center"/>
              <w:rPr>
                <w:rFonts w:ascii="Times New Roman" w:hAnsi="Times New Roman" w:cs="Times New Roman" w:eastAsia="Times New Roman" w:hint="default"/>
                <w:sz w:val="12"/>
                <w:szCs w:val="12"/>
              </w:rPr>
            </w:pPr>
            <w:r>
              <w:rPr>
                <w:rFonts w:ascii="Times New Roman"/>
                <w:sz w:val="12"/>
              </w:rPr>
              <w:t>4</w:t>
            </w:r>
          </w:p>
        </w:tc>
        <w:tc>
          <w:tcPr>
            <w:tcW w:w="989" w:type="dxa"/>
            <w:tcBorders>
              <w:top w:val="single" w:sz="4" w:space="0" w:color="000000"/>
              <w:left w:val="single" w:sz="4" w:space="0" w:color="000000"/>
              <w:bottom w:val="single" w:sz="8" w:space="0" w:color="000000"/>
              <w:right w:val="single" w:sz="4" w:space="0" w:color="000000"/>
            </w:tcBorders>
          </w:tcPr>
          <w:p>
            <w:pPr>
              <w:pStyle w:val="TableParagraph"/>
              <w:spacing w:line="240" w:lineRule="auto" w:before="8"/>
              <w:ind w:right="106"/>
              <w:jc w:val="center"/>
              <w:rPr>
                <w:rFonts w:ascii="Times New Roman" w:hAnsi="Times New Roman" w:cs="Times New Roman" w:eastAsia="Times New Roman" w:hint="default"/>
                <w:sz w:val="12"/>
                <w:szCs w:val="12"/>
              </w:rPr>
            </w:pPr>
            <w:r>
              <w:rPr>
                <w:rFonts w:ascii="Times New Roman"/>
                <w:sz w:val="12"/>
              </w:rPr>
              <w:t>5</w:t>
            </w:r>
          </w:p>
        </w:tc>
        <w:tc>
          <w:tcPr>
            <w:tcW w:w="900" w:type="dxa"/>
            <w:tcBorders>
              <w:top w:val="single" w:sz="4" w:space="0" w:color="000000"/>
              <w:left w:val="single" w:sz="4" w:space="0" w:color="000000"/>
              <w:bottom w:val="single" w:sz="8" w:space="0" w:color="000000"/>
              <w:right w:val="single" w:sz="4" w:space="0" w:color="000000"/>
            </w:tcBorders>
          </w:tcPr>
          <w:p>
            <w:pPr>
              <w:pStyle w:val="TableParagraph"/>
              <w:spacing w:line="240" w:lineRule="auto" w:before="8"/>
              <w:ind w:left="9" w:right="0"/>
              <w:jc w:val="center"/>
              <w:rPr>
                <w:rFonts w:ascii="Times New Roman" w:hAnsi="Times New Roman" w:cs="Times New Roman" w:eastAsia="Times New Roman" w:hint="default"/>
                <w:sz w:val="12"/>
                <w:szCs w:val="12"/>
              </w:rPr>
            </w:pPr>
            <w:r>
              <w:rPr>
                <w:rFonts w:ascii="Times New Roman"/>
                <w:sz w:val="12"/>
              </w:rPr>
              <w:t>6</w:t>
            </w:r>
          </w:p>
        </w:tc>
      </w:tr>
      <w:tr>
        <w:trPr>
          <w:trHeight w:val="228" w:hRule="exact"/>
        </w:trPr>
        <w:tc>
          <w:tcPr>
            <w:tcW w:w="631" w:type="dxa"/>
            <w:tcBorders>
              <w:top w:val="single" w:sz="8" w:space="0" w:color="000000"/>
              <w:left w:val="single" w:sz="4" w:space="0" w:color="000000"/>
              <w:bottom w:val="single" w:sz="8" w:space="0" w:color="000000"/>
              <w:right w:val="single" w:sz="4" w:space="0" w:color="000000"/>
            </w:tcBorders>
          </w:tcPr>
          <w:p>
            <w:pPr>
              <w:pStyle w:val="TableParagraph"/>
              <w:spacing w:line="240" w:lineRule="auto" w:before="18"/>
              <w:ind w:left="51" w:right="59"/>
              <w:jc w:val="center"/>
              <w:rPr>
                <w:rFonts w:ascii="Times New Roman" w:hAnsi="Times New Roman" w:cs="Times New Roman" w:eastAsia="Times New Roman" w:hint="default"/>
                <w:sz w:val="16"/>
                <w:szCs w:val="16"/>
              </w:rPr>
            </w:pPr>
            <w:r>
              <w:rPr>
                <w:rFonts w:ascii="Times New Roman"/>
                <w:sz w:val="16"/>
              </w:rPr>
              <w:t>700000</w:t>
            </w:r>
          </w:p>
        </w:tc>
        <w:tc>
          <w:tcPr>
            <w:tcW w:w="4952" w:type="dxa"/>
            <w:tcBorders>
              <w:top w:val="single" w:sz="8" w:space="0" w:color="000000"/>
              <w:left w:val="single" w:sz="4" w:space="0" w:color="000000"/>
              <w:bottom w:val="single" w:sz="8" w:space="0" w:color="000000"/>
              <w:right w:val="single" w:sz="4" w:space="0" w:color="000000"/>
            </w:tcBorders>
          </w:tcPr>
          <w:p>
            <w:pPr>
              <w:pStyle w:val="TableParagraph"/>
              <w:spacing w:line="205" w:lineRule="exact"/>
              <w:ind w:left="100" w:right="0"/>
              <w:jc w:val="left"/>
              <w:rPr>
                <w:rFonts w:ascii="Times New Roman" w:hAnsi="Times New Roman" w:cs="Times New Roman" w:eastAsia="Times New Roman" w:hint="default"/>
                <w:sz w:val="18"/>
                <w:szCs w:val="18"/>
              </w:rPr>
            </w:pPr>
            <w:r>
              <w:rPr>
                <w:rFonts w:ascii="Times New Roman" w:hAnsi="Times New Roman"/>
                <w:sz w:val="18"/>
              </w:rPr>
              <w:t>Текући</w:t>
            </w:r>
            <w:r>
              <w:rPr>
                <w:rFonts w:ascii="Times New Roman" w:hAnsi="Times New Roman"/>
                <w:spacing w:val="-3"/>
                <w:sz w:val="18"/>
              </w:rPr>
              <w:t> </w:t>
            </w:r>
            <w:r>
              <w:rPr>
                <w:rFonts w:ascii="Times New Roman" w:hAnsi="Times New Roman"/>
                <w:sz w:val="18"/>
              </w:rPr>
              <w:t>приходи</w:t>
            </w:r>
          </w:p>
        </w:tc>
        <w:tc>
          <w:tcPr>
            <w:tcW w:w="989" w:type="dxa"/>
            <w:tcBorders>
              <w:top w:val="single" w:sz="8" w:space="0" w:color="000000"/>
              <w:left w:val="single" w:sz="4" w:space="0" w:color="000000"/>
              <w:bottom w:val="single" w:sz="8"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spacing w:val="-1"/>
                <w:sz w:val="16"/>
              </w:rPr>
              <w:t>9.289.438</w:t>
            </w:r>
          </w:p>
        </w:tc>
        <w:tc>
          <w:tcPr>
            <w:tcW w:w="991" w:type="dxa"/>
            <w:tcBorders>
              <w:top w:val="single" w:sz="8" w:space="0" w:color="000000"/>
              <w:left w:val="single" w:sz="4" w:space="0" w:color="000000"/>
              <w:bottom w:val="single" w:sz="8" w:space="0" w:color="000000"/>
              <w:right w:val="single" w:sz="4" w:space="0" w:color="000000"/>
            </w:tcBorders>
          </w:tcPr>
          <w:p>
            <w:pPr>
              <w:pStyle w:val="TableParagraph"/>
              <w:spacing w:line="240" w:lineRule="auto" w:before="18"/>
              <w:ind w:right="103"/>
              <w:jc w:val="right"/>
              <w:rPr>
                <w:rFonts w:ascii="Times New Roman" w:hAnsi="Times New Roman" w:cs="Times New Roman" w:eastAsia="Times New Roman" w:hint="default"/>
                <w:sz w:val="16"/>
                <w:szCs w:val="16"/>
              </w:rPr>
            </w:pPr>
            <w:r>
              <w:rPr>
                <w:rFonts w:ascii="Times New Roman"/>
                <w:spacing w:val="-1"/>
                <w:sz w:val="16"/>
              </w:rPr>
              <w:t>6.613.410</w:t>
            </w:r>
          </w:p>
        </w:tc>
        <w:tc>
          <w:tcPr>
            <w:tcW w:w="989" w:type="dxa"/>
            <w:tcBorders>
              <w:top w:val="single" w:sz="8" w:space="0" w:color="000000"/>
              <w:left w:val="single" w:sz="4" w:space="0" w:color="000000"/>
              <w:bottom w:val="single" w:sz="8"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spacing w:val="-1"/>
                <w:sz w:val="16"/>
              </w:rPr>
              <w:t>7.030.829</w:t>
            </w:r>
          </w:p>
        </w:tc>
        <w:tc>
          <w:tcPr>
            <w:tcW w:w="900" w:type="dxa"/>
            <w:tcBorders>
              <w:top w:val="single" w:sz="8" w:space="0" w:color="000000"/>
              <w:left w:val="single" w:sz="4" w:space="0" w:color="000000"/>
              <w:bottom w:val="single" w:sz="8" w:space="0" w:color="000000"/>
              <w:right w:val="single" w:sz="4" w:space="0" w:color="000000"/>
            </w:tcBorders>
          </w:tcPr>
          <w:p>
            <w:pPr>
              <w:pStyle w:val="TableParagraph"/>
              <w:spacing w:line="240" w:lineRule="auto" w:before="6"/>
              <w:ind w:right="98"/>
              <w:jc w:val="right"/>
              <w:rPr>
                <w:rFonts w:ascii="Times New Roman" w:hAnsi="Times New Roman" w:cs="Times New Roman" w:eastAsia="Times New Roman" w:hint="default"/>
                <w:sz w:val="16"/>
                <w:szCs w:val="16"/>
              </w:rPr>
            </w:pPr>
            <w:r>
              <w:rPr>
                <w:rFonts w:ascii="Times New Roman"/>
                <w:sz w:val="16"/>
              </w:rPr>
              <w:t>71</w:t>
            </w:r>
          </w:p>
        </w:tc>
      </w:tr>
      <w:tr>
        <w:trPr>
          <w:trHeight w:val="226" w:hRule="exact"/>
        </w:trPr>
        <w:tc>
          <w:tcPr>
            <w:tcW w:w="631" w:type="dxa"/>
            <w:tcBorders>
              <w:top w:val="single" w:sz="8" w:space="0" w:color="000000"/>
              <w:left w:val="single" w:sz="4" w:space="0" w:color="000000"/>
              <w:bottom w:val="single" w:sz="8" w:space="0" w:color="000000"/>
              <w:right w:val="single" w:sz="4" w:space="0" w:color="000000"/>
            </w:tcBorders>
          </w:tcPr>
          <w:p>
            <w:pPr>
              <w:pStyle w:val="TableParagraph"/>
              <w:spacing w:line="240" w:lineRule="auto" w:before="18"/>
              <w:ind w:left="51" w:right="59"/>
              <w:jc w:val="center"/>
              <w:rPr>
                <w:rFonts w:ascii="Times New Roman" w:hAnsi="Times New Roman" w:cs="Times New Roman" w:eastAsia="Times New Roman" w:hint="default"/>
                <w:sz w:val="16"/>
                <w:szCs w:val="16"/>
              </w:rPr>
            </w:pPr>
            <w:r>
              <w:rPr>
                <w:rFonts w:ascii="Times New Roman"/>
                <w:sz w:val="16"/>
              </w:rPr>
              <w:t>711000</w:t>
            </w:r>
          </w:p>
        </w:tc>
        <w:tc>
          <w:tcPr>
            <w:tcW w:w="4952" w:type="dxa"/>
            <w:tcBorders>
              <w:top w:val="single" w:sz="8" w:space="0" w:color="000000"/>
              <w:left w:val="single" w:sz="4" w:space="0" w:color="000000"/>
              <w:bottom w:val="single" w:sz="8" w:space="0" w:color="000000"/>
              <w:right w:val="single" w:sz="4" w:space="0" w:color="000000"/>
            </w:tcBorders>
          </w:tcPr>
          <w:p>
            <w:pPr>
              <w:pStyle w:val="TableParagraph"/>
              <w:spacing w:line="202" w:lineRule="exact"/>
              <w:ind w:left="100" w:right="0"/>
              <w:jc w:val="left"/>
              <w:rPr>
                <w:rFonts w:ascii="Times New Roman" w:hAnsi="Times New Roman" w:cs="Times New Roman" w:eastAsia="Times New Roman" w:hint="default"/>
                <w:sz w:val="18"/>
                <w:szCs w:val="18"/>
              </w:rPr>
            </w:pPr>
            <w:r>
              <w:rPr>
                <w:rFonts w:ascii="Times New Roman" w:hAnsi="Times New Roman"/>
                <w:sz w:val="18"/>
              </w:rPr>
              <w:t>Порез на доходак, добит  и капиталне</w:t>
            </w:r>
            <w:r>
              <w:rPr>
                <w:rFonts w:ascii="Times New Roman" w:hAnsi="Times New Roman"/>
                <w:spacing w:val="-14"/>
                <w:sz w:val="18"/>
              </w:rPr>
              <w:t> </w:t>
            </w:r>
            <w:r>
              <w:rPr>
                <w:rFonts w:ascii="Times New Roman" w:hAnsi="Times New Roman"/>
                <w:sz w:val="18"/>
              </w:rPr>
              <w:t>добитке</w:t>
            </w:r>
          </w:p>
        </w:tc>
        <w:tc>
          <w:tcPr>
            <w:tcW w:w="989" w:type="dxa"/>
            <w:tcBorders>
              <w:top w:val="single" w:sz="8" w:space="0" w:color="000000"/>
              <w:left w:val="single" w:sz="4" w:space="0" w:color="000000"/>
              <w:bottom w:val="single" w:sz="8"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spacing w:val="-1"/>
                <w:sz w:val="16"/>
              </w:rPr>
              <w:t>5.386.863</w:t>
            </w:r>
          </w:p>
        </w:tc>
        <w:tc>
          <w:tcPr>
            <w:tcW w:w="991" w:type="dxa"/>
            <w:tcBorders>
              <w:top w:val="single" w:sz="8" w:space="0" w:color="000000"/>
              <w:left w:val="single" w:sz="4" w:space="0" w:color="000000"/>
              <w:bottom w:val="single" w:sz="8" w:space="0" w:color="000000"/>
              <w:right w:val="single" w:sz="4" w:space="0" w:color="000000"/>
            </w:tcBorders>
          </w:tcPr>
          <w:p>
            <w:pPr>
              <w:pStyle w:val="TableParagraph"/>
              <w:spacing w:line="240" w:lineRule="auto" w:before="18"/>
              <w:ind w:right="103"/>
              <w:jc w:val="right"/>
              <w:rPr>
                <w:rFonts w:ascii="Times New Roman" w:hAnsi="Times New Roman" w:cs="Times New Roman" w:eastAsia="Times New Roman" w:hint="default"/>
                <w:sz w:val="16"/>
                <w:szCs w:val="16"/>
              </w:rPr>
            </w:pPr>
            <w:r>
              <w:rPr>
                <w:rFonts w:ascii="Times New Roman"/>
                <w:spacing w:val="-1"/>
                <w:sz w:val="16"/>
              </w:rPr>
              <w:t>3.588.272</w:t>
            </w:r>
          </w:p>
        </w:tc>
        <w:tc>
          <w:tcPr>
            <w:tcW w:w="989" w:type="dxa"/>
            <w:tcBorders>
              <w:top w:val="single" w:sz="8" w:space="0" w:color="000000"/>
              <w:left w:val="single" w:sz="4" w:space="0" w:color="000000"/>
              <w:bottom w:val="single" w:sz="8"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spacing w:val="-1"/>
                <w:sz w:val="16"/>
              </w:rPr>
              <w:t>3.588.272</w:t>
            </w:r>
          </w:p>
        </w:tc>
        <w:tc>
          <w:tcPr>
            <w:tcW w:w="900" w:type="dxa"/>
            <w:tcBorders>
              <w:top w:val="single" w:sz="8" w:space="0" w:color="000000"/>
              <w:left w:val="single" w:sz="4" w:space="0" w:color="000000"/>
              <w:bottom w:val="single" w:sz="8" w:space="0" w:color="000000"/>
              <w:right w:val="single" w:sz="4" w:space="0" w:color="000000"/>
            </w:tcBorders>
          </w:tcPr>
          <w:p>
            <w:pPr>
              <w:pStyle w:val="TableParagraph"/>
              <w:spacing w:line="240" w:lineRule="auto" w:before="6"/>
              <w:ind w:right="98"/>
              <w:jc w:val="right"/>
              <w:rPr>
                <w:rFonts w:ascii="Times New Roman" w:hAnsi="Times New Roman" w:cs="Times New Roman" w:eastAsia="Times New Roman" w:hint="default"/>
                <w:sz w:val="16"/>
                <w:szCs w:val="16"/>
              </w:rPr>
            </w:pPr>
            <w:r>
              <w:rPr>
                <w:rFonts w:ascii="Times New Roman"/>
                <w:sz w:val="16"/>
              </w:rPr>
              <w:t>67</w:t>
            </w:r>
          </w:p>
        </w:tc>
      </w:tr>
      <w:tr>
        <w:trPr>
          <w:trHeight w:val="223" w:hRule="exact"/>
        </w:trPr>
        <w:tc>
          <w:tcPr>
            <w:tcW w:w="631" w:type="dxa"/>
            <w:tcBorders>
              <w:top w:val="single" w:sz="8" w:space="0" w:color="000000"/>
              <w:left w:val="single" w:sz="4" w:space="0" w:color="000000"/>
              <w:bottom w:val="single" w:sz="4" w:space="0" w:color="000000"/>
              <w:right w:val="single" w:sz="4" w:space="0" w:color="000000"/>
            </w:tcBorders>
          </w:tcPr>
          <w:p>
            <w:pPr>
              <w:pStyle w:val="TableParagraph"/>
              <w:spacing w:line="240" w:lineRule="auto" w:before="18"/>
              <w:ind w:left="51" w:right="59"/>
              <w:jc w:val="center"/>
              <w:rPr>
                <w:rFonts w:ascii="Times New Roman" w:hAnsi="Times New Roman" w:cs="Times New Roman" w:eastAsia="Times New Roman" w:hint="default"/>
                <w:sz w:val="16"/>
                <w:szCs w:val="16"/>
              </w:rPr>
            </w:pPr>
            <w:r>
              <w:rPr>
                <w:rFonts w:ascii="Times New Roman"/>
                <w:sz w:val="16"/>
              </w:rPr>
              <w:t>712000</w:t>
            </w:r>
          </w:p>
        </w:tc>
        <w:tc>
          <w:tcPr>
            <w:tcW w:w="4952" w:type="dxa"/>
            <w:tcBorders>
              <w:top w:val="single" w:sz="8" w:space="0" w:color="000000"/>
              <w:left w:val="single" w:sz="4" w:space="0" w:color="000000"/>
              <w:bottom w:val="single" w:sz="4" w:space="0" w:color="000000"/>
              <w:right w:val="single" w:sz="4" w:space="0" w:color="000000"/>
            </w:tcBorders>
          </w:tcPr>
          <w:p>
            <w:pPr>
              <w:pStyle w:val="TableParagraph"/>
              <w:spacing w:line="205" w:lineRule="exact"/>
              <w:ind w:left="100" w:right="0"/>
              <w:jc w:val="left"/>
              <w:rPr>
                <w:rFonts w:ascii="Times New Roman" w:hAnsi="Times New Roman" w:cs="Times New Roman" w:eastAsia="Times New Roman" w:hint="default"/>
                <w:sz w:val="18"/>
                <w:szCs w:val="18"/>
              </w:rPr>
            </w:pPr>
            <w:r>
              <w:rPr>
                <w:rFonts w:ascii="Times New Roman" w:hAnsi="Times New Roman"/>
                <w:sz w:val="18"/>
              </w:rPr>
              <w:t>Порез на фонд</w:t>
            </w:r>
            <w:r>
              <w:rPr>
                <w:rFonts w:ascii="Times New Roman" w:hAnsi="Times New Roman"/>
                <w:spacing w:val="-3"/>
                <w:sz w:val="18"/>
              </w:rPr>
              <w:t> </w:t>
            </w:r>
            <w:r>
              <w:rPr>
                <w:rFonts w:ascii="Times New Roman" w:hAnsi="Times New Roman"/>
                <w:sz w:val="18"/>
              </w:rPr>
              <w:t>зарада</w:t>
            </w:r>
          </w:p>
        </w:tc>
        <w:tc>
          <w:tcPr>
            <w:tcW w:w="989" w:type="dxa"/>
            <w:tcBorders>
              <w:top w:val="single" w:sz="8"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w w:val="100"/>
                <w:sz w:val="16"/>
              </w:rPr>
              <w:t>0</w:t>
            </w:r>
          </w:p>
        </w:tc>
        <w:tc>
          <w:tcPr>
            <w:tcW w:w="991" w:type="dxa"/>
            <w:tcBorders>
              <w:top w:val="single" w:sz="8"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spacing w:val="-1"/>
                <w:sz w:val="16"/>
              </w:rPr>
              <w:t>140</w:t>
            </w:r>
          </w:p>
        </w:tc>
        <w:tc>
          <w:tcPr>
            <w:tcW w:w="989" w:type="dxa"/>
            <w:tcBorders>
              <w:top w:val="single" w:sz="8"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spacing w:val="-1"/>
                <w:sz w:val="16"/>
              </w:rPr>
              <w:t>140</w:t>
            </w:r>
          </w:p>
        </w:tc>
        <w:tc>
          <w:tcPr>
            <w:tcW w:w="900" w:type="dxa"/>
            <w:tcBorders>
              <w:top w:val="single" w:sz="8" w:space="0" w:color="000000"/>
              <w:left w:val="single" w:sz="4" w:space="0" w:color="000000"/>
              <w:bottom w:val="single" w:sz="4" w:space="0" w:color="000000"/>
              <w:right w:val="single" w:sz="4" w:space="0" w:color="000000"/>
            </w:tcBorders>
          </w:tcPr>
          <w:p>
            <w:pPr>
              <w:pStyle w:val="TableParagraph"/>
              <w:spacing w:line="240" w:lineRule="auto" w:before="9"/>
              <w:ind w:right="100"/>
              <w:jc w:val="right"/>
              <w:rPr>
                <w:rFonts w:ascii="Times New Roman" w:hAnsi="Times New Roman" w:cs="Times New Roman" w:eastAsia="Times New Roman" w:hint="default"/>
                <w:sz w:val="16"/>
                <w:szCs w:val="16"/>
              </w:rPr>
            </w:pPr>
            <w:r>
              <w:rPr>
                <w:rFonts w:ascii="Times New Roman"/>
                <w:w w:val="100"/>
                <w:sz w:val="16"/>
              </w:rPr>
              <w:t>-</w:t>
            </w:r>
          </w:p>
        </w:tc>
      </w:tr>
      <w:tr>
        <w:trPr>
          <w:trHeight w:val="216" w:hRule="exact"/>
        </w:trPr>
        <w:tc>
          <w:tcPr>
            <w:tcW w:w="6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left="51" w:right="59"/>
              <w:jc w:val="center"/>
              <w:rPr>
                <w:rFonts w:ascii="Times New Roman" w:hAnsi="Times New Roman" w:cs="Times New Roman" w:eastAsia="Times New Roman" w:hint="default"/>
                <w:sz w:val="16"/>
                <w:szCs w:val="16"/>
              </w:rPr>
            </w:pPr>
            <w:r>
              <w:rPr>
                <w:rFonts w:ascii="Times New Roman"/>
                <w:sz w:val="16"/>
              </w:rPr>
              <w:t>713000</w:t>
            </w:r>
          </w:p>
        </w:tc>
        <w:tc>
          <w:tcPr>
            <w:tcW w:w="495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0" w:right="0"/>
              <w:jc w:val="left"/>
              <w:rPr>
                <w:rFonts w:ascii="Times New Roman" w:hAnsi="Times New Roman" w:cs="Times New Roman" w:eastAsia="Times New Roman" w:hint="default"/>
                <w:sz w:val="18"/>
                <w:szCs w:val="18"/>
              </w:rPr>
            </w:pPr>
            <w:r>
              <w:rPr>
                <w:rFonts w:ascii="Times New Roman" w:hAnsi="Times New Roman"/>
                <w:sz w:val="18"/>
              </w:rPr>
              <w:t>Порез на</w:t>
            </w:r>
            <w:r>
              <w:rPr>
                <w:rFonts w:ascii="Times New Roman" w:hAnsi="Times New Roman"/>
                <w:spacing w:val="-4"/>
                <w:sz w:val="18"/>
              </w:rPr>
              <w:t> </w:t>
            </w:r>
            <w:r>
              <w:rPr>
                <w:rFonts w:ascii="Times New Roman" w:hAnsi="Times New Roman"/>
                <w:sz w:val="18"/>
              </w:rPr>
              <w:t>имовину</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spacing w:val="-1"/>
                <w:sz w:val="16"/>
              </w:rPr>
              <w:t>1.327.200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spacing w:val="-1"/>
                <w:sz w:val="16"/>
              </w:rPr>
              <w:t>996.304</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spacing w:val="-1"/>
                <w:sz w:val="16"/>
              </w:rPr>
              <w:t>996.304</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right="98"/>
              <w:jc w:val="right"/>
              <w:rPr>
                <w:rFonts w:ascii="Times New Roman" w:hAnsi="Times New Roman" w:cs="Times New Roman" w:eastAsia="Times New Roman" w:hint="default"/>
                <w:sz w:val="16"/>
                <w:szCs w:val="16"/>
              </w:rPr>
            </w:pPr>
            <w:r>
              <w:rPr>
                <w:rFonts w:ascii="Times New Roman"/>
                <w:sz w:val="16"/>
              </w:rPr>
              <w:t>75</w:t>
            </w:r>
          </w:p>
        </w:tc>
      </w:tr>
      <w:tr>
        <w:trPr>
          <w:trHeight w:val="218" w:hRule="exact"/>
        </w:trPr>
        <w:tc>
          <w:tcPr>
            <w:tcW w:w="6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left="51" w:right="59"/>
              <w:jc w:val="center"/>
              <w:rPr>
                <w:rFonts w:ascii="Times New Roman" w:hAnsi="Times New Roman" w:cs="Times New Roman" w:eastAsia="Times New Roman" w:hint="default"/>
                <w:sz w:val="16"/>
                <w:szCs w:val="16"/>
              </w:rPr>
            </w:pPr>
            <w:r>
              <w:rPr>
                <w:rFonts w:ascii="Times New Roman"/>
                <w:sz w:val="16"/>
              </w:rPr>
              <w:t>714000</w:t>
            </w:r>
          </w:p>
        </w:tc>
        <w:tc>
          <w:tcPr>
            <w:tcW w:w="495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0" w:right="0"/>
              <w:jc w:val="left"/>
              <w:rPr>
                <w:rFonts w:ascii="Times New Roman" w:hAnsi="Times New Roman" w:cs="Times New Roman" w:eastAsia="Times New Roman" w:hint="default"/>
                <w:sz w:val="18"/>
                <w:szCs w:val="18"/>
              </w:rPr>
            </w:pPr>
            <w:r>
              <w:rPr>
                <w:rFonts w:ascii="Times New Roman" w:hAnsi="Times New Roman"/>
                <w:sz w:val="18"/>
              </w:rPr>
              <w:t>Порез на добра и</w:t>
            </w:r>
            <w:r>
              <w:rPr>
                <w:rFonts w:ascii="Times New Roman" w:hAnsi="Times New Roman"/>
                <w:spacing w:val="-9"/>
                <w:sz w:val="18"/>
              </w:rPr>
              <w:t> </w:t>
            </w:r>
            <w:r>
              <w:rPr>
                <w:rFonts w:ascii="Times New Roman" w:hAnsi="Times New Roman"/>
                <w:sz w:val="18"/>
              </w:rPr>
              <w:t>услуге</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spacing w:val="-1"/>
                <w:sz w:val="16"/>
              </w:rPr>
              <w:t>183.100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spacing w:val="-1"/>
                <w:sz w:val="16"/>
              </w:rPr>
              <w:t>176.274</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spacing w:val="-1"/>
                <w:sz w:val="16"/>
              </w:rPr>
              <w:t>176.546</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right="98"/>
              <w:jc w:val="right"/>
              <w:rPr>
                <w:rFonts w:ascii="Times New Roman" w:hAnsi="Times New Roman" w:cs="Times New Roman" w:eastAsia="Times New Roman" w:hint="default"/>
                <w:sz w:val="16"/>
                <w:szCs w:val="16"/>
              </w:rPr>
            </w:pPr>
            <w:r>
              <w:rPr>
                <w:rFonts w:ascii="Times New Roman"/>
                <w:sz w:val="16"/>
              </w:rPr>
              <w:t>96</w:t>
            </w:r>
          </w:p>
        </w:tc>
      </w:tr>
      <w:tr>
        <w:trPr>
          <w:trHeight w:val="216" w:hRule="exact"/>
        </w:trPr>
        <w:tc>
          <w:tcPr>
            <w:tcW w:w="6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51" w:right="59"/>
              <w:jc w:val="center"/>
              <w:rPr>
                <w:rFonts w:ascii="Times New Roman" w:hAnsi="Times New Roman" w:cs="Times New Roman" w:eastAsia="Times New Roman" w:hint="default"/>
                <w:sz w:val="16"/>
                <w:szCs w:val="16"/>
              </w:rPr>
            </w:pPr>
            <w:r>
              <w:rPr>
                <w:rFonts w:ascii="Times New Roman"/>
                <w:sz w:val="16"/>
              </w:rPr>
              <w:t>715000</w:t>
            </w:r>
          </w:p>
        </w:tc>
        <w:tc>
          <w:tcPr>
            <w:tcW w:w="4952"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00" w:right="0"/>
              <w:jc w:val="left"/>
              <w:rPr>
                <w:rFonts w:ascii="Times New Roman" w:hAnsi="Times New Roman" w:cs="Times New Roman" w:eastAsia="Times New Roman" w:hint="default"/>
                <w:sz w:val="18"/>
                <w:szCs w:val="18"/>
              </w:rPr>
            </w:pPr>
            <w:r>
              <w:rPr>
                <w:rFonts w:ascii="Times New Roman" w:hAnsi="Times New Roman"/>
                <w:sz w:val="18"/>
              </w:rPr>
              <w:t>Порез на међународну трговину и</w:t>
            </w:r>
            <w:r>
              <w:rPr>
                <w:rFonts w:ascii="Times New Roman" w:hAnsi="Times New Roman"/>
                <w:spacing w:val="-17"/>
                <w:sz w:val="18"/>
              </w:rPr>
              <w:t> </w:t>
            </w:r>
            <w:r>
              <w:rPr>
                <w:rFonts w:ascii="Times New Roman" w:hAnsi="Times New Roman"/>
                <w:sz w:val="18"/>
              </w:rPr>
              <w:t>трансакције</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1"/>
              <w:jc w:val="right"/>
              <w:rPr>
                <w:rFonts w:ascii="Times New Roman" w:hAnsi="Times New Roman" w:cs="Times New Roman" w:eastAsia="Times New Roman" w:hint="default"/>
                <w:sz w:val="16"/>
                <w:szCs w:val="16"/>
              </w:rPr>
            </w:pPr>
            <w:r>
              <w:rPr>
                <w:rFonts w:ascii="Times New Roman"/>
                <w:w w:val="100"/>
                <w:sz w:val="16"/>
              </w:rPr>
              <w:t>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6"/>
                <w:szCs w:val="16"/>
              </w:rPr>
            </w:pPr>
            <w:r>
              <w:rPr>
                <w:rFonts w:ascii="Times New Roman"/>
                <w:w w:val="100"/>
                <w:sz w:val="16"/>
              </w:rPr>
              <w:t>0</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6"/>
                <w:szCs w:val="16"/>
              </w:rPr>
            </w:pPr>
            <w:r>
              <w:rPr>
                <w:rFonts w:ascii="Times New Roman"/>
                <w:spacing w:val="-1"/>
                <w:sz w:val="16"/>
              </w:rPr>
              <w:t>256</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100"/>
              <w:jc w:val="right"/>
              <w:rPr>
                <w:rFonts w:ascii="Times New Roman" w:hAnsi="Times New Roman" w:cs="Times New Roman" w:eastAsia="Times New Roman" w:hint="default"/>
                <w:sz w:val="16"/>
                <w:szCs w:val="16"/>
              </w:rPr>
            </w:pPr>
            <w:r>
              <w:rPr>
                <w:rFonts w:ascii="Times New Roman"/>
                <w:w w:val="100"/>
                <w:sz w:val="16"/>
              </w:rPr>
              <w:t>-</w:t>
            </w:r>
          </w:p>
        </w:tc>
      </w:tr>
      <w:tr>
        <w:trPr>
          <w:trHeight w:val="218" w:hRule="exact"/>
        </w:trPr>
        <w:tc>
          <w:tcPr>
            <w:tcW w:w="6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left="51" w:right="59"/>
              <w:jc w:val="center"/>
              <w:rPr>
                <w:rFonts w:ascii="Times New Roman" w:hAnsi="Times New Roman" w:cs="Times New Roman" w:eastAsia="Times New Roman" w:hint="default"/>
                <w:sz w:val="16"/>
                <w:szCs w:val="16"/>
              </w:rPr>
            </w:pPr>
            <w:r>
              <w:rPr>
                <w:rFonts w:ascii="Times New Roman"/>
                <w:sz w:val="16"/>
              </w:rPr>
              <w:t>716000</w:t>
            </w:r>
          </w:p>
        </w:tc>
        <w:tc>
          <w:tcPr>
            <w:tcW w:w="495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0" w:right="0"/>
              <w:jc w:val="left"/>
              <w:rPr>
                <w:rFonts w:ascii="Times New Roman" w:hAnsi="Times New Roman" w:cs="Times New Roman" w:eastAsia="Times New Roman" w:hint="default"/>
                <w:sz w:val="18"/>
                <w:szCs w:val="18"/>
              </w:rPr>
            </w:pPr>
            <w:r>
              <w:rPr>
                <w:rFonts w:ascii="Times New Roman" w:hAnsi="Times New Roman"/>
                <w:sz w:val="18"/>
              </w:rPr>
              <w:t>Други</w:t>
            </w:r>
            <w:r>
              <w:rPr>
                <w:rFonts w:ascii="Times New Roman" w:hAnsi="Times New Roman"/>
                <w:spacing w:val="-4"/>
                <w:sz w:val="18"/>
              </w:rPr>
              <w:t> </w:t>
            </w:r>
            <w:r>
              <w:rPr>
                <w:rFonts w:ascii="Times New Roman" w:hAnsi="Times New Roman"/>
                <w:sz w:val="18"/>
              </w:rPr>
              <w:t>порези</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spacing w:val="-1"/>
                <w:sz w:val="16"/>
              </w:rPr>
              <w:t>87.000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spacing w:val="-1"/>
                <w:sz w:val="16"/>
              </w:rPr>
              <w:t>63.275</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spacing w:val="-1"/>
                <w:sz w:val="16"/>
              </w:rPr>
              <w:t>63.275</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right="98"/>
              <w:jc w:val="right"/>
              <w:rPr>
                <w:rFonts w:ascii="Times New Roman" w:hAnsi="Times New Roman" w:cs="Times New Roman" w:eastAsia="Times New Roman" w:hint="default"/>
                <w:sz w:val="16"/>
                <w:szCs w:val="16"/>
              </w:rPr>
            </w:pPr>
            <w:r>
              <w:rPr>
                <w:rFonts w:ascii="Times New Roman"/>
                <w:sz w:val="16"/>
              </w:rPr>
              <w:t>73</w:t>
            </w:r>
          </w:p>
        </w:tc>
      </w:tr>
      <w:tr>
        <w:trPr>
          <w:trHeight w:val="216" w:hRule="exact"/>
        </w:trPr>
        <w:tc>
          <w:tcPr>
            <w:tcW w:w="6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51" w:right="59"/>
              <w:jc w:val="center"/>
              <w:rPr>
                <w:rFonts w:ascii="Times New Roman" w:hAnsi="Times New Roman" w:cs="Times New Roman" w:eastAsia="Times New Roman" w:hint="default"/>
                <w:sz w:val="16"/>
                <w:szCs w:val="16"/>
              </w:rPr>
            </w:pPr>
            <w:r>
              <w:rPr>
                <w:rFonts w:ascii="Times New Roman"/>
                <w:sz w:val="16"/>
              </w:rPr>
              <w:t>731000</w:t>
            </w:r>
          </w:p>
        </w:tc>
        <w:tc>
          <w:tcPr>
            <w:tcW w:w="495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0" w:right="0"/>
              <w:jc w:val="left"/>
              <w:rPr>
                <w:rFonts w:ascii="Times New Roman" w:hAnsi="Times New Roman" w:cs="Times New Roman" w:eastAsia="Times New Roman" w:hint="default"/>
                <w:sz w:val="18"/>
                <w:szCs w:val="18"/>
              </w:rPr>
            </w:pPr>
            <w:r>
              <w:rPr>
                <w:rFonts w:ascii="Times New Roman" w:hAnsi="Times New Roman"/>
                <w:sz w:val="18"/>
              </w:rPr>
              <w:t>Донације од иностраних</w:t>
            </w:r>
            <w:r>
              <w:rPr>
                <w:rFonts w:ascii="Times New Roman" w:hAnsi="Times New Roman"/>
                <w:spacing w:val="-7"/>
                <w:sz w:val="18"/>
              </w:rPr>
              <w:t> </w:t>
            </w:r>
            <w:r>
              <w:rPr>
                <w:rFonts w:ascii="Times New Roman" w:hAnsi="Times New Roman"/>
                <w:sz w:val="18"/>
              </w:rPr>
              <w:t>држава</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w w:val="100"/>
                <w:sz w:val="16"/>
              </w:rPr>
              <w:t>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w w:val="100"/>
                <w:sz w:val="16"/>
              </w:rPr>
              <w:t>0</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139</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right="100"/>
              <w:jc w:val="right"/>
              <w:rPr>
                <w:rFonts w:ascii="Times New Roman" w:hAnsi="Times New Roman" w:cs="Times New Roman" w:eastAsia="Times New Roman" w:hint="default"/>
                <w:sz w:val="16"/>
                <w:szCs w:val="16"/>
              </w:rPr>
            </w:pPr>
            <w:r>
              <w:rPr>
                <w:rFonts w:ascii="Times New Roman"/>
                <w:w w:val="100"/>
                <w:sz w:val="16"/>
              </w:rPr>
              <w:t>-</w:t>
            </w:r>
          </w:p>
        </w:tc>
      </w:tr>
      <w:tr>
        <w:trPr>
          <w:trHeight w:val="218" w:hRule="exact"/>
        </w:trPr>
        <w:tc>
          <w:tcPr>
            <w:tcW w:w="6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left="51" w:right="59"/>
              <w:jc w:val="center"/>
              <w:rPr>
                <w:rFonts w:ascii="Times New Roman" w:hAnsi="Times New Roman" w:cs="Times New Roman" w:eastAsia="Times New Roman" w:hint="default"/>
                <w:sz w:val="16"/>
                <w:szCs w:val="16"/>
              </w:rPr>
            </w:pPr>
            <w:r>
              <w:rPr>
                <w:rFonts w:ascii="Times New Roman"/>
                <w:sz w:val="16"/>
              </w:rPr>
              <w:t>732000</w:t>
            </w:r>
          </w:p>
        </w:tc>
        <w:tc>
          <w:tcPr>
            <w:tcW w:w="495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0" w:right="0"/>
              <w:jc w:val="left"/>
              <w:rPr>
                <w:rFonts w:ascii="Times New Roman" w:hAnsi="Times New Roman" w:cs="Times New Roman" w:eastAsia="Times New Roman" w:hint="default"/>
                <w:sz w:val="18"/>
                <w:szCs w:val="18"/>
              </w:rPr>
            </w:pPr>
            <w:r>
              <w:rPr>
                <w:rFonts w:ascii="Times New Roman" w:hAnsi="Times New Roman"/>
                <w:sz w:val="18"/>
              </w:rPr>
              <w:t>Донације од међународних</w:t>
            </w:r>
            <w:r>
              <w:rPr>
                <w:rFonts w:ascii="Times New Roman" w:hAnsi="Times New Roman"/>
                <w:spacing w:val="-13"/>
                <w:sz w:val="18"/>
              </w:rPr>
              <w:t> </w:t>
            </w:r>
            <w:r>
              <w:rPr>
                <w:rFonts w:ascii="Times New Roman" w:hAnsi="Times New Roman"/>
                <w:sz w:val="18"/>
              </w:rPr>
              <w:t>организација</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spacing w:val="-1"/>
                <w:sz w:val="16"/>
              </w:rPr>
              <w:t>19.000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w w:val="100"/>
                <w:sz w:val="16"/>
              </w:rPr>
              <w:t>0</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spacing w:val="-1"/>
                <w:sz w:val="16"/>
              </w:rPr>
              <w:t>10.238</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right="101"/>
              <w:jc w:val="right"/>
              <w:rPr>
                <w:rFonts w:ascii="Times New Roman" w:hAnsi="Times New Roman" w:cs="Times New Roman" w:eastAsia="Times New Roman" w:hint="default"/>
                <w:sz w:val="16"/>
                <w:szCs w:val="16"/>
              </w:rPr>
            </w:pPr>
            <w:r>
              <w:rPr>
                <w:rFonts w:ascii="Times New Roman"/>
                <w:w w:val="100"/>
                <w:sz w:val="16"/>
              </w:rPr>
              <w:t>0</w:t>
            </w:r>
          </w:p>
        </w:tc>
      </w:tr>
    </w:tbl>
    <w:p>
      <w:pPr>
        <w:spacing w:after="0" w:line="240" w:lineRule="auto"/>
        <w:jc w:val="right"/>
        <w:rPr>
          <w:rFonts w:ascii="Times New Roman" w:hAnsi="Times New Roman" w:cs="Times New Roman" w:eastAsia="Times New Roman" w:hint="default"/>
          <w:sz w:val="16"/>
          <w:szCs w:val="16"/>
        </w:rPr>
        <w:sectPr>
          <w:pgSz w:w="12240" w:h="15840"/>
          <w:pgMar w:header="740" w:footer="1274" w:top="1280" w:bottom="1460" w:left="1400" w:right="1100"/>
        </w:sectPr>
      </w:pPr>
    </w:p>
    <w:p>
      <w:pPr>
        <w:spacing w:line="240" w:lineRule="auto" w:before="3"/>
        <w:rPr>
          <w:rFonts w:ascii="Times New Roman" w:hAnsi="Times New Roman" w:cs="Times New Roman" w:eastAsia="Times New Roman" w:hint="default"/>
          <w:sz w:val="11"/>
          <w:szCs w:val="11"/>
        </w:rPr>
      </w:pPr>
    </w:p>
    <w:tbl>
      <w:tblPr>
        <w:tblW w:w="0" w:type="auto"/>
        <w:jc w:val="left"/>
        <w:tblInd w:w="155" w:type="dxa"/>
        <w:tblLayout w:type="fixed"/>
        <w:tblCellMar>
          <w:top w:w="0" w:type="dxa"/>
          <w:left w:w="0" w:type="dxa"/>
          <w:bottom w:w="0" w:type="dxa"/>
          <w:right w:w="0" w:type="dxa"/>
        </w:tblCellMar>
        <w:tblLook w:val="01E0"/>
      </w:tblPr>
      <w:tblGrid>
        <w:gridCol w:w="631"/>
        <w:gridCol w:w="4952"/>
        <w:gridCol w:w="989"/>
        <w:gridCol w:w="991"/>
        <w:gridCol w:w="989"/>
        <w:gridCol w:w="900"/>
      </w:tblGrid>
      <w:tr>
        <w:trPr>
          <w:trHeight w:val="216" w:hRule="exact"/>
        </w:trPr>
        <w:tc>
          <w:tcPr>
            <w:tcW w:w="6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64" w:right="19"/>
              <w:jc w:val="left"/>
              <w:rPr>
                <w:rFonts w:ascii="Times New Roman" w:hAnsi="Times New Roman" w:cs="Times New Roman" w:eastAsia="Times New Roman" w:hint="default"/>
                <w:sz w:val="16"/>
                <w:szCs w:val="16"/>
              </w:rPr>
            </w:pPr>
            <w:r>
              <w:rPr>
                <w:rFonts w:ascii="Times New Roman"/>
                <w:sz w:val="16"/>
              </w:rPr>
              <w:t>733000</w:t>
            </w:r>
          </w:p>
        </w:tc>
        <w:tc>
          <w:tcPr>
            <w:tcW w:w="4952"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00" w:right="0"/>
              <w:jc w:val="left"/>
              <w:rPr>
                <w:rFonts w:ascii="Times New Roman" w:hAnsi="Times New Roman" w:cs="Times New Roman" w:eastAsia="Times New Roman" w:hint="default"/>
                <w:sz w:val="18"/>
                <w:szCs w:val="18"/>
              </w:rPr>
            </w:pPr>
            <w:r>
              <w:rPr>
                <w:rFonts w:ascii="Times New Roman" w:hAnsi="Times New Roman"/>
                <w:sz w:val="18"/>
              </w:rPr>
              <w:t>Трансфери од других нивоа</w:t>
            </w:r>
            <w:r>
              <w:rPr>
                <w:rFonts w:ascii="Times New Roman" w:hAnsi="Times New Roman"/>
                <w:spacing w:val="-12"/>
                <w:sz w:val="18"/>
              </w:rPr>
              <w:t> </w:t>
            </w:r>
            <w:r>
              <w:rPr>
                <w:rFonts w:ascii="Times New Roman" w:hAnsi="Times New Roman"/>
                <w:sz w:val="18"/>
              </w:rPr>
              <w:t>власти</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1"/>
              <w:jc w:val="right"/>
              <w:rPr>
                <w:rFonts w:ascii="Times New Roman" w:hAnsi="Times New Roman" w:cs="Times New Roman" w:eastAsia="Times New Roman" w:hint="default"/>
                <w:sz w:val="16"/>
                <w:szCs w:val="16"/>
              </w:rPr>
            </w:pPr>
            <w:r>
              <w:rPr>
                <w:rFonts w:ascii="Times New Roman"/>
                <w:spacing w:val="-1"/>
                <w:sz w:val="16"/>
              </w:rPr>
              <w:t>684.866</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6"/>
                <w:szCs w:val="16"/>
              </w:rPr>
            </w:pPr>
            <w:r>
              <w:rPr>
                <w:rFonts w:ascii="Times New Roman"/>
                <w:spacing w:val="-1"/>
                <w:sz w:val="16"/>
              </w:rPr>
              <w:t>900.990</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6"/>
                <w:szCs w:val="16"/>
              </w:rPr>
            </w:pPr>
            <w:r>
              <w:rPr>
                <w:rFonts w:ascii="Times New Roman"/>
                <w:spacing w:val="-1"/>
                <w:sz w:val="16"/>
              </w:rPr>
              <w:t>900.990</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100"/>
              <w:jc w:val="right"/>
              <w:rPr>
                <w:rFonts w:ascii="Times New Roman" w:hAnsi="Times New Roman" w:cs="Times New Roman" w:eastAsia="Times New Roman" w:hint="default"/>
                <w:sz w:val="16"/>
                <w:szCs w:val="16"/>
              </w:rPr>
            </w:pPr>
            <w:r>
              <w:rPr>
                <w:rFonts w:ascii="Times New Roman"/>
                <w:spacing w:val="-1"/>
                <w:sz w:val="16"/>
              </w:rPr>
              <w:t>132</w:t>
            </w:r>
          </w:p>
        </w:tc>
      </w:tr>
      <w:tr>
        <w:trPr>
          <w:trHeight w:val="218" w:hRule="exact"/>
        </w:trPr>
        <w:tc>
          <w:tcPr>
            <w:tcW w:w="6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left="64" w:right="19"/>
              <w:jc w:val="left"/>
              <w:rPr>
                <w:rFonts w:ascii="Times New Roman" w:hAnsi="Times New Roman" w:cs="Times New Roman" w:eastAsia="Times New Roman" w:hint="default"/>
                <w:sz w:val="16"/>
                <w:szCs w:val="16"/>
              </w:rPr>
            </w:pPr>
            <w:r>
              <w:rPr>
                <w:rFonts w:ascii="Times New Roman"/>
                <w:sz w:val="16"/>
              </w:rPr>
              <w:t>741000</w:t>
            </w:r>
          </w:p>
        </w:tc>
        <w:tc>
          <w:tcPr>
            <w:tcW w:w="495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0" w:right="0"/>
              <w:jc w:val="left"/>
              <w:rPr>
                <w:rFonts w:ascii="Times New Roman" w:hAnsi="Times New Roman" w:cs="Times New Roman" w:eastAsia="Times New Roman" w:hint="default"/>
                <w:sz w:val="18"/>
                <w:szCs w:val="18"/>
              </w:rPr>
            </w:pPr>
            <w:r>
              <w:rPr>
                <w:rFonts w:ascii="Times New Roman" w:hAnsi="Times New Roman"/>
                <w:sz w:val="18"/>
              </w:rPr>
              <w:t>Приходи од</w:t>
            </w:r>
            <w:r>
              <w:rPr>
                <w:rFonts w:ascii="Times New Roman" w:hAnsi="Times New Roman"/>
                <w:spacing w:val="-5"/>
                <w:sz w:val="18"/>
              </w:rPr>
              <w:t> </w:t>
            </w:r>
            <w:r>
              <w:rPr>
                <w:rFonts w:ascii="Times New Roman" w:hAnsi="Times New Roman"/>
                <w:sz w:val="18"/>
              </w:rPr>
              <w:t>имовине</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spacing w:val="-1"/>
                <w:sz w:val="16"/>
              </w:rPr>
              <w:t>184.404</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spacing w:val="-1"/>
                <w:sz w:val="16"/>
              </w:rPr>
              <w:t>171.386</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spacing w:val="-1"/>
                <w:sz w:val="16"/>
              </w:rPr>
              <w:t>171.402</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right="98"/>
              <w:jc w:val="right"/>
              <w:rPr>
                <w:rFonts w:ascii="Times New Roman" w:hAnsi="Times New Roman" w:cs="Times New Roman" w:eastAsia="Times New Roman" w:hint="default"/>
                <w:sz w:val="16"/>
                <w:szCs w:val="16"/>
              </w:rPr>
            </w:pPr>
            <w:r>
              <w:rPr>
                <w:rFonts w:ascii="Times New Roman"/>
                <w:sz w:val="16"/>
              </w:rPr>
              <w:t>93</w:t>
            </w:r>
          </w:p>
        </w:tc>
      </w:tr>
      <w:tr>
        <w:trPr>
          <w:trHeight w:val="216" w:hRule="exact"/>
        </w:trPr>
        <w:tc>
          <w:tcPr>
            <w:tcW w:w="6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64" w:right="19"/>
              <w:jc w:val="left"/>
              <w:rPr>
                <w:rFonts w:ascii="Times New Roman" w:hAnsi="Times New Roman" w:cs="Times New Roman" w:eastAsia="Times New Roman" w:hint="default"/>
                <w:sz w:val="16"/>
                <w:szCs w:val="16"/>
              </w:rPr>
            </w:pPr>
            <w:r>
              <w:rPr>
                <w:rFonts w:ascii="Times New Roman"/>
                <w:sz w:val="16"/>
              </w:rPr>
              <w:t>742000</w:t>
            </w:r>
          </w:p>
        </w:tc>
        <w:tc>
          <w:tcPr>
            <w:tcW w:w="495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0" w:right="0"/>
              <w:jc w:val="left"/>
              <w:rPr>
                <w:rFonts w:ascii="Times New Roman" w:hAnsi="Times New Roman" w:cs="Times New Roman" w:eastAsia="Times New Roman" w:hint="default"/>
                <w:sz w:val="18"/>
                <w:szCs w:val="18"/>
              </w:rPr>
            </w:pPr>
            <w:r>
              <w:rPr>
                <w:rFonts w:ascii="Times New Roman" w:hAnsi="Times New Roman"/>
                <w:sz w:val="18"/>
              </w:rPr>
              <w:t>Приходи од продаје добара и</w:t>
            </w:r>
            <w:r>
              <w:rPr>
                <w:rFonts w:ascii="Times New Roman" w:hAnsi="Times New Roman"/>
                <w:spacing w:val="-11"/>
                <w:sz w:val="18"/>
              </w:rPr>
              <w:t> </w:t>
            </w:r>
            <w:r>
              <w:rPr>
                <w:rFonts w:ascii="Times New Roman" w:hAnsi="Times New Roman"/>
                <w:sz w:val="18"/>
              </w:rPr>
              <w:t>услуга</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spacing w:val="-1"/>
                <w:sz w:val="16"/>
              </w:rPr>
              <w:t>1.116.426</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529.389</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849.192</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right="98"/>
              <w:jc w:val="right"/>
              <w:rPr>
                <w:rFonts w:ascii="Times New Roman" w:hAnsi="Times New Roman" w:cs="Times New Roman" w:eastAsia="Times New Roman" w:hint="default"/>
                <w:sz w:val="16"/>
                <w:szCs w:val="16"/>
              </w:rPr>
            </w:pPr>
            <w:r>
              <w:rPr>
                <w:rFonts w:ascii="Times New Roman"/>
                <w:sz w:val="16"/>
              </w:rPr>
              <w:t>47</w:t>
            </w:r>
          </w:p>
        </w:tc>
      </w:tr>
      <w:tr>
        <w:trPr>
          <w:trHeight w:val="216" w:hRule="exact"/>
        </w:trPr>
        <w:tc>
          <w:tcPr>
            <w:tcW w:w="6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left="64" w:right="19"/>
              <w:jc w:val="left"/>
              <w:rPr>
                <w:rFonts w:ascii="Times New Roman" w:hAnsi="Times New Roman" w:cs="Times New Roman" w:eastAsia="Times New Roman" w:hint="default"/>
                <w:sz w:val="16"/>
                <w:szCs w:val="16"/>
              </w:rPr>
            </w:pPr>
            <w:r>
              <w:rPr>
                <w:rFonts w:ascii="Times New Roman"/>
                <w:sz w:val="16"/>
              </w:rPr>
              <w:t>743000</w:t>
            </w:r>
          </w:p>
        </w:tc>
        <w:tc>
          <w:tcPr>
            <w:tcW w:w="495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0" w:right="0"/>
              <w:jc w:val="left"/>
              <w:rPr>
                <w:rFonts w:ascii="Times New Roman" w:hAnsi="Times New Roman" w:cs="Times New Roman" w:eastAsia="Times New Roman" w:hint="default"/>
                <w:sz w:val="18"/>
                <w:szCs w:val="18"/>
              </w:rPr>
            </w:pPr>
            <w:r>
              <w:rPr>
                <w:rFonts w:ascii="Times New Roman" w:hAnsi="Times New Roman"/>
                <w:sz w:val="18"/>
              </w:rPr>
              <w:t>Новчане казне и одузета имовинска</w:t>
            </w:r>
            <w:r>
              <w:rPr>
                <w:rFonts w:ascii="Times New Roman" w:hAnsi="Times New Roman"/>
                <w:spacing w:val="-18"/>
                <w:sz w:val="18"/>
              </w:rPr>
              <w:t> </w:t>
            </w:r>
            <w:r>
              <w:rPr>
                <w:rFonts w:ascii="Times New Roman" w:hAnsi="Times New Roman"/>
                <w:sz w:val="18"/>
              </w:rPr>
              <w:t>корист</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spacing w:val="-1"/>
                <w:sz w:val="16"/>
              </w:rPr>
              <w:t>47.200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spacing w:val="-1"/>
                <w:sz w:val="16"/>
              </w:rPr>
              <w:t>46.994</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spacing w:val="-1"/>
                <w:sz w:val="16"/>
              </w:rPr>
              <w:t>49.210</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right="100"/>
              <w:jc w:val="right"/>
              <w:rPr>
                <w:rFonts w:ascii="Times New Roman" w:hAnsi="Times New Roman" w:cs="Times New Roman" w:eastAsia="Times New Roman" w:hint="default"/>
                <w:sz w:val="16"/>
                <w:szCs w:val="16"/>
              </w:rPr>
            </w:pPr>
            <w:r>
              <w:rPr>
                <w:rFonts w:ascii="Times New Roman"/>
                <w:spacing w:val="-1"/>
                <w:sz w:val="16"/>
              </w:rPr>
              <w:t>100</w:t>
            </w:r>
          </w:p>
        </w:tc>
      </w:tr>
      <w:tr>
        <w:trPr>
          <w:trHeight w:val="218" w:hRule="exact"/>
        </w:trPr>
        <w:tc>
          <w:tcPr>
            <w:tcW w:w="6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left="64" w:right="19"/>
              <w:jc w:val="left"/>
              <w:rPr>
                <w:rFonts w:ascii="Times New Roman" w:hAnsi="Times New Roman" w:cs="Times New Roman" w:eastAsia="Times New Roman" w:hint="default"/>
                <w:sz w:val="16"/>
                <w:szCs w:val="16"/>
              </w:rPr>
            </w:pPr>
            <w:r>
              <w:rPr>
                <w:rFonts w:ascii="Times New Roman"/>
                <w:sz w:val="16"/>
              </w:rPr>
              <w:t>744000</w:t>
            </w:r>
          </w:p>
        </w:tc>
        <w:tc>
          <w:tcPr>
            <w:tcW w:w="495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0" w:right="0"/>
              <w:jc w:val="left"/>
              <w:rPr>
                <w:rFonts w:ascii="Times New Roman" w:hAnsi="Times New Roman" w:cs="Times New Roman" w:eastAsia="Times New Roman" w:hint="default"/>
                <w:sz w:val="18"/>
                <w:szCs w:val="18"/>
              </w:rPr>
            </w:pPr>
            <w:r>
              <w:rPr>
                <w:rFonts w:ascii="Times New Roman" w:hAnsi="Times New Roman"/>
                <w:sz w:val="18"/>
              </w:rPr>
              <w:t>Добровољни трансфери од физичких и правних</w:t>
            </w:r>
            <w:r>
              <w:rPr>
                <w:rFonts w:ascii="Times New Roman" w:hAnsi="Times New Roman"/>
                <w:spacing w:val="-20"/>
                <w:sz w:val="18"/>
              </w:rPr>
              <w:t> </w:t>
            </w:r>
            <w:r>
              <w:rPr>
                <w:rFonts w:ascii="Times New Roman" w:hAnsi="Times New Roman"/>
                <w:sz w:val="18"/>
              </w:rPr>
              <w:t>лица</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spacing w:val="-1"/>
                <w:sz w:val="16"/>
              </w:rPr>
              <w:t>9.000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spacing w:val="-1"/>
                <w:sz w:val="16"/>
              </w:rPr>
              <w:t>9.089</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spacing w:val="-1"/>
                <w:sz w:val="16"/>
              </w:rPr>
              <w:t>14.875</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right="100"/>
              <w:jc w:val="right"/>
              <w:rPr>
                <w:rFonts w:ascii="Times New Roman" w:hAnsi="Times New Roman" w:cs="Times New Roman" w:eastAsia="Times New Roman" w:hint="default"/>
                <w:sz w:val="16"/>
                <w:szCs w:val="16"/>
              </w:rPr>
            </w:pPr>
            <w:r>
              <w:rPr>
                <w:rFonts w:ascii="Times New Roman"/>
                <w:spacing w:val="-1"/>
                <w:sz w:val="16"/>
              </w:rPr>
              <w:t>101</w:t>
            </w:r>
          </w:p>
        </w:tc>
      </w:tr>
      <w:tr>
        <w:trPr>
          <w:trHeight w:val="216" w:hRule="exact"/>
        </w:trPr>
        <w:tc>
          <w:tcPr>
            <w:tcW w:w="6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left="64" w:right="19"/>
              <w:jc w:val="left"/>
              <w:rPr>
                <w:rFonts w:ascii="Times New Roman" w:hAnsi="Times New Roman" w:cs="Times New Roman" w:eastAsia="Times New Roman" w:hint="default"/>
                <w:sz w:val="16"/>
                <w:szCs w:val="16"/>
              </w:rPr>
            </w:pPr>
            <w:r>
              <w:rPr>
                <w:rFonts w:ascii="Times New Roman"/>
                <w:sz w:val="16"/>
              </w:rPr>
              <w:t>745000</w:t>
            </w:r>
          </w:p>
        </w:tc>
        <w:tc>
          <w:tcPr>
            <w:tcW w:w="495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0" w:right="0"/>
              <w:jc w:val="left"/>
              <w:rPr>
                <w:rFonts w:ascii="Times New Roman" w:hAnsi="Times New Roman" w:cs="Times New Roman" w:eastAsia="Times New Roman" w:hint="default"/>
                <w:sz w:val="18"/>
                <w:szCs w:val="18"/>
              </w:rPr>
            </w:pPr>
            <w:r>
              <w:rPr>
                <w:rFonts w:ascii="Times New Roman" w:hAnsi="Times New Roman"/>
                <w:sz w:val="18"/>
              </w:rPr>
              <w:t>Мешовити и неодрђени</w:t>
            </w:r>
            <w:r>
              <w:rPr>
                <w:rFonts w:ascii="Times New Roman" w:hAnsi="Times New Roman"/>
                <w:spacing w:val="-9"/>
                <w:sz w:val="18"/>
              </w:rPr>
              <w:t> </w:t>
            </w:r>
            <w:r>
              <w:rPr>
                <w:rFonts w:ascii="Times New Roman" w:hAnsi="Times New Roman"/>
                <w:sz w:val="18"/>
              </w:rPr>
              <w:t>приходи</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spacing w:val="-1"/>
                <w:sz w:val="16"/>
              </w:rPr>
              <w:t>244.379</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spacing w:val="-1"/>
                <w:sz w:val="16"/>
              </w:rPr>
              <w:t>131.297</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spacing w:val="-1"/>
                <w:sz w:val="16"/>
              </w:rPr>
              <w:t>143.451</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right="98"/>
              <w:jc w:val="right"/>
              <w:rPr>
                <w:rFonts w:ascii="Times New Roman" w:hAnsi="Times New Roman" w:cs="Times New Roman" w:eastAsia="Times New Roman" w:hint="default"/>
                <w:sz w:val="16"/>
                <w:szCs w:val="16"/>
              </w:rPr>
            </w:pPr>
            <w:r>
              <w:rPr>
                <w:rFonts w:ascii="Times New Roman"/>
                <w:sz w:val="16"/>
              </w:rPr>
              <w:t>54</w:t>
            </w:r>
          </w:p>
        </w:tc>
      </w:tr>
      <w:tr>
        <w:trPr>
          <w:trHeight w:val="218" w:hRule="exact"/>
        </w:trPr>
        <w:tc>
          <w:tcPr>
            <w:tcW w:w="6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left="64" w:right="19"/>
              <w:jc w:val="left"/>
              <w:rPr>
                <w:rFonts w:ascii="Times New Roman" w:hAnsi="Times New Roman" w:cs="Times New Roman" w:eastAsia="Times New Roman" w:hint="default"/>
                <w:sz w:val="16"/>
                <w:szCs w:val="16"/>
              </w:rPr>
            </w:pPr>
            <w:r>
              <w:rPr>
                <w:rFonts w:ascii="Times New Roman"/>
                <w:sz w:val="16"/>
              </w:rPr>
              <w:t>771000</w:t>
            </w:r>
          </w:p>
        </w:tc>
        <w:tc>
          <w:tcPr>
            <w:tcW w:w="495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0" w:right="0"/>
              <w:jc w:val="left"/>
              <w:rPr>
                <w:rFonts w:ascii="Times New Roman" w:hAnsi="Times New Roman" w:cs="Times New Roman" w:eastAsia="Times New Roman" w:hint="default"/>
                <w:sz w:val="18"/>
                <w:szCs w:val="18"/>
              </w:rPr>
            </w:pPr>
            <w:r>
              <w:rPr>
                <w:rFonts w:ascii="Times New Roman" w:hAnsi="Times New Roman"/>
                <w:sz w:val="18"/>
              </w:rPr>
              <w:t>Меморан</w:t>
            </w:r>
            <w:r>
              <w:rPr>
                <w:rFonts w:ascii="Times New Roman" w:hAnsi="Times New Roman"/>
                <w:sz w:val="18"/>
              </w:rPr>
              <w:t>. </w:t>
            </w:r>
            <w:r>
              <w:rPr>
                <w:rFonts w:ascii="Times New Roman" w:hAnsi="Times New Roman"/>
                <w:sz w:val="18"/>
              </w:rPr>
              <w:t>ставке за рефундацију</w:t>
            </w:r>
            <w:r>
              <w:rPr>
                <w:rFonts w:ascii="Times New Roman" w:hAnsi="Times New Roman"/>
                <w:spacing w:val="-16"/>
                <w:sz w:val="18"/>
              </w:rPr>
              <w:t> </w:t>
            </w:r>
            <w:r>
              <w:rPr>
                <w:rFonts w:ascii="Times New Roman" w:hAnsi="Times New Roman"/>
                <w:sz w:val="18"/>
              </w:rPr>
              <w:t>расхода</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w w:val="100"/>
                <w:sz w:val="16"/>
              </w:rPr>
              <w:t>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w w:val="100"/>
                <w:sz w:val="16"/>
              </w:rPr>
              <w:t>0</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spacing w:val="-1"/>
                <w:sz w:val="16"/>
              </w:rPr>
              <w:t>5.067</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right="100"/>
              <w:jc w:val="right"/>
              <w:rPr>
                <w:rFonts w:ascii="Times New Roman" w:hAnsi="Times New Roman" w:cs="Times New Roman" w:eastAsia="Times New Roman" w:hint="default"/>
                <w:sz w:val="16"/>
                <w:szCs w:val="16"/>
              </w:rPr>
            </w:pPr>
            <w:r>
              <w:rPr>
                <w:rFonts w:ascii="Times New Roman"/>
                <w:w w:val="100"/>
                <w:sz w:val="16"/>
              </w:rPr>
              <w:t>-</w:t>
            </w:r>
          </w:p>
        </w:tc>
      </w:tr>
      <w:tr>
        <w:trPr>
          <w:trHeight w:val="216" w:hRule="exact"/>
        </w:trPr>
        <w:tc>
          <w:tcPr>
            <w:tcW w:w="6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64" w:right="19"/>
              <w:jc w:val="left"/>
              <w:rPr>
                <w:rFonts w:ascii="Times New Roman" w:hAnsi="Times New Roman" w:cs="Times New Roman" w:eastAsia="Times New Roman" w:hint="default"/>
                <w:sz w:val="16"/>
                <w:szCs w:val="16"/>
              </w:rPr>
            </w:pPr>
            <w:r>
              <w:rPr>
                <w:rFonts w:ascii="Times New Roman"/>
                <w:sz w:val="16"/>
              </w:rPr>
              <w:t>772000</w:t>
            </w:r>
          </w:p>
        </w:tc>
        <w:tc>
          <w:tcPr>
            <w:tcW w:w="495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0" w:right="0"/>
              <w:jc w:val="left"/>
              <w:rPr>
                <w:rFonts w:ascii="Times New Roman" w:hAnsi="Times New Roman" w:cs="Times New Roman" w:eastAsia="Times New Roman" w:hint="default"/>
                <w:sz w:val="18"/>
                <w:szCs w:val="18"/>
              </w:rPr>
            </w:pPr>
            <w:r>
              <w:rPr>
                <w:rFonts w:ascii="Times New Roman" w:hAnsi="Times New Roman"/>
                <w:sz w:val="18"/>
              </w:rPr>
              <w:t>Меморан</w:t>
            </w:r>
            <w:r>
              <w:rPr>
                <w:rFonts w:ascii="Times New Roman" w:hAnsi="Times New Roman"/>
                <w:sz w:val="18"/>
              </w:rPr>
              <w:t>. </w:t>
            </w:r>
            <w:r>
              <w:rPr>
                <w:rFonts w:ascii="Times New Roman" w:hAnsi="Times New Roman"/>
                <w:sz w:val="18"/>
              </w:rPr>
              <w:t>ставке за рефундацију расхода из претходне</w:t>
            </w:r>
            <w:r>
              <w:rPr>
                <w:rFonts w:ascii="Times New Roman" w:hAnsi="Times New Roman"/>
                <w:spacing w:val="-20"/>
                <w:sz w:val="18"/>
              </w:rPr>
              <w:t> </w:t>
            </w:r>
            <w:r>
              <w:rPr>
                <w:rFonts w:ascii="Times New Roman" w:hAnsi="Times New Roman"/>
                <w:sz w:val="18"/>
              </w:rPr>
              <w:t>године</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w w:val="100"/>
                <w:sz w:val="16"/>
              </w:rPr>
              <w:t>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w w:val="100"/>
                <w:sz w:val="16"/>
              </w:rPr>
              <w:t>0</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153</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right="100"/>
              <w:jc w:val="right"/>
              <w:rPr>
                <w:rFonts w:ascii="Times New Roman" w:hAnsi="Times New Roman" w:cs="Times New Roman" w:eastAsia="Times New Roman" w:hint="default"/>
                <w:sz w:val="16"/>
                <w:szCs w:val="16"/>
              </w:rPr>
            </w:pPr>
            <w:r>
              <w:rPr>
                <w:rFonts w:ascii="Times New Roman"/>
                <w:w w:val="100"/>
                <w:sz w:val="16"/>
              </w:rPr>
              <w:t>-</w:t>
            </w:r>
          </w:p>
        </w:tc>
      </w:tr>
      <w:tr>
        <w:trPr>
          <w:trHeight w:val="218" w:hRule="exact"/>
        </w:trPr>
        <w:tc>
          <w:tcPr>
            <w:tcW w:w="6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left="64" w:right="19"/>
              <w:jc w:val="left"/>
              <w:rPr>
                <w:rFonts w:ascii="Times New Roman" w:hAnsi="Times New Roman" w:cs="Times New Roman" w:eastAsia="Times New Roman" w:hint="default"/>
                <w:sz w:val="16"/>
                <w:szCs w:val="16"/>
              </w:rPr>
            </w:pPr>
            <w:r>
              <w:rPr>
                <w:rFonts w:ascii="Times New Roman"/>
                <w:sz w:val="16"/>
              </w:rPr>
              <w:t>781000</w:t>
            </w:r>
          </w:p>
        </w:tc>
        <w:tc>
          <w:tcPr>
            <w:tcW w:w="495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0" w:right="0"/>
              <w:jc w:val="left"/>
              <w:rPr>
                <w:rFonts w:ascii="Times New Roman" w:hAnsi="Times New Roman" w:cs="Times New Roman" w:eastAsia="Times New Roman" w:hint="default"/>
                <w:sz w:val="18"/>
                <w:szCs w:val="18"/>
              </w:rPr>
            </w:pPr>
            <w:r>
              <w:rPr>
                <w:rFonts w:ascii="Times New Roman" w:hAnsi="Times New Roman"/>
                <w:sz w:val="18"/>
              </w:rPr>
              <w:t>Трансфери између буџетских корисника на истом</w:t>
            </w:r>
            <w:r>
              <w:rPr>
                <w:rFonts w:ascii="Times New Roman" w:hAnsi="Times New Roman"/>
                <w:spacing w:val="-19"/>
                <w:sz w:val="18"/>
              </w:rPr>
              <w:t> </w:t>
            </w:r>
            <w:r>
              <w:rPr>
                <w:rFonts w:ascii="Times New Roman" w:hAnsi="Times New Roman"/>
                <w:sz w:val="18"/>
              </w:rPr>
              <w:t>нивоу</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w w:val="100"/>
                <w:sz w:val="16"/>
              </w:rPr>
              <w:t>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w w:val="100"/>
                <w:sz w:val="16"/>
              </w:rPr>
              <w:t>0</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spacing w:val="-1"/>
                <w:sz w:val="16"/>
              </w:rPr>
              <w:t>10.013</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right="100"/>
              <w:jc w:val="right"/>
              <w:rPr>
                <w:rFonts w:ascii="Times New Roman" w:hAnsi="Times New Roman" w:cs="Times New Roman" w:eastAsia="Times New Roman" w:hint="default"/>
                <w:sz w:val="16"/>
                <w:szCs w:val="16"/>
              </w:rPr>
            </w:pPr>
            <w:r>
              <w:rPr>
                <w:rFonts w:ascii="Times New Roman"/>
                <w:w w:val="100"/>
                <w:sz w:val="16"/>
              </w:rPr>
              <w:t>-</w:t>
            </w:r>
          </w:p>
        </w:tc>
      </w:tr>
    </w:tbl>
    <w:p>
      <w:pPr>
        <w:spacing w:line="240" w:lineRule="auto" w:before="8"/>
        <w:rPr>
          <w:rFonts w:ascii="Times New Roman" w:hAnsi="Times New Roman" w:cs="Times New Roman" w:eastAsia="Times New Roman" w:hint="default"/>
          <w:sz w:val="17"/>
          <w:szCs w:val="17"/>
        </w:rPr>
      </w:pPr>
    </w:p>
    <w:p>
      <w:pPr>
        <w:pStyle w:val="Heading1"/>
        <w:spacing w:line="256" w:lineRule="exact" w:before="69"/>
        <w:ind w:right="0"/>
        <w:jc w:val="left"/>
        <w:rPr>
          <w:b w:val="0"/>
          <w:bCs w:val="0"/>
        </w:rPr>
      </w:pPr>
      <w:r>
        <w:rPr/>
        <w:t>Изворни приходи буџета</w:t>
      </w:r>
      <w:r>
        <w:rPr>
          <w:spacing w:val="-11"/>
        </w:rPr>
        <w:t> </w:t>
      </w:r>
      <w:r>
        <w:rPr/>
        <w:t>Града</w:t>
      </w:r>
      <w:r>
        <w:rPr>
          <w:b w:val="0"/>
        </w:rPr>
      </w:r>
    </w:p>
    <w:p>
      <w:pPr>
        <w:pStyle w:val="BodyText"/>
        <w:spacing w:line="276" w:lineRule="exact" w:before="18"/>
        <w:ind w:right="335" w:firstLine="566"/>
        <w:jc w:val="both"/>
      </w:pPr>
      <w:r>
        <w:rPr/>
        <w:t>У складу са чланом 6. Закона о финансирању локалне самоуправе</w:t>
      </w:r>
      <w:r>
        <w:rPr>
          <w:rFonts w:ascii="Times New Roman" w:hAnsi="Times New Roman"/>
          <w:position w:val="11"/>
          <w:sz w:val="16"/>
        </w:rPr>
        <w:t>18</w:t>
      </w:r>
      <w:r>
        <w:rPr>
          <w:rFonts w:ascii="Times New Roman" w:hAnsi="Times New Roman"/>
        </w:rPr>
        <w:t>, </w:t>
      </w:r>
      <w:r>
        <w:rPr/>
        <w:t>јединици локалне самоуправе припадају изворни приходи остварени на њеној територији, који  </w:t>
      </w:r>
      <w:r>
        <w:rPr>
          <w:spacing w:val="51"/>
        </w:rPr>
        <w:t> </w:t>
      </w:r>
      <w:r>
        <w:rPr/>
        <w:t>су</w:t>
      </w:r>
    </w:p>
    <w:p>
      <w:pPr>
        <w:pStyle w:val="BodyText"/>
        <w:spacing w:line="273" w:lineRule="exact"/>
        <w:ind w:right="0"/>
        <w:jc w:val="left"/>
      </w:pPr>
      <w:r>
        <w:rPr/>
        <w:t>исказани према следећој</w:t>
      </w:r>
      <w:r>
        <w:rPr>
          <w:spacing w:val="-15"/>
        </w:rPr>
        <w:t> </w:t>
      </w:r>
      <w:r>
        <w:rPr/>
        <w:t>структури:</w:t>
      </w:r>
    </w:p>
    <w:p>
      <w:pPr>
        <w:pStyle w:val="ListParagraph"/>
        <w:numPr>
          <w:ilvl w:val="3"/>
          <w:numId w:val="21"/>
        </w:numPr>
        <w:tabs>
          <w:tab w:pos="1013" w:val="left" w:leader="none"/>
        </w:tabs>
        <w:spacing w:line="223" w:lineRule="auto" w:before="152" w:after="0"/>
        <w:ind w:left="160" w:right="332" w:firstLine="566"/>
        <w:jc w:val="both"/>
        <w:rPr>
          <w:rFonts w:ascii="Times New Roman" w:hAnsi="Times New Roman" w:cs="Times New Roman" w:eastAsia="Times New Roman" w:hint="default"/>
          <w:sz w:val="24"/>
          <w:szCs w:val="24"/>
        </w:rPr>
      </w:pPr>
      <w:r>
        <w:rPr>
          <w:rFonts w:ascii="Times New Roman" w:hAnsi="Times New Roman"/>
          <w:b/>
          <w:sz w:val="24"/>
        </w:rPr>
        <w:t>Порези на имовину </w:t>
      </w:r>
      <w:r>
        <w:rPr>
          <w:rFonts w:ascii="Times New Roman" w:hAnsi="Times New Roman"/>
          <w:b/>
          <w:sz w:val="24"/>
        </w:rPr>
        <w:t>- </w:t>
      </w:r>
      <w:r>
        <w:rPr>
          <w:rFonts w:ascii="Times New Roman" w:hAnsi="Times New Roman"/>
          <w:sz w:val="24"/>
        </w:rPr>
        <w:t>Утврђују се и наплаћују на основу Закона о пореском поступку и пореској администрацији</w:t>
      </w:r>
      <w:r>
        <w:rPr>
          <w:rFonts w:ascii="Times New Roman" w:hAnsi="Times New Roman"/>
          <w:position w:val="11"/>
          <w:sz w:val="16"/>
        </w:rPr>
        <w:t>19</w:t>
      </w:r>
      <w:r>
        <w:rPr>
          <w:rFonts w:ascii="Times New Roman" w:hAnsi="Times New Roman"/>
          <w:sz w:val="24"/>
        </w:rPr>
        <w:t>, Закона о порезима на имовину</w:t>
      </w:r>
      <w:r>
        <w:rPr>
          <w:rFonts w:ascii="Times New Roman" w:hAnsi="Times New Roman"/>
          <w:position w:val="11"/>
          <w:sz w:val="16"/>
        </w:rPr>
        <w:t>20</w:t>
      </w:r>
      <w:r>
        <w:rPr>
          <w:rFonts w:ascii="Times New Roman" w:hAnsi="Times New Roman"/>
          <w:sz w:val="24"/>
        </w:rPr>
        <w:t>, Закона о општем управном поступку</w:t>
      </w:r>
      <w:r>
        <w:rPr>
          <w:rFonts w:ascii="Times New Roman" w:hAnsi="Times New Roman"/>
          <w:position w:val="11"/>
          <w:sz w:val="16"/>
        </w:rPr>
        <w:t>21</w:t>
      </w:r>
      <w:r>
        <w:rPr>
          <w:rFonts w:ascii="Times New Roman" w:hAnsi="Times New Roman"/>
          <w:sz w:val="24"/>
        </w:rPr>
        <w:t>, Одлуке о висини стопе пореза на имовину у граду Нишу</w:t>
      </w:r>
      <w:r>
        <w:rPr>
          <w:rFonts w:ascii="Times New Roman" w:hAnsi="Times New Roman"/>
          <w:position w:val="11"/>
          <w:sz w:val="16"/>
        </w:rPr>
        <w:t>22</w:t>
      </w:r>
      <w:r>
        <w:rPr>
          <w:rFonts w:ascii="Times New Roman" w:hAnsi="Times New Roman"/>
          <w:sz w:val="24"/>
        </w:rPr>
        <w:t>, Одлуке о висини стопе амортизације за утврђивање пореза на имовину</w:t>
      </w:r>
      <w:r>
        <w:rPr>
          <w:rFonts w:ascii="Times New Roman" w:hAnsi="Times New Roman"/>
          <w:position w:val="11"/>
          <w:sz w:val="16"/>
        </w:rPr>
        <w:t>23</w:t>
      </w:r>
      <w:r>
        <w:rPr>
          <w:rFonts w:ascii="Times New Roman" w:hAnsi="Times New Roman"/>
          <w:sz w:val="24"/>
        </w:rPr>
        <w:t>, Одлуке о обавези подношења пореских пријава за утврђивање пореза на имовину на непокретности обвезника који не воде пословне књиге, које се налазе на територији града Ниша</w:t>
      </w:r>
      <w:r>
        <w:rPr>
          <w:rFonts w:ascii="Times New Roman" w:hAnsi="Times New Roman"/>
          <w:position w:val="11"/>
          <w:sz w:val="16"/>
        </w:rPr>
        <w:t>24</w:t>
      </w:r>
      <w:r>
        <w:rPr>
          <w:rFonts w:ascii="Times New Roman" w:hAnsi="Times New Roman"/>
          <w:sz w:val="24"/>
        </w:rPr>
        <w:t>, </w:t>
      </w:r>
      <w:r>
        <w:rPr>
          <w:rFonts w:ascii="Times New Roman" w:hAnsi="Times New Roman"/>
          <w:sz w:val="24"/>
        </w:rPr>
      </w:r>
      <w:r>
        <w:rPr>
          <w:rFonts w:ascii="Times New Roman" w:hAnsi="Times New Roman"/>
          <w:sz w:val="24"/>
        </w:rPr>
        <w:t>Решења о коефицијентима за утврђивање пореза на имовину за непокретности обвезника који воде пословне књиге у граду Нишу</w:t>
      </w:r>
      <w:r>
        <w:rPr>
          <w:rFonts w:ascii="Times New Roman" w:hAnsi="Times New Roman"/>
          <w:position w:val="11"/>
          <w:sz w:val="16"/>
        </w:rPr>
        <w:t>25 </w:t>
      </w:r>
      <w:r>
        <w:rPr>
          <w:rFonts w:ascii="Times New Roman" w:hAnsi="Times New Roman"/>
          <w:sz w:val="24"/>
        </w:rPr>
        <w:t>и Решења о утврђивању просечних цена квадратног метра одговарајућих непокретности за утврђивање пореза на имовину  за 2014. годину на територији града Ниша</w:t>
      </w:r>
      <w:r>
        <w:rPr>
          <w:rFonts w:ascii="Times New Roman" w:hAnsi="Times New Roman"/>
          <w:position w:val="11"/>
          <w:sz w:val="16"/>
        </w:rPr>
        <w:t>26</w:t>
      </w:r>
      <w:r>
        <w:rPr>
          <w:rFonts w:ascii="Times New Roman" w:hAnsi="Times New Roman"/>
          <w:sz w:val="24"/>
        </w:rPr>
        <w:t>. Одлуком о утврђивању прихода који припадају граду, односно градским општинама и распореду трансферних средстава из буџета града Ниша градским општинама у 2014. години</w:t>
      </w:r>
      <w:r>
        <w:rPr>
          <w:rFonts w:ascii="Times New Roman" w:hAnsi="Times New Roman"/>
          <w:position w:val="11"/>
          <w:sz w:val="16"/>
        </w:rPr>
        <w:t>27 </w:t>
      </w:r>
      <w:r>
        <w:rPr>
          <w:rFonts w:ascii="Times New Roman" w:hAnsi="Times New Roman"/>
          <w:sz w:val="24"/>
        </w:rPr>
        <w:t>град Ниш уступа 1,50% прихода од пореза  на имовину градским општинама, што је укупно 7,50% за пет градских</w:t>
      </w:r>
      <w:r>
        <w:rPr>
          <w:rFonts w:ascii="Times New Roman" w:hAnsi="Times New Roman"/>
          <w:spacing w:val="-28"/>
          <w:sz w:val="24"/>
        </w:rPr>
        <w:t> </w:t>
      </w:r>
      <w:r>
        <w:rPr>
          <w:rFonts w:ascii="Times New Roman" w:hAnsi="Times New Roman"/>
          <w:sz w:val="24"/>
        </w:rPr>
        <w:t>општина.</w:t>
      </w:r>
    </w:p>
    <w:p>
      <w:pPr>
        <w:spacing w:before="7" w:after="4"/>
        <w:ind w:left="0" w:right="332" w:firstLine="0"/>
        <w:jc w:val="right"/>
        <w:rPr>
          <w:rFonts w:ascii="Times New Roman" w:hAnsi="Times New Roman" w:cs="Times New Roman" w:eastAsia="Times New Roman" w:hint="default"/>
          <w:sz w:val="16"/>
          <w:szCs w:val="16"/>
        </w:rPr>
      </w:pPr>
      <w:r>
        <w:rPr>
          <w:rFonts w:ascii="Times New Roman" w:hAnsi="Times New Roman"/>
          <w:sz w:val="18"/>
        </w:rPr>
        <w:t>(</w:t>
      </w:r>
      <w:r>
        <w:rPr>
          <w:rFonts w:ascii="Times New Roman" w:hAnsi="Times New Roman"/>
          <w:sz w:val="16"/>
        </w:rPr>
        <w:t>у хиљадама</w:t>
      </w:r>
      <w:r>
        <w:rPr>
          <w:rFonts w:ascii="Times New Roman" w:hAnsi="Times New Roman"/>
          <w:spacing w:val="-3"/>
          <w:sz w:val="16"/>
        </w:rPr>
        <w:t> </w:t>
      </w:r>
      <w:r>
        <w:rPr>
          <w:rFonts w:ascii="Times New Roman" w:hAnsi="Times New Roman"/>
          <w:sz w:val="16"/>
        </w:rPr>
        <w:t>динара</w:t>
      </w:r>
      <w:r>
        <w:rPr>
          <w:rFonts w:ascii="Times New Roman" w:hAnsi="Times New Roman"/>
          <w:sz w:val="16"/>
        </w:rPr>
        <w:t>)</w:t>
      </w:r>
    </w:p>
    <w:tbl>
      <w:tblPr>
        <w:tblW w:w="0" w:type="auto"/>
        <w:jc w:val="left"/>
        <w:tblInd w:w="174" w:type="dxa"/>
        <w:tblLayout w:type="fixed"/>
        <w:tblCellMar>
          <w:top w:w="0" w:type="dxa"/>
          <w:left w:w="0" w:type="dxa"/>
          <w:bottom w:w="0" w:type="dxa"/>
          <w:right w:w="0" w:type="dxa"/>
        </w:tblCellMar>
        <w:tblLook w:val="01E0"/>
      </w:tblPr>
      <w:tblGrid>
        <w:gridCol w:w="470"/>
        <w:gridCol w:w="706"/>
        <w:gridCol w:w="2293"/>
        <w:gridCol w:w="761"/>
        <w:gridCol w:w="706"/>
        <w:gridCol w:w="972"/>
        <w:gridCol w:w="1133"/>
        <w:gridCol w:w="1082"/>
        <w:gridCol w:w="1080"/>
      </w:tblGrid>
      <w:tr>
        <w:trPr>
          <w:trHeight w:val="194" w:hRule="exact"/>
        </w:trPr>
        <w:tc>
          <w:tcPr>
            <w:tcW w:w="470"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6"/>
              <w:ind w:right="0"/>
              <w:jc w:val="left"/>
              <w:rPr>
                <w:rFonts w:ascii="Times New Roman" w:hAnsi="Times New Roman" w:cs="Times New Roman" w:eastAsia="Times New Roman" w:hint="default"/>
                <w:sz w:val="17"/>
                <w:szCs w:val="17"/>
              </w:rPr>
            </w:pPr>
          </w:p>
          <w:p>
            <w:pPr>
              <w:pStyle w:val="TableParagraph"/>
              <w:spacing w:line="240" w:lineRule="auto"/>
              <w:ind w:left="45" w:right="119" w:firstLine="21"/>
              <w:jc w:val="left"/>
              <w:rPr>
                <w:rFonts w:ascii="Times New Roman" w:hAnsi="Times New Roman" w:cs="Times New Roman" w:eastAsia="Times New Roman" w:hint="default"/>
                <w:sz w:val="16"/>
                <w:szCs w:val="16"/>
              </w:rPr>
            </w:pPr>
            <w:r>
              <w:rPr>
                <w:rFonts w:ascii="Times New Roman" w:hAnsi="Times New Roman"/>
                <w:sz w:val="16"/>
              </w:rPr>
              <w:t>Ред број</w:t>
            </w:r>
          </w:p>
        </w:tc>
        <w:tc>
          <w:tcPr>
            <w:tcW w:w="706"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141" w:right="0"/>
              <w:jc w:val="left"/>
              <w:rPr>
                <w:rFonts w:ascii="Times New Roman" w:hAnsi="Times New Roman" w:cs="Times New Roman" w:eastAsia="Times New Roman" w:hint="default"/>
                <w:sz w:val="16"/>
                <w:szCs w:val="16"/>
              </w:rPr>
            </w:pPr>
            <w:r>
              <w:rPr>
                <w:rFonts w:ascii="Times New Roman" w:hAnsi="Times New Roman"/>
                <w:sz w:val="16"/>
              </w:rPr>
              <w:t>Ек.кл.</w:t>
            </w:r>
          </w:p>
        </w:tc>
        <w:tc>
          <w:tcPr>
            <w:tcW w:w="2293"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7"/>
                <w:szCs w:val="17"/>
              </w:rPr>
            </w:pPr>
          </w:p>
          <w:p>
            <w:pPr>
              <w:pStyle w:val="TableParagraph"/>
              <w:spacing w:line="240" w:lineRule="auto"/>
              <w:ind w:left="780" w:right="779"/>
              <w:jc w:val="center"/>
              <w:rPr>
                <w:rFonts w:ascii="Times New Roman" w:hAnsi="Times New Roman" w:cs="Times New Roman" w:eastAsia="Times New Roman" w:hint="default"/>
                <w:sz w:val="16"/>
                <w:szCs w:val="16"/>
              </w:rPr>
            </w:pPr>
            <w:r>
              <w:rPr>
                <w:rFonts w:ascii="Times New Roman" w:hAnsi="Times New Roman"/>
                <w:sz w:val="16"/>
              </w:rPr>
              <w:t>О  П  И  С</w:t>
            </w:r>
          </w:p>
        </w:tc>
        <w:tc>
          <w:tcPr>
            <w:tcW w:w="761" w:type="dxa"/>
            <w:vMerge w:val="restart"/>
            <w:tcBorders>
              <w:top w:val="single" w:sz="4" w:space="0" w:color="000000"/>
              <w:left w:val="single" w:sz="4" w:space="0" w:color="000000"/>
              <w:right w:val="single" w:sz="4" w:space="0" w:color="000000"/>
            </w:tcBorders>
          </w:tcPr>
          <w:p>
            <w:pPr>
              <w:pStyle w:val="TableParagraph"/>
              <w:spacing w:line="240" w:lineRule="auto" w:before="6"/>
              <w:ind w:left="-22" w:right="109" w:hanging="6"/>
              <w:jc w:val="center"/>
              <w:rPr>
                <w:rFonts w:ascii="Times New Roman" w:hAnsi="Times New Roman" w:cs="Times New Roman" w:eastAsia="Times New Roman" w:hint="default"/>
                <w:sz w:val="16"/>
                <w:szCs w:val="16"/>
              </w:rPr>
            </w:pPr>
            <w:r>
              <w:rPr>
                <w:rFonts w:ascii="Times New Roman" w:hAnsi="Times New Roman"/>
                <w:sz w:val="16"/>
              </w:rPr>
              <w:t>Број издатих Решења у </w:t>
            </w:r>
            <w:r>
              <w:rPr>
                <w:rFonts w:ascii="Times New Roman" w:hAnsi="Times New Roman"/>
                <w:sz w:val="16"/>
              </w:rPr>
              <w:t>2013.</w:t>
            </w:r>
          </w:p>
        </w:tc>
        <w:tc>
          <w:tcPr>
            <w:tcW w:w="706" w:type="dxa"/>
            <w:vMerge w:val="restart"/>
            <w:tcBorders>
              <w:top w:val="single" w:sz="4" w:space="0" w:color="000000"/>
              <w:left w:val="single" w:sz="4" w:space="0" w:color="000000"/>
              <w:right w:val="single" w:sz="4" w:space="0" w:color="000000"/>
            </w:tcBorders>
          </w:tcPr>
          <w:p>
            <w:pPr>
              <w:pStyle w:val="TableParagraph"/>
              <w:spacing w:line="240" w:lineRule="auto" w:before="18"/>
              <w:ind w:left="9" w:right="143"/>
              <w:jc w:val="center"/>
              <w:rPr>
                <w:rFonts w:ascii="Times New Roman" w:hAnsi="Times New Roman" w:cs="Times New Roman" w:eastAsia="Times New Roman" w:hint="default"/>
                <w:sz w:val="16"/>
                <w:szCs w:val="16"/>
              </w:rPr>
            </w:pPr>
            <w:r>
              <w:rPr>
                <w:rFonts w:ascii="Times New Roman" w:hAnsi="Times New Roman"/>
                <w:sz w:val="16"/>
              </w:rPr>
              <w:t>Број издатих </w:t>
            </w:r>
            <w:r>
              <w:rPr>
                <w:rFonts w:ascii="Times New Roman" w:hAnsi="Times New Roman"/>
                <w:spacing w:val="-1"/>
                <w:sz w:val="16"/>
              </w:rPr>
              <w:t>Решења </w:t>
            </w:r>
            <w:r>
              <w:rPr>
                <w:rFonts w:ascii="Times New Roman" w:hAnsi="Times New Roman"/>
                <w:spacing w:val="-1"/>
                <w:sz w:val="16"/>
              </w:rPr>
            </w:r>
            <w:r>
              <w:rPr>
                <w:rFonts w:ascii="Times New Roman" w:hAnsi="Times New Roman"/>
                <w:sz w:val="16"/>
              </w:rPr>
              <w:t>у</w:t>
            </w:r>
            <w:r>
              <w:rPr>
                <w:rFonts w:ascii="Times New Roman" w:hAnsi="Times New Roman"/>
                <w:spacing w:val="-3"/>
                <w:sz w:val="16"/>
              </w:rPr>
              <w:t> </w:t>
            </w:r>
            <w:r>
              <w:rPr>
                <w:rFonts w:ascii="Times New Roman" w:hAnsi="Times New Roman"/>
                <w:sz w:val="16"/>
              </w:rPr>
              <w:t>2014.</w:t>
            </w:r>
          </w:p>
        </w:tc>
        <w:tc>
          <w:tcPr>
            <w:tcW w:w="972" w:type="dxa"/>
            <w:vMerge w:val="restart"/>
            <w:tcBorders>
              <w:top w:val="single" w:sz="4" w:space="0" w:color="000000"/>
              <w:left w:val="single" w:sz="4" w:space="0" w:color="000000"/>
              <w:right w:val="single" w:sz="4" w:space="0" w:color="000000"/>
            </w:tcBorders>
          </w:tcPr>
          <w:p>
            <w:pPr>
              <w:pStyle w:val="TableParagraph"/>
              <w:spacing w:line="240" w:lineRule="auto" w:before="18"/>
              <w:ind w:left="223" w:right="217" w:hanging="5"/>
              <w:jc w:val="both"/>
              <w:rPr>
                <w:rFonts w:ascii="Times New Roman" w:hAnsi="Times New Roman" w:cs="Times New Roman" w:eastAsia="Times New Roman" w:hint="default"/>
                <w:sz w:val="16"/>
                <w:szCs w:val="16"/>
              </w:rPr>
            </w:pPr>
            <w:r>
              <w:rPr>
                <w:rFonts w:ascii="Times New Roman" w:hAnsi="Times New Roman"/>
                <w:sz w:val="16"/>
              </w:rPr>
              <w:t>Приход буџета Града у </w:t>
            </w:r>
            <w:r>
              <w:rPr>
                <w:rFonts w:ascii="Times New Roman" w:hAnsi="Times New Roman"/>
                <w:sz w:val="16"/>
              </w:rPr>
              <w:t>2014.</w:t>
            </w:r>
          </w:p>
        </w:tc>
        <w:tc>
          <w:tcPr>
            <w:tcW w:w="3296" w:type="dxa"/>
            <w:gridSpan w:val="3"/>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451" w:right="0"/>
              <w:jc w:val="left"/>
              <w:rPr>
                <w:rFonts w:ascii="Times New Roman" w:hAnsi="Times New Roman" w:cs="Times New Roman" w:eastAsia="Times New Roman" w:hint="default"/>
                <w:sz w:val="16"/>
                <w:szCs w:val="16"/>
              </w:rPr>
            </w:pPr>
            <w:r>
              <w:rPr>
                <w:rFonts w:ascii="Times New Roman" w:hAnsi="Times New Roman"/>
                <w:sz w:val="16"/>
              </w:rPr>
              <w:t>Потраживање од обвезника</w:t>
            </w:r>
            <w:r>
              <w:rPr>
                <w:rFonts w:ascii="Times New Roman" w:hAnsi="Times New Roman"/>
                <w:spacing w:val="-13"/>
                <w:sz w:val="16"/>
              </w:rPr>
              <w:t> </w:t>
            </w:r>
            <w:r>
              <w:rPr>
                <w:rFonts w:ascii="Times New Roman" w:hAnsi="Times New Roman"/>
                <w:sz w:val="16"/>
              </w:rPr>
              <w:t>града</w:t>
            </w:r>
          </w:p>
        </w:tc>
      </w:tr>
      <w:tr>
        <w:trPr>
          <w:trHeight w:val="574" w:hRule="exact"/>
        </w:trPr>
        <w:tc>
          <w:tcPr>
            <w:tcW w:w="470" w:type="dxa"/>
            <w:vMerge/>
            <w:tcBorders>
              <w:left w:val="single" w:sz="4" w:space="0" w:color="000000"/>
              <w:bottom w:val="single" w:sz="4" w:space="0" w:color="000000"/>
              <w:right w:val="single" w:sz="4" w:space="0" w:color="000000"/>
            </w:tcBorders>
          </w:tcPr>
          <w:p>
            <w:pPr/>
          </w:p>
        </w:tc>
        <w:tc>
          <w:tcPr>
            <w:tcW w:w="706" w:type="dxa"/>
            <w:vMerge/>
            <w:tcBorders>
              <w:left w:val="single" w:sz="4" w:space="0" w:color="000000"/>
              <w:bottom w:val="single" w:sz="4" w:space="0" w:color="000000"/>
              <w:right w:val="single" w:sz="4" w:space="0" w:color="000000"/>
            </w:tcBorders>
          </w:tcPr>
          <w:p>
            <w:pPr/>
          </w:p>
        </w:tc>
        <w:tc>
          <w:tcPr>
            <w:tcW w:w="2293" w:type="dxa"/>
            <w:vMerge/>
            <w:tcBorders>
              <w:left w:val="single" w:sz="4" w:space="0" w:color="000000"/>
              <w:bottom w:val="single" w:sz="4" w:space="0" w:color="000000"/>
              <w:right w:val="single" w:sz="4" w:space="0" w:color="000000"/>
            </w:tcBorders>
          </w:tcPr>
          <w:p>
            <w:pPr/>
          </w:p>
        </w:tc>
        <w:tc>
          <w:tcPr>
            <w:tcW w:w="761" w:type="dxa"/>
            <w:vMerge/>
            <w:tcBorders>
              <w:left w:val="single" w:sz="4" w:space="0" w:color="000000"/>
              <w:bottom w:val="single" w:sz="4" w:space="0" w:color="000000"/>
              <w:right w:val="single" w:sz="4" w:space="0" w:color="000000"/>
            </w:tcBorders>
          </w:tcPr>
          <w:p>
            <w:pPr/>
          </w:p>
        </w:tc>
        <w:tc>
          <w:tcPr>
            <w:tcW w:w="706" w:type="dxa"/>
            <w:vMerge/>
            <w:tcBorders>
              <w:left w:val="single" w:sz="4" w:space="0" w:color="000000"/>
              <w:bottom w:val="single" w:sz="4" w:space="0" w:color="000000"/>
              <w:right w:val="single" w:sz="4" w:space="0" w:color="000000"/>
            </w:tcBorders>
          </w:tcPr>
          <w:p>
            <w:pPr/>
          </w:p>
        </w:tc>
        <w:tc>
          <w:tcPr>
            <w:tcW w:w="972" w:type="dxa"/>
            <w:vMerge/>
            <w:tcBorders>
              <w:left w:val="single" w:sz="4" w:space="0" w:color="000000"/>
              <w:bottom w:val="single" w:sz="4" w:space="0" w:color="000000"/>
              <w:right w:val="single" w:sz="4" w:space="0" w:color="000000"/>
            </w:tcBorders>
          </w:tcPr>
          <w:p>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8"/>
              <w:ind w:right="0"/>
              <w:jc w:val="left"/>
              <w:rPr>
                <w:rFonts w:ascii="Times New Roman" w:hAnsi="Times New Roman" w:cs="Times New Roman" w:eastAsia="Times New Roman" w:hint="default"/>
                <w:sz w:val="16"/>
                <w:szCs w:val="16"/>
              </w:rPr>
            </w:pPr>
          </w:p>
          <w:p>
            <w:pPr>
              <w:pStyle w:val="TableParagraph"/>
              <w:spacing w:line="240" w:lineRule="auto"/>
              <w:ind w:left="364" w:right="473"/>
              <w:jc w:val="center"/>
              <w:rPr>
                <w:rFonts w:ascii="Times New Roman" w:hAnsi="Times New Roman" w:cs="Times New Roman" w:eastAsia="Times New Roman" w:hint="default"/>
                <w:sz w:val="16"/>
                <w:szCs w:val="16"/>
              </w:rPr>
            </w:pPr>
            <w:r>
              <w:rPr>
                <w:rFonts w:ascii="Times New Roman" w:hAnsi="Times New Roman"/>
                <w:sz w:val="16"/>
              </w:rPr>
              <w:t>Дуг</w:t>
            </w: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8"/>
              <w:ind w:right="0"/>
              <w:jc w:val="left"/>
              <w:rPr>
                <w:rFonts w:ascii="Times New Roman" w:hAnsi="Times New Roman" w:cs="Times New Roman" w:eastAsia="Times New Roman" w:hint="default"/>
                <w:sz w:val="16"/>
                <w:szCs w:val="16"/>
              </w:rPr>
            </w:pPr>
          </w:p>
          <w:p>
            <w:pPr>
              <w:pStyle w:val="TableParagraph"/>
              <w:spacing w:line="240" w:lineRule="auto"/>
              <w:ind w:left="232" w:right="0"/>
              <w:jc w:val="left"/>
              <w:rPr>
                <w:rFonts w:ascii="Times New Roman" w:hAnsi="Times New Roman" w:cs="Times New Roman" w:eastAsia="Times New Roman" w:hint="default"/>
                <w:sz w:val="16"/>
                <w:szCs w:val="16"/>
              </w:rPr>
            </w:pPr>
            <w:r>
              <w:rPr>
                <w:rFonts w:ascii="Times New Roman" w:hAnsi="Times New Roman"/>
                <w:sz w:val="16"/>
              </w:rPr>
              <w:t>Камата</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8"/>
              <w:ind w:right="0"/>
              <w:jc w:val="left"/>
              <w:rPr>
                <w:rFonts w:ascii="Times New Roman" w:hAnsi="Times New Roman" w:cs="Times New Roman" w:eastAsia="Times New Roman" w:hint="default"/>
                <w:sz w:val="16"/>
                <w:szCs w:val="16"/>
              </w:rPr>
            </w:pPr>
          </w:p>
          <w:p>
            <w:pPr>
              <w:pStyle w:val="TableParagraph"/>
              <w:spacing w:line="240" w:lineRule="auto"/>
              <w:ind w:left="103" w:right="0"/>
              <w:jc w:val="left"/>
              <w:rPr>
                <w:rFonts w:ascii="Times New Roman" w:hAnsi="Times New Roman" w:cs="Times New Roman" w:eastAsia="Times New Roman" w:hint="default"/>
                <w:sz w:val="16"/>
                <w:szCs w:val="16"/>
              </w:rPr>
            </w:pPr>
            <w:r>
              <w:rPr>
                <w:rFonts w:ascii="Times New Roman" w:hAnsi="Times New Roman"/>
                <w:sz w:val="16"/>
              </w:rPr>
              <w:t>Укупан</w:t>
            </w:r>
            <w:r>
              <w:rPr>
                <w:rFonts w:ascii="Times New Roman" w:hAnsi="Times New Roman"/>
                <w:spacing w:val="-6"/>
                <w:sz w:val="16"/>
              </w:rPr>
              <w:t> </w:t>
            </w:r>
            <w:r>
              <w:rPr>
                <w:rFonts w:ascii="Times New Roman" w:hAnsi="Times New Roman"/>
                <w:sz w:val="16"/>
              </w:rPr>
              <w:t>дуг</w:t>
            </w:r>
          </w:p>
        </w:tc>
      </w:tr>
      <w:tr>
        <w:trPr>
          <w:trHeight w:val="149" w:hRule="exact"/>
        </w:trPr>
        <w:tc>
          <w:tcPr>
            <w:tcW w:w="47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158" w:right="0"/>
              <w:jc w:val="left"/>
              <w:rPr>
                <w:rFonts w:ascii="Times New Roman" w:hAnsi="Times New Roman" w:cs="Times New Roman" w:eastAsia="Times New Roman" w:hint="default"/>
                <w:sz w:val="12"/>
                <w:szCs w:val="12"/>
              </w:rPr>
            </w:pPr>
            <w:r>
              <w:rPr>
                <w:rFonts w:ascii="Times New Roman"/>
                <w:sz w:val="12"/>
              </w:rPr>
              <w:t>1</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83"/>
              <w:jc w:val="center"/>
              <w:rPr>
                <w:rFonts w:ascii="Times New Roman" w:hAnsi="Times New Roman" w:cs="Times New Roman" w:eastAsia="Times New Roman" w:hint="default"/>
                <w:sz w:val="12"/>
                <w:szCs w:val="12"/>
              </w:rPr>
            </w:pPr>
            <w:r>
              <w:rPr>
                <w:rFonts w:ascii="Times New Roman"/>
                <w:sz w:val="12"/>
              </w:rPr>
              <w:t>2</w:t>
            </w:r>
          </w:p>
        </w:tc>
        <w:tc>
          <w:tcPr>
            <w:tcW w:w="2293"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63" w:right="0"/>
              <w:jc w:val="center"/>
              <w:rPr>
                <w:rFonts w:ascii="Times New Roman" w:hAnsi="Times New Roman" w:cs="Times New Roman" w:eastAsia="Times New Roman" w:hint="default"/>
                <w:sz w:val="12"/>
                <w:szCs w:val="12"/>
              </w:rPr>
            </w:pPr>
            <w:r>
              <w:rPr>
                <w:rFonts w:ascii="Times New Roman"/>
                <w:sz w:val="12"/>
              </w:rPr>
              <w:t>3</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4</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2" w:right="0"/>
              <w:jc w:val="center"/>
              <w:rPr>
                <w:rFonts w:ascii="Times New Roman" w:hAnsi="Times New Roman" w:cs="Times New Roman" w:eastAsia="Times New Roman" w:hint="default"/>
                <w:sz w:val="12"/>
                <w:szCs w:val="12"/>
              </w:rPr>
            </w:pPr>
            <w:r>
              <w:rPr>
                <w:rFonts w:ascii="Times New Roman"/>
                <w:sz w:val="12"/>
              </w:rPr>
              <w:t>5</w:t>
            </w:r>
          </w:p>
        </w:tc>
        <w:tc>
          <w:tcPr>
            <w:tcW w:w="97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65"/>
              <w:jc w:val="center"/>
              <w:rPr>
                <w:rFonts w:ascii="Times New Roman" w:hAnsi="Times New Roman" w:cs="Times New Roman" w:eastAsia="Times New Roman" w:hint="default"/>
                <w:sz w:val="12"/>
                <w:szCs w:val="12"/>
              </w:rPr>
            </w:pPr>
            <w:r>
              <w:rPr>
                <w:rFonts w:ascii="Times New Roman"/>
                <w:sz w:val="12"/>
              </w:rPr>
              <w:t>6</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105"/>
              <w:jc w:val="center"/>
              <w:rPr>
                <w:rFonts w:ascii="Times New Roman" w:hAnsi="Times New Roman" w:cs="Times New Roman" w:eastAsia="Times New Roman" w:hint="default"/>
                <w:sz w:val="12"/>
                <w:szCs w:val="12"/>
              </w:rPr>
            </w:pPr>
            <w:r>
              <w:rPr>
                <w:rFonts w:ascii="Times New Roman"/>
                <w:sz w:val="12"/>
              </w:rPr>
              <w:t>7</w:t>
            </w: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113"/>
              <w:jc w:val="center"/>
              <w:rPr>
                <w:rFonts w:ascii="Times New Roman" w:hAnsi="Times New Roman" w:cs="Times New Roman" w:eastAsia="Times New Roman" w:hint="default"/>
                <w:sz w:val="12"/>
                <w:szCs w:val="12"/>
              </w:rPr>
            </w:pPr>
            <w:r>
              <w:rPr>
                <w:rFonts w:ascii="Times New Roman"/>
                <w:sz w:val="12"/>
              </w:rPr>
              <w:t>8</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81"/>
              <w:jc w:val="center"/>
              <w:rPr>
                <w:rFonts w:ascii="Times New Roman" w:hAnsi="Times New Roman" w:cs="Times New Roman" w:eastAsia="Times New Roman" w:hint="default"/>
                <w:sz w:val="12"/>
                <w:szCs w:val="12"/>
              </w:rPr>
            </w:pPr>
            <w:r>
              <w:rPr>
                <w:rFonts w:ascii="Times New Roman"/>
                <w:sz w:val="12"/>
              </w:rPr>
              <w:t>9</w:t>
            </w:r>
          </w:p>
        </w:tc>
      </w:tr>
      <w:tr>
        <w:trPr>
          <w:trHeight w:val="216" w:hRule="exact"/>
        </w:trPr>
        <w:tc>
          <w:tcPr>
            <w:tcW w:w="47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48" w:right="0"/>
              <w:jc w:val="left"/>
              <w:rPr>
                <w:rFonts w:ascii="Times New Roman" w:hAnsi="Times New Roman" w:cs="Times New Roman" w:eastAsia="Times New Roman" w:hint="default"/>
                <w:sz w:val="16"/>
                <w:szCs w:val="16"/>
              </w:rPr>
            </w:pPr>
            <w:r>
              <w:rPr>
                <w:rFonts w:ascii="Times New Roman"/>
                <w:w w:val="100"/>
                <w:sz w:val="16"/>
              </w:rPr>
              <w:t>1</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2" w:right="82"/>
              <w:jc w:val="center"/>
              <w:rPr>
                <w:rFonts w:ascii="Times New Roman" w:hAnsi="Times New Roman" w:cs="Times New Roman" w:eastAsia="Times New Roman" w:hint="default"/>
                <w:sz w:val="16"/>
                <w:szCs w:val="16"/>
              </w:rPr>
            </w:pPr>
            <w:r>
              <w:rPr>
                <w:rFonts w:ascii="Times New Roman"/>
                <w:sz w:val="16"/>
              </w:rPr>
              <w:t>711147</w:t>
            </w:r>
          </w:p>
        </w:tc>
        <w:tc>
          <w:tcPr>
            <w:tcW w:w="229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3" w:right="198"/>
              <w:jc w:val="left"/>
              <w:rPr>
                <w:rFonts w:ascii="Times New Roman" w:hAnsi="Times New Roman" w:cs="Times New Roman" w:eastAsia="Times New Roman" w:hint="default"/>
                <w:sz w:val="16"/>
                <w:szCs w:val="16"/>
              </w:rPr>
            </w:pPr>
            <w:r>
              <w:rPr>
                <w:rFonts w:ascii="Times New Roman" w:hAnsi="Times New Roman"/>
                <w:sz w:val="16"/>
              </w:rPr>
              <w:t>Порез на</w:t>
            </w:r>
            <w:r>
              <w:rPr>
                <w:rFonts w:ascii="Times New Roman" w:hAnsi="Times New Roman"/>
                <w:spacing w:val="-4"/>
                <w:sz w:val="16"/>
              </w:rPr>
              <w:t> </w:t>
            </w:r>
            <w:r>
              <w:rPr>
                <w:rFonts w:ascii="Times New Roman" w:hAnsi="Times New Roman"/>
                <w:sz w:val="16"/>
              </w:rPr>
              <w:t>земљиште</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left="424" w:right="0"/>
              <w:jc w:val="left"/>
              <w:rPr>
                <w:rFonts w:ascii="Times New Roman" w:hAnsi="Times New Roman" w:cs="Times New Roman" w:eastAsia="Times New Roman" w:hint="default"/>
                <w:sz w:val="16"/>
                <w:szCs w:val="16"/>
              </w:rPr>
            </w:pPr>
            <w:r>
              <w:rPr>
                <w:rFonts w:ascii="Times New Roman"/>
                <w:spacing w:val="-2"/>
                <w:sz w:val="16"/>
              </w:rPr>
              <w:t>237</w:t>
            </w:r>
            <w:r>
              <w:rPr>
                <w:rFonts w:ascii="Times New Roman"/>
                <w:sz w:val="16"/>
              </w:rPr>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w w:val="100"/>
                <w:sz w:val="16"/>
              </w:rPr>
              <w:t>-</w:t>
            </w:r>
          </w:p>
        </w:tc>
        <w:tc>
          <w:tcPr>
            <w:tcW w:w="97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12.289</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28.465</w:t>
            </w: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19.686</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48.151</w:t>
            </w:r>
          </w:p>
        </w:tc>
      </w:tr>
      <w:tr>
        <w:trPr>
          <w:trHeight w:val="377" w:hRule="exact"/>
        </w:trPr>
        <w:tc>
          <w:tcPr>
            <w:tcW w:w="47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Times New Roman" w:hAnsi="Times New Roman" w:cs="Times New Roman" w:eastAsia="Times New Roman" w:hint="default"/>
                <w:sz w:val="15"/>
                <w:szCs w:val="15"/>
              </w:rPr>
            </w:pPr>
          </w:p>
          <w:p>
            <w:pPr>
              <w:pStyle w:val="TableParagraph"/>
              <w:spacing w:line="240" w:lineRule="auto"/>
              <w:ind w:left="148" w:right="0"/>
              <w:jc w:val="left"/>
              <w:rPr>
                <w:rFonts w:ascii="Times New Roman" w:hAnsi="Times New Roman" w:cs="Times New Roman" w:eastAsia="Times New Roman" w:hint="default"/>
                <w:sz w:val="16"/>
                <w:szCs w:val="16"/>
              </w:rPr>
            </w:pPr>
            <w:r>
              <w:rPr>
                <w:rFonts w:ascii="Times New Roman"/>
                <w:w w:val="100"/>
                <w:sz w:val="16"/>
              </w:rPr>
              <w:t>2</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Times New Roman" w:hAnsi="Times New Roman" w:cs="Times New Roman" w:eastAsia="Times New Roman" w:hint="default"/>
                <w:sz w:val="15"/>
                <w:szCs w:val="15"/>
              </w:rPr>
            </w:pPr>
          </w:p>
          <w:p>
            <w:pPr>
              <w:pStyle w:val="TableParagraph"/>
              <w:spacing w:line="240" w:lineRule="auto"/>
              <w:ind w:left="102" w:right="82"/>
              <w:jc w:val="center"/>
              <w:rPr>
                <w:rFonts w:ascii="Times New Roman" w:hAnsi="Times New Roman" w:cs="Times New Roman" w:eastAsia="Times New Roman" w:hint="default"/>
                <w:sz w:val="16"/>
                <w:szCs w:val="16"/>
              </w:rPr>
            </w:pPr>
            <w:r>
              <w:rPr>
                <w:rFonts w:ascii="Times New Roman"/>
                <w:sz w:val="16"/>
              </w:rPr>
              <w:t>713121</w:t>
            </w:r>
          </w:p>
        </w:tc>
        <w:tc>
          <w:tcPr>
            <w:tcW w:w="229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198"/>
              <w:jc w:val="left"/>
              <w:rPr>
                <w:rFonts w:ascii="Times New Roman" w:hAnsi="Times New Roman" w:cs="Times New Roman" w:eastAsia="Times New Roman" w:hint="default"/>
                <w:sz w:val="16"/>
                <w:szCs w:val="16"/>
              </w:rPr>
            </w:pPr>
            <w:r>
              <w:rPr>
                <w:rFonts w:ascii="Times New Roman" w:hAnsi="Times New Roman"/>
                <w:sz w:val="16"/>
              </w:rPr>
              <w:t>Порез на имовину обвезника који не воде пословне</w:t>
            </w:r>
            <w:r>
              <w:rPr>
                <w:rFonts w:ascii="Times New Roman" w:hAnsi="Times New Roman"/>
                <w:spacing w:val="-10"/>
                <w:sz w:val="16"/>
              </w:rPr>
              <w:t> </w:t>
            </w:r>
            <w:r>
              <w:rPr>
                <w:rFonts w:ascii="Times New Roman" w:hAnsi="Times New Roman"/>
                <w:sz w:val="16"/>
              </w:rPr>
              <w:t>књиге</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Times New Roman" w:hAnsi="Times New Roman" w:cs="Times New Roman" w:eastAsia="Times New Roman" w:hint="default"/>
                <w:sz w:val="15"/>
                <w:szCs w:val="15"/>
              </w:rPr>
            </w:pPr>
          </w:p>
          <w:p>
            <w:pPr>
              <w:pStyle w:val="TableParagraph"/>
              <w:spacing w:line="240" w:lineRule="auto"/>
              <w:ind w:left="240" w:right="0"/>
              <w:jc w:val="left"/>
              <w:rPr>
                <w:rFonts w:ascii="Times New Roman" w:hAnsi="Times New Roman" w:cs="Times New Roman" w:eastAsia="Times New Roman" w:hint="default"/>
                <w:sz w:val="16"/>
                <w:szCs w:val="16"/>
              </w:rPr>
            </w:pPr>
            <w:r>
              <w:rPr>
                <w:rFonts w:ascii="Times New Roman"/>
                <w:sz w:val="16"/>
              </w:rPr>
              <w:t>83.634</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Times New Roman" w:hAnsi="Times New Roman" w:cs="Times New Roman" w:eastAsia="Times New Roman" w:hint="default"/>
                <w:sz w:val="15"/>
                <w:szCs w:val="15"/>
              </w:rPr>
            </w:pPr>
          </w:p>
          <w:p>
            <w:pPr>
              <w:pStyle w:val="TableParagraph"/>
              <w:spacing w:line="240" w:lineRule="auto"/>
              <w:ind w:right="54"/>
              <w:jc w:val="right"/>
              <w:rPr>
                <w:rFonts w:ascii="Times New Roman" w:hAnsi="Times New Roman" w:cs="Times New Roman" w:eastAsia="Times New Roman" w:hint="default"/>
                <w:sz w:val="16"/>
                <w:szCs w:val="16"/>
              </w:rPr>
            </w:pPr>
            <w:r>
              <w:rPr>
                <w:rFonts w:ascii="Times New Roman"/>
                <w:spacing w:val="-1"/>
                <w:sz w:val="16"/>
              </w:rPr>
              <w:t>87.799</w:t>
            </w:r>
          </w:p>
        </w:tc>
        <w:tc>
          <w:tcPr>
            <w:tcW w:w="97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Times New Roman" w:hAnsi="Times New Roman" w:cs="Times New Roman" w:eastAsia="Times New Roman" w:hint="default"/>
                <w:sz w:val="15"/>
                <w:szCs w:val="15"/>
              </w:rPr>
            </w:pPr>
          </w:p>
          <w:p>
            <w:pPr>
              <w:pStyle w:val="TableParagraph"/>
              <w:spacing w:line="240" w:lineRule="auto"/>
              <w:ind w:left="338" w:right="0"/>
              <w:jc w:val="left"/>
              <w:rPr>
                <w:rFonts w:ascii="Times New Roman" w:hAnsi="Times New Roman" w:cs="Times New Roman" w:eastAsia="Times New Roman" w:hint="default"/>
                <w:sz w:val="16"/>
                <w:szCs w:val="16"/>
              </w:rPr>
            </w:pPr>
            <w:r>
              <w:rPr>
                <w:rFonts w:ascii="Times New Roman"/>
                <w:sz w:val="16"/>
              </w:rPr>
              <w:t>485.553</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Times New Roman" w:hAnsi="Times New Roman" w:cs="Times New Roman" w:eastAsia="Times New Roman" w:hint="default"/>
                <w:sz w:val="15"/>
                <w:szCs w:val="15"/>
              </w:rPr>
            </w:pPr>
          </w:p>
          <w:p>
            <w:pPr>
              <w:pStyle w:val="TableParagraph"/>
              <w:spacing w:line="240" w:lineRule="auto"/>
              <w:ind w:right="100"/>
              <w:jc w:val="right"/>
              <w:rPr>
                <w:rFonts w:ascii="Times New Roman" w:hAnsi="Times New Roman" w:cs="Times New Roman" w:eastAsia="Times New Roman" w:hint="default"/>
                <w:sz w:val="16"/>
                <w:szCs w:val="16"/>
              </w:rPr>
            </w:pPr>
            <w:r>
              <w:rPr>
                <w:rFonts w:ascii="Times New Roman"/>
                <w:spacing w:val="-1"/>
                <w:sz w:val="16"/>
              </w:rPr>
              <w:t>466.404</w:t>
            </w: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Times New Roman" w:hAnsi="Times New Roman" w:cs="Times New Roman" w:eastAsia="Times New Roman" w:hint="default"/>
                <w:sz w:val="15"/>
                <w:szCs w:val="15"/>
              </w:rPr>
            </w:pPr>
          </w:p>
          <w:p>
            <w:pPr>
              <w:pStyle w:val="TableParagraph"/>
              <w:spacing w:line="240" w:lineRule="auto"/>
              <w:ind w:right="100"/>
              <w:jc w:val="right"/>
              <w:rPr>
                <w:rFonts w:ascii="Times New Roman" w:hAnsi="Times New Roman" w:cs="Times New Roman" w:eastAsia="Times New Roman" w:hint="default"/>
                <w:sz w:val="16"/>
                <w:szCs w:val="16"/>
              </w:rPr>
            </w:pPr>
            <w:r>
              <w:rPr>
                <w:rFonts w:ascii="Times New Roman"/>
                <w:spacing w:val="-1"/>
                <w:sz w:val="16"/>
              </w:rPr>
              <w:t>551.559</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Times New Roman" w:hAnsi="Times New Roman" w:cs="Times New Roman" w:eastAsia="Times New Roman" w:hint="default"/>
                <w:sz w:val="15"/>
                <w:szCs w:val="15"/>
              </w:rPr>
            </w:pPr>
          </w:p>
          <w:p>
            <w:pPr>
              <w:pStyle w:val="TableParagraph"/>
              <w:spacing w:line="240" w:lineRule="auto"/>
              <w:ind w:right="100"/>
              <w:jc w:val="right"/>
              <w:rPr>
                <w:rFonts w:ascii="Times New Roman" w:hAnsi="Times New Roman" w:cs="Times New Roman" w:eastAsia="Times New Roman" w:hint="default"/>
                <w:sz w:val="16"/>
                <w:szCs w:val="16"/>
              </w:rPr>
            </w:pPr>
            <w:r>
              <w:rPr>
                <w:rFonts w:ascii="Times New Roman"/>
                <w:spacing w:val="-2"/>
                <w:sz w:val="16"/>
              </w:rPr>
              <w:t>1.017.963</w:t>
            </w:r>
          </w:p>
        </w:tc>
      </w:tr>
      <w:tr>
        <w:trPr>
          <w:trHeight w:val="380" w:hRule="exact"/>
        </w:trPr>
        <w:tc>
          <w:tcPr>
            <w:tcW w:w="47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
              <w:ind w:right="0"/>
              <w:jc w:val="left"/>
              <w:rPr>
                <w:rFonts w:ascii="Times New Roman" w:hAnsi="Times New Roman" w:cs="Times New Roman" w:eastAsia="Times New Roman" w:hint="default"/>
                <w:sz w:val="15"/>
                <w:szCs w:val="15"/>
              </w:rPr>
            </w:pPr>
          </w:p>
          <w:p>
            <w:pPr>
              <w:pStyle w:val="TableParagraph"/>
              <w:spacing w:line="240" w:lineRule="auto"/>
              <w:ind w:left="143" w:right="0"/>
              <w:jc w:val="left"/>
              <w:rPr>
                <w:rFonts w:ascii="Times New Roman" w:hAnsi="Times New Roman" w:cs="Times New Roman" w:eastAsia="Times New Roman" w:hint="default"/>
                <w:sz w:val="16"/>
                <w:szCs w:val="16"/>
              </w:rPr>
            </w:pPr>
            <w:r>
              <w:rPr>
                <w:rFonts w:ascii="Times New Roman"/>
                <w:w w:val="100"/>
                <w:sz w:val="16"/>
              </w:rPr>
              <w:t>3</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
              <w:ind w:right="0"/>
              <w:jc w:val="left"/>
              <w:rPr>
                <w:rFonts w:ascii="Times New Roman" w:hAnsi="Times New Roman" w:cs="Times New Roman" w:eastAsia="Times New Roman" w:hint="default"/>
                <w:sz w:val="15"/>
                <w:szCs w:val="15"/>
              </w:rPr>
            </w:pPr>
          </w:p>
          <w:p>
            <w:pPr>
              <w:pStyle w:val="TableParagraph"/>
              <w:spacing w:line="240" w:lineRule="auto"/>
              <w:ind w:left="102" w:right="82"/>
              <w:jc w:val="center"/>
              <w:rPr>
                <w:rFonts w:ascii="Times New Roman" w:hAnsi="Times New Roman" w:cs="Times New Roman" w:eastAsia="Times New Roman" w:hint="default"/>
                <w:sz w:val="16"/>
                <w:szCs w:val="16"/>
              </w:rPr>
            </w:pPr>
            <w:r>
              <w:rPr>
                <w:rFonts w:ascii="Times New Roman"/>
                <w:sz w:val="16"/>
              </w:rPr>
              <w:t>713122</w:t>
            </w:r>
          </w:p>
        </w:tc>
        <w:tc>
          <w:tcPr>
            <w:tcW w:w="2293" w:type="dxa"/>
            <w:tcBorders>
              <w:top w:val="single" w:sz="4" w:space="0" w:color="000000"/>
              <w:left w:val="single" w:sz="4" w:space="0" w:color="000000"/>
              <w:bottom w:val="single" w:sz="4" w:space="0" w:color="000000"/>
              <w:right w:val="single" w:sz="4" w:space="0" w:color="000000"/>
            </w:tcBorders>
          </w:tcPr>
          <w:p>
            <w:pPr>
              <w:pStyle w:val="TableParagraph"/>
              <w:spacing w:line="184" w:lineRule="exact"/>
              <w:ind w:left="103" w:right="198"/>
              <w:jc w:val="left"/>
              <w:rPr>
                <w:rFonts w:ascii="Times New Roman" w:hAnsi="Times New Roman" w:cs="Times New Roman" w:eastAsia="Times New Roman" w:hint="default"/>
                <w:sz w:val="16"/>
                <w:szCs w:val="16"/>
              </w:rPr>
            </w:pPr>
            <w:r>
              <w:rPr>
                <w:rFonts w:ascii="Times New Roman" w:hAnsi="Times New Roman"/>
                <w:sz w:val="16"/>
              </w:rPr>
              <w:t>Порез на имовину обвезника који воде пословне</w:t>
            </w:r>
            <w:r>
              <w:rPr>
                <w:rFonts w:ascii="Times New Roman" w:hAnsi="Times New Roman"/>
                <w:spacing w:val="-8"/>
                <w:sz w:val="16"/>
              </w:rPr>
              <w:t> </w:t>
            </w:r>
            <w:r>
              <w:rPr>
                <w:rFonts w:ascii="Times New Roman" w:hAnsi="Times New Roman"/>
                <w:sz w:val="16"/>
              </w:rPr>
              <w:t>књиге</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
              <w:ind w:right="0"/>
              <w:jc w:val="left"/>
              <w:rPr>
                <w:rFonts w:ascii="Times New Roman" w:hAnsi="Times New Roman" w:cs="Times New Roman" w:eastAsia="Times New Roman" w:hint="default"/>
                <w:sz w:val="15"/>
                <w:szCs w:val="15"/>
              </w:rPr>
            </w:pPr>
          </w:p>
          <w:p>
            <w:pPr>
              <w:pStyle w:val="TableParagraph"/>
              <w:spacing w:line="240" w:lineRule="auto"/>
              <w:ind w:right="25"/>
              <w:jc w:val="right"/>
              <w:rPr>
                <w:rFonts w:ascii="Times New Roman" w:hAnsi="Times New Roman" w:cs="Times New Roman" w:eastAsia="Times New Roman" w:hint="default"/>
                <w:sz w:val="16"/>
                <w:szCs w:val="16"/>
              </w:rPr>
            </w:pPr>
            <w:r>
              <w:rPr>
                <w:rFonts w:ascii="Times New Roman"/>
                <w:spacing w:val="-2"/>
                <w:sz w:val="16"/>
              </w:rPr>
              <w:t>85</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
              <w:ind w:right="0"/>
              <w:jc w:val="left"/>
              <w:rPr>
                <w:rFonts w:ascii="Times New Roman" w:hAnsi="Times New Roman" w:cs="Times New Roman" w:eastAsia="Times New Roman" w:hint="default"/>
                <w:sz w:val="15"/>
                <w:szCs w:val="15"/>
              </w:rPr>
            </w:pPr>
          </w:p>
          <w:p>
            <w:pPr>
              <w:pStyle w:val="TableParagraph"/>
              <w:spacing w:line="240" w:lineRule="auto"/>
              <w:ind w:right="54"/>
              <w:jc w:val="right"/>
              <w:rPr>
                <w:rFonts w:ascii="Times New Roman" w:hAnsi="Times New Roman" w:cs="Times New Roman" w:eastAsia="Times New Roman" w:hint="default"/>
                <w:sz w:val="16"/>
                <w:szCs w:val="16"/>
              </w:rPr>
            </w:pPr>
            <w:r>
              <w:rPr>
                <w:rFonts w:ascii="Times New Roman"/>
                <w:spacing w:val="-1"/>
                <w:sz w:val="16"/>
              </w:rPr>
              <w:t>1.097</w:t>
            </w:r>
          </w:p>
        </w:tc>
        <w:tc>
          <w:tcPr>
            <w:tcW w:w="97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
              <w:ind w:right="0"/>
              <w:jc w:val="left"/>
              <w:rPr>
                <w:rFonts w:ascii="Times New Roman" w:hAnsi="Times New Roman" w:cs="Times New Roman" w:eastAsia="Times New Roman" w:hint="default"/>
                <w:sz w:val="15"/>
                <w:szCs w:val="15"/>
              </w:rPr>
            </w:pPr>
          </w:p>
          <w:p>
            <w:pPr>
              <w:pStyle w:val="TableParagraph"/>
              <w:spacing w:line="240" w:lineRule="auto"/>
              <w:ind w:left="338" w:right="0"/>
              <w:jc w:val="left"/>
              <w:rPr>
                <w:rFonts w:ascii="Times New Roman" w:hAnsi="Times New Roman" w:cs="Times New Roman" w:eastAsia="Times New Roman" w:hint="default"/>
                <w:sz w:val="16"/>
                <w:szCs w:val="16"/>
              </w:rPr>
            </w:pPr>
            <w:r>
              <w:rPr>
                <w:rFonts w:ascii="Times New Roman"/>
                <w:sz w:val="16"/>
              </w:rPr>
              <w:t>365.635</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
              <w:ind w:right="0"/>
              <w:jc w:val="left"/>
              <w:rPr>
                <w:rFonts w:ascii="Times New Roman" w:hAnsi="Times New Roman" w:cs="Times New Roman" w:eastAsia="Times New Roman" w:hint="default"/>
                <w:sz w:val="15"/>
                <w:szCs w:val="15"/>
              </w:rPr>
            </w:pPr>
          </w:p>
          <w:p>
            <w:pPr>
              <w:pStyle w:val="TableParagraph"/>
              <w:spacing w:line="240" w:lineRule="auto"/>
              <w:ind w:right="100"/>
              <w:jc w:val="right"/>
              <w:rPr>
                <w:rFonts w:ascii="Times New Roman" w:hAnsi="Times New Roman" w:cs="Times New Roman" w:eastAsia="Times New Roman" w:hint="default"/>
                <w:sz w:val="16"/>
                <w:szCs w:val="16"/>
              </w:rPr>
            </w:pPr>
            <w:r>
              <w:rPr>
                <w:rFonts w:ascii="Times New Roman"/>
                <w:spacing w:val="-1"/>
                <w:sz w:val="16"/>
              </w:rPr>
              <w:t>169.735</w:t>
            </w: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
              <w:ind w:right="0"/>
              <w:jc w:val="left"/>
              <w:rPr>
                <w:rFonts w:ascii="Times New Roman" w:hAnsi="Times New Roman" w:cs="Times New Roman" w:eastAsia="Times New Roman" w:hint="default"/>
                <w:sz w:val="15"/>
                <w:szCs w:val="15"/>
              </w:rPr>
            </w:pPr>
          </w:p>
          <w:p>
            <w:pPr>
              <w:pStyle w:val="TableParagraph"/>
              <w:spacing w:line="240" w:lineRule="auto"/>
              <w:ind w:right="100"/>
              <w:jc w:val="right"/>
              <w:rPr>
                <w:rFonts w:ascii="Times New Roman" w:hAnsi="Times New Roman" w:cs="Times New Roman" w:eastAsia="Times New Roman" w:hint="default"/>
                <w:sz w:val="16"/>
                <w:szCs w:val="16"/>
              </w:rPr>
            </w:pPr>
            <w:r>
              <w:rPr>
                <w:rFonts w:ascii="Times New Roman"/>
                <w:spacing w:val="-1"/>
                <w:sz w:val="16"/>
              </w:rPr>
              <w:t>126.722</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
              <w:ind w:right="0"/>
              <w:jc w:val="left"/>
              <w:rPr>
                <w:rFonts w:ascii="Times New Roman" w:hAnsi="Times New Roman" w:cs="Times New Roman" w:eastAsia="Times New Roman" w:hint="default"/>
                <w:sz w:val="15"/>
                <w:szCs w:val="15"/>
              </w:rPr>
            </w:pPr>
          </w:p>
          <w:p>
            <w:pPr>
              <w:pStyle w:val="TableParagraph"/>
              <w:spacing w:line="240" w:lineRule="auto"/>
              <w:ind w:right="100"/>
              <w:jc w:val="right"/>
              <w:rPr>
                <w:rFonts w:ascii="Times New Roman" w:hAnsi="Times New Roman" w:cs="Times New Roman" w:eastAsia="Times New Roman" w:hint="default"/>
                <w:sz w:val="16"/>
                <w:szCs w:val="16"/>
              </w:rPr>
            </w:pPr>
            <w:r>
              <w:rPr>
                <w:rFonts w:ascii="Times New Roman"/>
                <w:spacing w:val="-1"/>
                <w:sz w:val="16"/>
              </w:rPr>
              <w:t>296.457</w:t>
            </w:r>
          </w:p>
        </w:tc>
      </w:tr>
      <w:tr>
        <w:trPr>
          <w:trHeight w:val="194" w:hRule="exact"/>
        </w:trPr>
        <w:tc>
          <w:tcPr>
            <w:tcW w:w="3469" w:type="dxa"/>
            <w:gridSpan w:val="3"/>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0"/>
              <w:jc w:val="left"/>
              <w:rPr>
                <w:rFonts w:ascii="Times New Roman" w:hAnsi="Times New Roman" w:cs="Times New Roman" w:eastAsia="Times New Roman" w:hint="default"/>
                <w:sz w:val="16"/>
                <w:szCs w:val="16"/>
              </w:rPr>
            </w:pPr>
            <w:r>
              <w:rPr>
                <w:rFonts w:ascii="Times New Roman" w:hAnsi="Times New Roman"/>
                <w:b/>
                <w:sz w:val="16"/>
              </w:rPr>
              <w:t>УКУПНО</w:t>
            </w:r>
            <w:r>
              <w:rPr>
                <w:rFonts w:ascii="Times New Roman" w:hAnsi="Times New Roman"/>
                <w:b/>
                <w:spacing w:val="2"/>
                <w:sz w:val="16"/>
              </w:rPr>
              <w:t> </w:t>
            </w:r>
            <w:r>
              <w:rPr>
                <w:rFonts w:ascii="Times New Roman" w:hAnsi="Times New Roman"/>
                <w:b/>
                <w:sz w:val="16"/>
              </w:rPr>
              <w:t>(1</w:t>
            </w:r>
            <w:r>
              <w:rPr>
                <w:rFonts w:ascii="Times New Roman" w:hAnsi="Times New Roman"/>
                <w:b/>
                <w:sz w:val="16"/>
              </w:rPr>
              <w:t>-3)</w:t>
            </w:r>
            <w:r>
              <w:rPr>
                <w:rFonts w:ascii="Times New Roman" w:hAnsi="Times New Roman"/>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208" w:right="0"/>
              <w:jc w:val="left"/>
              <w:rPr>
                <w:rFonts w:ascii="Times New Roman" w:hAnsi="Times New Roman" w:cs="Times New Roman" w:eastAsia="Times New Roman" w:hint="default"/>
                <w:sz w:val="16"/>
                <w:szCs w:val="16"/>
              </w:rPr>
            </w:pPr>
            <w:r>
              <w:rPr>
                <w:rFonts w:ascii="Times New Roman"/>
                <w:b/>
                <w:sz w:val="16"/>
              </w:rPr>
              <w:t>84.722</w:t>
            </w:r>
            <w:r>
              <w:rPr>
                <w:rFonts w:ascii="Times New Roman"/>
                <w:sz w:val="16"/>
              </w:rPr>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97"/>
              <w:jc w:val="right"/>
              <w:rPr>
                <w:rFonts w:ascii="Times New Roman" w:hAnsi="Times New Roman" w:cs="Times New Roman" w:eastAsia="Times New Roman" w:hint="default"/>
                <w:sz w:val="16"/>
                <w:szCs w:val="16"/>
              </w:rPr>
            </w:pPr>
            <w:r>
              <w:rPr>
                <w:rFonts w:ascii="Times New Roman"/>
                <w:b/>
                <w:spacing w:val="-1"/>
                <w:sz w:val="16"/>
              </w:rPr>
              <w:t>88.896</w:t>
            </w:r>
            <w:r>
              <w:rPr>
                <w:rFonts w:ascii="Times New Roman"/>
                <w:spacing w:val="-1"/>
                <w:sz w:val="16"/>
              </w:rPr>
            </w:r>
          </w:p>
        </w:tc>
        <w:tc>
          <w:tcPr>
            <w:tcW w:w="972"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4"/>
              <w:jc w:val="right"/>
              <w:rPr>
                <w:rFonts w:ascii="Times New Roman" w:hAnsi="Times New Roman" w:cs="Times New Roman" w:eastAsia="Times New Roman" w:hint="default"/>
                <w:sz w:val="16"/>
                <w:szCs w:val="16"/>
              </w:rPr>
            </w:pPr>
            <w:r>
              <w:rPr>
                <w:rFonts w:ascii="Times New Roman"/>
                <w:b/>
                <w:spacing w:val="-1"/>
                <w:sz w:val="16"/>
              </w:rPr>
              <w:t>863.477</w:t>
            </w:r>
            <w:r>
              <w:rPr>
                <w:rFonts w:ascii="Times New Roman"/>
                <w:spacing w:val="-1"/>
                <w:sz w:val="16"/>
              </w:rPr>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b/>
                <w:spacing w:val="-1"/>
                <w:sz w:val="16"/>
              </w:rPr>
              <w:t>664.604</w:t>
            </w:r>
            <w:r>
              <w:rPr>
                <w:rFonts w:ascii="Times New Roman"/>
                <w:spacing w:val="-1"/>
                <w:sz w:val="16"/>
              </w:rPr>
            </w: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b/>
                <w:spacing w:val="-1"/>
                <w:sz w:val="16"/>
              </w:rPr>
              <w:t>697.967</w:t>
            </w:r>
            <w:r>
              <w:rPr>
                <w:rFonts w:ascii="Times New Roman"/>
                <w:spacing w:val="-1"/>
                <w:sz w:val="16"/>
              </w:rPr>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b/>
                <w:spacing w:val="-1"/>
                <w:sz w:val="16"/>
              </w:rPr>
              <w:t>1.362.571</w:t>
            </w:r>
            <w:r>
              <w:rPr>
                <w:rFonts w:ascii="Times New Roman"/>
                <w:spacing w:val="-1"/>
                <w:sz w:val="16"/>
              </w:rPr>
            </w:r>
          </w:p>
        </w:tc>
      </w:tr>
    </w:tbl>
    <w:p>
      <w:pPr>
        <w:pStyle w:val="BodyText"/>
        <w:spacing w:line="240" w:lineRule="auto"/>
        <w:ind w:right="337" w:firstLine="566"/>
        <w:jc w:val="both"/>
      </w:pPr>
      <w:r>
        <w:rPr>
          <w:rFonts w:ascii="Times New Roman" w:hAnsi="Times New Roman"/>
        </w:rPr>
      </w:r>
      <w:r>
        <w:rPr>
          <w:rFonts w:ascii="Times New Roman" w:hAnsi="Times New Roman"/>
          <w:spacing w:val="-60"/>
          <w:u w:val="single" w:color="000000"/>
        </w:rPr>
        <w:t> </w:t>
      </w:r>
      <w:r>
        <w:rPr>
          <w:u w:val="single" w:color="000000"/>
        </w:rPr>
        <w:t>Порез на земљиште (уплатни рачун 711147) </w:t>
      </w:r>
      <w:r>
        <w:rPr>
          <w:rFonts w:ascii="Times New Roman" w:hAnsi="Times New Roman"/>
          <w:u w:val="single" w:color="000000"/>
        </w:rPr>
        <w:t>- </w:t>
      </w:r>
      <w:r>
        <w:rPr>
          <w:rFonts w:ascii="Times New Roman" w:hAnsi="Times New Roman"/>
        </w:rPr>
      </w:r>
      <w:r>
        <w:rPr/>
        <w:t>У 2014. години остварен је приход по овом основу у износу од 12.289 хиљада динара. Стање потраживања Града на дан 31.12.2014. године износи 48.151 хиљада динара, од чега се 28.465  хиљада  динара односи на главни дуг, а 19.686 хиљада динара на</w:t>
      </w:r>
      <w:r>
        <w:rPr>
          <w:spacing w:val="-15"/>
        </w:rPr>
        <w:t> </w:t>
      </w:r>
      <w:r>
        <w:rPr/>
        <w:t>камату.</w:t>
      </w: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1"/>
          <w:szCs w:val="21"/>
        </w:rPr>
      </w:pPr>
      <w:r>
        <w:rPr/>
        <w:pict>
          <v:group style="position:absolute;margin-left:78.024002pt;margin-top:13.325252pt;width:144.050pt;height:.1pt;mso-position-horizontal-relative:page;mso-position-vertical-relative:paragraph;z-index:1312;mso-wrap-distance-left:0;mso-wrap-distance-right:0" coordorigin="1560,267" coordsize="2881,2">
            <v:shape style="position:absolute;left:1560;top:267;width:2881;height:2" coordorigin="1560,267" coordsize="2881,0" path="m1560,267l4441,267e" filled="false" stroked="true" strokeweight=".60004pt" strokecolor="#000000">
              <v:path arrowok="t"/>
            </v:shape>
            <w10:wrap type="topAndBottom"/>
          </v:group>
        </w:pict>
      </w:r>
    </w:p>
    <w:p>
      <w:pPr>
        <w:spacing w:line="223" w:lineRule="auto" w:before="64"/>
        <w:ind w:left="160" w:right="5289" w:firstLine="0"/>
        <w:jc w:val="both"/>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18 </w:t>
      </w:r>
      <w:r>
        <w:rPr>
          <w:rFonts w:ascii="Times New Roman" w:hAnsi="Times New Roman" w:cs="Times New Roman" w:eastAsia="Times New Roman" w:hint="default"/>
          <w:sz w:val="16"/>
          <w:szCs w:val="16"/>
        </w:rPr>
        <w:t>„Службени гласник Републике Србије“ број 62/06...</w:t>
      </w:r>
      <w:r>
        <w:rPr>
          <w:rFonts w:ascii="Times New Roman" w:hAnsi="Times New Roman" w:cs="Times New Roman" w:eastAsia="Times New Roman" w:hint="default"/>
          <w:sz w:val="16"/>
          <w:szCs w:val="16"/>
        </w:rPr>
        <w:t>125/2014 </w:t>
      </w:r>
      <w:r>
        <w:rPr>
          <w:rFonts w:ascii="Times New Roman" w:hAnsi="Times New Roman" w:cs="Times New Roman" w:eastAsia="Times New Roman" w:hint="default"/>
          <w:position w:val="7"/>
          <w:sz w:val="10"/>
          <w:szCs w:val="10"/>
        </w:rPr>
        <w:t>19 </w:t>
      </w:r>
      <w:r>
        <w:rPr>
          <w:rFonts w:ascii="Times New Roman" w:hAnsi="Times New Roman" w:cs="Times New Roman" w:eastAsia="Times New Roman" w:hint="default"/>
          <w:sz w:val="16"/>
          <w:szCs w:val="16"/>
        </w:rPr>
        <w:t>„Службени гласник Републике Србије“ број 80/02...108/2013 </w:t>
      </w:r>
      <w:r>
        <w:rPr>
          <w:rFonts w:ascii="Times New Roman" w:hAnsi="Times New Roman" w:cs="Times New Roman" w:eastAsia="Times New Roman" w:hint="default"/>
          <w:position w:val="7"/>
          <w:sz w:val="10"/>
          <w:szCs w:val="10"/>
        </w:rPr>
        <w:t>20 </w:t>
      </w:r>
      <w:r>
        <w:rPr>
          <w:rFonts w:ascii="Times New Roman" w:hAnsi="Times New Roman" w:cs="Times New Roman" w:eastAsia="Times New Roman" w:hint="default"/>
          <w:sz w:val="16"/>
          <w:szCs w:val="16"/>
        </w:rPr>
        <w:t>„Службени гласник Републике Србије“ број</w:t>
      </w:r>
      <w:r>
        <w:rPr>
          <w:rFonts w:ascii="Times New Roman" w:hAnsi="Times New Roman" w:cs="Times New Roman" w:eastAsia="Times New Roman" w:hint="default"/>
          <w:spacing w:val="-10"/>
          <w:sz w:val="16"/>
          <w:szCs w:val="16"/>
        </w:rPr>
        <w:t> </w:t>
      </w:r>
      <w:r>
        <w:rPr>
          <w:rFonts w:ascii="Times New Roman" w:hAnsi="Times New Roman" w:cs="Times New Roman" w:eastAsia="Times New Roman" w:hint="default"/>
          <w:sz w:val="16"/>
          <w:szCs w:val="16"/>
        </w:rPr>
        <w:t>26/01...47/2013</w:t>
      </w:r>
    </w:p>
    <w:p>
      <w:pPr>
        <w:spacing w:line="180" w:lineRule="exact" w:before="0"/>
        <w:ind w:left="160" w:right="0" w:firstLine="0"/>
        <w:jc w:val="both"/>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21 </w:t>
      </w:r>
      <w:r>
        <w:rPr>
          <w:rFonts w:ascii="Times New Roman" w:hAnsi="Times New Roman" w:cs="Times New Roman" w:eastAsia="Times New Roman" w:hint="default"/>
          <w:sz w:val="16"/>
          <w:szCs w:val="16"/>
        </w:rPr>
        <w:t>„Службени лист СРЈ“ број 33/97 и 31/01 и „Службени гласник Републике Србије“ број</w:t>
      </w:r>
      <w:r>
        <w:rPr>
          <w:rFonts w:ascii="Times New Roman" w:hAnsi="Times New Roman" w:cs="Times New Roman" w:eastAsia="Times New Roman" w:hint="default"/>
          <w:spacing w:val="-22"/>
          <w:sz w:val="16"/>
          <w:szCs w:val="16"/>
        </w:rPr>
        <w:t> </w:t>
      </w:r>
      <w:r>
        <w:rPr>
          <w:rFonts w:ascii="Times New Roman" w:hAnsi="Times New Roman" w:cs="Times New Roman" w:eastAsia="Times New Roman" w:hint="default"/>
          <w:sz w:val="16"/>
          <w:szCs w:val="16"/>
        </w:rPr>
        <w:t>30/10</w:t>
      </w:r>
    </w:p>
    <w:p>
      <w:pPr>
        <w:spacing w:line="223" w:lineRule="auto" w:before="4"/>
        <w:ind w:left="160" w:right="6510" w:firstLine="0"/>
        <w:jc w:val="both"/>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22 </w:t>
      </w:r>
      <w:r>
        <w:rPr>
          <w:rFonts w:ascii="Times New Roman" w:hAnsi="Times New Roman" w:cs="Times New Roman" w:eastAsia="Times New Roman" w:hint="default"/>
          <w:sz w:val="16"/>
          <w:szCs w:val="16"/>
        </w:rPr>
        <w:t>„Службени лист града Ниша“ број 90/2013 </w:t>
      </w:r>
      <w:r>
        <w:rPr>
          <w:rFonts w:ascii="Times New Roman" w:hAnsi="Times New Roman" w:cs="Times New Roman" w:eastAsia="Times New Roman" w:hint="default"/>
          <w:position w:val="7"/>
          <w:sz w:val="10"/>
          <w:szCs w:val="10"/>
        </w:rPr>
        <w:t>23 </w:t>
      </w:r>
      <w:r>
        <w:rPr>
          <w:rFonts w:ascii="Times New Roman" w:hAnsi="Times New Roman" w:cs="Times New Roman" w:eastAsia="Times New Roman" w:hint="default"/>
          <w:sz w:val="16"/>
          <w:szCs w:val="16"/>
        </w:rPr>
        <w:t>„Службени лист града Ниша“ број 90/2013 </w:t>
      </w:r>
      <w:r>
        <w:rPr>
          <w:rFonts w:ascii="Times New Roman" w:hAnsi="Times New Roman" w:cs="Times New Roman" w:eastAsia="Times New Roman" w:hint="default"/>
          <w:position w:val="7"/>
          <w:sz w:val="10"/>
          <w:szCs w:val="10"/>
        </w:rPr>
        <w:t>24 </w:t>
      </w:r>
      <w:r>
        <w:rPr>
          <w:rFonts w:ascii="Times New Roman" w:hAnsi="Times New Roman" w:cs="Times New Roman" w:eastAsia="Times New Roman" w:hint="default"/>
          <w:sz w:val="16"/>
          <w:szCs w:val="16"/>
        </w:rPr>
        <w:t>„Службени лист града Ниша“ број 90/2013 </w:t>
      </w:r>
      <w:r>
        <w:rPr>
          <w:rFonts w:ascii="Times New Roman" w:hAnsi="Times New Roman" w:cs="Times New Roman" w:eastAsia="Times New Roman" w:hint="default"/>
          <w:position w:val="7"/>
          <w:sz w:val="10"/>
          <w:szCs w:val="10"/>
        </w:rPr>
        <w:t>25 </w:t>
      </w:r>
      <w:r>
        <w:rPr>
          <w:rFonts w:ascii="Times New Roman" w:hAnsi="Times New Roman" w:cs="Times New Roman" w:eastAsia="Times New Roman" w:hint="default"/>
          <w:sz w:val="16"/>
          <w:szCs w:val="16"/>
        </w:rPr>
        <w:t>„Службени лист града Ниша“ број 90/2013 </w:t>
      </w:r>
      <w:r>
        <w:rPr>
          <w:rFonts w:ascii="Times New Roman" w:hAnsi="Times New Roman" w:cs="Times New Roman" w:eastAsia="Times New Roman" w:hint="default"/>
          <w:position w:val="7"/>
          <w:sz w:val="10"/>
          <w:szCs w:val="10"/>
        </w:rPr>
        <w:t>26 </w:t>
      </w:r>
      <w:r>
        <w:rPr>
          <w:rFonts w:ascii="Times New Roman" w:hAnsi="Times New Roman" w:cs="Times New Roman" w:eastAsia="Times New Roman" w:hint="default"/>
          <w:sz w:val="16"/>
          <w:szCs w:val="16"/>
        </w:rPr>
        <w:t>„Службени лист града Ниша“ број 90/2013 </w:t>
      </w:r>
      <w:r>
        <w:rPr>
          <w:rFonts w:ascii="Times New Roman" w:hAnsi="Times New Roman" w:cs="Times New Roman" w:eastAsia="Times New Roman" w:hint="default"/>
          <w:position w:val="7"/>
          <w:sz w:val="10"/>
          <w:szCs w:val="10"/>
        </w:rPr>
        <w:t>27  </w:t>
      </w:r>
      <w:r>
        <w:rPr>
          <w:rFonts w:ascii="Times New Roman" w:hAnsi="Times New Roman" w:cs="Times New Roman" w:eastAsia="Times New Roman" w:hint="default"/>
          <w:sz w:val="16"/>
          <w:szCs w:val="16"/>
        </w:rPr>
        <w:t>„Службени лист града Ниша“ број</w:t>
      </w:r>
      <w:r>
        <w:rPr>
          <w:rFonts w:ascii="Times New Roman" w:hAnsi="Times New Roman" w:cs="Times New Roman" w:eastAsia="Times New Roman" w:hint="default"/>
          <w:spacing w:val="-26"/>
          <w:sz w:val="16"/>
          <w:szCs w:val="16"/>
        </w:rPr>
        <w:t> </w:t>
      </w:r>
      <w:r>
        <w:rPr>
          <w:rFonts w:ascii="Times New Roman" w:hAnsi="Times New Roman" w:cs="Times New Roman" w:eastAsia="Times New Roman" w:hint="default"/>
          <w:sz w:val="16"/>
          <w:szCs w:val="16"/>
        </w:rPr>
        <w:t>95/2013</w:t>
      </w:r>
    </w:p>
    <w:p>
      <w:pPr>
        <w:spacing w:after="0" w:line="223" w:lineRule="auto"/>
        <w:jc w:val="both"/>
        <w:rPr>
          <w:rFonts w:ascii="Times New Roman" w:hAnsi="Times New Roman" w:cs="Times New Roman" w:eastAsia="Times New Roman" w:hint="default"/>
          <w:sz w:val="16"/>
          <w:szCs w:val="16"/>
        </w:rPr>
        <w:sectPr>
          <w:pgSz w:w="12240" w:h="15840"/>
          <w:pgMar w:header="740" w:footer="1274" w:top="1280" w:bottom="1460" w:left="1400" w:right="1100"/>
        </w:sectPr>
      </w:pPr>
    </w:p>
    <w:p>
      <w:pPr>
        <w:pStyle w:val="BodyText"/>
        <w:spacing w:line="240" w:lineRule="auto" w:before="122"/>
        <w:ind w:right="175"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Порез на имовину обвезника </w:t>
      </w:r>
      <w:r>
        <w:rPr>
          <w:spacing w:val="-4"/>
          <w:u w:val="single" w:color="000000"/>
        </w:rPr>
        <w:t>који </w:t>
      </w:r>
      <w:r>
        <w:rPr>
          <w:u w:val="single" w:color="000000"/>
        </w:rPr>
        <w:t>не </w:t>
      </w:r>
      <w:r>
        <w:rPr>
          <w:spacing w:val="-3"/>
          <w:u w:val="single" w:color="000000"/>
        </w:rPr>
        <w:t>воде </w:t>
      </w:r>
      <w:r>
        <w:rPr>
          <w:u w:val="single" w:color="000000"/>
        </w:rPr>
        <w:t>пословне књиге (уплатни рачун 713121) </w:t>
      </w:r>
      <w:r>
        <w:rPr/>
        <w:t>– </w:t>
      </w:r>
      <w:r>
        <w:rPr/>
        <w:t>Управа за финансије, изворне приходе локалне самоуправе и јавне набавке издала је 87.799 решења у износу од 536.238 хиљада динара, што је више од претходне, 2013. године, када је издато 83.634 решења у износу од 268.620 хиљада динара. У 2014. години остварен је приход по овом основу у износу од 485.553 хиљаде динара</w:t>
      </w:r>
      <w:r>
        <w:rPr>
          <w:rFonts w:ascii="Times New Roman" w:hAnsi="Times New Roman" w:cs="Times New Roman" w:eastAsia="Times New Roman" w:hint="default"/>
        </w:rPr>
        <w:t>. </w:t>
      </w:r>
      <w:r>
        <w:rPr/>
        <w:t>Стање потраживања Града на дан 31.12.2014. године износи 1.017.963 хиљаде динара, од чега</w:t>
      </w:r>
      <w:r>
        <w:rPr>
          <w:spacing w:val="15"/>
        </w:rPr>
        <w:t> </w:t>
      </w:r>
      <w:r>
        <w:rPr/>
        <w:t>се</w:t>
      </w:r>
    </w:p>
    <w:p>
      <w:pPr>
        <w:pStyle w:val="BodyText"/>
        <w:spacing w:line="240" w:lineRule="auto"/>
        <w:ind w:right="184"/>
        <w:jc w:val="both"/>
      </w:pPr>
      <w:r>
        <w:rPr/>
        <w:t>466.404 хиљаде динара односи на главни дуг, а 551.559 хиљада динара на камату. У 2014. години, Град је, ради наплате неизмирених потраживања, послао 2.026 опомена и спровео пет принудних</w:t>
      </w:r>
      <w:r>
        <w:rPr>
          <w:spacing w:val="-12"/>
        </w:rPr>
        <w:t> </w:t>
      </w:r>
      <w:r>
        <w:rPr/>
        <w:t>наплата.</w:t>
      </w:r>
    </w:p>
    <w:p>
      <w:pPr>
        <w:pStyle w:val="BodyText"/>
        <w:spacing w:line="240" w:lineRule="auto"/>
        <w:ind w:right="175"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Порез на имовину обвезника који воде пословне књиге (уплатни рачун 713122) </w:t>
      </w:r>
      <w:r>
        <w:rPr/>
        <w:t>– У </w:t>
      </w:r>
      <w:r>
        <w:rPr/>
        <w:t>2014. години поднето је 1.097 пореских пријава у износу од 409.510 хиљада динара, што је више од претходне, 2013. године, када је издато 851 решење у износу од 204.713 хиљада динара. У 2014. години остварен је приход по овом основу у износу од 365.635 хиљада динара. Стање потраживања Града на дан 31.12.2014. године износи 296.457 хиљада динара, од чега се 169.735 хиљада динара односи на главни дуг, а 126.722 хиљаде динара на камату. У 2014. години, Град је, ради наплате неизмирених потраживања, послао 548 опомена и спровео 171 принудну</w:t>
      </w:r>
      <w:r>
        <w:rPr>
          <w:spacing w:val="-18"/>
        </w:rPr>
        <w:t> </w:t>
      </w:r>
      <w:r>
        <w:rPr/>
        <w:t>наплату.</w:t>
      </w:r>
    </w:p>
    <w:p>
      <w:pPr>
        <w:spacing w:before="0"/>
        <w:ind w:left="160" w:right="178"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је у Одсеку за утврђивање, наплату и контролу изворних прихода локалне самоуправе распоређено једно лице за вршење теренске контроле. Град не врши адекватну контролу утврђивања пореских</w:t>
      </w:r>
      <w:r>
        <w:rPr>
          <w:rFonts w:ascii="Times New Roman" w:hAnsi="Times New Roman"/>
          <w:spacing w:val="-7"/>
          <w:sz w:val="24"/>
        </w:rPr>
        <w:t> </w:t>
      </w:r>
      <w:r>
        <w:rPr>
          <w:rFonts w:ascii="Times New Roman" w:hAnsi="Times New Roman"/>
          <w:sz w:val="24"/>
        </w:rPr>
        <w:t>обвезника.</w:t>
      </w:r>
    </w:p>
    <w:p>
      <w:pPr>
        <w:pStyle w:val="Heading2"/>
        <w:spacing w:line="240" w:lineRule="auto"/>
        <w:ind w:right="182"/>
        <w:jc w:val="both"/>
        <w:rPr>
          <w:b w:val="0"/>
          <w:bCs w:val="0"/>
          <w:i w:val="0"/>
        </w:rPr>
      </w:pPr>
      <w:r>
        <w:rPr>
          <w:i/>
        </w:rPr>
        <w:t>Препоручује се одговорним лицима да спроводе контролу утврђивања и наплате јавних</w:t>
      </w:r>
      <w:r>
        <w:rPr>
          <w:i/>
          <w:spacing w:val="-7"/>
        </w:rPr>
        <w:t> </w:t>
      </w:r>
      <w:r>
        <w:rPr>
          <w:i/>
        </w:rPr>
        <w:t>прихода.</w:t>
      </w:r>
      <w:r>
        <w:rPr>
          <w:b w:val="0"/>
          <w:i w:val="0"/>
        </w:rPr>
      </w:r>
    </w:p>
    <w:p>
      <w:pPr>
        <w:pStyle w:val="ListParagraph"/>
        <w:numPr>
          <w:ilvl w:val="3"/>
          <w:numId w:val="21"/>
        </w:numPr>
        <w:tabs>
          <w:tab w:pos="1010" w:val="left" w:leader="none"/>
        </w:tabs>
        <w:spacing w:line="276" w:lineRule="exact" w:before="135" w:after="0"/>
        <w:ind w:left="160" w:right="176" w:firstLine="566"/>
        <w:jc w:val="both"/>
        <w:rPr>
          <w:rFonts w:ascii="Times New Roman" w:hAnsi="Times New Roman" w:cs="Times New Roman" w:eastAsia="Times New Roman" w:hint="default"/>
          <w:sz w:val="24"/>
          <w:szCs w:val="24"/>
        </w:rPr>
      </w:pPr>
      <w:r>
        <w:rPr>
          <w:rFonts w:ascii="Times New Roman" w:hAnsi="Times New Roman"/>
          <w:b/>
          <w:sz w:val="24"/>
        </w:rPr>
        <w:t>Локалне комуналне таксе </w:t>
      </w:r>
      <w:r>
        <w:rPr>
          <w:rFonts w:ascii="Times New Roman" w:hAnsi="Times New Roman"/>
          <w:b/>
          <w:sz w:val="24"/>
        </w:rPr>
        <w:t>- </w:t>
      </w:r>
      <w:r>
        <w:rPr>
          <w:rFonts w:ascii="Times New Roman" w:hAnsi="Times New Roman"/>
          <w:sz w:val="24"/>
        </w:rPr>
        <w:t>У 2014. години локалне комуналне таксе утврђују се и наплаћују на основу Одлуке о локалним комуналним таксама</w:t>
      </w:r>
      <w:r>
        <w:rPr>
          <w:rFonts w:ascii="Times New Roman" w:hAnsi="Times New Roman"/>
          <w:position w:val="11"/>
          <w:sz w:val="16"/>
        </w:rPr>
        <w:t>28</w:t>
      </w:r>
      <w:r>
        <w:rPr>
          <w:rFonts w:ascii="Times New Roman" w:hAnsi="Times New Roman"/>
          <w:sz w:val="24"/>
        </w:rPr>
        <w:t>, Одлуке о изменама и допунама Одлуке о локалним комуналним таксама</w:t>
      </w:r>
      <w:r>
        <w:rPr>
          <w:rFonts w:ascii="Times New Roman" w:hAnsi="Times New Roman"/>
          <w:position w:val="11"/>
          <w:sz w:val="16"/>
        </w:rPr>
        <w:t>29 </w:t>
      </w:r>
      <w:r>
        <w:rPr>
          <w:rFonts w:ascii="Times New Roman" w:hAnsi="Times New Roman"/>
          <w:sz w:val="24"/>
        </w:rPr>
        <w:t>и Одлуке о изменама Одлуке о локалним комуналним таксама</w:t>
      </w:r>
      <w:r>
        <w:rPr>
          <w:rFonts w:ascii="Times New Roman" w:hAnsi="Times New Roman"/>
          <w:position w:val="11"/>
          <w:sz w:val="16"/>
        </w:rPr>
        <w:t>30</w:t>
      </w:r>
      <w:r>
        <w:rPr>
          <w:rFonts w:ascii="Times New Roman" w:hAnsi="Times New Roman"/>
          <w:sz w:val="24"/>
        </w:rPr>
        <w:t>. Одлуком о локалним комуналним таксама уведене су таксе</w:t>
      </w:r>
      <w:r>
        <w:rPr>
          <w:rFonts w:ascii="Times New Roman" w:hAnsi="Times New Roman"/>
          <w:spacing w:val="-4"/>
          <w:sz w:val="24"/>
        </w:rPr>
        <w:t> </w:t>
      </w:r>
      <w:r>
        <w:rPr>
          <w:rFonts w:ascii="Times New Roman" w:hAnsi="Times New Roman"/>
          <w:sz w:val="24"/>
        </w:rPr>
        <w:t>за:</w:t>
      </w:r>
    </w:p>
    <w:p>
      <w:pPr>
        <w:pStyle w:val="BodyText"/>
        <w:spacing w:line="273" w:lineRule="exact"/>
        <w:ind w:left="726" w:right="141"/>
        <w:jc w:val="left"/>
        <w:rPr>
          <w:rFonts w:ascii="Times New Roman" w:hAnsi="Times New Roman" w:cs="Times New Roman" w:eastAsia="Times New Roman" w:hint="default"/>
        </w:rPr>
      </w:pPr>
      <w:r>
        <w:rPr>
          <w:rFonts w:ascii="Times New Roman" w:hAnsi="Times New Roman" w:cs="Times New Roman" w:eastAsia="Times New Roman" w:hint="default"/>
        </w:rPr>
        <w:t>-</w:t>
      </w:r>
      <w:r>
        <w:rPr/>
        <w:t>истицање фирме на пословном простору – тарифни број</w:t>
      </w:r>
      <w:r>
        <w:rPr>
          <w:spacing w:val="-11"/>
        </w:rPr>
        <w:t> </w:t>
      </w:r>
      <w:r>
        <w:rPr/>
        <w:t>1</w:t>
      </w:r>
      <w:r>
        <w:rPr>
          <w:rFonts w:ascii="Times New Roman" w:hAnsi="Times New Roman" w:cs="Times New Roman" w:eastAsia="Times New Roman" w:hint="default"/>
        </w:rPr>
        <w:t>,</w:t>
      </w:r>
    </w:p>
    <w:p>
      <w:pPr>
        <w:pStyle w:val="BodyText"/>
        <w:spacing w:line="240" w:lineRule="auto"/>
        <w:ind w:right="181" w:firstLine="566"/>
        <w:jc w:val="both"/>
        <w:rPr>
          <w:rFonts w:ascii="Times New Roman" w:hAnsi="Times New Roman" w:cs="Times New Roman" w:eastAsia="Times New Roman" w:hint="default"/>
        </w:rPr>
      </w:pPr>
      <w:r>
        <w:rPr>
          <w:rFonts w:ascii="Times New Roman" w:hAnsi="Times New Roman" w:cs="Times New Roman" w:eastAsia="Times New Roman" w:hint="default"/>
        </w:rPr>
        <w:t>-</w:t>
      </w:r>
      <w:r>
        <w:rPr/>
        <w:t>коришћење рекламних паноа, укључујући и истицање и исписивање фирме ван пословног простора на објектима и просторима који припадају јединици локалне самоуправе (коловози, тротоари, зелене површине, бандере и слично) – тарифни број</w:t>
      </w:r>
      <w:r>
        <w:rPr>
          <w:spacing w:val="-17"/>
        </w:rPr>
        <w:t> </w:t>
      </w:r>
      <w:r>
        <w:rPr/>
        <w:t>2</w:t>
      </w:r>
      <w:r>
        <w:rPr>
          <w:rFonts w:ascii="Times New Roman" w:hAnsi="Times New Roman" w:cs="Times New Roman" w:eastAsia="Times New Roman" w:hint="default"/>
        </w:rPr>
        <w:t>,</w:t>
      </w:r>
    </w:p>
    <w:p>
      <w:pPr>
        <w:pStyle w:val="BodyText"/>
        <w:spacing w:line="240" w:lineRule="auto"/>
        <w:ind w:right="176" w:firstLine="566"/>
        <w:jc w:val="both"/>
        <w:rPr>
          <w:rFonts w:ascii="Times New Roman" w:hAnsi="Times New Roman" w:cs="Times New Roman" w:eastAsia="Times New Roman" w:hint="default"/>
        </w:rPr>
      </w:pPr>
      <w:r>
        <w:rPr>
          <w:rFonts w:ascii="Times New Roman" w:hAnsi="Times New Roman" w:cs="Times New Roman" w:eastAsia="Times New Roman" w:hint="default"/>
        </w:rPr>
        <w:t>-</w:t>
      </w:r>
      <w:r>
        <w:rPr/>
        <w:t>држање моторних друмских и прикључних возила, осим пољопривредних возила и машина – тарифни број</w:t>
      </w:r>
      <w:r>
        <w:rPr>
          <w:spacing w:val="-6"/>
        </w:rPr>
        <w:t> </w:t>
      </w:r>
      <w:r>
        <w:rPr/>
        <w:t>3</w:t>
      </w:r>
      <w:r>
        <w:rPr>
          <w:rFonts w:ascii="Times New Roman" w:hAnsi="Times New Roman" w:cs="Times New Roman" w:eastAsia="Times New Roman" w:hint="default"/>
        </w:rPr>
        <w:t>,</w:t>
      </w:r>
    </w:p>
    <w:p>
      <w:pPr>
        <w:pStyle w:val="BodyText"/>
        <w:spacing w:line="240" w:lineRule="auto"/>
        <w:ind w:right="176" w:firstLine="566"/>
        <w:jc w:val="both"/>
        <w:rPr>
          <w:rFonts w:ascii="Times New Roman" w:hAnsi="Times New Roman" w:cs="Times New Roman" w:eastAsia="Times New Roman" w:hint="default"/>
        </w:rPr>
      </w:pPr>
      <w:r>
        <w:rPr>
          <w:rFonts w:ascii="Times New Roman" w:hAnsi="Times New Roman" w:cs="Times New Roman" w:eastAsia="Times New Roman" w:hint="default"/>
        </w:rPr>
        <w:t>-</w:t>
      </w:r>
      <w:r>
        <w:rPr/>
        <w:t>коришћење простора на јавним површинама или испред пословних просторија у пословне сврхе, осим ради продаје штампе, књига и других публикација, производа старих и уметничких заната и домаће радиности – тарифни број</w:t>
      </w:r>
      <w:r>
        <w:rPr>
          <w:spacing w:val="-13"/>
        </w:rPr>
        <w:t> </w:t>
      </w:r>
      <w:r>
        <w:rPr/>
        <w:t>4</w:t>
      </w:r>
      <w:r>
        <w:rPr>
          <w:rFonts w:ascii="Times New Roman" w:hAnsi="Times New Roman" w:cs="Times New Roman" w:eastAsia="Times New Roman" w:hint="default"/>
        </w:rPr>
        <w:t>,</w:t>
      </w:r>
    </w:p>
    <w:p>
      <w:pPr>
        <w:pStyle w:val="BodyText"/>
        <w:spacing w:line="240" w:lineRule="auto"/>
        <w:ind w:left="726" w:right="141"/>
        <w:jc w:val="left"/>
        <w:rPr>
          <w:rFonts w:ascii="Times New Roman" w:hAnsi="Times New Roman" w:cs="Times New Roman" w:eastAsia="Times New Roman" w:hint="default"/>
        </w:rPr>
      </w:pPr>
      <w:r>
        <w:rPr>
          <w:rFonts w:ascii="Times New Roman" w:hAnsi="Times New Roman" w:cs="Times New Roman" w:eastAsia="Times New Roman" w:hint="default"/>
        </w:rPr>
        <w:t>-</w:t>
      </w:r>
      <w:r>
        <w:rPr/>
        <w:t>држање средстава за игру („забавне игре“) – тарифни број</w:t>
      </w:r>
      <w:r>
        <w:rPr>
          <w:spacing w:val="-9"/>
        </w:rPr>
        <w:t> </w:t>
      </w:r>
      <w:r>
        <w:rPr/>
        <w:t>5</w:t>
      </w:r>
      <w:r>
        <w:rPr>
          <w:rFonts w:ascii="Times New Roman" w:hAnsi="Times New Roman" w:cs="Times New Roman" w:eastAsia="Times New Roman" w:hint="default"/>
        </w:rPr>
        <w:t>,</w:t>
      </w:r>
    </w:p>
    <w:p>
      <w:pPr>
        <w:pStyle w:val="BodyText"/>
        <w:spacing w:line="240" w:lineRule="auto"/>
        <w:ind w:right="183" w:firstLine="566"/>
        <w:jc w:val="both"/>
        <w:rPr>
          <w:rFonts w:ascii="Times New Roman" w:hAnsi="Times New Roman" w:cs="Times New Roman" w:eastAsia="Times New Roman" w:hint="default"/>
        </w:rPr>
      </w:pPr>
      <w:r>
        <w:rPr>
          <w:rFonts w:ascii="Times New Roman" w:hAnsi="Times New Roman"/>
        </w:rPr>
        <w:t>-</w:t>
      </w:r>
      <w:r>
        <w:rPr/>
        <w:t>коришћење слободних површина за кампове, постављање шатора или друге објекте привременог коришћења</w:t>
      </w:r>
      <w:r>
        <w:rPr>
          <w:rFonts w:ascii="Times New Roman" w:hAnsi="Times New Roman"/>
        </w:rPr>
        <w:t>- </w:t>
      </w:r>
      <w:r>
        <w:rPr/>
        <w:t>тарифни број</w:t>
      </w:r>
      <w:r>
        <w:rPr>
          <w:spacing w:val="-11"/>
        </w:rPr>
        <w:t> </w:t>
      </w:r>
      <w:r>
        <w:rPr/>
        <w:t>6</w:t>
      </w:r>
      <w:r>
        <w:rPr>
          <w:rFonts w:ascii="Times New Roman" w:hAnsi="Times New Roman"/>
        </w:rPr>
        <w:t>,</w:t>
      </w:r>
    </w:p>
    <w:p>
      <w:pPr>
        <w:pStyle w:val="BodyText"/>
        <w:spacing w:line="240" w:lineRule="auto"/>
        <w:ind w:right="176" w:firstLine="566"/>
        <w:jc w:val="both"/>
      </w:pPr>
      <w:r>
        <w:rPr>
          <w:rFonts w:ascii="Times New Roman" w:hAnsi="Times New Roman" w:cs="Times New Roman" w:eastAsia="Times New Roman" w:hint="default"/>
        </w:rPr>
        <w:t>-</w:t>
      </w:r>
      <w:r>
        <w:rPr/>
        <w:t>заузеће јавне површине грађевинским материјалом и за извођење грађевинских радова – тарифни број</w:t>
      </w:r>
      <w:r>
        <w:rPr>
          <w:spacing w:val="-5"/>
        </w:rPr>
        <w:t> </w:t>
      </w:r>
      <w:r>
        <w:rPr/>
        <w:t>7.</w:t>
      </w:r>
    </w:p>
    <w:p>
      <w:pPr>
        <w:spacing w:line="240" w:lineRule="auto" w:before="0"/>
        <w:rPr>
          <w:rFonts w:ascii="Times New Roman" w:hAnsi="Times New Roman" w:cs="Times New Roman" w:eastAsia="Times New Roman" w:hint="default"/>
          <w:sz w:val="20"/>
          <w:szCs w:val="20"/>
        </w:rPr>
      </w:pPr>
    </w:p>
    <w:p>
      <w:pPr>
        <w:spacing w:line="240" w:lineRule="auto" w:before="9"/>
        <w:rPr>
          <w:rFonts w:ascii="Times New Roman" w:hAnsi="Times New Roman" w:cs="Times New Roman" w:eastAsia="Times New Roman" w:hint="default"/>
          <w:sz w:val="23"/>
          <w:szCs w:val="23"/>
        </w:rPr>
      </w:pPr>
      <w:r>
        <w:rPr/>
        <w:pict>
          <v:group style="position:absolute;margin-left:78.024002pt;margin-top:14.905276pt;width:144.050pt;height:.1pt;mso-position-horizontal-relative:page;mso-position-vertical-relative:paragraph;z-index:1336;mso-wrap-distance-left:0;mso-wrap-distance-right:0" coordorigin="1560,298" coordsize="2881,2">
            <v:shape style="position:absolute;left:1560;top:298;width:2881;height:2" coordorigin="1560,298" coordsize="2881,0" path="m1560,298l4441,298e" filled="false" stroked="true" strokeweight=".599980pt" strokecolor="#000000">
              <v:path arrowok="t"/>
            </v:shape>
            <w10:wrap type="topAndBottom"/>
          </v:group>
        </w:pict>
      </w:r>
    </w:p>
    <w:p>
      <w:pPr>
        <w:spacing w:line="191" w:lineRule="exact" w:before="5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28 </w:t>
      </w:r>
      <w:r>
        <w:rPr>
          <w:rFonts w:ascii="Times New Roman" w:hAnsi="Times New Roman" w:cs="Times New Roman" w:eastAsia="Times New Roman" w:hint="default"/>
          <w:sz w:val="16"/>
          <w:szCs w:val="16"/>
        </w:rPr>
        <w:t>„Службени лист града Ниша“ број</w:t>
      </w:r>
      <w:r>
        <w:rPr>
          <w:rFonts w:ascii="Times New Roman" w:hAnsi="Times New Roman" w:cs="Times New Roman" w:eastAsia="Times New Roman" w:hint="default"/>
          <w:spacing w:val="-2"/>
          <w:sz w:val="16"/>
          <w:szCs w:val="16"/>
        </w:rPr>
        <w:t> </w:t>
      </w:r>
      <w:r>
        <w:rPr>
          <w:rFonts w:ascii="Times New Roman" w:hAnsi="Times New Roman" w:cs="Times New Roman" w:eastAsia="Times New Roman" w:hint="default"/>
          <w:sz w:val="16"/>
          <w:szCs w:val="16"/>
        </w:rPr>
        <w:t>108/2012</w:t>
      </w:r>
    </w:p>
    <w:p>
      <w:pPr>
        <w:spacing w:line="191" w:lineRule="exact" w:before="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29  </w:t>
      </w:r>
      <w:r>
        <w:rPr>
          <w:rFonts w:ascii="Times New Roman" w:hAnsi="Times New Roman" w:cs="Times New Roman" w:eastAsia="Times New Roman" w:hint="default"/>
          <w:sz w:val="16"/>
          <w:szCs w:val="16"/>
        </w:rPr>
        <w:t>„Службени лист града Ниша“ број</w:t>
      </w:r>
      <w:r>
        <w:rPr>
          <w:rFonts w:ascii="Times New Roman" w:hAnsi="Times New Roman" w:cs="Times New Roman" w:eastAsia="Times New Roman" w:hint="default"/>
          <w:spacing w:val="-26"/>
          <w:sz w:val="16"/>
          <w:szCs w:val="16"/>
        </w:rPr>
        <w:t> </w:t>
      </w:r>
      <w:r>
        <w:rPr>
          <w:rFonts w:ascii="Times New Roman" w:hAnsi="Times New Roman" w:cs="Times New Roman" w:eastAsia="Times New Roman" w:hint="default"/>
          <w:sz w:val="16"/>
          <w:szCs w:val="16"/>
        </w:rPr>
        <w:t>29/2013</w:t>
      </w:r>
    </w:p>
    <w:p>
      <w:pPr>
        <w:spacing w:after="0" w:line="191" w:lineRule="exact"/>
        <w:jc w:val="left"/>
        <w:rPr>
          <w:rFonts w:ascii="Times New Roman" w:hAnsi="Times New Roman" w:cs="Times New Roman" w:eastAsia="Times New Roman" w:hint="default"/>
          <w:sz w:val="16"/>
          <w:szCs w:val="16"/>
        </w:rPr>
        <w:sectPr>
          <w:footerReference w:type="default" r:id="rId48"/>
          <w:pgSz w:w="12240" w:h="15840"/>
          <w:pgMar w:footer="1466" w:header="740" w:top="1280" w:bottom="1660" w:left="1400" w:right="1260"/>
          <w:pgNumType w:start="30"/>
        </w:sectPr>
      </w:pPr>
    </w:p>
    <w:p>
      <w:pPr>
        <w:pStyle w:val="BodyText"/>
        <w:spacing w:line="240" w:lineRule="auto" w:before="122"/>
        <w:ind w:left="200" w:right="201" w:firstLine="566"/>
        <w:jc w:val="both"/>
      </w:pPr>
      <w:r>
        <w:rPr/>
        <w:t>Одлуком о утврђивању прихода који припадају граду, односно градским  општинама и распореду трансферних средстава из буџета града Ниша градским општинама у 2014. години предвиђено је да градским општинама припадају приходи од локалних комуналних такси које се остваре на територији градских општина и то комунална такса за држање средстава за игру, комунална такса за истицање фирме ван пословних просторија, комунална такса за коришћење простора на јавним површинама или испред пословних просторија, коришћење слободних површина за кампове или</w:t>
      </w:r>
      <w:r>
        <w:rPr>
          <w:spacing w:val="-22"/>
        </w:rPr>
        <w:t> </w:t>
      </w:r>
      <w:r>
        <w:rPr/>
        <w:t>друге </w:t>
      </w:r>
      <w:r>
        <w:rPr/>
        <w:t>објекте привременог коришћења, заузеће јавне површине грађевинским</w:t>
      </w:r>
      <w:r>
        <w:rPr>
          <w:spacing w:val="-27"/>
        </w:rPr>
        <w:t> </w:t>
      </w:r>
      <w:r>
        <w:rPr/>
        <w:t>материјалом.</w:t>
      </w:r>
    </w:p>
    <w:p>
      <w:pPr>
        <w:spacing w:before="2" w:after="6"/>
        <w:ind w:left="0" w:right="290" w:firstLine="0"/>
        <w:jc w:val="right"/>
        <w:rPr>
          <w:rFonts w:ascii="Arial" w:hAnsi="Arial" w:cs="Arial" w:eastAsia="Arial" w:hint="default"/>
          <w:sz w:val="16"/>
          <w:szCs w:val="16"/>
        </w:rPr>
      </w:pPr>
      <w:r>
        <w:rPr>
          <w:rFonts w:ascii="Times New Roman" w:hAnsi="Times New Roman"/>
          <w:sz w:val="16"/>
        </w:rPr>
        <w:t>(</w:t>
      </w:r>
      <w:r>
        <w:rPr>
          <w:rFonts w:ascii="Times New Roman" w:hAnsi="Times New Roman"/>
          <w:sz w:val="16"/>
        </w:rPr>
        <w:t>у хиљадама</w:t>
      </w:r>
      <w:r>
        <w:rPr>
          <w:rFonts w:ascii="Times New Roman" w:hAnsi="Times New Roman"/>
          <w:spacing w:val="-7"/>
          <w:sz w:val="16"/>
        </w:rPr>
        <w:t> </w:t>
      </w:r>
      <w:r>
        <w:rPr>
          <w:rFonts w:ascii="Times New Roman" w:hAnsi="Times New Roman"/>
          <w:sz w:val="16"/>
        </w:rPr>
        <w:t>динара</w:t>
      </w:r>
      <w:r>
        <w:rPr>
          <w:rFonts w:ascii="Arial" w:hAnsi="Arial"/>
          <w:sz w:val="16"/>
        </w:rPr>
        <w:t>)</w:t>
      </w:r>
    </w:p>
    <w:tbl>
      <w:tblPr>
        <w:tblW w:w="0" w:type="auto"/>
        <w:jc w:val="left"/>
        <w:tblInd w:w="106" w:type="dxa"/>
        <w:tblLayout w:type="fixed"/>
        <w:tblCellMar>
          <w:top w:w="0" w:type="dxa"/>
          <w:left w:w="0" w:type="dxa"/>
          <w:bottom w:w="0" w:type="dxa"/>
          <w:right w:w="0" w:type="dxa"/>
        </w:tblCellMar>
        <w:tblLook w:val="01E0"/>
      </w:tblPr>
      <w:tblGrid>
        <w:gridCol w:w="514"/>
        <w:gridCol w:w="708"/>
        <w:gridCol w:w="3483"/>
        <w:gridCol w:w="785"/>
        <w:gridCol w:w="901"/>
        <w:gridCol w:w="962"/>
        <w:gridCol w:w="1131"/>
        <w:gridCol w:w="934"/>
      </w:tblGrid>
      <w:tr>
        <w:trPr>
          <w:trHeight w:val="194" w:hRule="exact"/>
        </w:trPr>
        <w:tc>
          <w:tcPr>
            <w:tcW w:w="514" w:type="dxa"/>
            <w:vMerge w:val="restart"/>
            <w:tcBorders>
              <w:top w:val="single" w:sz="4" w:space="0" w:color="000000"/>
              <w:left w:val="single" w:sz="4" w:space="0" w:color="000000"/>
              <w:right w:val="single" w:sz="4" w:space="0" w:color="000000"/>
            </w:tcBorders>
          </w:tcPr>
          <w:p>
            <w:pPr>
              <w:pStyle w:val="TableParagraph"/>
              <w:spacing w:line="240" w:lineRule="auto" w:before="7"/>
              <w:ind w:right="0"/>
              <w:jc w:val="left"/>
              <w:rPr>
                <w:rFonts w:ascii="Arial" w:hAnsi="Arial" w:cs="Arial" w:eastAsia="Arial" w:hint="default"/>
                <w:sz w:val="15"/>
                <w:szCs w:val="15"/>
              </w:rPr>
            </w:pPr>
          </w:p>
          <w:p>
            <w:pPr>
              <w:pStyle w:val="TableParagraph"/>
              <w:spacing w:line="240" w:lineRule="auto"/>
              <w:ind w:left="107" w:right="100" w:hanging="5"/>
              <w:jc w:val="left"/>
              <w:rPr>
                <w:rFonts w:ascii="Times New Roman" w:hAnsi="Times New Roman" w:cs="Times New Roman" w:eastAsia="Times New Roman" w:hint="default"/>
                <w:sz w:val="16"/>
                <w:szCs w:val="16"/>
              </w:rPr>
            </w:pPr>
            <w:r>
              <w:rPr>
                <w:rFonts w:ascii="Times New Roman" w:hAnsi="Times New Roman"/>
                <w:sz w:val="16"/>
              </w:rPr>
              <w:t>Ред број</w:t>
            </w:r>
          </w:p>
        </w:tc>
        <w:tc>
          <w:tcPr>
            <w:tcW w:w="708" w:type="dxa"/>
            <w:vMerge w:val="restart"/>
            <w:tcBorders>
              <w:top w:val="single" w:sz="4" w:space="0" w:color="000000"/>
              <w:left w:val="single" w:sz="4" w:space="0" w:color="000000"/>
              <w:right w:val="single" w:sz="4" w:space="0" w:color="000000"/>
            </w:tcBorders>
          </w:tcPr>
          <w:p>
            <w:pPr>
              <w:pStyle w:val="TableParagraph"/>
              <w:spacing w:line="240" w:lineRule="auto" w:before="7"/>
              <w:ind w:right="0"/>
              <w:jc w:val="left"/>
              <w:rPr>
                <w:rFonts w:ascii="Arial" w:hAnsi="Arial" w:cs="Arial" w:eastAsia="Arial" w:hint="default"/>
                <w:sz w:val="15"/>
                <w:szCs w:val="15"/>
              </w:rPr>
            </w:pPr>
          </w:p>
          <w:p>
            <w:pPr>
              <w:pStyle w:val="TableParagraph"/>
              <w:spacing w:line="240" w:lineRule="auto"/>
              <w:ind w:left="177" w:right="149" w:hanging="20"/>
              <w:jc w:val="left"/>
              <w:rPr>
                <w:rFonts w:ascii="Times New Roman" w:hAnsi="Times New Roman" w:cs="Times New Roman" w:eastAsia="Times New Roman" w:hint="default"/>
                <w:sz w:val="16"/>
                <w:szCs w:val="16"/>
              </w:rPr>
            </w:pPr>
            <w:r>
              <w:rPr>
                <w:rFonts w:ascii="Times New Roman" w:hAnsi="Times New Roman"/>
                <w:sz w:val="16"/>
              </w:rPr>
              <w:t>Екон. клас.</w:t>
            </w:r>
          </w:p>
        </w:tc>
        <w:tc>
          <w:tcPr>
            <w:tcW w:w="3483" w:type="dxa"/>
            <w:vMerge w:val="restart"/>
            <w:tcBorders>
              <w:top w:val="single" w:sz="4" w:space="0" w:color="000000"/>
              <w:left w:val="single" w:sz="4" w:space="0" w:color="000000"/>
              <w:right w:val="single" w:sz="4" w:space="0" w:color="000000"/>
            </w:tcBorders>
          </w:tcPr>
          <w:p>
            <w:pPr>
              <w:pStyle w:val="TableParagraph"/>
              <w:spacing w:line="240" w:lineRule="auto" w:before="7"/>
              <w:ind w:right="0"/>
              <w:jc w:val="left"/>
              <w:rPr>
                <w:rFonts w:ascii="Arial" w:hAnsi="Arial" w:cs="Arial" w:eastAsia="Arial" w:hint="default"/>
                <w:sz w:val="15"/>
                <w:szCs w:val="15"/>
              </w:rPr>
            </w:pPr>
          </w:p>
          <w:p>
            <w:pPr>
              <w:pStyle w:val="TableParagraph"/>
              <w:spacing w:line="240" w:lineRule="auto"/>
              <w:ind w:left="1435" w:right="1436"/>
              <w:jc w:val="center"/>
              <w:rPr>
                <w:rFonts w:ascii="Times New Roman" w:hAnsi="Times New Roman" w:cs="Times New Roman" w:eastAsia="Times New Roman" w:hint="default"/>
                <w:sz w:val="16"/>
                <w:szCs w:val="16"/>
              </w:rPr>
            </w:pPr>
            <w:r>
              <w:rPr>
                <w:rFonts w:ascii="Times New Roman" w:hAnsi="Times New Roman"/>
                <w:sz w:val="16"/>
              </w:rPr>
              <w:t>О П И</w:t>
            </w:r>
            <w:r>
              <w:rPr>
                <w:rFonts w:ascii="Times New Roman" w:hAnsi="Times New Roman"/>
                <w:spacing w:val="-1"/>
                <w:sz w:val="16"/>
              </w:rPr>
              <w:t> </w:t>
            </w:r>
            <w:r>
              <w:rPr>
                <w:rFonts w:ascii="Times New Roman" w:hAnsi="Times New Roman"/>
                <w:sz w:val="16"/>
              </w:rPr>
              <w:t>С</w:t>
            </w:r>
          </w:p>
        </w:tc>
        <w:tc>
          <w:tcPr>
            <w:tcW w:w="785" w:type="dxa"/>
            <w:vMerge w:val="restart"/>
            <w:tcBorders>
              <w:top w:val="single" w:sz="4" w:space="0" w:color="000000"/>
              <w:left w:val="single" w:sz="4" w:space="0" w:color="000000"/>
              <w:right w:val="single" w:sz="4" w:space="0" w:color="000000"/>
            </w:tcBorders>
          </w:tcPr>
          <w:p>
            <w:pPr>
              <w:pStyle w:val="TableParagraph"/>
              <w:spacing w:line="240" w:lineRule="auto"/>
              <w:ind w:left="117" w:right="111" w:firstLine="120"/>
              <w:jc w:val="left"/>
              <w:rPr>
                <w:rFonts w:ascii="Times New Roman" w:hAnsi="Times New Roman" w:cs="Times New Roman" w:eastAsia="Times New Roman" w:hint="default"/>
                <w:sz w:val="16"/>
                <w:szCs w:val="16"/>
              </w:rPr>
            </w:pPr>
            <w:r>
              <w:rPr>
                <w:rFonts w:ascii="Times New Roman" w:hAnsi="Times New Roman"/>
                <w:sz w:val="16"/>
              </w:rPr>
              <w:t>Број издатих решења</w:t>
            </w:r>
          </w:p>
        </w:tc>
        <w:tc>
          <w:tcPr>
            <w:tcW w:w="901" w:type="dxa"/>
            <w:vMerge w:val="restart"/>
            <w:tcBorders>
              <w:top w:val="single" w:sz="4" w:space="0" w:color="000000"/>
              <w:left w:val="single" w:sz="4" w:space="0" w:color="000000"/>
              <w:right w:val="single" w:sz="4" w:space="0" w:color="000000"/>
            </w:tcBorders>
          </w:tcPr>
          <w:p>
            <w:pPr>
              <w:pStyle w:val="TableParagraph"/>
              <w:spacing w:line="240" w:lineRule="auto"/>
              <w:ind w:left="215" w:right="183" w:hanging="34"/>
              <w:jc w:val="both"/>
              <w:rPr>
                <w:rFonts w:ascii="Times New Roman" w:hAnsi="Times New Roman" w:cs="Times New Roman" w:eastAsia="Times New Roman" w:hint="default"/>
                <w:sz w:val="16"/>
                <w:szCs w:val="16"/>
              </w:rPr>
            </w:pPr>
            <w:r>
              <w:rPr>
                <w:rFonts w:ascii="Times New Roman" w:hAnsi="Times New Roman"/>
                <w:sz w:val="16"/>
              </w:rPr>
              <w:t>Приход буџета Града</w:t>
            </w:r>
          </w:p>
        </w:tc>
        <w:tc>
          <w:tcPr>
            <w:tcW w:w="3027" w:type="dxa"/>
            <w:gridSpan w:val="3"/>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19" w:right="1020"/>
              <w:jc w:val="center"/>
              <w:rPr>
                <w:rFonts w:ascii="Times New Roman" w:hAnsi="Times New Roman" w:cs="Times New Roman" w:eastAsia="Times New Roman" w:hint="default"/>
                <w:sz w:val="16"/>
                <w:szCs w:val="16"/>
              </w:rPr>
            </w:pPr>
            <w:r>
              <w:rPr>
                <w:rFonts w:ascii="Times New Roman" w:hAnsi="Times New Roman"/>
                <w:sz w:val="16"/>
              </w:rPr>
              <w:t>Потраживања</w:t>
            </w:r>
          </w:p>
        </w:tc>
      </w:tr>
      <w:tr>
        <w:trPr>
          <w:trHeight w:val="377" w:hRule="exact"/>
        </w:trPr>
        <w:tc>
          <w:tcPr>
            <w:tcW w:w="514" w:type="dxa"/>
            <w:vMerge/>
            <w:tcBorders>
              <w:left w:val="single" w:sz="4" w:space="0" w:color="000000"/>
              <w:bottom w:val="single" w:sz="4" w:space="0" w:color="000000"/>
              <w:right w:val="single" w:sz="4" w:space="0" w:color="000000"/>
            </w:tcBorders>
          </w:tcPr>
          <w:p>
            <w:pPr/>
          </w:p>
        </w:tc>
        <w:tc>
          <w:tcPr>
            <w:tcW w:w="708" w:type="dxa"/>
            <w:vMerge/>
            <w:tcBorders>
              <w:left w:val="single" w:sz="4" w:space="0" w:color="000000"/>
              <w:bottom w:val="single" w:sz="4" w:space="0" w:color="000000"/>
              <w:right w:val="single" w:sz="4" w:space="0" w:color="000000"/>
            </w:tcBorders>
          </w:tcPr>
          <w:p>
            <w:pPr/>
          </w:p>
        </w:tc>
        <w:tc>
          <w:tcPr>
            <w:tcW w:w="3483" w:type="dxa"/>
            <w:vMerge/>
            <w:tcBorders>
              <w:left w:val="single" w:sz="4" w:space="0" w:color="000000"/>
              <w:bottom w:val="single" w:sz="4" w:space="0" w:color="000000"/>
              <w:right w:val="single" w:sz="4" w:space="0" w:color="000000"/>
            </w:tcBorders>
          </w:tcPr>
          <w:p>
            <w:pPr/>
          </w:p>
        </w:tc>
        <w:tc>
          <w:tcPr>
            <w:tcW w:w="785" w:type="dxa"/>
            <w:vMerge/>
            <w:tcBorders>
              <w:left w:val="single" w:sz="4" w:space="0" w:color="000000"/>
              <w:bottom w:val="single" w:sz="4" w:space="0" w:color="000000"/>
              <w:right w:val="single" w:sz="4" w:space="0" w:color="000000"/>
            </w:tcBorders>
          </w:tcPr>
          <w:p>
            <w:pPr/>
          </w:p>
        </w:tc>
        <w:tc>
          <w:tcPr>
            <w:tcW w:w="901" w:type="dxa"/>
            <w:vMerge/>
            <w:tcBorders>
              <w:left w:val="single" w:sz="4" w:space="0" w:color="000000"/>
              <w:bottom w:val="single" w:sz="4" w:space="0" w:color="000000"/>
              <w:right w:val="single" w:sz="4" w:space="0" w:color="000000"/>
            </w:tcBorders>
          </w:tcPr>
          <w:p>
            <w:pPr/>
          </w:p>
        </w:tc>
        <w:tc>
          <w:tcPr>
            <w:tcW w:w="96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348" w:right="0"/>
              <w:jc w:val="left"/>
              <w:rPr>
                <w:rFonts w:ascii="Times New Roman" w:hAnsi="Times New Roman" w:cs="Times New Roman" w:eastAsia="Times New Roman" w:hint="default"/>
                <w:sz w:val="16"/>
                <w:szCs w:val="16"/>
              </w:rPr>
            </w:pPr>
            <w:r>
              <w:rPr>
                <w:rFonts w:ascii="Times New Roman" w:hAnsi="Times New Roman"/>
                <w:sz w:val="16"/>
              </w:rPr>
              <w:t>Дуг</w:t>
            </w:r>
          </w:p>
        </w:tc>
        <w:tc>
          <w:tcPr>
            <w:tcW w:w="113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314" w:right="0"/>
              <w:jc w:val="left"/>
              <w:rPr>
                <w:rFonts w:ascii="Times New Roman" w:hAnsi="Times New Roman" w:cs="Times New Roman" w:eastAsia="Times New Roman" w:hint="default"/>
                <w:sz w:val="16"/>
                <w:szCs w:val="16"/>
              </w:rPr>
            </w:pPr>
            <w:r>
              <w:rPr>
                <w:rFonts w:ascii="Times New Roman" w:hAnsi="Times New Roman"/>
                <w:sz w:val="16"/>
              </w:rPr>
              <w:t>Камата</w:t>
            </w:r>
          </w:p>
        </w:tc>
        <w:tc>
          <w:tcPr>
            <w:tcW w:w="934" w:type="dxa"/>
            <w:tcBorders>
              <w:top w:val="single" w:sz="4" w:space="0" w:color="000000"/>
              <w:left w:val="single" w:sz="4" w:space="0" w:color="000000"/>
              <w:bottom w:val="single" w:sz="4" w:space="0" w:color="000000"/>
              <w:right w:val="single" w:sz="4" w:space="0" w:color="000000"/>
            </w:tcBorders>
          </w:tcPr>
          <w:p>
            <w:pPr>
              <w:pStyle w:val="TableParagraph"/>
              <w:spacing w:line="237" w:lineRule="auto"/>
              <w:ind w:left="283" w:right="192" w:hanging="84"/>
              <w:jc w:val="left"/>
              <w:rPr>
                <w:rFonts w:ascii="Times New Roman" w:hAnsi="Times New Roman" w:cs="Times New Roman" w:eastAsia="Times New Roman" w:hint="default"/>
                <w:sz w:val="16"/>
                <w:szCs w:val="16"/>
              </w:rPr>
            </w:pPr>
            <w:r>
              <w:rPr>
                <w:rFonts w:ascii="Times New Roman" w:hAnsi="Times New Roman"/>
                <w:sz w:val="16"/>
              </w:rPr>
              <w:t>Укупно </w:t>
            </w:r>
            <w:r>
              <w:rPr>
                <w:rFonts w:ascii="Times New Roman" w:hAnsi="Times New Roman"/>
                <w:sz w:val="16"/>
              </w:rPr>
              <w:t>(6+7)</w:t>
            </w:r>
          </w:p>
        </w:tc>
      </w:tr>
      <w:tr>
        <w:trPr>
          <w:trHeight w:val="149" w:hRule="exact"/>
        </w:trPr>
        <w:tc>
          <w:tcPr>
            <w:tcW w:w="514" w:type="dxa"/>
            <w:tcBorders>
              <w:top w:val="single" w:sz="4" w:space="0" w:color="000000"/>
              <w:left w:val="single" w:sz="4" w:space="0" w:color="000000"/>
              <w:bottom w:val="single" w:sz="4" w:space="0" w:color="000000"/>
              <w:right w:val="single" w:sz="4" w:space="0" w:color="000000"/>
            </w:tcBorders>
          </w:tcPr>
          <w:p>
            <w:pPr>
              <w:pStyle w:val="TableParagraph"/>
              <w:spacing w:line="135" w:lineRule="exact"/>
              <w:ind w:right="48"/>
              <w:jc w:val="center"/>
              <w:rPr>
                <w:rFonts w:ascii="Times New Roman" w:hAnsi="Times New Roman" w:cs="Times New Roman" w:eastAsia="Times New Roman" w:hint="default"/>
                <w:sz w:val="12"/>
                <w:szCs w:val="12"/>
              </w:rPr>
            </w:pPr>
            <w:r>
              <w:rPr>
                <w:rFonts w:ascii="Times New Roman"/>
                <w:sz w:val="12"/>
              </w:rPr>
              <w:t>1</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135" w:lineRule="exact"/>
              <w:ind w:right="0"/>
              <w:jc w:val="center"/>
              <w:rPr>
                <w:rFonts w:ascii="Times New Roman" w:hAnsi="Times New Roman" w:cs="Times New Roman" w:eastAsia="Times New Roman" w:hint="default"/>
                <w:sz w:val="12"/>
                <w:szCs w:val="12"/>
              </w:rPr>
            </w:pPr>
            <w:r>
              <w:rPr>
                <w:rFonts w:ascii="Times New Roman"/>
                <w:sz w:val="12"/>
              </w:rPr>
              <w:t>2</w:t>
            </w:r>
          </w:p>
        </w:tc>
        <w:tc>
          <w:tcPr>
            <w:tcW w:w="3483" w:type="dxa"/>
            <w:tcBorders>
              <w:top w:val="single" w:sz="4" w:space="0" w:color="000000"/>
              <w:left w:val="single" w:sz="4" w:space="0" w:color="000000"/>
              <w:bottom w:val="single" w:sz="4" w:space="0" w:color="000000"/>
              <w:right w:val="single" w:sz="4" w:space="0" w:color="000000"/>
            </w:tcBorders>
          </w:tcPr>
          <w:p>
            <w:pPr>
              <w:pStyle w:val="TableParagraph"/>
              <w:spacing w:line="135" w:lineRule="exact"/>
              <w:ind w:right="2"/>
              <w:jc w:val="center"/>
              <w:rPr>
                <w:rFonts w:ascii="Times New Roman" w:hAnsi="Times New Roman" w:cs="Times New Roman" w:eastAsia="Times New Roman" w:hint="default"/>
                <w:sz w:val="12"/>
                <w:szCs w:val="12"/>
              </w:rPr>
            </w:pPr>
            <w:r>
              <w:rPr>
                <w:rFonts w:ascii="Times New Roman"/>
                <w:sz w:val="12"/>
              </w:rPr>
              <w:t>3</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135" w:lineRule="exact"/>
              <w:ind w:left="355" w:right="0"/>
              <w:jc w:val="left"/>
              <w:rPr>
                <w:rFonts w:ascii="Times New Roman" w:hAnsi="Times New Roman" w:cs="Times New Roman" w:eastAsia="Times New Roman" w:hint="default"/>
                <w:sz w:val="12"/>
                <w:szCs w:val="12"/>
              </w:rPr>
            </w:pPr>
            <w:r>
              <w:rPr>
                <w:rFonts w:ascii="Times New Roman"/>
                <w:sz w:val="12"/>
              </w:rPr>
              <w:t>4</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line="135" w:lineRule="exact"/>
              <w:ind w:right="0"/>
              <w:jc w:val="center"/>
              <w:rPr>
                <w:rFonts w:ascii="Times New Roman" w:hAnsi="Times New Roman" w:cs="Times New Roman" w:eastAsia="Times New Roman" w:hint="default"/>
                <w:sz w:val="12"/>
                <w:szCs w:val="12"/>
              </w:rPr>
            </w:pPr>
            <w:r>
              <w:rPr>
                <w:rFonts w:ascii="Times New Roman"/>
                <w:sz w:val="12"/>
              </w:rPr>
              <w:t>5</w:t>
            </w:r>
          </w:p>
        </w:tc>
        <w:tc>
          <w:tcPr>
            <w:tcW w:w="962" w:type="dxa"/>
            <w:tcBorders>
              <w:top w:val="single" w:sz="4" w:space="0" w:color="000000"/>
              <w:left w:val="single" w:sz="4" w:space="0" w:color="000000"/>
              <w:bottom w:val="single" w:sz="4" w:space="0" w:color="000000"/>
              <w:right w:val="single" w:sz="4" w:space="0" w:color="000000"/>
            </w:tcBorders>
          </w:tcPr>
          <w:p>
            <w:pPr>
              <w:pStyle w:val="TableParagraph"/>
              <w:spacing w:line="135" w:lineRule="exact"/>
              <w:ind w:left="446" w:right="0"/>
              <w:jc w:val="left"/>
              <w:rPr>
                <w:rFonts w:ascii="Times New Roman" w:hAnsi="Times New Roman" w:cs="Times New Roman" w:eastAsia="Times New Roman" w:hint="default"/>
                <w:sz w:val="12"/>
                <w:szCs w:val="12"/>
              </w:rPr>
            </w:pPr>
            <w:r>
              <w:rPr>
                <w:rFonts w:ascii="Times New Roman"/>
                <w:sz w:val="12"/>
              </w:rPr>
              <w:t>6</w:t>
            </w:r>
          </w:p>
        </w:tc>
        <w:tc>
          <w:tcPr>
            <w:tcW w:w="1131" w:type="dxa"/>
            <w:tcBorders>
              <w:top w:val="single" w:sz="4" w:space="0" w:color="000000"/>
              <w:left w:val="single" w:sz="4" w:space="0" w:color="000000"/>
              <w:bottom w:val="single" w:sz="4" w:space="0" w:color="000000"/>
              <w:right w:val="single" w:sz="4" w:space="0" w:color="000000"/>
            </w:tcBorders>
          </w:tcPr>
          <w:p>
            <w:pPr>
              <w:pStyle w:val="TableParagraph"/>
              <w:spacing w:line="135" w:lineRule="exact"/>
              <w:ind w:right="0"/>
              <w:jc w:val="center"/>
              <w:rPr>
                <w:rFonts w:ascii="Times New Roman" w:hAnsi="Times New Roman" w:cs="Times New Roman" w:eastAsia="Times New Roman" w:hint="default"/>
                <w:sz w:val="12"/>
                <w:szCs w:val="12"/>
              </w:rPr>
            </w:pPr>
            <w:r>
              <w:rPr>
                <w:rFonts w:ascii="Times New Roman"/>
                <w:sz w:val="12"/>
              </w:rPr>
              <w:t>7</w:t>
            </w:r>
          </w:p>
        </w:tc>
        <w:tc>
          <w:tcPr>
            <w:tcW w:w="934" w:type="dxa"/>
            <w:tcBorders>
              <w:top w:val="single" w:sz="4" w:space="0" w:color="000000"/>
              <w:left w:val="single" w:sz="4" w:space="0" w:color="000000"/>
              <w:bottom w:val="single" w:sz="4" w:space="0" w:color="000000"/>
              <w:right w:val="single" w:sz="4" w:space="0" w:color="000000"/>
            </w:tcBorders>
          </w:tcPr>
          <w:p>
            <w:pPr>
              <w:pStyle w:val="TableParagraph"/>
              <w:spacing w:line="135" w:lineRule="exact"/>
              <w:ind w:left="432" w:right="0"/>
              <w:jc w:val="left"/>
              <w:rPr>
                <w:rFonts w:ascii="Times New Roman" w:hAnsi="Times New Roman" w:cs="Times New Roman" w:eastAsia="Times New Roman" w:hint="default"/>
                <w:sz w:val="12"/>
                <w:szCs w:val="12"/>
              </w:rPr>
            </w:pPr>
            <w:r>
              <w:rPr>
                <w:rFonts w:ascii="Times New Roman"/>
                <w:sz w:val="12"/>
              </w:rPr>
              <w:t>8</w:t>
            </w:r>
          </w:p>
        </w:tc>
      </w:tr>
      <w:tr>
        <w:trPr>
          <w:trHeight w:val="194" w:hRule="exact"/>
        </w:trPr>
        <w:tc>
          <w:tcPr>
            <w:tcW w:w="514"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
              <w:jc w:val="center"/>
              <w:rPr>
                <w:rFonts w:ascii="Times New Roman" w:hAnsi="Times New Roman" w:cs="Times New Roman" w:eastAsia="Times New Roman" w:hint="default"/>
                <w:sz w:val="16"/>
                <w:szCs w:val="16"/>
              </w:rPr>
            </w:pPr>
            <w:r>
              <w:rPr>
                <w:rFonts w:ascii="Times New Roman"/>
                <w:w w:val="100"/>
                <w:sz w:val="16"/>
              </w:rPr>
              <w:t>1</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93" w:right="94"/>
              <w:jc w:val="center"/>
              <w:rPr>
                <w:rFonts w:ascii="Times New Roman" w:hAnsi="Times New Roman" w:cs="Times New Roman" w:eastAsia="Times New Roman" w:hint="default"/>
                <w:sz w:val="16"/>
                <w:szCs w:val="16"/>
              </w:rPr>
            </w:pPr>
            <w:r>
              <w:rPr>
                <w:rFonts w:ascii="Times New Roman"/>
                <w:sz w:val="16"/>
              </w:rPr>
              <w:t>714513</w:t>
            </w:r>
          </w:p>
        </w:tc>
        <w:tc>
          <w:tcPr>
            <w:tcW w:w="3483"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hAnsi="Times New Roman"/>
                <w:sz w:val="16"/>
              </w:rPr>
              <w:t>КТ за држање моторних друм. и</w:t>
            </w:r>
            <w:r>
              <w:rPr>
                <w:rFonts w:ascii="Times New Roman" w:hAnsi="Times New Roman"/>
                <w:spacing w:val="-17"/>
                <w:sz w:val="16"/>
              </w:rPr>
              <w:t> </w:t>
            </w:r>
            <w:r>
              <w:rPr>
                <w:rFonts w:ascii="Times New Roman" w:hAnsi="Times New Roman"/>
                <w:sz w:val="16"/>
              </w:rPr>
              <w:t>прикључ.воз.</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360" w:right="0"/>
              <w:jc w:val="left"/>
              <w:rPr>
                <w:rFonts w:ascii="Times New Roman" w:hAnsi="Times New Roman" w:cs="Times New Roman" w:eastAsia="Times New Roman" w:hint="default"/>
                <w:sz w:val="16"/>
                <w:szCs w:val="16"/>
              </w:rPr>
            </w:pPr>
            <w:r>
              <w:rPr>
                <w:rFonts w:ascii="Times New Roman"/>
                <w:w w:val="100"/>
                <w:sz w:val="16"/>
              </w:rPr>
              <w:t>-</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96.433</w:t>
            </w:r>
          </w:p>
        </w:tc>
        <w:tc>
          <w:tcPr>
            <w:tcW w:w="962" w:type="dxa"/>
            <w:tcBorders>
              <w:top w:val="single" w:sz="4" w:space="0" w:color="000000"/>
              <w:left w:val="single" w:sz="4" w:space="0" w:color="000000"/>
              <w:bottom w:val="single" w:sz="4" w:space="0" w:color="000000"/>
              <w:right w:val="single" w:sz="4" w:space="0" w:color="000000"/>
            </w:tcBorders>
          </w:tcPr>
          <w:p>
            <w:pPr/>
          </w:p>
        </w:tc>
        <w:tc>
          <w:tcPr>
            <w:tcW w:w="1131" w:type="dxa"/>
            <w:tcBorders>
              <w:top w:val="single" w:sz="4" w:space="0" w:color="000000"/>
              <w:left w:val="single" w:sz="4" w:space="0" w:color="000000"/>
              <w:bottom w:val="single" w:sz="4" w:space="0" w:color="000000"/>
              <w:right w:val="single" w:sz="4" w:space="0" w:color="000000"/>
            </w:tcBorders>
          </w:tcPr>
          <w:p>
            <w:pPr/>
          </w:p>
        </w:tc>
        <w:tc>
          <w:tcPr>
            <w:tcW w:w="934" w:type="dxa"/>
            <w:tcBorders>
              <w:top w:val="single" w:sz="4" w:space="0" w:color="000000"/>
              <w:left w:val="single" w:sz="4" w:space="0" w:color="000000"/>
              <w:bottom w:val="single" w:sz="4" w:space="0" w:color="000000"/>
              <w:right w:val="single" w:sz="4" w:space="0" w:color="000000"/>
            </w:tcBorders>
          </w:tcPr>
          <w:p>
            <w:pPr/>
          </w:p>
        </w:tc>
      </w:tr>
      <w:tr>
        <w:trPr>
          <w:trHeight w:val="192" w:hRule="exact"/>
        </w:trPr>
        <w:tc>
          <w:tcPr>
            <w:tcW w:w="514"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
              <w:jc w:val="center"/>
              <w:rPr>
                <w:rFonts w:ascii="Times New Roman" w:hAnsi="Times New Roman" w:cs="Times New Roman" w:eastAsia="Times New Roman" w:hint="default"/>
                <w:sz w:val="16"/>
                <w:szCs w:val="16"/>
              </w:rPr>
            </w:pPr>
            <w:r>
              <w:rPr>
                <w:rFonts w:ascii="Times New Roman"/>
                <w:w w:val="100"/>
                <w:sz w:val="16"/>
              </w:rPr>
              <w:t>2</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93" w:right="94"/>
              <w:jc w:val="center"/>
              <w:rPr>
                <w:rFonts w:ascii="Times New Roman" w:hAnsi="Times New Roman" w:cs="Times New Roman" w:eastAsia="Times New Roman" w:hint="default"/>
                <w:sz w:val="16"/>
                <w:szCs w:val="16"/>
              </w:rPr>
            </w:pPr>
            <w:r>
              <w:rPr>
                <w:rFonts w:ascii="Times New Roman"/>
                <w:sz w:val="16"/>
              </w:rPr>
              <w:t>716111</w:t>
            </w:r>
          </w:p>
        </w:tc>
        <w:tc>
          <w:tcPr>
            <w:tcW w:w="3483"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hAnsi="Times New Roman"/>
                <w:sz w:val="16"/>
              </w:rPr>
              <w:t>КТ за истицање фирме на</w:t>
            </w:r>
            <w:r>
              <w:rPr>
                <w:rFonts w:ascii="Times New Roman" w:hAnsi="Times New Roman"/>
                <w:spacing w:val="-16"/>
                <w:sz w:val="16"/>
              </w:rPr>
              <w:t> </w:t>
            </w:r>
            <w:r>
              <w:rPr>
                <w:rFonts w:ascii="Times New Roman" w:hAnsi="Times New Roman"/>
                <w:sz w:val="16"/>
              </w:rPr>
              <w:t>посл.простору</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843</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63.275</w:t>
            </w:r>
          </w:p>
        </w:tc>
        <w:tc>
          <w:tcPr>
            <w:tcW w:w="96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410" w:right="0"/>
              <w:jc w:val="left"/>
              <w:rPr>
                <w:rFonts w:ascii="Times New Roman" w:hAnsi="Times New Roman" w:cs="Times New Roman" w:eastAsia="Times New Roman" w:hint="default"/>
                <w:sz w:val="16"/>
                <w:szCs w:val="16"/>
              </w:rPr>
            </w:pPr>
            <w:r>
              <w:rPr>
                <w:rFonts w:ascii="Times New Roman"/>
                <w:sz w:val="16"/>
              </w:rPr>
              <w:t>38.966</w:t>
            </w:r>
          </w:p>
        </w:tc>
        <w:tc>
          <w:tcPr>
            <w:tcW w:w="113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32.076</w:t>
            </w:r>
          </w:p>
        </w:tc>
        <w:tc>
          <w:tcPr>
            <w:tcW w:w="934"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381" w:right="0"/>
              <w:jc w:val="left"/>
              <w:rPr>
                <w:rFonts w:ascii="Times New Roman" w:hAnsi="Times New Roman" w:cs="Times New Roman" w:eastAsia="Times New Roman" w:hint="default"/>
                <w:sz w:val="16"/>
                <w:szCs w:val="16"/>
              </w:rPr>
            </w:pPr>
            <w:r>
              <w:rPr>
                <w:rFonts w:ascii="Times New Roman"/>
                <w:sz w:val="16"/>
              </w:rPr>
              <w:t>71.042</w:t>
            </w:r>
          </w:p>
        </w:tc>
      </w:tr>
      <w:tr>
        <w:trPr>
          <w:trHeight w:val="194" w:hRule="exact"/>
        </w:trPr>
        <w:tc>
          <w:tcPr>
            <w:tcW w:w="4705" w:type="dxa"/>
            <w:gridSpan w:val="3"/>
            <w:tcBorders>
              <w:top w:val="single" w:sz="4" w:space="0" w:color="000000"/>
              <w:left w:val="single" w:sz="4" w:space="0" w:color="000000"/>
              <w:bottom w:val="single" w:sz="4" w:space="0" w:color="000000"/>
              <w:right w:val="single" w:sz="4" w:space="0" w:color="000000"/>
            </w:tcBorders>
          </w:tcPr>
          <w:p>
            <w:pPr>
              <w:pStyle w:val="TableParagraph"/>
              <w:spacing w:line="183" w:lineRule="exact"/>
              <w:ind w:left="1788" w:right="1788"/>
              <w:jc w:val="center"/>
              <w:rPr>
                <w:rFonts w:ascii="Times New Roman" w:hAnsi="Times New Roman" w:cs="Times New Roman" w:eastAsia="Times New Roman" w:hint="default"/>
                <w:sz w:val="16"/>
                <w:szCs w:val="16"/>
              </w:rPr>
            </w:pPr>
            <w:r>
              <w:rPr>
                <w:rFonts w:ascii="Times New Roman" w:hAnsi="Times New Roman"/>
                <w:b/>
                <w:sz w:val="16"/>
              </w:rPr>
              <w:t>УКУПНО</w:t>
            </w:r>
            <w:r>
              <w:rPr>
                <w:rFonts w:ascii="Times New Roman" w:hAnsi="Times New Roman"/>
                <w:b/>
                <w:spacing w:val="3"/>
                <w:sz w:val="16"/>
              </w:rPr>
              <w:t> </w:t>
            </w:r>
            <w:r>
              <w:rPr>
                <w:rFonts w:ascii="Times New Roman" w:hAnsi="Times New Roman"/>
                <w:b/>
                <w:sz w:val="16"/>
              </w:rPr>
              <w:t>(1</w:t>
            </w:r>
            <w:r>
              <w:rPr>
                <w:rFonts w:ascii="Times New Roman" w:hAnsi="Times New Roman"/>
                <w:b/>
                <w:sz w:val="16"/>
              </w:rPr>
              <w:t>-2)</w:t>
            </w:r>
            <w:r>
              <w:rPr>
                <w:rFonts w:ascii="Times New Roman" w:hAnsi="Times New Roman"/>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right="100"/>
              <w:jc w:val="right"/>
              <w:rPr>
                <w:rFonts w:ascii="Times New Roman" w:hAnsi="Times New Roman" w:cs="Times New Roman" w:eastAsia="Times New Roman" w:hint="default"/>
                <w:sz w:val="16"/>
                <w:szCs w:val="16"/>
              </w:rPr>
            </w:pPr>
            <w:r>
              <w:rPr>
                <w:rFonts w:ascii="Times New Roman"/>
                <w:b/>
                <w:spacing w:val="-1"/>
                <w:sz w:val="16"/>
              </w:rPr>
              <w:t>843</w:t>
            </w:r>
            <w:r>
              <w:rPr>
                <w:rFonts w:ascii="Times New Roman"/>
                <w:spacing w:val="-1"/>
                <w:sz w:val="16"/>
              </w:rPr>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right="101"/>
              <w:jc w:val="right"/>
              <w:rPr>
                <w:rFonts w:ascii="Times New Roman" w:hAnsi="Times New Roman" w:cs="Times New Roman" w:eastAsia="Times New Roman" w:hint="default"/>
                <w:sz w:val="16"/>
                <w:szCs w:val="16"/>
              </w:rPr>
            </w:pPr>
            <w:r>
              <w:rPr>
                <w:rFonts w:ascii="Times New Roman"/>
                <w:b/>
                <w:spacing w:val="-1"/>
                <w:sz w:val="16"/>
              </w:rPr>
              <w:t>159.708</w:t>
            </w:r>
            <w:r>
              <w:rPr>
                <w:rFonts w:ascii="Times New Roman"/>
                <w:spacing w:val="-1"/>
                <w:sz w:val="16"/>
              </w:rPr>
            </w:r>
          </w:p>
        </w:tc>
        <w:tc>
          <w:tcPr>
            <w:tcW w:w="962"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left="410" w:right="0"/>
              <w:jc w:val="left"/>
              <w:rPr>
                <w:rFonts w:ascii="Times New Roman" w:hAnsi="Times New Roman" w:cs="Times New Roman" w:eastAsia="Times New Roman" w:hint="default"/>
                <w:sz w:val="16"/>
                <w:szCs w:val="16"/>
              </w:rPr>
            </w:pPr>
            <w:r>
              <w:rPr>
                <w:rFonts w:ascii="Times New Roman"/>
                <w:b/>
                <w:sz w:val="16"/>
              </w:rPr>
              <w:t>38.966</w:t>
            </w:r>
            <w:r>
              <w:rPr>
                <w:rFonts w:ascii="Times New Roman"/>
                <w:sz w:val="16"/>
              </w:rPr>
            </w:r>
          </w:p>
        </w:tc>
        <w:tc>
          <w:tcPr>
            <w:tcW w:w="1131"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right="100"/>
              <w:jc w:val="right"/>
              <w:rPr>
                <w:rFonts w:ascii="Times New Roman" w:hAnsi="Times New Roman" w:cs="Times New Roman" w:eastAsia="Times New Roman" w:hint="default"/>
                <w:sz w:val="16"/>
                <w:szCs w:val="16"/>
              </w:rPr>
            </w:pPr>
            <w:r>
              <w:rPr>
                <w:rFonts w:ascii="Times New Roman"/>
                <w:b/>
                <w:spacing w:val="-1"/>
                <w:sz w:val="16"/>
              </w:rPr>
              <w:t>32.076</w:t>
            </w:r>
            <w:r>
              <w:rPr>
                <w:rFonts w:ascii="Times New Roman"/>
                <w:spacing w:val="-1"/>
                <w:sz w:val="16"/>
              </w:rPr>
            </w:r>
          </w:p>
        </w:tc>
        <w:tc>
          <w:tcPr>
            <w:tcW w:w="934"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left="381" w:right="0"/>
              <w:jc w:val="left"/>
              <w:rPr>
                <w:rFonts w:ascii="Times New Roman" w:hAnsi="Times New Roman" w:cs="Times New Roman" w:eastAsia="Times New Roman" w:hint="default"/>
                <w:sz w:val="16"/>
                <w:szCs w:val="16"/>
              </w:rPr>
            </w:pPr>
            <w:r>
              <w:rPr>
                <w:rFonts w:ascii="Times New Roman"/>
                <w:b/>
                <w:sz w:val="16"/>
              </w:rPr>
              <w:t>71.042</w:t>
            </w:r>
            <w:r>
              <w:rPr>
                <w:rFonts w:ascii="Times New Roman"/>
                <w:sz w:val="16"/>
              </w:rPr>
            </w:r>
          </w:p>
        </w:tc>
      </w:tr>
    </w:tbl>
    <w:p>
      <w:pPr>
        <w:pStyle w:val="BodyText"/>
        <w:spacing w:line="268" w:lineRule="exact"/>
        <w:ind w:left="766" w:right="0"/>
        <w:jc w:val="left"/>
      </w:pPr>
      <w:r>
        <w:rPr>
          <w:rFonts w:ascii="Times New Roman" w:hAnsi="Times New Roman"/>
        </w:rPr>
      </w:r>
      <w:r>
        <w:rPr>
          <w:rFonts w:ascii="Times New Roman" w:hAnsi="Times New Roman"/>
          <w:spacing w:val="-60"/>
          <w:u w:val="single" w:color="000000"/>
        </w:rPr>
        <w:t> </w:t>
      </w:r>
      <w:r>
        <w:rPr>
          <w:u w:val="single" w:color="000000"/>
        </w:rPr>
        <w:t>Комунална  такса  за  држање  моторних,  друмских  и  прикључних  возила,    </w:t>
      </w:r>
      <w:r>
        <w:rPr>
          <w:spacing w:val="9"/>
          <w:u w:val="single" w:color="000000"/>
        </w:rPr>
        <w:t> </w:t>
      </w:r>
      <w:r>
        <w:rPr>
          <w:u w:val="single" w:color="000000"/>
        </w:rPr>
        <w:t>осим</w:t>
      </w:r>
      <w:r>
        <w:rPr/>
      </w:r>
    </w:p>
    <w:p>
      <w:pPr>
        <w:pStyle w:val="BodyText"/>
        <w:spacing w:line="240" w:lineRule="auto"/>
        <w:ind w:left="200" w:right="195"/>
        <w:jc w:val="both"/>
      </w:pPr>
      <w:r>
        <w:rPr>
          <w:rFonts w:ascii="Times New Roman" w:hAnsi="Times New Roman"/>
        </w:rPr>
      </w:r>
      <w:r>
        <w:rPr>
          <w:rFonts w:ascii="Times New Roman" w:hAnsi="Times New Roman"/>
          <w:spacing w:val="-60"/>
          <w:u w:val="single" w:color="000000"/>
        </w:rPr>
        <w:t> </w:t>
      </w:r>
      <w:r>
        <w:rPr>
          <w:u w:val="single" w:color="000000"/>
        </w:rPr>
        <w:t>пољопривредних возила и машина (уплатни рачун 714513) </w:t>
      </w:r>
      <w:r>
        <w:rPr/>
        <w:t>обрачунава се по тарифном </w:t>
      </w:r>
      <w:r>
        <w:rPr/>
        <w:t>броју 3. Одлуке о локалним комуналним таксама и наплаћује се приликом регистрације возила. У 2014. години остварен је приход по овом основу у износу од 96.433 хиљаде динара.</w:t>
      </w:r>
    </w:p>
    <w:p>
      <w:pPr>
        <w:pStyle w:val="BodyText"/>
        <w:spacing w:line="240" w:lineRule="auto"/>
        <w:ind w:left="200" w:right="271" w:firstLine="566"/>
        <w:jc w:val="left"/>
      </w:pPr>
      <w:r>
        <w:rPr>
          <w:rFonts w:ascii="Times New Roman" w:hAnsi="Times New Roman"/>
        </w:rPr>
      </w:r>
      <w:r>
        <w:rPr>
          <w:rFonts w:ascii="Times New Roman" w:hAnsi="Times New Roman"/>
          <w:spacing w:val="-60"/>
          <w:u w:val="single" w:color="000000"/>
        </w:rPr>
        <w:t> </w:t>
      </w:r>
      <w:r>
        <w:rPr>
          <w:u w:val="single" w:color="000000"/>
        </w:rPr>
        <w:t>Комунална такса за истицање фирме на пословном простору (уплатни рачун  </w:t>
      </w:r>
      <w:r>
        <w:rPr/>
      </w:r>
      <w:r>
        <w:rPr/>
      </w:r>
      <w:r>
        <w:rPr>
          <w:rFonts w:ascii="Times New Roman" w:hAnsi="Times New Roman"/>
        </w:rPr>
      </w:r>
      <w:r>
        <w:rPr>
          <w:rFonts w:ascii="Times New Roman" w:hAnsi="Times New Roman"/>
          <w:u w:val="single" w:color="000000"/>
        </w:rPr>
        <w:t>716111) </w:t>
      </w:r>
      <w:r>
        <w:rPr>
          <w:rFonts w:ascii="Times New Roman" w:hAnsi="Times New Roman"/>
        </w:rPr>
      </w:r>
      <w:r>
        <w:rPr/>
        <w:t>обрачунава се по Тарифном броју 1. Одлуке о локалним комуналним таксама. Утврђивање, наплату и контролу врши Управа за финансије, изворне приходе локалне самоуправе и јавне набавке. Наведена такса се утврђује решењем у годишњем износу, а плаћа се месечно у року од 15 дана по истеку месеца за претходни месец. До доношења решења о утврђивању таксе за текућу годину, такса се плаћа аконтационо у висини обавезе за последњи месец у години која претходи години за коју се утврђује таксена обавеза.</w:t>
      </w:r>
    </w:p>
    <w:p>
      <w:pPr>
        <w:pStyle w:val="BodyText"/>
        <w:spacing w:line="240" w:lineRule="auto"/>
        <w:ind w:left="200" w:right="195" w:firstLine="566"/>
        <w:jc w:val="both"/>
      </w:pPr>
      <w:r>
        <w:rPr/>
        <w:t>У 2014. години издато је 843 решења у износу од 60.436 хиљада динара, што је  мање у односу на претходну, 2013. годину, када је издато 954 решења у износу од 64.412 хиљада динара. У 2014. години остварен је приход по овом основу у износу од 63.275 хиљада динара. Стање потраживања Града на дан 31.12.2014. године износи 71.042 хиљаде динара, од чега се 38.966 хиљада динара односи на главни дуг, а 32.076 хиљада динара на камату. У 2014. години, Град је, ради наплате неизмирених потраживања, послао 213 опомена и спровео 84 принудне</w:t>
      </w:r>
      <w:r>
        <w:rPr>
          <w:spacing w:val="-16"/>
        </w:rPr>
        <w:t> </w:t>
      </w:r>
      <w:r>
        <w:rPr/>
        <w:t>наплате.</w:t>
      </w:r>
    </w:p>
    <w:p>
      <w:pPr>
        <w:pStyle w:val="BodyText"/>
        <w:spacing w:line="240" w:lineRule="auto"/>
        <w:ind w:left="766" w:right="0"/>
        <w:jc w:val="left"/>
      </w:pPr>
      <w:r>
        <w:rPr>
          <w:rFonts w:ascii="Times New Roman" w:hAnsi="Times New Roman"/>
        </w:rPr>
      </w:r>
      <w:r>
        <w:rPr>
          <w:rFonts w:ascii="Times New Roman" w:hAnsi="Times New Roman"/>
          <w:spacing w:val="-60"/>
          <w:u w:val="single" w:color="000000"/>
        </w:rPr>
        <w:t> </w:t>
      </w:r>
      <w:r>
        <w:rPr>
          <w:u w:val="single" w:color="000000"/>
        </w:rPr>
        <w:t>Комунална  такса  за  коришћење  простора  за  паркирање  друмских  моторних   </w:t>
      </w:r>
      <w:r>
        <w:rPr>
          <w:spacing w:val="43"/>
          <w:u w:val="single" w:color="000000"/>
        </w:rPr>
        <w:t> </w:t>
      </w:r>
      <w:r>
        <w:rPr>
          <w:spacing w:val="8"/>
          <w:u w:val="single" w:color="000000"/>
        </w:rPr>
        <w:t>и</w:t>
      </w:r>
      <w:r>
        <w:rPr>
          <w:spacing w:val="8"/>
        </w:rPr>
      </w:r>
      <w:r>
        <w:rPr/>
      </w:r>
    </w:p>
    <w:p>
      <w:pPr>
        <w:pStyle w:val="BodyText"/>
        <w:spacing w:line="276" w:lineRule="exact" w:before="3"/>
        <w:ind w:left="200" w:right="195"/>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прикључних возила на уређеним и обележеним местима (уплатни рачун </w:t>
      </w:r>
      <w:r>
        <w:rPr>
          <w:rFonts w:ascii="Times New Roman" w:hAnsi="Times New Roman" w:cs="Times New Roman" w:eastAsia="Times New Roman" w:hint="default"/>
          <w:u w:val="single" w:color="000000"/>
        </w:rPr>
        <w:t>741532) </w:t>
      </w:r>
      <w:r>
        <w:rPr>
          <w:rFonts w:ascii="Times New Roman" w:hAnsi="Times New Roman" w:cs="Times New Roman" w:eastAsia="Times New Roman" w:hint="default"/>
        </w:rPr>
      </w:r>
      <w:r>
        <w:rPr/>
        <w:t>– Одлуком о јавним паркиралиштима комуналну делатност управљања јавним паркиралиштима обавља ЈКП „Паркинг – сервис“ Ниш. Скупштина града Ниша донела  је Одлуку о оснивању ЈКП „Паркинг – сервис“ Ниш</w:t>
      </w:r>
      <w:r>
        <w:rPr>
          <w:rFonts w:ascii="Times New Roman" w:hAnsi="Times New Roman" w:cs="Times New Roman" w:eastAsia="Times New Roman" w:hint="default"/>
          <w:position w:val="11"/>
          <w:sz w:val="16"/>
          <w:szCs w:val="16"/>
        </w:rPr>
        <w:t>31</w:t>
      </w:r>
      <w:r>
        <w:rPr/>
        <w:t>, за обављање послова одржавања, управљања и коришћења јавних паркиралишта. Градско веће града Ниша је, на седници дана 19.09.2013. године, донело Решење којим је дало сагласност на Одлуку Управног одбора ЈКП „Паркинг сервис“ Ниш о утврђивању цена паркирања и уклањања моторних возила број 573/13 од 05.08.2013.</w:t>
      </w:r>
      <w:r>
        <w:rPr>
          <w:spacing w:val="-4"/>
        </w:rPr>
        <w:t> </w:t>
      </w:r>
      <w:r>
        <w:rPr/>
        <w:t>године.</w:t>
      </w:r>
    </w:p>
    <w:p>
      <w:pPr>
        <w:pStyle w:val="BodyText"/>
        <w:spacing w:line="240" w:lineRule="auto"/>
        <w:ind w:left="200" w:right="0" w:firstLine="566"/>
        <w:jc w:val="left"/>
      </w:pPr>
      <w:r>
        <w:rPr/>
        <w:t>У 2014. години евидентиран је приход на овом уплатном рачуну у износу од 11.037 хиљада  динара,  по  основу градске  административне  таксе  у тарифном  броју 19.  </w:t>
      </w:r>
      <w:r>
        <w:rPr>
          <w:spacing w:val="17"/>
        </w:rPr>
        <w:t> </w:t>
      </w:r>
      <w:r>
        <w:rPr/>
        <w:t>коју</w:t>
      </w:r>
    </w:p>
    <w:p>
      <w:pPr>
        <w:spacing w:line="240" w:lineRule="auto" w:before="6"/>
        <w:rPr>
          <w:rFonts w:ascii="Times New Roman" w:hAnsi="Times New Roman" w:cs="Times New Roman" w:eastAsia="Times New Roman" w:hint="default"/>
          <w:sz w:val="29"/>
          <w:szCs w:val="29"/>
        </w:rPr>
      </w:pPr>
      <w:r>
        <w:rPr/>
        <w:pict>
          <v:group style="position:absolute;margin-left:78.024002pt;margin-top:18.224306pt;width:144.050pt;height:.1pt;mso-position-horizontal-relative:page;mso-position-vertical-relative:paragraph;z-index:1360;mso-wrap-distance-left:0;mso-wrap-distance-right:0" coordorigin="1560,364" coordsize="2881,2">
            <v:shape style="position:absolute;left:1560;top:364;width:2881;height:2" coordorigin="1560,364" coordsize="2881,0" path="m1560,364l4441,364e" filled="false" stroked="true" strokeweight=".599980pt" strokecolor="#000000">
              <v:path arrowok="t"/>
            </v:shape>
            <w10:wrap type="topAndBottom"/>
          </v:group>
        </w:pict>
      </w:r>
    </w:p>
    <w:p>
      <w:pPr>
        <w:spacing w:after="0" w:line="240" w:lineRule="auto"/>
        <w:rPr>
          <w:rFonts w:ascii="Times New Roman" w:hAnsi="Times New Roman" w:cs="Times New Roman" w:eastAsia="Times New Roman" w:hint="default"/>
          <w:sz w:val="29"/>
          <w:szCs w:val="29"/>
        </w:rPr>
        <w:sectPr>
          <w:footerReference w:type="default" r:id="rId49"/>
          <w:pgSz w:w="12240" w:h="15840"/>
          <w:pgMar w:footer="1504" w:header="740" w:top="1280" w:bottom="1700" w:left="1360" w:right="1240"/>
          <w:pgNumType w:start="31"/>
        </w:sectPr>
      </w:pPr>
    </w:p>
    <w:p>
      <w:pPr>
        <w:pStyle w:val="BodyText"/>
        <w:spacing w:line="276" w:lineRule="exact" w:before="125"/>
        <w:ind w:right="178"/>
        <w:jc w:val="both"/>
      </w:pPr>
      <w:r>
        <w:rPr/>
        <w:t>плаћа корисник простора за заустављање у „Плавој зони“ предвиђене Одлуком о градским административним таксама</w:t>
      </w:r>
      <w:r>
        <w:rPr>
          <w:rFonts w:ascii="Times New Roman" w:hAnsi="Times New Roman" w:cs="Times New Roman" w:eastAsia="Times New Roman" w:hint="default"/>
          <w:position w:val="11"/>
          <w:sz w:val="16"/>
          <w:szCs w:val="16"/>
        </w:rPr>
        <w:t>32</w:t>
      </w:r>
      <w:r>
        <w:rPr/>
        <w:t>. Наплату таксе из овог тарифног броја врши Управа за комуналне делатности, енергетику и саобраћај која је донела Решење о одређивању плаве зоне</w:t>
      </w:r>
      <w:r>
        <w:rPr>
          <w:rFonts w:ascii="Times New Roman" w:hAnsi="Times New Roman" w:cs="Times New Roman" w:eastAsia="Times New Roman" w:hint="default"/>
          <w:position w:val="11"/>
          <w:sz w:val="16"/>
          <w:szCs w:val="16"/>
        </w:rPr>
        <w:t>33 </w:t>
      </w:r>
      <w:r>
        <w:rPr/>
        <w:t>којим је одређена саобраћајна зона од посебног значаја за саобраћај у граду – „Плава зона“, у којој се утврђује посебан режим саобраћаја теретних моторних</w:t>
      </w:r>
      <w:r>
        <w:rPr>
          <w:spacing w:val="-5"/>
        </w:rPr>
        <w:t> </w:t>
      </w:r>
      <w:r>
        <w:rPr/>
        <w:t>возила.</w:t>
      </w:r>
    </w:p>
    <w:p>
      <w:pPr>
        <w:pStyle w:val="Heading1"/>
        <w:spacing w:line="275" w:lineRule="exact" w:before="1"/>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37" w:lineRule="auto" w:before="1"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Одлуком о локалним комуналним таксама није уведена комунална такса за коришћење простора за паркирање друмских моторних и прикључних возила на уређеним и обележеним  местима,  а  иста  се  наплаћује  на  територији  града  Ниша  од  стране</w:t>
      </w:r>
      <w:r>
        <w:rPr>
          <w:rFonts w:ascii="Times New Roman" w:hAnsi="Times New Roman"/>
          <w:spacing w:val="37"/>
          <w:sz w:val="24"/>
        </w:rPr>
        <w:t> </w:t>
      </w:r>
      <w:r>
        <w:rPr>
          <w:rFonts w:ascii="Times New Roman" w:hAnsi="Times New Roman"/>
          <w:sz w:val="24"/>
        </w:rPr>
        <w:t>ЈКП</w:t>
      </w:r>
    </w:p>
    <w:p>
      <w:pPr>
        <w:pStyle w:val="BodyText"/>
        <w:spacing w:line="240" w:lineRule="auto"/>
        <w:ind w:right="179"/>
        <w:jc w:val="both"/>
      </w:pPr>
      <w:r>
        <w:rPr/>
        <w:t>„Паркинг сервис“ Ниш. Према подацима ЈКП „Паркинг сервис“ Ниш остварени су приходи по основу наплате паркирања у износу од 230.864 хиљаде динара. На напред наведени начин, Град је поступио супротно члану 6, 15, 18. и 60. Закона о финансирању локалне самоуправе и 49. Закона о буџетском систему. Одлуком о локалним комуналним таксама од 17.12.2014. године уведена је локална комунална такса за коришћење простора за паркирање друмских моторних и прикључних возила на уређеним и обележеним паркинг местима којом није предвиђена комунална такса за паркирање друмских моторних и прикључних возила физичких лица, као и начин наплате</w:t>
      </w:r>
      <w:r>
        <w:rPr>
          <w:spacing w:val="-37"/>
        </w:rPr>
        <w:t> </w:t>
      </w:r>
      <w:r>
        <w:rPr/>
        <w:t>исте.</w:t>
      </w:r>
    </w:p>
    <w:p>
      <w:pPr>
        <w:pStyle w:val="ListParagraph"/>
        <w:numPr>
          <w:ilvl w:val="0"/>
          <w:numId w:val="9"/>
        </w:numPr>
        <w:tabs>
          <w:tab w:pos="303" w:val="left" w:leader="none"/>
        </w:tabs>
        <w:spacing w:line="232" w:lineRule="auto" w:before="9"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је евидентиран приход по основу коришћења простора за заустављање теретних моторних возила у „Плавој зони“, уместо на уплатном рачуну 742241 – градске административне таксе, што је супротно Правилнику о условима и начину вођења рачуна за уплату јавних прихода и распоред средстава са тих рачуна</w:t>
      </w:r>
      <w:r>
        <w:rPr>
          <w:rFonts w:ascii="Times New Roman" w:hAnsi="Times New Roman" w:cs="Times New Roman" w:eastAsia="Times New Roman" w:hint="default"/>
          <w:position w:val="11"/>
          <w:sz w:val="16"/>
          <w:szCs w:val="16"/>
        </w:rPr>
        <w:t>34 </w:t>
      </w:r>
      <w:r>
        <w:rPr>
          <w:rFonts w:ascii="Times New Roman" w:hAnsi="Times New Roman" w:cs="Times New Roman" w:eastAsia="Times New Roman" w:hint="default"/>
          <w:sz w:val="24"/>
          <w:szCs w:val="24"/>
        </w:rPr>
        <w:t>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31"/>
          <w:sz w:val="24"/>
          <w:szCs w:val="24"/>
        </w:rPr>
        <w:t> </w:t>
      </w:r>
      <w:r>
        <w:rPr>
          <w:rFonts w:ascii="Times New Roman" w:hAnsi="Times New Roman" w:cs="Times New Roman" w:eastAsia="Times New Roman" w:hint="default"/>
          <w:sz w:val="24"/>
          <w:szCs w:val="24"/>
        </w:rPr>
        <w:t>систем.</w:t>
      </w:r>
    </w:p>
    <w:p>
      <w:pPr>
        <w:pStyle w:val="BodyText"/>
        <w:spacing w:line="240" w:lineRule="auto" w:before="1"/>
        <w:ind w:right="177" w:firstLine="566"/>
        <w:jc w:val="both"/>
      </w:pPr>
      <w:r>
        <w:rPr/>
        <w:t>Иста неправилност је утврђена и у поступку ревизије финансијских извештаја завршног рачуна буџета града Ниша за 2010.</w:t>
      </w:r>
      <w:r>
        <w:rPr>
          <w:spacing w:val="-14"/>
        </w:rPr>
        <w:t> </w:t>
      </w:r>
      <w:r>
        <w:rPr/>
        <w:t>годину.</w:t>
      </w:r>
    </w:p>
    <w:p>
      <w:pPr>
        <w:pStyle w:val="Heading2"/>
        <w:spacing w:line="240" w:lineRule="auto"/>
        <w:ind w:right="175"/>
        <w:jc w:val="both"/>
        <w:rPr>
          <w:b w:val="0"/>
          <w:bCs w:val="0"/>
          <w:i w:val="0"/>
        </w:rPr>
      </w:pPr>
      <w:r>
        <w:rPr>
          <w:i/>
        </w:rPr>
        <w:t>Препоручује се одговорним лицима да Одлуку о локалним комуналним таксама ускладе са прописима; обезбеде уплату комуналне таксе по овом основу у буџет Града; обезбеде правилну примену одредби Правилника о условима и начину вођења рачуна за уплату јавних прихода и распоред средстава са тих рачуна и Правилника о стандардном класификационом оквиру и контном плану за буџетски</w:t>
      </w:r>
      <w:r>
        <w:rPr>
          <w:i/>
          <w:spacing w:val="-28"/>
        </w:rPr>
        <w:t> </w:t>
      </w:r>
      <w:r>
        <w:rPr>
          <w:i/>
        </w:rPr>
        <w:t>систем.</w:t>
      </w:r>
      <w:r>
        <w:rPr>
          <w:b w:val="0"/>
          <w:i w:val="0"/>
        </w:rPr>
      </w:r>
    </w:p>
    <w:p>
      <w:pPr>
        <w:pStyle w:val="ListParagraph"/>
        <w:numPr>
          <w:ilvl w:val="3"/>
          <w:numId w:val="21"/>
        </w:numPr>
        <w:tabs>
          <w:tab w:pos="1013" w:val="left" w:leader="none"/>
        </w:tabs>
        <w:spacing w:line="232" w:lineRule="auto" w:before="138" w:after="0"/>
        <w:ind w:left="160" w:right="172" w:firstLine="566"/>
        <w:jc w:val="both"/>
        <w:rPr>
          <w:rFonts w:ascii="Times New Roman" w:hAnsi="Times New Roman" w:cs="Times New Roman" w:eastAsia="Times New Roman" w:hint="default"/>
          <w:sz w:val="24"/>
          <w:szCs w:val="24"/>
        </w:rPr>
      </w:pPr>
      <w:r>
        <w:rPr>
          <w:rFonts w:ascii="Times New Roman" w:hAnsi="Times New Roman"/>
          <w:b/>
          <w:sz w:val="24"/>
        </w:rPr>
        <w:t>Накнада за коришћење грађевинског земљишта </w:t>
      </w:r>
      <w:r>
        <w:rPr>
          <w:rFonts w:ascii="Times New Roman" w:hAnsi="Times New Roman"/>
          <w:i/>
          <w:sz w:val="24"/>
        </w:rPr>
        <w:t>(уплатни рачун 741534) </w:t>
      </w:r>
      <w:r>
        <w:rPr>
          <w:rFonts w:ascii="Times New Roman" w:hAnsi="Times New Roman"/>
          <w:b/>
          <w:sz w:val="24"/>
        </w:rPr>
        <w:t>- </w:t>
      </w:r>
      <w:r>
        <w:rPr>
          <w:rFonts w:ascii="Times New Roman" w:hAnsi="Times New Roman"/>
          <w:sz w:val="24"/>
        </w:rPr>
        <w:t>У 2014. години остварен је приход у износу од 158.394 хиљаде динара, а по основу издатих решења из 2013. године. Сходно члану 89(с1) Закона о планирању и изградњи</w:t>
      </w:r>
      <w:r>
        <w:rPr>
          <w:rFonts w:ascii="Times New Roman" w:hAnsi="Times New Roman"/>
          <w:position w:val="11"/>
          <w:sz w:val="16"/>
        </w:rPr>
        <w:t>35 </w:t>
      </w:r>
      <w:r>
        <w:rPr>
          <w:rFonts w:ascii="Times New Roman" w:hAnsi="Times New Roman"/>
          <w:sz w:val="24"/>
        </w:rPr>
        <w:t>накнада за коришћење грађевинског земљишта се од 01.01.2014. године интегрише у порез на имовину,  те  се  приход  остварен  у  2014.  години  односи  на  неизмирена  дуговања </w:t>
      </w:r>
      <w:r>
        <w:rPr>
          <w:rFonts w:ascii="Times New Roman" w:hAnsi="Times New Roman"/>
          <w:spacing w:val="13"/>
          <w:sz w:val="24"/>
        </w:rPr>
        <w:t> </w:t>
      </w:r>
      <w:r>
        <w:rPr>
          <w:rFonts w:ascii="Times New Roman" w:hAnsi="Times New Roman"/>
          <w:sz w:val="24"/>
        </w:rPr>
        <w:t>из</w:t>
      </w:r>
    </w:p>
    <w:p>
      <w:pPr>
        <w:pStyle w:val="BodyText"/>
        <w:spacing w:line="240" w:lineRule="auto" w:before="1"/>
        <w:ind w:right="181"/>
        <w:jc w:val="both"/>
      </w:pPr>
      <w:r>
        <w:rPr/>
        <w:t>претходних година. Сходно томе, у 2014. години нису издавана посебна решења о накнади за коришћење грађевинског</w:t>
      </w:r>
      <w:r>
        <w:rPr>
          <w:spacing w:val="-17"/>
        </w:rPr>
        <w:t> </w:t>
      </w:r>
      <w:r>
        <w:rPr/>
        <w:t>земљишта.</w:t>
      </w:r>
    </w:p>
    <w:p>
      <w:pPr>
        <w:pStyle w:val="BodyText"/>
        <w:spacing w:line="240" w:lineRule="auto"/>
        <w:ind w:right="173" w:firstLine="566"/>
        <w:jc w:val="both"/>
      </w:pPr>
      <w:r>
        <w:rPr/>
        <w:t>У 2013. години, Управа за финансије, изворне приходе локалне самоуправе и јавне набавке издала је, за правна лица и физичка лица, 4.444 решења у износу од 439.488 хиљада динара. У 2014. години остварен је приход по овом основу у износу од 158.394 хиљаде динара. Стање потраживања Града на дан 31.12.2014. године износи 1.377.841 хиљада  динара,  од  чега 849.199  хиљада динара на име главног  дуга и  528.642 </w:t>
      </w:r>
      <w:r>
        <w:rPr>
          <w:spacing w:val="51"/>
        </w:rPr>
        <w:t> </w:t>
      </w:r>
      <w:r>
        <w:rPr/>
        <w:t>хиљаде</w:t>
      </w:r>
    </w:p>
    <w:p>
      <w:pPr>
        <w:spacing w:line="240" w:lineRule="auto" w:before="9"/>
        <w:rPr>
          <w:rFonts w:ascii="Times New Roman" w:hAnsi="Times New Roman" w:cs="Times New Roman" w:eastAsia="Times New Roman" w:hint="default"/>
          <w:sz w:val="24"/>
          <w:szCs w:val="24"/>
        </w:rPr>
      </w:pPr>
      <w:r>
        <w:rPr/>
        <w:pict>
          <v:group style="position:absolute;margin-left:78.024002pt;margin-top:15.484278pt;width:144.050pt;height:.1pt;mso-position-horizontal-relative:page;mso-position-vertical-relative:paragraph;z-index:1384;mso-wrap-distance-left:0;mso-wrap-distance-right:0" coordorigin="1560,310" coordsize="2881,2">
            <v:shape style="position:absolute;left:1560;top:310;width:2881;height:2" coordorigin="1560,310" coordsize="2881,0" path="m1560,310l4441,310e" filled="false" stroked="true" strokeweight=".60004pt" strokecolor="#000000">
              <v:path arrowok="t"/>
            </v:shape>
            <w10:wrap type="topAndBottom"/>
          </v:group>
        </w:pict>
      </w:r>
    </w:p>
    <w:p>
      <w:pPr>
        <w:spacing w:line="190" w:lineRule="exact" w:before="52"/>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32 </w:t>
      </w:r>
      <w:r>
        <w:rPr>
          <w:rFonts w:ascii="Times New Roman" w:hAnsi="Times New Roman" w:cs="Times New Roman" w:eastAsia="Times New Roman" w:hint="default"/>
          <w:sz w:val="16"/>
          <w:szCs w:val="16"/>
        </w:rPr>
        <w:t>„Службени лист града Ниша“ број 46/2009 и</w:t>
      </w:r>
      <w:r>
        <w:rPr>
          <w:rFonts w:ascii="Times New Roman" w:hAnsi="Times New Roman" w:cs="Times New Roman" w:eastAsia="Times New Roman" w:hint="default"/>
          <w:spacing w:val="-9"/>
          <w:sz w:val="16"/>
          <w:szCs w:val="16"/>
        </w:rPr>
        <w:t> </w:t>
      </w:r>
      <w:r>
        <w:rPr>
          <w:rFonts w:ascii="Times New Roman" w:hAnsi="Times New Roman" w:cs="Times New Roman" w:eastAsia="Times New Roman" w:hint="default"/>
          <w:sz w:val="16"/>
          <w:szCs w:val="16"/>
        </w:rPr>
        <w:t>12/2010</w:t>
      </w:r>
    </w:p>
    <w:p>
      <w:pPr>
        <w:spacing w:line="184" w:lineRule="exact" w:before="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33  </w:t>
      </w:r>
      <w:r>
        <w:rPr>
          <w:rFonts w:ascii="Times New Roman" w:hAnsi="Times New Roman" w:cs="Times New Roman" w:eastAsia="Times New Roman" w:hint="default"/>
          <w:sz w:val="16"/>
          <w:szCs w:val="16"/>
        </w:rPr>
        <w:t>„Службени лист града Ниша“ број</w:t>
      </w:r>
      <w:r>
        <w:rPr>
          <w:rFonts w:ascii="Times New Roman" w:hAnsi="Times New Roman" w:cs="Times New Roman" w:eastAsia="Times New Roman" w:hint="default"/>
          <w:spacing w:val="-26"/>
          <w:sz w:val="16"/>
          <w:szCs w:val="16"/>
        </w:rPr>
        <w:t> </w:t>
      </w:r>
      <w:r>
        <w:rPr>
          <w:rFonts w:ascii="Times New Roman" w:hAnsi="Times New Roman" w:cs="Times New Roman" w:eastAsia="Times New Roman" w:hint="default"/>
          <w:sz w:val="16"/>
          <w:szCs w:val="16"/>
        </w:rPr>
        <w:t>12/2013</w:t>
      </w:r>
    </w:p>
    <w:p>
      <w:pPr>
        <w:spacing w:line="185" w:lineRule="exact" w:before="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34 </w:t>
      </w:r>
      <w:r>
        <w:rPr>
          <w:rFonts w:ascii="Times New Roman" w:hAnsi="Times New Roman" w:cs="Times New Roman" w:eastAsia="Times New Roman" w:hint="default"/>
          <w:sz w:val="16"/>
          <w:szCs w:val="16"/>
        </w:rPr>
        <w:t>„Службени гласник Републике Србије“ број</w:t>
      </w:r>
      <w:r>
        <w:rPr>
          <w:rFonts w:ascii="Times New Roman" w:hAnsi="Times New Roman" w:cs="Times New Roman" w:eastAsia="Times New Roman" w:hint="default"/>
          <w:spacing w:val="-14"/>
          <w:sz w:val="16"/>
          <w:szCs w:val="16"/>
        </w:rPr>
        <w:t> </w:t>
      </w:r>
      <w:r>
        <w:rPr>
          <w:rFonts w:ascii="Times New Roman" w:hAnsi="Times New Roman" w:cs="Times New Roman" w:eastAsia="Times New Roman" w:hint="default"/>
          <w:sz w:val="16"/>
          <w:szCs w:val="16"/>
        </w:rPr>
        <w:t>104/2011...131/2014</w:t>
      </w:r>
    </w:p>
    <w:p>
      <w:pPr>
        <w:spacing w:line="191" w:lineRule="exact" w:before="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35 </w:t>
      </w:r>
      <w:r>
        <w:rPr>
          <w:rFonts w:ascii="Times New Roman" w:hAnsi="Times New Roman" w:cs="Times New Roman" w:eastAsia="Times New Roman" w:hint="default"/>
          <w:sz w:val="16"/>
          <w:szCs w:val="16"/>
        </w:rPr>
        <w:t>„Службени гласник Републике Србије“ број 72/2009 и</w:t>
      </w:r>
      <w:r>
        <w:rPr>
          <w:rFonts w:ascii="Times New Roman" w:hAnsi="Times New Roman" w:cs="Times New Roman" w:eastAsia="Times New Roman" w:hint="default"/>
          <w:spacing w:val="-12"/>
          <w:sz w:val="16"/>
          <w:szCs w:val="16"/>
        </w:rPr>
        <w:t> </w:t>
      </w:r>
      <w:r>
        <w:rPr>
          <w:rFonts w:ascii="Times New Roman" w:hAnsi="Times New Roman" w:cs="Times New Roman" w:eastAsia="Times New Roman" w:hint="default"/>
          <w:sz w:val="16"/>
          <w:szCs w:val="16"/>
        </w:rPr>
        <w:t>98/2013</w:t>
      </w:r>
    </w:p>
    <w:p>
      <w:pPr>
        <w:spacing w:after="0" w:line="191" w:lineRule="exact"/>
        <w:jc w:val="left"/>
        <w:rPr>
          <w:rFonts w:ascii="Times New Roman" w:hAnsi="Times New Roman" w:cs="Times New Roman" w:eastAsia="Times New Roman" w:hint="default"/>
          <w:sz w:val="16"/>
          <w:szCs w:val="16"/>
        </w:rPr>
        <w:sectPr>
          <w:footerReference w:type="default" r:id="rId50"/>
          <w:pgSz w:w="12240" w:h="15840"/>
          <w:pgMar w:footer="1274" w:header="740" w:top="1280" w:bottom="1460" w:left="1400" w:right="1260"/>
          <w:pgNumType w:start="51"/>
        </w:sectPr>
      </w:pPr>
    </w:p>
    <w:p>
      <w:pPr>
        <w:pStyle w:val="BodyText"/>
        <w:spacing w:line="240" w:lineRule="auto" w:before="122"/>
        <w:ind w:right="141"/>
        <w:jc w:val="left"/>
      </w:pPr>
      <w:r>
        <w:rPr/>
        <w:t>динара на име камате. У 2014. години, Град је, ради наплате неизмирених потраживања, послао 745 опомена и спровео 29 принудних</w:t>
      </w:r>
      <w:r>
        <w:rPr>
          <w:spacing w:val="-19"/>
        </w:rPr>
        <w:t> </w:t>
      </w:r>
      <w:r>
        <w:rPr/>
        <w:t>наплата.</w:t>
      </w:r>
    </w:p>
    <w:p>
      <w:pPr>
        <w:spacing w:before="0"/>
        <w:ind w:left="160" w:right="178"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На основу ревизије узорковане документације утврђено је </w:t>
      </w:r>
      <w:r>
        <w:rPr>
          <w:rFonts w:ascii="Times New Roman" w:hAnsi="Times New Roman" w:cs="Times New Roman" w:eastAsia="Times New Roman" w:hint="default"/>
          <w:sz w:val="24"/>
          <w:szCs w:val="24"/>
        </w:rPr>
        <w:t>да се не врши адекватна контрола наплате прихода с обзиром да се иста врши само на основу  извештаја, евиденције и уплате достављене од стране ЈКП „Обједињена наплата“</w:t>
      </w:r>
      <w:r>
        <w:rPr>
          <w:rFonts w:ascii="Times New Roman" w:hAnsi="Times New Roman" w:cs="Times New Roman" w:eastAsia="Times New Roman" w:hint="default"/>
          <w:spacing w:val="-26"/>
          <w:sz w:val="24"/>
          <w:szCs w:val="24"/>
        </w:rPr>
        <w:t> </w:t>
      </w:r>
      <w:r>
        <w:rPr>
          <w:rFonts w:ascii="Times New Roman" w:hAnsi="Times New Roman" w:cs="Times New Roman" w:eastAsia="Times New Roman" w:hint="default"/>
          <w:sz w:val="24"/>
          <w:szCs w:val="24"/>
        </w:rPr>
        <w:t>Ниш.</w:t>
      </w:r>
    </w:p>
    <w:p>
      <w:pPr>
        <w:pStyle w:val="Heading2"/>
        <w:spacing w:line="240" w:lineRule="auto"/>
        <w:ind w:right="173"/>
        <w:jc w:val="both"/>
        <w:rPr>
          <w:b w:val="0"/>
          <w:bCs w:val="0"/>
          <w:i w:val="0"/>
        </w:rPr>
      </w:pPr>
      <w:r>
        <w:rPr>
          <w:i/>
        </w:rPr>
        <w:t>Препоручује се одговорним лицима да врше адекватну контролу наплате јавних прихода.</w:t>
      </w:r>
      <w:r>
        <w:rPr>
          <w:b w:val="0"/>
          <w:i w:val="0"/>
        </w:rPr>
      </w:r>
    </w:p>
    <w:p>
      <w:pPr>
        <w:pStyle w:val="ListParagraph"/>
        <w:numPr>
          <w:ilvl w:val="3"/>
          <w:numId w:val="21"/>
        </w:numPr>
        <w:tabs>
          <w:tab w:pos="1051" w:val="left" w:leader="none"/>
        </w:tabs>
        <w:spacing w:line="232" w:lineRule="auto" w:before="138" w:after="0"/>
        <w:ind w:left="160" w:right="172" w:firstLine="566"/>
        <w:jc w:val="both"/>
        <w:rPr>
          <w:rFonts w:ascii="Times New Roman" w:hAnsi="Times New Roman" w:cs="Times New Roman" w:eastAsia="Times New Roman" w:hint="default"/>
          <w:sz w:val="24"/>
          <w:szCs w:val="24"/>
        </w:rPr>
      </w:pPr>
      <w:r>
        <w:rPr>
          <w:rFonts w:ascii="Times New Roman" w:hAnsi="Times New Roman"/>
          <w:b/>
          <w:sz w:val="24"/>
        </w:rPr>
        <w:t>Накнада за уређивање грађевинског земљишта </w:t>
      </w:r>
      <w:r>
        <w:rPr>
          <w:rFonts w:ascii="Times New Roman" w:hAnsi="Times New Roman"/>
          <w:i/>
          <w:sz w:val="24"/>
        </w:rPr>
        <w:t>(</w:t>
      </w:r>
      <w:r>
        <w:rPr>
          <w:rFonts w:ascii="Times New Roman" w:hAnsi="Times New Roman"/>
          <w:i/>
          <w:sz w:val="24"/>
        </w:rPr>
        <w:t>уплатни рачун </w:t>
      </w:r>
      <w:r>
        <w:rPr>
          <w:rFonts w:ascii="Times New Roman" w:hAnsi="Times New Roman"/>
          <w:i/>
          <w:sz w:val="24"/>
        </w:rPr>
        <w:t>742253) </w:t>
      </w:r>
      <w:r>
        <w:rPr>
          <w:rFonts w:ascii="Times New Roman" w:hAnsi="Times New Roman"/>
          <w:b/>
          <w:sz w:val="24"/>
        </w:rPr>
        <w:t>- </w:t>
      </w:r>
      <w:r>
        <w:rPr>
          <w:rFonts w:ascii="Times New Roman" w:hAnsi="Times New Roman"/>
          <w:sz w:val="24"/>
        </w:rPr>
        <w:t>Утврђује се и наплаћује на основу Одлуке о мерилима за утврђивање накнаде за уређивање грађевинског земљишта</w:t>
      </w:r>
      <w:r>
        <w:rPr>
          <w:rFonts w:ascii="Times New Roman" w:hAnsi="Times New Roman"/>
          <w:position w:val="11"/>
          <w:sz w:val="16"/>
        </w:rPr>
        <w:t>36</w:t>
      </w:r>
      <w:r>
        <w:rPr>
          <w:rFonts w:ascii="Times New Roman" w:hAnsi="Times New Roman"/>
          <w:sz w:val="24"/>
        </w:rPr>
        <w:t>. Накнаду за уређивање плаћа инвеститор на основу уговора о регулисању накнаде за уређивање грађевинског земљишта који закључује са ЈП Дирекцијом.</w:t>
      </w:r>
      <w:r>
        <w:rPr>
          <w:rFonts w:ascii="Times New Roman" w:hAnsi="Times New Roman"/>
          <w:spacing w:val="24"/>
          <w:sz w:val="24"/>
        </w:rPr>
        <w:t> </w:t>
      </w:r>
      <w:r>
        <w:rPr>
          <w:rFonts w:ascii="Times New Roman" w:hAnsi="Times New Roman"/>
          <w:sz w:val="24"/>
        </w:rPr>
        <w:t>Одлуком</w:t>
      </w:r>
      <w:r>
        <w:rPr>
          <w:rFonts w:ascii="Times New Roman" w:hAnsi="Times New Roman"/>
          <w:spacing w:val="24"/>
          <w:sz w:val="24"/>
        </w:rPr>
        <w:t> </w:t>
      </w:r>
      <w:r>
        <w:rPr>
          <w:rFonts w:ascii="Times New Roman" w:hAnsi="Times New Roman"/>
          <w:sz w:val="24"/>
        </w:rPr>
        <w:t>је</w:t>
      </w:r>
      <w:r>
        <w:rPr>
          <w:rFonts w:ascii="Times New Roman" w:hAnsi="Times New Roman"/>
          <w:spacing w:val="24"/>
          <w:sz w:val="24"/>
        </w:rPr>
        <w:t> </w:t>
      </w:r>
      <w:r>
        <w:rPr>
          <w:rFonts w:ascii="Times New Roman" w:hAnsi="Times New Roman"/>
          <w:sz w:val="24"/>
        </w:rPr>
        <w:t>предвиђено</w:t>
      </w:r>
      <w:r>
        <w:rPr>
          <w:rFonts w:ascii="Times New Roman" w:hAnsi="Times New Roman"/>
          <w:spacing w:val="25"/>
          <w:sz w:val="24"/>
        </w:rPr>
        <w:t> </w:t>
      </w:r>
      <w:r>
        <w:rPr>
          <w:rFonts w:ascii="Times New Roman" w:hAnsi="Times New Roman"/>
          <w:sz w:val="24"/>
        </w:rPr>
        <w:t>да</w:t>
      </w:r>
      <w:r>
        <w:rPr>
          <w:rFonts w:ascii="Times New Roman" w:hAnsi="Times New Roman"/>
          <w:spacing w:val="24"/>
          <w:sz w:val="24"/>
        </w:rPr>
        <w:t> </w:t>
      </w:r>
      <w:r>
        <w:rPr>
          <w:rFonts w:ascii="Times New Roman" w:hAnsi="Times New Roman"/>
          <w:sz w:val="24"/>
        </w:rPr>
        <w:t>обрачун</w:t>
      </w:r>
      <w:r>
        <w:rPr>
          <w:rFonts w:ascii="Times New Roman" w:hAnsi="Times New Roman"/>
          <w:spacing w:val="28"/>
          <w:sz w:val="24"/>
        </w:rPr>
        <w:t> </w:t>
      </w:r>
      <w:r>
        <w:rPr>
          <w:rFonts w:ascii="Times New Roman" w:hAnsi="Times New Roman"/>
          <w:sz w:val="24"/>
        </w:rPr>
        <w:t>накнаде</w:t>
      </w:r>
      <w:r>
        <w:rPr>
          <w:rFonts w:ascii="Times New Roman" w:hAnsi="Times New Roman"/>
          <w:spacing w:val="24"/>
          <w:sz w:val="24"/>
        </w:rPr>
        <w:t> </w:t>
      </w:r>
      <w:r>
        <w:rPr>
          <w:rFonts w:ascii="Times New Roman" w:hAnsi="Times New Roman"/>
          <w:sz w:val="24"/>
        </w:rPr>
        <w:t>ЈП</w:t>
      </w:r>
      <w:r>
        <w:rPr>
          <w:rFonts w:ascii="Times New Roman" w:hAnsi="Times New Roman"/>
          <w:spacing w:val="24"/>
          <w:sz w:val="24"/>
        </w:rPr>
        <w:t> </w:t>
      </w:r>
      <w:r>
        <w:rPr>
          <w:rFonts w:ascii="Times New Roman" w:hAnsi="Times New Roman"/>
          <w:sz w:val="24"/>
        </w:rPr>
        <w:t>Дирекција</w:t>
      </w:r>
      <w:r>
        <w:rPr>
          <w:rFonts w:ascii="Times New Roman" w:hAnsi="Times New Roman"/>
          <w:spacing w:val="24"/>
          <w:sz w:val="24"/>
        </w:rPr>
        <w:t> </w:t>
      </w:r>
      <w:r>
        <w:rPr>
          <w:rFonts w:ascii="Times New Roman" w:hAnsi="Times New Roman"/>
          <w:sz w:val="24"/>
        </w:rPr>
        <w:t>врши</w:t>
      </w:r>
      <w:r>
        <w:rPr>
          <w:rFonts w:ascii="Times New Roman" w:hAnsi="Times New Roman"/>
          <w:spacing w:val="25"/>
          <w:sz w:val="24"/>
        </w:rPr>
        <w:t> </w:t>
      </w:r>
      <w:r>
        <w:rPr>
          <w:rFonts w:ascii="Times New Roman" w:hAnsi="Times New Roman"/>
          <w:sz w:val="24"/>
        </w:rPr>
        <w:t>на</w:t>
      </w:r>
      <w:r>
        <w:rPr>
          <w:rFonts w:ascii="Times New Roman" w:hAnsi="Times New Roman"/>
          <w:spacing w:val="24"/>
          <w:sz w:val="24"/>
        </w:rPr>
        <w:t> </w:t>
      </w:r>
      <w:r>
        <w:rPr>
          <w:rFonts w:ascii="Times New Roman" w:hAnsi="Times New Roman"/>
          <w:sz w:val="24"/>
        </w:rPr>
        <w:t>основу</w:t>
      </w:r>
    </w:p>
    <w:p>
      <w:pPr>
        <w:pStyle w:val="BodyText"/>
        <w:spacing w:line="240" w:lineRule="auto" w:before="1"/>
        <w:ind w:right="141"/>
        <w:jc w:val="left"/>
      </w:pPr>
      <w:r>
        <w:rPr/>
        <w:t>достављене оверене документације од стране надлежне управе у поступку издавања грађевинске</w:t>
      </w:r>
      <w:r>
        <w:rPr>
          <w:spacing w:val="-6"/>
        </w:rPr>
        <w:t> </w:t>
      </w:r>
      <w:r>
        <w:rPr/>
        <w:t>дозволе.</w:t>
      </w:r>
    </w:p>
    <w:p>
      <w:pPr>
        <w:pStyle w:val="BodyText"/>
        <w:spacing w:line="240" w:lineRule="auto"/>
        <w:ind w:right="172" w:firstLine="360"/>
        <w:jc w:val="both"/>
      </w:pPr>
      <w:r>
        <w:rPr/>
        <w:t>У 2014. години ЈП Дирекција закључила је 265 уговора о плаћању накнаде за уређивање грађевинског земљишта у износу од 322.706 хиљада динара. По овом основу остварен је приход у 2014. години у износу од 324.601 хиљаде</w:t>
      </w:r>
      <w:r>
        <w:rPr>
          <w:spacing w:val="-15"/>
        </w:rPr>
        <w:t> </w:t>
      </w:r>
      <w:r>
        <w:rPr/>
        <w:t>динара.</w:t>
      </w:r>
    </w:p>
    <w:p>
      <w:pPr>
        <w:pStyle w:val="BodyText"/>
        <w:spacing w:line="240" w:lineRule="auto"/>
        <w:ind w:right="178" w:firstLine="566"/>
        <w:jc w:val="both"/>
      </w:pPr>
      <w:r>
        <w:rPr/>
        <w:t>Потраживање града Ниша по основу накнаде за уређење грађевинског земљишта износи 182.861 хиљада динара, од чега је на име главног дуга 152.870 хиљада динара и на име камате 29.991 хиљада динара. ЈП Дирекција је, ради наплате неизмирених потраживања послала 11 опомена и спровела две принудне</w:t>
      </w:r>
      <w:r>
        <w:rPr>
          <w:spacing w:val="-20"/>
        </w:rPr>
        <w:t> </w:t>
      </w:r>
      <w:r>
        <w:rPr/>
        <w:t>наплате.</w:t>
      </w:r>
    </w:p>
    <w:p>
      <w:pPr>
        <w:pStyle w:val="Heading1"/>
        <w:numPr>
          <w:ilvl w:val="3"/>
          <w:numId w:val="21"/>
        </w:numPr>
        <w:tabs>
          <w:tab w:pos="986" w:val="left" w:leader="none"/>
        </w:tabs>
        <w:spacing w:line="274" w:lineRule="exact" w:before="144" w:after="0"/>
        <w:ind w:left="986" w:right="0" w:hanging="260"/>
        <w:jc w:val="left"/>
        <w:rPr>
          <w:b w:val="0"/>
          <w:bCs w:val="0"/>
        </w:rPr>
      </w:pPr>
      <w:r>
        <w:rPr/>
        <w:t>Самодоприноси</w:t>
      </w:r>
      <w:r>
        <w:rPr>
          <w:b w:val="0"/>
        </w:rPr>
      </w:r>
    </w:p>
    <w:p>
      <w:pPr>
        <w:pStyle w:val="BodyText"/>
        <w:spacing w:line="274" w:lineRule="exact"/>
        <w:ind w:left="726" w:right="141"/>
        <w:jc w:val="left"/>
      </w:pPr>
      <w:r>
        <w:rPr>
          <w:rFonts w:ascii="Times New Roman" w:hAnsi="Times New Roman"/>
        </w:rPr>
      </w:r>
      <w:r>
        <w:rPr>
          <w:rFonts w:ascii="Times New Roman" w:hAnsi="Times New Roman"/>
          <w:spacing w:val="-60"/>
          <w:u w:val="single" w:color="000000"/>
        </w:rPr>
        <w:t> </w:t>
      </w:r>
      <w:r>
        <w:rPr>
          <w:u w:val="single" w:color="000000"/>
        </w:rPr>
        <w:t>Самодопринос према зарадама запослених и по основу пензија на територији</w:t>
      </w:r>
      <w:r>
        <w:rPr>
          <w:spacing w:val="40"/>
          <w:u w:val="single" w:color="000000"/>
        </w:rPr>
        <w:t> </w:t>
      </w:r>
      <w:r>
        <w:rPr>
          <w:u w:val="single" w:color="000000"/>
        </w:rPr>
        <w:t>месне</w:t>
      </w:r>
      <w:r>
        <w:rPr/>
      </w:r>
    </w:p>
    <w:p>
      <w:pPr>
        <w:pStyle w:val="BodyText"/>
        <w:spacing w:line="240" w:lineRule="auto"/>
        <w:ind w:right="141"/>
        <w:jc w:val="left"/>
      </w:pPr>
      <w:r>
        <w:rPr>
          <w:rFonts w:ascii="Times New Roman" w:hAnsi="Times New Roman"/>
        </w:rPr>
      </w:r>
      <w:r>
        <w:rPr>
          <w:rFonts w:ascii="Times New Roman" w:hAnsi="Times New Roman"/>
          <w:spacing w:val="-60"/>
          <w:u w:val="single" w:color="000000"/>
        </w:rPr>
        <w:t> </w:t>
      </w:r>
      <w:r>
        <w:rPr>
          <w:u w:val="single" w:color="000000"/>
        </w:rPr>
        <w:t>заједнице или општине (уплатни рачун 711181) </w:t>
      </w:r>
      <w:r>
        <w:rPr/>
      </w:r>
      <w:r>
        <w:rPr>
          <w:rFonts w:ascii="Times New Roman" w:hAnsi="Times New Roman"/>
          <w:i/>
        </w:rPr>
        <w:t>- </w:t>
      </w:r>
      <w:r>
        <w:rPr/>
        <w:t>Остварен је приход у износу од 1.089 хиљада</w:t>
      </w:r>
      <w:r>
        <w:rPr>
          <w:spacing w:val="-3"/>
        </w:rPr>
        <w:t> </w:t>
      </w:r>
      <w:r>
        <w:rPr/>
        <w:t>динара.</w:t>
      </w:r>
    </w:p>
    <w:p>
      <w:pPr>
        <w:pStyle w:val="BodyText"/>
        <w:spacing w:line="240" w:lineRule="auto"/>
        <w:ind w:right="174" w:firstLine="566"/>
        <w:jc w:val="both"/>
      </w:pPr>
      <w:r>
        <w:rPr>
          <w:rFonts w:ascii="Times New Roman" w:hAnsi="Times New Roman" w:cs="Times New Roman" w:eastAsia="Times New Roman" w:hint="default"/>
          <w:b/>
          <w:bCs/>
        </w:rPr>
        <w:t>На основу ревизије узорковане документације утврђено је </w:t>
      </w:r>
      <w:r>
        <w:rPr/>
        <w:t>да је у 2014. години остварен приход у износу од 1.089 хиљада динара из самодоприноса према зарадама запослених и по основу пензија на територији месне заједнице и општине, а по Одлуци о самодоприносу на територији града Ниша за период од 1996 – </w:t>
      </w:r>
      <w:r>
        <w:rPr>
          <w:rFonts w:ascii="Times New Roman" w:hAnsi="Times New Roman" w:cs="Times New Roman" w:eastAsia="Times New Roman" w:hint="default"/>
        </w:rPr>
        <w:t>2000. </w:t>
      </w:r>
      <w:r>
        <w:rPr/>
        <w:t>године број 27 од 21.12.1995. године</w:t>
      </w:r>
      <w:r>
        <w:rPr>
          <w:rFonts w:ascii="Times New Roman" w:hAnsi="Times New Roman" w:cs="Times New Roman" w:eastAsia="Times New Roman" w:hint="default"/>
        </w:rPr>
        <w:t>, </w:t>
      </w:r>
      <w:r>
        <w:rPr/>
        <w:t>која је престала да важи, тако да је приход остварен без правног основа. Град годинама уназад остварује овај приход без важећег акта о увођењу. У поступку ревизије нисмо могли да утврдимо за које намене је овај приход</w:t>
      </w:r>
      <w:r>
        <w:rPr>
          <w:spacing w:val="-14"/>
        </w:rPr>
        <w:t> </w:t>
      </w:r>
      <w:r>
        <w:rPr/>
        <w:t>искоришћен.</w:t>
      </w:r>
    </w:p>
    <w:p>
      <w:pPr>
        <w:pStyle w:val="Heading2"/>
        <w:spacing w:line="240" w:lineRule="auto"/>
        <w:ind w:left="726" w:right="141" w:firstLine="0"/>
        <w:jc w:val="left"/>
        <w:rPr>
          <w:b w:val="0"/>
          <w:bCs w:val="0"/>
          <w:i w:val="0"/>
        </w:rPr>
      </w:pPr>
      <w:r>
        <w:rPr>
          <w:i/>
        </w:rPr>
        <w:t>Препоручује се одговорним лицима да за сваки приход обезбеде правни</w:t>
      </w:r>
      <w:r>
        <w:rPr>
          <w:i/>
          <w:spacing w:val="-21"/>
        </w:rPr>
        <w:t> </w:t>
      </w:r>
      <w:r>
        <w:rPr>
          <w:i/>
        </w:rPr>
        <w:t>основ.</w:t>
      </w:r>
      <w:r>
        <w:rPr>
          <w:b w:val="0"/>
          <w:i w:val="0"/>
        </w:rPr>
      </w:r>
    </w:p>
    <w:p>
      <w:pPr>
        <w:pStyle w:val="ListParagraph"/>
        <w:numPr>
          <w:ilvl w:val="3"/>
          <w:numId w:val="21"/>
        </w:numPr>
        <w:tabs>
          <w:tab w:pos="1013" w:val="left" w:leader="none"/>
        </w:tabs>
        <w:spacing w:line="274" w:lineRule="exact" w:before="137" w:after="0"/>
        <w:ind w:left="1012" w:right="0" w:hanging="286"/>
        <w:jc w:val="left"/>
        <w:rPr>
          <w:rFonts w:ascii="Times New Roman" w:hAnsi="Times New Roman" w:cs="Times New Roman" w:eastAsia="Times New Roman" w:hint="default"/>
          <w:sz w:val="24"/>
          <w:szCs w:val="24"/>
        </w:rPr>
      </w:pPr>
      <w:r>
        <w:rPr>
          <w:rFonts w:ascii="Times New Roman" w:hAnsi="Times New Roman"/>
          <w:b/>
          <w:sz w:val="24"/>
        </w:rPr>
        <w:t>Други изворни локални</w:t>
      </w:r>
      <w:r>
        <w:rPr>
          <w:rFonts w:ascii="Times New Roman" w:hAnsi="Times New Roman"/>
          <w:b/>
          <w:spacing w:val="-9"/>
          <w:sz w:val="24"/>
        </w:rPr>
        <w:t> </w:t>
      </w:r>
      <w:r>
        <w:rPr>
          <w:rFonts w:ascii="Times New Roman" w:hAnsi="Times New Roman"/>
          <w:b/>
          <w:sz w:val="24"/>
        </w:rPr>
        <w:t>приходи</w:t>
      </w:r>
      <w:r>
        <w:rPr>
          <w:rFonts w:ascii="Times New Roman" w:hAnsi="Times New Roman"/>
          <w:sz w:val="24"/>
        </w:rPr>
      </w:r>
    </w:p>
    <w:p>
      <w:pPr>
        <w:pStyle w:val="BodyText"/>
        <w:spacing w:line="240" w:lineRule="auto"/>
        <w:ind w:right="175"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Накнада за промену намене обрадивог пољопривредног земљишта (уплатни рачун </w:t>
      </w:r>
      <w:r>
        <w:rPr/>
      </w:r>
      <w:r>
        <w:rPr/>
      </w:r>
      <w:r>
        <w:rPr>
          <w:rFonts w:ascii="Times New Roman" w:hAnsi="Times New Roman" w:cs="Times New Roman" w:eastAsia="Times New Roman" w:hint="default"/>
        </w:rPr>
      </w:r>
      <w:r>
        <w:rPr>
          <w:rFonts w:ascii="Times New Roman" w:hAnsi="Times New Roman" w:cs="Times New Roman" w:eastAsia="Times New Roman" w:hint="default"/>
          <w:u w:val="single" w:color="000000"/>
        </w:rPr>
        <w:t>714543) </w:t>
      </w:r>
      <w:r>
        <w:rPr>
          <w:rFonts w:ascii="Times New Roman" w:hAnsi="Times New Roman" w:cs="Times New Roman" w:eastAsia="Times New Roman" w:hint="default"/>
        </w:rPr>
      </w:r>
      <w:r>
        <w:rPr/>
        <w:t>– Град Ниш је у 2014. години остварио приход у износу од 922 хиљаде динара,  на основу решења Управе за пољопривреду и развој села и уплатама Министарства пољопривреде, шумарства и</w:t>
      </w:r>
      <w:r>
        <w:rPr>
          <w:spacing w:val="-13"/>
        </w:rPr>
        <w:t> </w:t>
      </w:r>
      <w:r>
        <w:rPr/>
        <w:t>водопривреде.</w:t>
      </w:r>
    </w:p>
    <w:p>
      <w:pPr>
        <w:pStyle w:val="BodyText"/>
        <w:spacing w:line="230" w:lineRule="auto" w:before="9"/>
        <w:ind w:right="173" w:firstLine="566"/>
        <w:jc w:val="both"/>
      </w:pPr>
      <w:r>
        <w:rPr>
          <w:rFonts w:ascii="Times New Roman" w:hAnsi="Times New Roman"/>
        </w:rPr>
      </w:r>
      <w:r>
        <w:rPr>
          <w:rFonts w:ascii="Times New Roman" w:hAnsi="Times New Roman"/>
          <w:spacing w:val="-60"/>
          <w:u w:val="single" w:color="000000"/>
        </w:rPr>
        <w:t> </w:t>
      </w:r>
      <w:r>
        <w:rPr>
          <w:u w:val="single" w:color="000000"/>
        </w:rPr>
        <w:t>Боравишна такса (уплатни рачун </w:t>
      </w:r>
      <w:r>
        <w:rPr>
          <w:rFonts w:ascii="Times New Roman" w:hAnsi="Times New Roman"/>
          <w:u w:val="single" w:color="000000"/>
        </w:rPr>
        <w:t>714552) </w:t>
      </w:r>
      <w:r>
        <w:rPr>
          <w:rFonts w:ascii="Times New Roman" w:hAnsi="Times New Roman"/>
        </w:rPr>
      </w:r>
      <w:r>
        <w:rPr>
          <w:rFonts w:ascii="Times New Roman" w:hAnsi="Times New Roman"/>
          <w:i/>
        </w:rPr>
        <w:t>- </w:t>
      </w:r>
      <w:r>
        <w:rPr/>
        <w:t>У 2014. години град Ниш остварио је приход у износу од 17.326 хиљада динара. Уређена је Одлуком о боравишној такси</w:t>
      </w:r>
      <w:r>
        <w:rPr>
          <w:rFonts w:ascii="Times New Roman" w:hAnsi="Times New Roman"/>
          <w:position w:val="11"/>
          <w:sz w:val="16"/>
        </w:rPr>
        <w:t>37</w:t>
      </w:r>
      <w:r>
        <w:rPr>
          <w:rFonts w:ascii="Times New Roman" w:hAnsi="Times New Roman"/>
        </w:rPr>
        <w:t>. </w:t>
      </w:r>
      <w:r>
        <w:rPr/>
        <w:t>У 2014. години боравишну таксу је плаћало лице за сваки дан боравка у угоститељском објекту у износу од 130,00</w:t>
      </w:r>
      <w:r>
        <w:rPr>
          <w:spacing w:val="-9"/>
        </w:rPr>
        <w:t> </w:t>
      </w:r>
      <w:r>
        <w:rPr/>
        <w:t>динара.</w:t>
      </w:r>
    </w:p>
    <w:p>
      <w:pPr>
        <w:spacing w:line="240" w:lineRule="auto" w:before="0"/>
        <w:rPr>
          <w:rFonts w:ascii="Times New Roman" w:hAnsi="Times New Roman" w:cs="Times New Roman" w:eastAsia="Times New Roman" w:hint="default"/>
          <w:sz w:val="20"/>
          <w:szCs w:val="20"/>
        </w:rPr>
      </w:pPr>
    </w:p>
    <w:p>
      <w:pPr>
        <w:spacing w:line="240" w:lineRule="auto" w:before="11"/>
        <w:rPr>
          <w:rFonts w:ascii="Times New Roman" w:hAnsi="Times New Roman" w:cs="Times New Roman" w:eastAsia="Times New Roman" w:hint="default"/>
          <w:sz w:val="15"/>
          <w:szCs w:val="15"/>
        </w:rPr>
      </w:pPr>
      <w:r>
        <w:rPr/>
        <w:pict>
          <v:group style="position:absolute;margin-left:78.024002pt;margin-top:10.429112pt;width:144.050pt;height:.1pt;mso-position-horizontal-relative:page;mso-position-vertical-relative:paragraph;z-index:1408;mso-wrap-distance-left:0;mso-wrap-distance-right:0" coordorigin="1560,209" coordsize="2881,2">
            <v:shape style="position:absolute;left:1560;top:209;width:2881;height:2" coordorigin="1560,209" coordsize="2881,0" path="m1560,209l4441,209e" filled="false" stroked="true" strokeweight=".599980pt" strokecolor="#000000">
              <v:path arrowok="t"/>
            </v:shape>
            <w10:wrap type="topAndBottom"/>
          </v:group>
        </w:pict>
      </w:r>
    </w:p>
    <w:p>
      <w:pPr>
        <w:spacing w:before="5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36 </w:t>
      </w:r>
      <w:r>
        <w:rPr>
          <w:rFonts w:ascii="Times New Roman" w:hAnsi="Times New Roman" w:cs="Times New Roman" w:eastAsia="Times New Roman" w:hint="default"/>
          <w:sz w:val="16"/>
          <w:szCs w:val="16"/>
        </w:rPr>
        <w:t>„Службени лист града Ниша“ број 25/2010...79/2011 и</w:t>
      </w:r>
      <w:r>
        <w:rPr>
          <w:rFonts w:ascii="Times New Roman" w:hAnsi="Times New Roman" w:cs="Times New Roman" w:eastAsia="Times New Roman" w:hint="default"/>
          <w:spacing w:val="-24"/>
          <w:sz w:val="16"/>
          <w:szCs w:val="16"/>
        </w:rPr>
        <w:t> </w:t>
      </w:r>
      <w:r>
        <w:rPr>
          <w:rFonts w:ascii="Times New Roman" w:hAnsi="Times New Roman" w:cs="Times New Roman" w:eastAsia="Times New Roman" w:hint="default"/>
          <w:sz w:val="16"/>
          <w:szCs w:val="16"/>
        </w:rPr>
        <w:t>6/2014...102/2014</w:t>
      </w:r>
    </w:p>
    <w:p>
      <w:pPr>
        <w:spacing w:after="0"/>
        <w:jc w:val="left"/>
        <w:rPr>
          <w:rFonts w:ascii="Times New Roman" w:hAnsi="Times New Roman" w:cs="Times New Roman" w:eastAsia="Times New Roman" w:hint="default"/>
          <w:sz w:val="16"/>
          <w:szCs w:val="16"/>
        </w:rPr>
        <w:sectPr>
          <w:footerReference w:type="default" r:id="rId51"/>
          <w:pgSz w:w="12240" w:h="15840"/>
          <w:pgMar w:footer="1466" w:header="740" w:top="1280" w:bottom="1660" w:left="1400" w:right="1260"/>
          <w:pgNumType w:start="37"/>
        </w:sectPr>
      </w:pPr>
    </w:p>
    <w:p>
      <w:pPr>
        <w:pStyle w:val="BodyText"/>
        <w:spacing w:line="240" w:lineRule="auto" w:before="122"/>
        <w:ind w:left="726" w:right="141"/>
        <w:jc w:val="left"/>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Посебна накнада за заштиту и унапређење животне средине (уплатни рачун</w:t>
      </w:r>
      <w:r>
        <w:rPr>
          <w:spacing w:val="-10"/>
          <w:u w:val="single" w:color="000000"/>
        </w:rPr>
        <w:t> </w:t>
      </w:r>
      <w:r>
        <w:rPr>
          <w:rFonts w:ascii="Times New Roman" w:hAnsi="Times New Roman"/>
          <w:u w:val="single" w:color="000000"/>
        </w:rPr>
        <w:t>714562)</w:t>
      </w:r>
      <w:r>
        <w:rPr>
          <w:rFonts w:ascii="Times New Roman" w:hAnsi="Times New Roman"/>
        </w:rPr>
      </w:r>
    </w:p>
    <w:p>
      <w:pPr>
        <w:pStyle w:val="BodyText"/>
        <w:spacing w:line="276" w:lineRule="exact" w:before="3"/>
        <w:ind w:right="174"/>
        <w:jc w:val="both"/>
      </w:pPr>
      <w:r>
        <w:rPr/>
        <w:t>– У 2014. години остварен је приход у износу од 60.232 хиљаде динара по основу Одлуке о накнади за заштиту и унапређење животне средине града Ниша</w:t>
      </w:r>
      <w:r>
        <w:rPr>
          <w:rFonts w:ascii="Times New Roman" w:hAnsi="Times New Roman" w:cs="Times New Roman" w:eastAsia="Times New Roman" w:hint="default"/>
          <w:position w:val="11"/>
          <w:sz w:val="16"/>
          <w:szCs w:val="16"/>
        </w:rPr>
        <w:t>38</w:t>
      </w:r>
      <w:r>
        <w:rPr/>
        <w:t>. Град Ниш, као наручилац посла закључио је Уговор о вршењу послова наплате број 1755/2009</w:t>
      </w:r>
      <w:r>
        <w:rPr>
          <w:rFonts w:ascii="Times New Roman" w:hAnsi="Times New Roman" w:cs="Times New Roman" w:eastAsia="Times New Roman" w:hint="default"/>
        </w:rPr>
        <w:t>-</w:t>
      </w:r>
      <w:r>
        <w:rPr/>
        <w:t>01 од 24.07.2009. године са ЈКП „Обједињена наплата“ Ниш. Извршиоцу посла за послове из овог уговора на име трошкова вршења наплате припада провизија од 6,5% од наплаћене накнаде без ПДВ. Наведени уговор закључен је на неодређено време. Обвезници плаћања накнаде који комуналне услуге плаћају преко јединствене уплатнице ЈКП „Обједињена наплата“, плаћање наведене накнаде врше</w:t>
      </w:r>
      <w:r>
        <w:rPr>
          <w:spacing w:val="-15"/>
        </w:rPr>
        <w:t> </w:t>
      </w:r>
      <w:r>
        <w:rPr/>
        <w:t>месечно.</w:t>
      </w:r>
    </w:p>
    <w:p>
      <w:pPr>
        <w:pStyle w:val="BodyText"/>
        <w:spacing w:line="240" w:lineRule="auto"/>
        <w:ind w:right="177" w:firstLine="566"/>
        <w:jc w:val="both"/>
        <w:rPr>
          <w:rFonts w:ascii="Times New Roman" w:hAnsi="Times New Roman" w:cs="Times New Roman" w:eastAsia="Times New Roman" w:hint="default"/>
        </w:rPr>
      </w:pPr>
      <w:r>
        <w:rPr>
          <w:rFonts w:ascii="Times New Roman" w:hAnsi="Times New Roman" w:cs="Times New Roman" w:eastAsia="Times New Roman" w:hint="default"/>
          <w:b/>
          <w:bCs/>
        </w:rPr>
        <w:t>На основу ревизије узорковане документације утврђено је </w:t>
      </w:r>
      <w:r>
        <w:rPr/>
        <w:t>да се не врши адекватна контрола наплате прихода, обзиром да се иста врши само на основу извештаја и евиденције достављене од стране ЈКП „Обједињена наплата“ Ниш и књиговодствене картице уплатног рачуна јавног прихода, што је супротно члану 60. Закона о финансирању локалне самоуправе и члану </w:t>
      </w:r>
      <w:r>
        <w:rPr>
          <w:rFonts w:ascii="Times New Roman" w:hAnsi="Times New Roman" w:cs="Times New Roman" w:eastAsia="Times New Roman" w:hint="default"/>
        </w:rPr>
        <w:t>4</w:t>
      </w:r>
      <w:r>
        <w:rPr/>
        <w:t>9. Закона о буџетском систему, а што нам је  и потврђено у образложењу одговорног лица Управе за привреду, одрживи развој и заштиту животне</w:t>
      </w:r>
      <w:r>
        <w:rPr>
          <w:spacing w:val="-7"/>
        </w:rPr>
        <w:t> </w:t>
      </w:r>
      <w:r>
        <w:rPr/>
        <w:t>средине</w:t>
      </w:r>
      <w:r>
        <w:rPr>
          <w:rFonts w:ascii="Times New Roman" w:hAnsi="Times New Roman" w:cs="Times New Roman" w:eastAsia="Times New Roman" w:hint="default"/>
        </w:rPr>
        <w:t>.</w:t>
      </w:r>
    </w:p>
    <w:p>
      <w:pPr>
        <w:pStyle w:val="Heading2"/>
        <w:spacing w:line="240" w:lineRule="auto" w:before="65"/>
        <w:ind w:right="173"/>
        <w:jc w:val="both"/>
        <w:rPr>
          <w:b w:val="0"/>
          <w:bCs w:val="0"/>
          <w:i w:val="0"/>
        </w:rPr>
      </w:pPr>
      <w:r>
        <w:rPr>
          <w:i/>
        </w:rPr>
        <w:t>Препоручује се одговорним лицима да врше адекватну контролу наплате јавних прихода.</w:t>
      </w:r>
      <w:r>
        <w:rPr>
          <w:b w:val="0"/>
          <w:i w:val="0"/>
        </w:rPr>
      </w:r>
    </w:p>
    <w:p>
      <w:pPr>
        <w:pStyle w:val="BodyText"/>
        <w:spacing w:line="271" w:lineRule="exact"/>
        <w:ind w:left="726" w:right="141"/>
        <w:jc w:val="left"/>
      </w:pPr>
      <w:r>
        <w:rPr>
          <w:rFonts w:ascii="Times New Roman" w:hAnsi="Times New Roman"/>
        </w:rPr>
      </w:r>
      <w:r>
        <w:rPr>
          <w:rFonts w:ascii="Times New Roman" w:hAnsi="Times New Roman"/>
          <w:spacing w:val="-60"/>
          <w:u w:val="single" w:color="000000"/>
        </w:rPr>
        <w:t> </w:t>
      </w:r>
      <w:r>
        <w:rPr>
          <w:u w:val="single" w:color="000000"/>
        </w:rPr>
        <w:t>Приходи  буџета  града   од  камата  на  средства  консолидованог  рачуна    </w:t>
      </w:r>
      <w:r>
        <w:rPr>
          <w:spacing w:val="1"/>
          <w:u w:val="single" w:color="000000"/>
        </w:rPr>
        <w:t> </w:t>
      </w:r>
      <w:r>
        <w:rPr>
          <w:u w:val="single" w:color="000000"/>
        </w:rPr>
        <w:t>трезора</w:t>
      </w:r>
      <w:r>
        <w:rPr/>
      </w:r>
    </w:p>
    <w:p>
      <w:pPr>
        <w:pStyle w:val="BodyText"/>
        <w:spacing w:line="240" w:lineRule="auto"/>
        <w:ind w:right="177"/>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укључена у депозит банака (уплатни рачун </w:t>
      </w:r>
      <w:r>
        <w:rPr>
          <w:rFonts w:ascii="Times New Roman" w:hAnsi="Times New Roman" w:cs="Times New Roman" w:eastAsia="Times New Roman" w:hint="default"/>
          <w:u w:val="single" w:color="000000"/>
        </w:rPr>
        <w:t>741141) </w:t>
      </w:r>
      <w:r>
        <w:rPr>
          <w:rFonts w:ascii="Times New Roman" w:hAnsi="Times New Roman" w:cs="Times New Roman" w:eastAsia="Times New Roman" w:hint="default"/>
        </w:rPr>
        <w:t>- </w:t>
      </w:r>
      <w:r>
        <w:rPr/>
        <w:t>У 2014. години Град је остварио приход од камата у укупном износу од 883 хиљаде динара и то по основу камата </w:t>
      </w:r>
      <w:r>
        <w:rPr>
          <w:spacing w:val="3"/>
        </w:rPr>
        <w:t>које </w:t>
      </w:r>
      <w:r>
        <w:rPr>
          <w:spacing w:val="3"/>
        </w:rPr>
      </w:r>
      <w:r>
        <w:rPr/>
        <w:t>уплаћује Управа за трезор – Министарство</w:t>
      </w:r>
      <w:r>
        <w:rPr>
          <w:spacing w:val="-12"/>
        </w:rPr>
        <w:t> </w:t>
      </w:r>
      <w:r>
        <w:rPr/>
        <w:t>финансија.</w:t>
      </w:r>
    </w:p>
    <w:p>
      <w:pPr>
        <w:pStyle w:val="BodyText"/>
        <w:spacing w:line="240" w:lineRule="auto"/>
        <w:ind w:left="726" w:right="141"/>
        <w:jc w:val="left"/>
      </w:pPr>
      <w:r>
        <w:rPr>
          <w:rFonts w:ascii="Times New Roman" w:hAnsi="Times New Roman"/>
        </w:rPr>
      </w:r>
      <w:r>
        <w:rPr>
          <w:rFonts w:ascii="Times New Roman" w:hAnsi="Times New Roman"/>
          <w:spacing w:val="-60"/>
          <w:u w:val="single" w:color="000000"/>
        </w:rPr>
        <w:t> </w:t>
      </w:r>
      <w:r>
        <w:rPr>
          <w:u w:val="single" w:color="000000"/>
        </w:rPr>
        <w:t>Приходи од средстава остварених од давања  у закуп  пољопривредног   </w:t>
      </w:r>
      <w:r>
        <w:rPr>
          <w:spacing w:val="15"/>
          <w:u w:val="single" w:color="000000"/>
        </w:rPr>
        <w:t> </w:t>
      </w:r>
      <w:r>
        <w:rPr>
          <w:u w:val="single" w:color="000000"/>
        </w:rPr>
        <w:t>земљишта,</w:t>
      </w:r>
      <w:r>
        <w:rPr/>
      </w:r>
    </w:p>
    <w:p>
      <w:pPr>
        <w:pStyle w:val="BodyText"/>
        <w:spacing w:line="240" w:lineRule="auto"/>
        <w:ind w:right="173"/>
        <w:jc w:val="both"/>
      </w:pPr>
      <w:r>
        <w:rPr>
          <w:rFonts w:ascii="Times New Roman" w:hAnsi="Times New Roman"/>
        </w:rPr>
      </w:r>
      <w:r>
        <w:rPr>
          <w:rFonts w:ascii="Times New Roman" w:hAnsi="Times New Roman"/>
          <w:spacing w:val="-60"/>
          <w:u w:val="single" w:color="000000"/>
        </w:rPr>
        <w:t> </w:t>
      </w:r>
      <w:r>
        <w:rPr>
          <w:u w:val="single" w:color="000000"/>
        </w:rPr>
        <w:t>односно пољопривредног објекта у државној својини (уплатни рачун </w:t>
      </w:r>
      <w:r>
        <w:rPr>
          <w:rFonts w:ascii="Times New Roman" w:hAnsi="Times New Roman"/>
          <w:u w:val="single" w:color="000000"/>
        </w:rPr>
        <w:t>741522) </w:t>
      </w:r>
      <w:r>
        <w:rPr>
          <w:rFonts w:ascii="Times New Roman" w:hAnsi="Times New Roman"/>
        </w:rPr>
        <w:t>- </w:t>
      </w:r>
      <w:r>
        <w:rPr/>
        <w:t>У 2014. години град Ниш остварио је приход у износу од 990 хиљада динара, по основу Годишњег програма заштите, уређења и коришћења пољопривредног земљишта града Ниша за 2014. годину и уговора о закупу пољопривредног земљишта у државној својини закључених између Министарства пољопривреде, шумарства и водопривреде, Управа за пољопривредно земљиште, са утврђеном закупнином и физичких</w:t>
      </w:r>
      <w:r>
        <w:rPr>
          <w:spacing w:val="-28"/>
        </w:rPr>
        <w:t> </w:t>
      </w:r>
      <w:r>
        <w:rPr/>
        <w:t>лица.</w:t>
      </w:r>
    </w:p>
    <w:p>
      <w:pPr>
        <w:pStyle w:val="BodyText"/>
        <w:spacing w:line="240" w:lineRule="auto"/>
        <w:ind w:right="175" w:firstLine="566"/>
        <w:jc w:val="both"/>
      </w:pPr>
      <w:r>
        <w:rPr/>
        <w:t>Скупштина града Ниша је, дана 14.04.2014. године донела Програм заштите, уређења и коришћења пољопривредног земљишта на територији града Ниша за 2014. годину број </w:t>
      </w:r>
      <w:r>
        <w:rPr>
          <w:rFonts w:ascii="Times New Roman" w:hAnsi="Times New Roman"/>
        </w:rPr>
        <w:t>06-183/2014-34-</w:t>
      </w:r>
      <w:r>
        <w:rPr/>
        <w:t>02, након добијеног позитивног мишљења Комисије за давање мишљења и сагласности Министарства пољопривреде, шумарства и водопривреде, Управе за пољопривредно земљиште. Након тога, Градоначелник града Ниша донео је Одлуку број 4042/2014</w:t>
      </w:r>
      <w:r>
        <w:rPr>
          <w:rFonts w:ascii="Times New Roman" w:hAnsi="Times New Roman"/>
        </w:rPr>
        <w:t>-</w:t>
      </w:r>
      <w:r>
        <w:rPr/>
        <w:t>01 од 27.11.2014. године о расписивању јавног огласа за давање у закуп пољопривредног земљишта у државној својини у граду Нишу и расписивању Огласа за јавну лицитацију за давање у закуп пољопривредног земљишта у државној својини. Управа за пољопривреду и развој села доставила је Министарству пољопривреде и заштите животне средине, Управи за пољопривредно земљиште Извештај о утрошеним средствима у 2014. години број 10</w:t>
      </w:r>
      <w:r>
        <w:rPr>
          <w:rFonts w:ascii="Times New Roman" w:hAnsi="Times New Roman"/>
        </w:rPr>
        <w:t>-</w:t>
      </w:r>
      <w:r>
        <w:rPr/>
        <w:t>68/2015 од 22.01.2015.</w:t>
      </w:r>
      <w:r>
        <w:rPr>
          <w:spacing w:val="-10"/>
        </w:rPr>
        <w:t> </w:t>
      </w:r>
      <w:r>
        <w:rPr/>
        <w:t>године.</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84" w:firstLine="0"/>
        <w:jc w:val="both"/>
        <w:rPr>
          <w:rFonts w:ascii="Times New Roman" w:hAnsi="Times New Roman" w:cs="Times New Roman" w:eastAsia="Times New Roman" w:hint="default"/>
          <w:sz w:val="24"/>
          <w:szCs w:val="24"/>
        </w:rPr>
      </w:pPr>
      <w:r>
        <w:rPr>
          <w:rFonts w:ascii="Times New Roman" w:hAnsi="Times New Roman"/>
          <w:sz w:val="24"/>
        </w:rPr>
        <w:t>Скупштина града Ниша није донела у року, до 31.03. текуће године, годишњи програм заштите,  уређења  и  коришћења  пољопривредног  земљишта  за  2014.  годину,  већ  </w:t>
      </w:r>
      <w:r>
        <w:rPr>
          <w:rFonts w:ascii="Times New Roman" w:hAnsi="Times New Roman"/>
          <w:spacing w:val="55"/>
          <w:sz w:val="24"/>
        </w:rPr>
        <w:t> </w:t>
      </w:r>
      <w:r>
        <w:rPr>
          <w:rFonts w:ascii="Times New Roman" w:hAnsi="Times New Roman"/>
          <w:sz w:val="24"/>
        </w:rPr>
        <w:t>са</w:t>
      </w: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10"/>
        <w:rPr>
          <w:rFonts w:ascii="Times New Roman" w:hAnsi="Times New Roman" w:cs="Times New Roman" w:eastAsia="Times New Roman" w:hint="default"/>
          <w:sz w:val="16"/>
          <w:szCs w:val="16"/>
        </w:rPr>
      </w:pPr>
      <w:r>
        <w:rPr/>
        <w:pict>
          <v:group style="position:absolute;margin-left:78.024002pt;margin-top:10.966258pt;width:144.050pt;height:.1pt;mso-position-horizontal-relative:page;mso-position-vertical-relative:paragraph;z-index:1432;mso-wrap-distance-left:0;mso-wrap-distance-right:0" coordorigin="1560,219" coordsize="2881,2">
            <v:shape style="position:absolute;left:1560;top:219;width:2881;height:2" coordorigin="1560,219" coordsize="2881,0" path="m1560,219l4441,219e" filled="false" stroked="true" strokeweight=".599980pt" strokecolor="#000000">
              <v:path arrowok="t"/>
            </v:shape>
            <w10:wrap type="topAndBottom"/>
          </v:group>
        </w:pict>
      </w:r>
    </w:p>
    <w:p>
      <w:pPr>
        <w:spacing w:after="0" w:line="240" w:lineRule="auto"/>
        <w:rPr>
          <w:rFonts w:ascii="Times New Roman" w:hAnsi="Times New Roman" w:cs="Times New Roman" w:eastAsia="Times New Roman" w:hint="default"/>
          <w:sz w:val="16"/>
          <w:szCs w:val="16"/>
        </w:rPr>
        <w:sectPr>
          <w:footerReference w:type="default" r:id="rId52"/>
          <w:pgSz w:w="12240" w:h="15840"/>
          <w:pgMar w:footer="1504" w:header="740" w:top="1280" w:bottom="1700" w:left="1400" w:right="1260"/>
          <w:pgNumType w:start="38"/>
        </w:sectPr>
      </w:pPr>
    </w:p>
    <w:p>
      <w:pPr>
        <w:pStyle w:val="BodyText"/>
        <w:spacing w:line="276" w:lineRule="exact" w:before="125"/>
        <w:ind w:right="183"/>
        <w:jc w:val="both"/>
        <w:rPr>
          <w:rFonts w:ascii="Times New Roman" w:hAnsi="Times New Roman" w:cs="Times New Roman" w:eastAsia="Times New Roman" w:hint="default"/>
        </w:rPr>
      </w:pPr>
      <w:r>
        <w:rPr/>
        <w:t>закашњењем, дана 14.04.2014. године, што је супротно члану 60. Закона о пољопривредном</w:t>
      </w:r>
      <w:r>
        <w:rPr>
          <w:spacing w:val="-8"/>
        </w:rPr>
        <w:t> </w:t>
      </w:r>
      <w:r>
        <w:rPr/>
        <w:t>земљишту</w:t>
      </w:r>
      <w:r>
        <w:rPr>
          <w:rFonts w:ascii="Times New Roman" w:hAnsi="Times New Roman"/>
          <w:position w:val="11"/>
          <w:sz w:val="16"/>
        </w:rPr>
        <w:t>39</w:t>
      </w:r>
      <w:r>
        <w:rPr>
          <w:rFonts w:ascii="Times New Roman" w:hAnsi="Times New Roman"/>
        </w:rPr>
        <w:t>.</w:t>
      </w:r>
    </w:p>
    <w:p>
      <w:pPr>
        <w:pStyle w:val="ListParagraph"/>
        <w:numPr>
          <w:ilvl w:val="0"/>
          <w:numId w:val="9"/>
        </w:numPr>
        <w:tabs>
          <w:tab w:pos="303" w:val="left" w:leader="none"/>
        </w:tabs>
        <w:spacing w:line="237" w:lineRule="auto" w:before="1"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Градоначелник града Ниша није донео Одлуку о давању у закуп пољопривредног земљишта до 01.06. текуће године, тј. у прописаном року, већ са закашњењем, дана 20.01.2015. године, што је супротно члану 64. Закона о пољопривредном</w:t>
      </w:r>
      <w:r>
        <w:rPr>
          <w:rFonts w:ascii="Times New Roman" w:hAnsi="Times New Roman"/>
          <w:spacing w:val="-27"/>
          <w:sz w:val="24"/>
        </w:rPr>
        <w:t> </w:t>
      </w:r>
      <w:r>
        <w:rPr>
          <w:rFonts w:ascii="Times New Roman" w:hAnsi="Times New Roman"/>
          <w:sz w:val="24"/>
        </w:rPr>
        <w:t>земљишту.</w:t>
      </w:r>
    </w:p>
    <w:p>
      <w:pPr>
        <w:pStyle w:val="Heading2"/>
        <w:spacing w:line="240" w:lineRule="auto"/>
        <w:ind w:right="180"/>
        <w:jc w:val="both"/>
        <w:rPr>
          <w:b w:val="0"/>
          <w:bCs w:val="0"/>
          <w:i w:val="0"/>
        </w:rPr>
      </w:pPr>
      <w:r>
        <w:rPr>
          <w:i/>
        </w:rPr>
        <w:t>Препоручује се одговорним лицима да поступак давања у закуп пољопривредног земљишта спроводе у складу са</w:t>
      </w:r>
      <w:r>
        <w:rPr>
          <w:i/>
          <w:spacing w:val="-9"/>
        </w:rPr>
        <w:t> </w:t>
      </w:r>
      <w:r>
        <w:rPr>
          <w:i/>
        </w:rPr>
        <w:t>законом.</w:t>
      </w:r>
      <w:r>
        <w:rPr>
          <w:b w:val="0"/>
          <w:i w:val="0"/>
        </w:rPr>
      </w:r>
    </w:p>
    <w:p>
      <w:pPr>
        <w:pStyle w:val="BodyText"/>
        <w:spacing w:line="271" w:lineRule="exact"/>
        <w:ind w:left="726" w:right="141"/>
        <w:jc w:val="left"/>
      </w:pPr>
      <w:r>
        <w:rPr>
          <w:rFonts w:ascii="Times New Roman" w:hAnsi="Times New Roman"/>
        </w:rPr>
      </w:r>
      <w:r>
        <w:rPr>
          <w:rFonts w:ascii="Times New Roman" w:hAnsi="Times New Roman"/>
          <w:spacing w:val="-60"/>
          <w:u w:val="single" w:color="000000"/>
        </w:rPr>
        <w:t> </w:t>
      </w:r>
      <w:r>
        <w:rPr>
          <w:u w:val="single" w:color="000000"/>
        </w:rPr>
        <w:t>Приходи  од  давања  у  закуп,  односно  на  коришћење  непокретности  у</w:t>
      </w:r>
      <w:r>
        <w:rPr>
          <w:spacing w:val="46"/>
          <w:u w:val="single" w:color="000000"/>
        </w:rPr>
        <w:t> </w:t>
      </w:r>
      <w:r>
        <w:rPr>
          <w:u w:val="single" w:color="000000"/>
        </w:rPr>
        <w:t>државној</w:t>
      </w:r>
      <w:r>
        <w:rPr/>
      </w:r>
    </w:p>
    <w:p>
      <w:pPr>
        <w:pStyle w:val="BodyText"/>
        <w:spacing w:line="230" w:lineRule="auto" w:before="9"/>
        <w:ind w:right="175"/>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својини које користе град и индиректни корисници њиховог буџета (уплатни рачун </w:t>
      </w:r>
      <w:r>
        <w:rPr/>
      </w:r>
      <w:r>
        <w:rPr/>
      </w:r>
      <w:r>
        <w:rPr>
          <w:rFonts w:ascii="Times New Roman" w:hAnsi="Times New Roman" w:cs="Times New Roman" w:eastAsia="Times New Roman" w:hint="default"/>
        </w:rPr>
      </w:r>
      <w:r>
        <w:rPr>
          <w:rFonts w:ascii="Times New Roman" w:hAnsi="Times New Roman" w:cs="Times New Roman" w:eastAsia="Times New Roman" w:hint="default"/>
          <w:u w:val="single" w:color="000000"/>
        </w:rPr>
        <w:t>742142) </w:t>
      </w:r>
      <w:r>
        <w:rPr>
          <w:rFonts w:ascii="Times New Roman" w:hAnsi="Times New Roman" w:cs="Times New Roman" w:eastAsia="Times New Roman" w:hint="default"/>
        </w:rPr>
      </w:r>
      <w:r>
        <w:rPr/>
        <w:t>– У 2014. години град Ниш остварио је приходе у износу од 138.240 хиљада динара на основу Одлуке о прибављању, располагању и управљању стварима у јавној својини</w:t>
      </w:r>
      <w:r>
        <w:rPr>
          <w:spacing w:val="40"/>
        </w:rPr>
        <w:t> </w:t>
      </w:r>
      <w:r>
        <w:rPr/>
        <w:t>града</w:t>
      </w:r>
      <w:r>
        <w:rPr>
          <w:spacing w:val="39"/>
        </w:rPr>
        <w:t> </w:t>
      </w:r>
      <w:r>
        <w:rPr/>
        <w:t>Ниша</w:t>
      </w:r>
      <w:r>
        <w:rPr>
          <w:rFonts w:ascii="Times New Roman" w:hAnsi="Times New Roman" w:cs="Times New Roman" w:eastAsia="Times New Roman" w:hint="default"/>
          <w:position w:val="11"/>
          <w:sz w:val="16"/>
          <w:szCs w:val="16"/>
        </w:rPr>
        <w:t>40 </w:t>
      </w:r>
      <w:r>
        <w:rPr>
          <w:rFonts w:ascii="Times New Roman" w:hAnsi="Times New Roman" w:cs="Times New Roman" w:eastAsia="Times New Roman" w:hint="default"/>
          <w:spacing w:val="21"/>
          <w:position w:val="11"/>
          <w:sz w:val="16"/>
          <w:szCs w:val="16"/>
        </w:rPr>
        <w:t> </w:t>
      </w:r>
      <w:r>
        <w:rPr/>
        <w:t>и</w:t>
      </w:r>
      <w:r>
        <w:rPr>
          <w:spacing w:val="38"/>
        </w:rPr>
        <w:t> </w:t>
      </w:r>
      <w:r>
        <w:rPr/>
        <w:t>закључених</w:t>
      </w:r>
      <w:r>
        <w:rPr>
          <w:spacing w:val="44"/>
        </w:rPr>
        <w:t> </w:t>
      </w:r>
      <w:r>
        <w:rPr/>
        <w:t>уговора</w:t>
      </w:r>
      <w:r>
        <w:rPr>
          <w:spacing w:val="39"/>
        </w:rPr>
        <w:t> </w:t>
      </w:r>
      <w:r>
        <w:rPr/>
        <w:t>о</w:t>
      </w:r>
      <w:r>
        <w:rPr>
          <w:spacing w:val="39"/>
        </w:rPr>
        <w:t> </w:t>
      </w:r>
      <w:r>
        <w:rPr/>
        <w:t>закупу</w:t>
      </w:r>
      <w:r>
        <w:rPr>
          <w:spacing w:val="32"/>
        </w:rPr>
        <w:t> </w:t>
      </w:r>
      <w:r>
        <w:rPr/>
        <w:t>пословног</w:t>
      </w:r>
      <w:r>
        <w:rPr>
          <w:spacing w:val="39"/>
        </w:rPr>
        <w:t> </w:t>
      </w:r>
      <w:r>
        <w:rPr/>
        <w:t>простора.</w:t>
      </w:r>
      <w:r>
        <w:rPr>
          <w:spacing w:val="39"/>
        </w:rPr>
        <w:t> </w:t>
      </w:r>
      <w:r>
        <w:rPr/>
        <w:t>Наведеном</w:t>
      </w:r>
    </w:p>
    <w:p>
      <w:pPr>
        <w:pStyle w:val="BodyText"/>
        <w:spacing w:line="240" w:lineRule="auto" w:before="2"/>
        <w:ind w:right="179"/>
        <w:jc w:val="both"/>
      </w:pPr>
      <w:r>
        <w:rPr/>
        <w:t>одлуком предвиђено је да се, по правилу, непокретне ствари дају у закуп у поступку јавног надметања или прикупљања писаних понуда. Изузетно, давање у закуп непокретних ствари може да се врши и непосредном погодбом. О давању у закуп непокретних ствари у јавној својини Града, на предлог Управе, решењем одлучује Градоначелник.</w:t>
      </w:r>
    </w:p>
    <w:p>
      <w:pPr>
        <w:pStyle w:val="BodyText"/>
        <w:spacing w:line="240" w:lineRule="auto"/>
        <w:ind w:right="186" w:firstLine="566"/>
        <w:jc w:val="both"/>
      </w:pPr>
      <w:r>
        <w:rPr/>
        <w:t>У 2014. години остварен је приход у укупном износу од 138.240 хиљада динара и то:  по  основу закупнине  за  пословни  простор  на  територији  град  Ниша  у износу </w:t>
      </w:r>
      <w:r>
        <w:rPr>
          <w:spacing w:val="6"/>
        </w:rPr>
        <w:t> </w:t>
      </w:r>
      <w:r>
        <w:rPr/>
        <w:t>од</w:t>
      </w:r>
    </w:p>
    <w:p>
      <w:pPr>
        <w:pStyle w:val="BodyText"/>
        <w:spacing w:line="240" w:lineRule="auto"/>
        <w:ind w:right="174"/>
        <w:jc w:val="both"/>
      </w:pPr>
      <w:r>
        <w:rPr/>
        <w:t>134.128 хиљада динара, по основу закупнине за део катастарске парцеле на основу Уговора о закупу број 1653/2009</w:t>
      </w:r>
      <w:r>
        <w:rPr>
          <w:rFonts w:ascii="Times New Roman" w:hAnsi="Times New Roman" w:cs="Times New Roman" w:eastAsia="Times New Roman" w:hint="default"/>
        </w:rPr>
        <w:t>-</w:t>
      </w:r>
      <w:r>
        <w:rPr/>
        <w:t>01 од 15.07.2009. године закљученог са Предузећем за телекомуникације „Телеком Србија“ ад Београд, а ради изградње радио станице мобилне и фиксне телефоније у износу од 304 хиљаде динара и по основу закупнине за станове које је у закуп издала ЈП „Градска стамбена агенција“ Ниш у износу од 3.808 хиљада динара.</w:t>
      </w:r>
    </w:p>
    <w:p>
      <w:pPr>
        <w:pStyle w:val="BodyText"/>
        <w:spacing w:line="240" w:lineRule="auto"/>
        <w:ind w:right="173" w:firstLine="566"/>
        <w:jc w:val="both"/>
      </w:pPr>
      <w:r>
        <w:rPr/>
        <w:t>Управа за имовину и инспекцијске послове, у току поступка ревизије, доставила је Извештај о поднетим захтевима Градском јавном правобранилаштву за наплату неплаћене закупнине за пословни простор судским путем у укупном износу од 258.411 хиљада динара, од чега је наплаћен износ од 31.961 хиљаде динара, тако да су у току поступци за наплату закупнине у укупном износу од 226.450 хиљада</w:t>
      </w:r>
      <w:r>
        <w:rPr>
          <w:spacing w:val="-33"/>
        </w:rPr>
        <w:t> </w:t>
      </w:r>
      <w:r>
        <w:rPr/>
        <w:t>динара.</w:t>
      </w:r>
    </w:p>
    <w:p>
      <w:pPr>
        <w:pStyle w:val="BodyText"/>
        <w:spacing w:line="232" w:lineRule="auto" w:before="6"/>
        <w:ind w:right="177" w:firstLine="566"/>
        <w:jc w:val="both"/>
      </w:pPr>
      <w:r>
        <w:rPr/>
        <w:t>У 2014. години није остварен приход од давања у закуп станова који су у својини града Ниша. Одлуком о стамбеним зградама и становима</w:t>
      </w:r>
      <w:r>
        <w:rPr>
          <w:rFonts w:ascii="Times New Roman" w:hAnsi="Times New Roman" w:cs="Times New Roman" w:eastAsia="Times New Roman" w:hint="default"/>
          <w:position w:val="11"/>
          <w:sz w:val="16"/>
          <w:szCs w:val="16"/>
        </w:rPr>
        <w:t>41 </w:t>
      </w:r>
      <w:r>
        <w:rPr/>
        <w:t>регулисано је да утврђивање, обрачун и наплату закупнине за станове којима располаже град Ниш врши ЈП „Нишстан“ које је дужно да средства од наплаћене закупнине одмах уплати у буџет Града. За обављање   ових   послова   ЈП  „Нишстан“  припада   5%   од   наплаћене   закупнине. </w:t>
      </w:r>
      <w:r>
        <w:rPr>
          <w:spacing w:val="18"/>
        </w:rPr>
        <w:t> </w:t>
      </w:r>
      <w:r>
        <w:rPr/>
        <w:t>ЈП</w:t>
      </w:r>
    </w:p>
    <w:p>
      <w:pPr>
        <w:pStyle w:val="BodyText"/>
        <w:spacing w:line="240" w:lineRule="auto" w:before="1"/>
        <w:ind w:right="177"/>
        <w:jc w:val="both"/>
      </w:pPr>
      <w:r>
        <w:rPr/>
        <w:t>„Нишстан“ је такође дужно да шестомесечно подноси извештај Извршном одбору Скупштине града Ниша (сада Градском већу) о средствима закупнине. Закупнину за станове издате у закуп наплаћује ЈКП „Обједињена наплата“ Ниш и та средства преноси ЈП „Нишстан“ Ниш по основу Уговора о вршењу послова наплате закљученог дана 01.01.2009. године, заведеног код ЈКП „Обједињена наплата“, као извршиоца, под бројем </w:t>
      </w:r>
      <w:r>
        <w:rPr>
          <w:rFonts w:ascii="Times New Roman" w:hAnsi="Times New Roman" w:cs="Times New Roman" w:eastAsia="Times New Roman" w:hint="default"/>
        </w:rPr>
        <w:t>00-</w:t>
      </w:r>
      <w:r>
        <w:rPr/>
        <w:t>2848 од 08.05.2009. године и код ЈП „Нишстан“, као наручиоца, под бројем 01</w:t>
      </w:r>
      <w:r>
        <w:rPr>
          <w:rFonts w:ascii="Times New Roman" w:hAnsi="Times New Roman" w:cs="Times New Roman" w:eastAsia="Times New Roman" w:hint="default"/>
        </w:rPr>
        <w:t>-</w:t>
      </w:r>
      <w:r>
        <w:rPr/>
        <w:t>2189 од 11.05.2009. године. Дописом ЈКП „Обједињена наплата“ Ниш од 23.07.2015. године, наведено</w:t>
      </w:r>
      <w:r>
        <w:rPr>
          <w:spacing w:val="25"/>
        </w:rPr>
        <w:t> </w:t>
      </w:r>
      <w:r>
        <w:rPr/>
        <w:t>је</w:t>
      </w:r>
      <w:r>
        <w:rPr>
          <w:spacing w:val="24"/>
        </w:rPr>
        <w:t> </w:t>
      </w:r>
      <w:r>
        <w:rPr/>
        <w:t>да</w:t>
      </w:r>
      <w:r>
        <w:rPr>
          <w:spacing w:val="24"/>
        </w:rPr>
        <w:t> </w:t>
      </w:r>
      <w:r>
        <w:rPr/>
        <w:t>је</w:t>
      </w:r>
      <w:r>
        <w:rPr>
          <w:spacing w:val="26"/>
        </w:rPr>
        <w:t> </w:t>
      </w:r>
      <w:r>
        <w:rPr/>
        <w:t>према</w:t>
      </w:r>
      <w:r>
        <w:rPr>
          <w:spacing w:val="24"/>
        </w:rPr>
        <w:t> </w:t>
      </w:r>
      <w:r>
        <w:rPr/>
        <w:t>евиденцији</w:t>
      </w:r>
      <w:r>
        <w:rPr>
          <w:spacing w:val="26"/>
        </w:rPr>
        <w:t> </w:t>
      </w:r>
      <w:r>
        <w:rPr/>
        <w:t>ЈКП</w:t>
      </w:r>
      <w:r>
        <w:rPr>
          <w:spacing w:val="24"/>
        </w:rPr>
        <w:t> </w:t>
      </w:r>
      <w:r>
        <w:rPr/>
        <w:t>„Обједињена</w:t>
      </w:r>
      <w:r>
        <w:rPr>
          <w:spacing w:val="24"/>
        </w:rPr>
        <w:t> </w:t>
      </w:r>
      <w:r>
        <w:rPr/>
        <w:t>наплата“</w:t>
      </w:r>
      <w:r>
        <w:rPr>
          <w:spacing w:val="34"/>
        </w:rPr>
        <w:t> </w:t>
      </w:r>
      <w:r>
        <w:rPr/>
        <w:t>Ниш,</w:t>
      </w:r>
      <w:r>
        <w:rPr>
          <w:spacing w:val="25"/>
        </w:rPr>
        <w:t> </w:t>
      </w:r>
      <w:r>
        <w:rPr/>
        <w:t>по</w:t>
      </w:r>
      <w:r>
        <w:rPr>
          <w:spacing w:val="25"/>
        </w:rPr>
        <w:t> </w:t>
      </w:r>
      <w:r>
        <w:rPr/>
        <w:t>основу</w:t>
      </w:r>
      <w:r>
        <w:rPr>
          <w:spacing w:val="20"/>
        </w:rPr>
        <w:t> </w:t>
      </w:r>
      <w:r>
        <w:rPr/>
        <w:t>закупа,</w:t>
      </w:r>
    </w:p>
    <w:p>
      <w:pPr>
        <w:spacing w:line="240" w:lineRule="auto" w:before="0"/>
        <w:rPr>
          <w:rFonts w:ascii="Times New Roman" w:hAnsi="Times New Roman" w:cs="Times New Roman" w:eastAsia="Times New Roman" w:hint="default"/>
          <w:sz w:val="20"/>
          <w:szCs w:val="20"/>
        </w:rPr>
      </w:pPr>
    </w:p>
    <w:p>
      <w:pPr>
        <w:spacing w:line="240" w:lineRule="auto" w:before="2"/>
        <w:rPr>
          <w:rFonts w:ascii="Times New Roman" w:hAnsi="Times New Roman" w:cs="Times New Roman" w:eastAsia="Times New Roman" w:hint="default"/>
          <w:sz w:val="10"/>
          <w:szCs w:val="10"/>
        </w:rPr>
      </w:pPr>
      <w:r>
        <w:rPr/>
        <w:pict>
          <v:group style="position:absolute;margin-left:78.024002pt;margin-top:7.105289pt;width:144.050pt;height:.1pt;mso-position-horizontal-relative:page;mso-position-vertical-relative:paragraph;z-index:1456;mso-wrap-distance-left:0;mso-wrap-distance-right:0" coordorigin="1560,142" coordsize="2881,2">
            <v:shape style="position:absolute;left:1560;top:142;width:2881;height:2" coordorigin="1560,142" coordsize="2881,0" path="m1560,142l4441,142e" filled="false" stroked="true" strokeweight=".599980pt" strokecolor="#000000">
              <v:path arrowok="t"/>
            </v:shape>
            <w10:wrap type="topAndBottom"/>
          </v:group>
        </w:pict>
      </w:r>
    </w:p>
    <w:p>
      <w:pPr>
        <w:spacing w:line="191" w:lineRule="exact" w:before="5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39 </w:t>
      </w:r>
      <w:r>
        <w:rPr>
          <w:rFonts w:ascii="Times New Roman" w:hAnsi="Times New Roman" w:cs="Times New Roman" w:eastAsia="Times New Roman" w:hint="default"/>
          <w:sz w:val="16"/>
          <w:szCs w:val="16"/>
        </w:rPr>
        <w:t>„Службени гласник Републике Србије“ број</w:t>
      </w:r>
      <w:r>
        <w:rPr>
          <w:rFonts w:ascii="Times New Roman" w:hAnsi="Times New Roman" w:cs="Times New Roman" w:eastAsia="Times New Roman" w:hint="default"/>
          <w:spacing w:val="-13"/>
          <w:sz w:val="16"/>
          <w:szCs w:val="16"/>
        </w:rPr>
        <w:t> </w:t>
      </w:r>
      <w:r>
        <w:rPr>
          <w:rFonts w:ascii="Times New Roman" w:hAnsi="Times New Roman" w:cs="Times New Roman" w:eastAsia="Times New Roman" w:hint="default"/>
          <w:sz w:val="16"/>
          <w:szCs w:val="16"/>
        </w:rPr>
        <w:t>62/2006...41/2009</w:t>
      </w:r>
    </w:p>
    <w:p>
      <w:pPr>
        <w:spacing w:line="185" w:lineRule="exact" w:before="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40 </w:t>
      </w:r>
      <w:r>
        <w:rPr>
          <w:rFonts w:ascii="Times New Roman" w:hAnsi="Times New Roman" w:cs="Times New Roman" w:eastAsia="Times New Roman" w:hint="default"/>
          <w:sz w:val="16"/>
          <w:szCs w:val="16"/>
        </w:rPr>
        <w:t>„Службени лист града Ниша“ број 67/2013 и</w:t>
      </w:r>
      <w:r>
        <w:rPr>
          <w:rFonts w:ascii="Times New Roman" w:hAnsi="Times New Roman" w:cs="Times New Roman" w:eastAsia="Times New Roman" w:hint="default"/>
          <w:spacing w:val="-9"/>
          <w:sz w:val="16"/>
          <w:szCs w:val="16"/>
        </w:rPr>
        <w:t> </w:t>
      </w:r>
      <w:r>
        <w:rPr>
          <w:rFonts w:ascii="Times New Roman" w:hAnsi="Times New Roman" w:cs="Times New Roman" w:eastAsia="Times New Roman" w:hint="default"/>
          <w:sz w:val="16"/>
          <w:szCs w:val="16"/>
        </w:rPr>
        <w:t>85/2014</w:t>
      </w:r>
    </w:p>
    <w:p>
      <w:pPr>
        <w:spacing w:line="191" w:lineRule="exact" w:before="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41</w:t>
      </w:r>
      <w:r>
        <w:rPr>
          <w:rFonts w:ascii="Times New Roman" w:hAnsi="Times New Roman" w:cs="Times New Roman" w:eastAsia="Times New Roman" w:hint="default"/>
          <w:spacing w:val="11"/>
          <w:position w:val="7"/>
          <w:sz w:val="10"/>
          <w:szCs w:val="10"/>
        </w:rPr>
        <w:t> </w:t>
      </w:r>
      <w:r>
        <w:rPr>
          <w:rFonts w:ascii="Times New Roman" w:hAnsi="Times New Roman" w:cs="Times New Roman" w:eastAsia="Times New Roman" w:hint="default"/>
          <w:sz w:val="16"/>
          <w:szCs w:val="16"/>
        </w:rPr>
        <w:t>„Службени</w:t>
      </w:r>
      <w:r>
        <w:rPr>
          <w:rFonts w:ascii="Times New Roman" w:hAnsi="Times New Roman" w:cs="Times New Roman" w:eastAsia="Times New Roman" w:hint="default"/>
          <w:spacing w:val="-3"/>
          <w:sz w:val="16"/>
          <w:szCs w:val="16"/>
        </w:rPr>
        <w:t> </w:t>
      </w:r>
      <w:r>
        <w:rPr>
          <w:rFonts w:ascii="Times New Roman" w:hAnsi="Times New Roman" w:cs="Times New Roman" w:eastAsia="Times New Roman" w:hint="default"/>
          <w:sz w:val="16"/>
          <w:szCs w:val="16"/>
        </w:rPr>
        <w:t>лист</w:t>
      </w:r>
      <w:r>
        <w:rPr>
          <w:rFonts w:ascii="Times New Roman" w:hAnsi="Times New Roman" w:cs="Times New Roman" w:eastAsia="Times New Roman" w:hint="default"/>
          <w:spacing w:val="-4"/>
          <w:sz w:val="16"/>
          <w:szCs w:val="16"/>
        </w:rPr>
        <w:t> </w:t>
      </w:r>
      <w:r>
        <w:rPr>
          <w:rFonts w:ascii="Times New Roman" w:hAnsi="Times New Roman" w:cs="Times New Roman" w:eastAsia="Times New Roman" w:hint="default"/>
          <w:sz w:val="16"/>
          <w:szCs w:val="16"/>
        </w:rPr>
        <w:t>града</w:t>
      </w:r>
      <w:r>
        <w:rPr>
          <w:rFonts w:ascii="Times New Roman" w:hAnsi="Times New Roman" w:cs="Times New Roman" w:eastAsia="Times New Roman" w:hint="default"/>
          <w:spacing w:val="-3"/>
          <w:sz w:val="16"/>
          <w:szCs w:val="16"/>
        </w:rPr>
        <w:t> </w:t>
      </w:r>
      <w:r>
        <w:rPr>
          <w:rFonts w:ascii="Times New Roman" w:hAnsi="Times New Roman" w:cs="Times New Roman" w:eastAsia="Times New Roman" w:hint="default"/>
          <w:sz w:val="16"/>
          <w:szCs w:val="16"/>
        </w:rPr>
        <w:t>Ниша“</w:t>
      </w:r>
      <w:r>
        <w:rPr>
          <w:rFonts w:ascii="Times New Roman" w:hAnsi="Times New Roman" w:cs="Times New Roman" w:eastAsia="Times New Roman" w:hint="default"/>
          <w:spacing w:val="-6"/>
          <w:sz w:val="16"/>
          <w:szCs w:val="16"/>
        </w:rPr>
        <w:t> </w:t>
      </w:r>
      <w:r>
        <w:rPr>
          <w:rFonts w:ascii="Times New Roman" w:hAnsi="Times New Roman" w:cs="Times New Roman" w:eastAsia="Times New Roman" w:hint="default"/>
          <w:sz w:val="16"/>
          <w:szCs w:val="16"/>
        </w:rPr>
        <w:t>број</w:t>
      </w:r>
      <w:r>
        <w:rPr>
          <w:rFonts w:ascii="Times New Roman" w:hAnsi="Times New Roman" w:cs="Times New Roman" w:eastAsia="Times New Roman" w:hint="default"/>
          <w:spacing w:val="-5"/>
          <w:sz w:val="16"/>
          <w:szCs w:val="16"/>
        </w:rPr>
        <w:t> </w:t>
      </w:r>
      <w:r>
        <w:rPr>
          <w:rFonts w:ascii="Times New Roman" w:hAnsi="Times New Roman" w:cs="Times New Roman" w:eastAsia="Times New Roman" w:hint="default"/>
          <w:sz w:val="16"/>
          <w:szCs w:val="16"/>
        </w:rPr>
        <w:t>14/1993,</w:t>
      </w:r>
      <w:r>
        <w:rPr>
          <w:rFonts w:ascii="Times New Roman" w:hAnsi="Times New Roman" w:cs="Times New Roman" w:eastAsia="Times New Roman" w:hint="default"/>
          <w:spacing w:val="-6"/>
          <w:sz w:val="16"/>
          <w:szCs w:val="16"/>
        </w:rPr>
        <w:t> </w:t>
      </w:r>
      <w:r>
        <w:rPr>
          <w:rFonts w:ascii="Times New Roman" w:hAnsi="Times New Roman" w:cs="Times New Roman" w:eastAsia="Times New Roman" w:hint="default"/>
          <w:sz w:val="16"/>
          <w:szCs w:val="16"/>
        </w:rPr>
        <w:t>24/1993,</w:t>
      </w:r>
      <w:r>
        <w:rPr>
          <w:rFonts w:ascii="Times New Roman" w:hAnsi="Times New Roman" w:cs="Times New Roman" w:eastAsia="Times New Roman" w:hint="default"/>
          <w:spacing w:val="-6"/>
          <w:sz w:val="16"/>
          <w:szCs w:val="16"/>
        </w:rPr>
        <w:t> </w:t>
      </w:r>
      <w:r>
        <w:rPr>
          <w:rFonts w:ascii="Times New Roman" w:hAnsi="Times New Roman" w:cs="Times New Roman" w:eastAsia="Times New Roman" w:hint="default"/>
          <w:sz w:val="16"/>
          <w:szCs w:val="16"/>
        </w:rPr>
        <w:t>1/1996,</w:t>
      </w:r>
      <w:r>
        <w:rPr>
          <w:rFonts w:ascii="Times New Roman" w:hAnsi="Times New Roman" w:cs="Times New Roman" w:eastAsia="Times New Roman" w:hint="default"/>
          <w:spacing w:val="-6"/>
          <w:sz w:val="16"/>
          <w:szCs w:val="16"/>
        </w:rPr>
        <w:t> </w:t>
      </w:r>
      <w:r>
        <w:rPr>
          <w:rFonts w:ascii="Times New Roman" w:hAnsi="Times New Roman" w:cs="Times New Roman" w:eastAsia="Times New Roman" w:hint="default"/>
          <w:sz w:val="16"/>
          <w:szCs w:val="16"/>
        </w:rPr>
        <w:t>1/2000,</w:t>
      </w:r>
      <w:r>
        <w:rPr>
          <w:rFonts w:ascii="Times New Roman" w:hAnsi="Times New Roman" w:cs="Times New Roman" w:eastAsia="Times New Roman" w:hint="default"/>
          <w:spacing w:val="-6"/>
          <w:sz w:val="16"/>
          <w:szCs w:val="16"/>
        </w:rPr>
        <w:t> </w:t>
      </w:r>
      <w:r>
        <w:rPr>
          <w:rFonts w:ascii="Times New Roman" w:hAnsi="Times New Roman" w:cs="Times New Roman" w:eastAsia="Times New Roman" w:hint="default"/>
          <w:sz w:val="16"/>
          <w:szCs w:val="16"/>
        </w:rPr>
        <w:t>40/2004,</w:t>
      </w:r>
      <w:r>
        <w:rPr>
          <w:rFonts w:ascii="Times New Roman" w:hAnsi="Times New Roman" w:cs="Times New Roman" w:eastAsia="Times New Roman" w:hint="default"/>
          <w:spacing w:val="-6"/>
          <w:sz w:val="16"/>
          <w:szCs w:val="16"/>
        </w:rPr>
        <w:t> </w:t>
      </w:r>
      <w:r>
        <w:rPr>
          <w:rFonts w:ascii="Times New Roman" w:hAnsi="Times New Roman" w:cs="Times New Roman" w:eastAsia="Times New Roman" w:hint="default"/>
          <w:sz w:val="16"/>
          <w:szCs w:val="16"/>
        </w:rPr>
        <w:t>68/2006</w:t>
      </w:r>
      <w:r>
        <w:rPr>
          <w:rFonts w:ascii="Times New Roman" w:hAnsi="Times New Roman" w:cs="Times New Roman" w:eastAsia="Times New Roman" w:hint="default"/>
          <w:spacing w:val="-5"/>
          <w:sz w:val="16"/>
          <w:szCs w:val="16"/>
        </w:rPr>
        <w:t> </w:t>
      </w:r>
      <w:r>
        <w:rPr>
          <w:rFonts w:ascii="Times New Roman" w:hAnsi="Times New Roman" w:cs="Times New Roman" w:eastAsia="Times New Roman" w:hint="default"/>
          <w:sz w:val="16"/>
          <w:szCs w:val="16"/>
        </w:rPr>
        <w:t>и</w:t>
      </w:r>
      <w:r>
        <w:rPr>
          <w:rFonts w:ascii="Times New Roman" w:hAnsi="Times New Roman" w:cs="Times New Roman" w:eastAsia="Times New Roman" w:hint="default"/>
          <w:spacing w:val="-6"/>
          <w:sz w:val="16"/>
          <w:szCs w:val="16"/>
        </w:rPr>
        <w:t> </w:t>
      </w:r>
      <w:r>
        <w:rPr>
          <w:rFonts w:ascii="Times New Roman" w:hAnsi="Times New Roman" w:cs="Times New Roman" w:eastAsia="Times New Roman" w:hint="default"/>
          <w:sz w:val="16"/>
          <w:szCs w:val="16"/>
        </w:rPr>
        <w:t>101/2012</w:t>
      </w:r>
    </w:p>
    <w:p>
      <w:pPr>
        <w:spacing w:after="0" w:line="191" w:lineRule="exact"/>
        <w:jc w:val="left"/>
        <w:rPr>
          <w:rFonts w:ascii="Times New Roman" w:hAnsi="Times New Roman" w:cs="Times New Roman" w:eastAsia="Times New Roman" w:hint="default"/>
          <w:sz w:val="16"/>
          <w:szCs w:val="16"/>
        </w:rPr>
        <w:sectPr>
          <w:footerReference w:type="default" r:id="rId53"/>
          <w:pgSz w:w="12240" w:h="15840"/>
          <w:pgMar w:footer="1274" w:header="740" w:top="1280" w:bottom="1460" w:left="1400" w:right="1260"/>
          <w:pgNumType w:start="54"/>
        </w:sectPr>
      </w:pPr>
    </w:p>
    <w:p>
      <w:pPr>
        <w:pStyle w:val="BodyText"/>
        <w:spacing w:line="240" w:lineRule="auto" w:before="122"/>
        <w:ind w:right="141"/>
        <w:jc w:val="left"/>
      </w:pPr>
      <w:r>
        <w:rPr/>
        <w:t>пренето у 2014. години ЈП „Нишстан“ Ниш 11.794 хиљаде</w:t>
      </w:r>
      <w:r>
        <w:rPr>
          <w:spacing w:val="-17"/>
        </w:rPr>
        <w:t> </w:t>
      </w:r>
      <w:r>
        <w:rPr/>
        <w:t>динара.</w:t>
      </w:r>
    </w:p>
    <w:p>
      <w:pPr>
        <w:pStyle w:val="BodyText"/>
        <w:spacing w:line="276" w:lineRule="exact" w:before="3"/>
        <w:ind w:right="173" w:firstLine="566"/>
        <w:jc w:val="both"/>
      </w:pPr>
      <w:r>
        <w:rPr/>
        <w:t>Град Ниш је закључио уговоре о закупу пословног простора са политичким странкама непосредном погодбом и по почетној цени, и то у месечном износу закупнине за м</w:t>
      </w:r>
      <w:r>
        <w:rPr>
          <w:rFonts w:ascii="Times New Roman" w:hAnsi="Times New Roman"/>
          <w:position w:val="11"/>
          <w:sz w:val="16"/>
        </w:rPr>
        <w:t>2 </w:t>
      </w:r>
      <w:r>
        <w:rPr/>
        <w:t>која је 11 пута нижа у односу на месечни износ закупнине за </w:t>
      </w:r>
      <w:r>
        <w:rPr>
          <w:spacing w:val="3"/>
        </w:rPr>
        <w:t>м</w:t>
      </w:r>
      <w:r>
        <w:rPr>
          <w:rFonts w:ascii="Times New Roman" w:hAnsi="Times New Roman"/>
          <w:spacing w:val="3"/>
          <w:position w:val="11"/>
          <w:sz w:val="16"/>
        </w:rPr>
        <w:t>2 </w:t>
      </w:r>
      <w:r>
        <w:rPr/>
        <w:t>пословног простора у којима се обављају друге делатности, како је предвиђено Одлуком о прибављању, располагању и управљању стварима у јавној својини града</w:t>
      </w:r>
      <w:r>
        <w:rPr>
          <w:spacing w:val="-17"/>
        </w:rPr>
        <w:t> </w:t>
      </w:r>
      <w:r>
        <w:rPr/>
        <w:t>Ниша.</w:t>
      </w:r>
    </w:p>
    <w:p>
      <w:pPr>
        <w:pStyle w:val="BodyText"/>
        <w:spacing w:line="276" w:lineRule="exact"/>
        <w:ind w:right="355" w:firstLine="566"/>
        <w:jc w:val="both"/>
      </w:pPr>
      <w:r>
        <w:rPr/>
        <w:t>У наредној табели дат је преглед месечних закупнина по м</w:t>
      </w:r>
      <w:r>
        <w:rPr>
          <w:rFonts w:ascii="Times New Roman" w:hAnsi="Times New Roman"/>
          <w:position w:val="11"/>
          <w:sz w:val="16"/>
        </w:rPr>
        <w:t>2 </w:t>
      </w:r>
      <w:r>
        <w:rPr/>
        <w:t>непокретне ствари, по зонама, по Одлуци о прибављању, располагању и управљању стварима у јавној својини града</w:t>
      </w:r>
      <w:r>
        <w:rPr>
          <w:spacing w:val="-3"/>
        </w:rPr>
        <w:t> </w:t>
      </w:r>
      <w:r>
        <w:rPr/>
        <w:t>Ниша:</w:t>
      </w:r>
    </w:p>
    <w:p>
      <w:pPr>
        <w:spacing w:before="0" w:after="4"/>
        <w:ind w:left="0" w:right="833" w:firstLine="0"/>
        <w:jc w:val="right"/>
        <w:rPr>
          <w:rFonts w:ascii="Times New Roman" w:hAnsi="Times New Roman" w:cs="Times New Roman" w:eastAsia="Times New Roman" w:hint="default"/>
          <w:sz w:val="18"/>
          <w:szCs w:val="18"/>
        </w:rPr>
      </w:pPr>
      <w:r>
        <w:rPr>
          <w:rFonts w:ascii="Times New Roman" w:hAnsi="Times New Roman"/>
          <w:sz w:val="18"/>
        </w:rPr>
        <w:t>(</w:t>
      </w:r>
      <w:r>
        <w:rPr>
          <w:rFonts w:ascii="Times New Roman" w:hAnsi="Times New Roman"/>
          <w:sz w:val="18"/>
        </w:rPr>
        <w:t>у</w:t>
      </w:r>
      <w:r>
        <w:rPr>
          <w:rFonts w:ascii="Times New Roman" w:hAnsi="Times New Roman"/>
          <w:spacing w:val="-6"/>
          <w:sz w:val="18"/>
        </w:rPr>
        <w:t> </w:t>
      </w:r>
      <w:r>
        <w:rPr>
          <w:rFonts w:ascii="Times New Roman" w:hAnsi="Times New Roman"/>
          <w:sz w:val="18"/>
        </w:rPr>
        <w:t>динарима</w:t>
      </w:r>
      <w:r>
        <w:rPr>
          <w:rFonts w:ascii="Times New Roman" w:hAnsi="Times New Roman"/>
          <w:sz w:val="18"/>
        </w:rPr>
        <w:t>)</w:t>
      </w:r>
    </w:p>
    <w:tbl>
      <w:tblPr>
        <w:tblW w:w="0" w:type="auto"/>
        <w:jc w:val="left"/>
        <w:tblInd w:w="141" w:type="dxa"/>
        <w:tblLayout w:type="fixed"/>
        <w:tblCellMar>
          <w:top w:w="0" w:type="dxa"/>
          <w:left w:w="0" w:type="dxa"/>
          <w:bottom w:w="0" w:type="dxa"/>
          <w:right w:w="0" w:type="dxa"/>
        </w:tblCellMar>
        <w:tblLook w:val="01E0"/>
      </w:tblPr>
      <w:tblGrid>
        <w:gridCol w:w="1940"/>
        <w:gridCol w:w="1063"/>
        <w:gridCol w:w="2052"/>
        <w:gridCol w:w="2641"/>
        <w:gridCol w:w="1541"/>
      </w:tblGrid>
      <w:tr>
        <w:trPr>
          <w:trHeight w:val="1301" w:hRule="exact"/>
        </w:trPr>
        <w:tc>
          <w:tcPr>
            <w:tcW w:w="194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12"/>
                <w:szCs w:val="12"/>
              </w:rPr>
            </w:pPr>
          </w:p>
          <w:p>
            <w:pPr>
              <w:pStyle w:val="TableParagraph"/>
              <w:spacing w:line="240" w:lineRule="auto"/>
              <w:ind w:right="0"/>
              <w:jc w:val="left"/>
              <w:rPr>
                <w:rFonts w:ascii="Times New Roman" w:hAnsi="Times New Roman" w:cs="Times New Roman" w:eastAsia="Times New Roman" w:hint="default"/>
                <w:sz w:val="12"/>
                <w:szCs w:val="12"/>
              </w:rPr>
            </w:pPr>
          </w:p>
          <w:p>
            <w:pPr>
              <w:pStyle w:val="TableParagraph"/>
              <w:spacing w:line="240" w:lineRule="auto"/>
              <w:ind w:right="0"/>
              <w:jc w:val="left"/>
              <w:rPr>
                <w:rFonts w:ascii="Times New Roman" w:hAnsi="Times New Roman" w:cs="Times New Roman" w:eastAsia="Times New Roman" w:hint="default"/>
                <w:sz w:val="12"/>
                <w:szCs w:val="12"/>
              </w:rPr>
            </w:pPr>
          </w:p>
          <w:p>
            <w:pPr>
              <w:pStyle w:val="TableParagraph"/>
              <w:spacing w:line="240" w:lineRule="auto"/>
              <w:ind w:right="0"/>
              <w:jc w:val="left"/>
              <w:rPr>
                <w:rFonts w:ascii="Times New Roman" w:hAnsi="Times New Roman" w:cs="Times New Roman" w:eastAsia="Times New Roman" w:hint="default"/>
                <w:sz w:val="12"/>
                <w:szCs w:val="12"/>
              </w:rPr>
            </w:pPr>
          </w:p>
          <w:p>
            <w:pPr>
              <w:pStyle w:val="TableParagraph"/>
              <w:spacing w:line="240" w:lineRule="auto"/>
              <w:ind w:right="0"/>
              <w:jc w:val="left"/>
              <w:rPr>
                <w:rFonts w:ascii="Times New Roman" w:hAnsi="Times New Roman" w:cs="Times New Roman" w:eastAsia="Times New Roman" w:hint="default"/>
                <w:sz w:val="12"/>
                <w:szCs w:val="12"/>
              </w:rPr>
            </w:pPr>
          </w:p>
          <w:p>
            <w:pPr>
              <w:pStyle w:val="TableParagraph"/>
              <w:spacing w:line="240" w:lineRule="auto"/>
              <w:ind w:right="0"/>
              <w:jc w:val="left"/>
              <w:rPr>
                <w:rFonts w:ascii="Times New Roman" w:hAnsi="Times New Roman" w:cs="Times New Roman" w:eastAsia="Times New Roman" w:hint="default"/>
                <w:sz w:val="12"/>
                <w:szCs w:val="12"/>
              </w:rPr>
            </w:pPr>
          </w:p>
          <w:p>
            <w:pPr>
              <w:pStyle w:val="TableParagraph"/>
              <w:spacing w:line="240" w:lineRule="auto"/>
              <w:ind w:right="0"/>
              <w:jc w:val="left"/>
              <w:rPr>
                <w:rFonts w:ascii="Times New Roman" w:hAnsi="Times New Roman" w:cs="Times New Roman" w:eastAsia="Times New Roman" w:hint="default"/>
                <w:sz w:val="12"/>
                <w:szCs w:val="12"/>
              </w:rPr>
            </w:pPr>
          </w:p>
          <w:p>
            <w:pPr>
              <w:pStyle w:val="TableParagraph"/>
              <w:spacing w:line="240" w:lineRule="auto" w:before="1"/>
              <w:ind w:right="0"/>
              <w:jc w:val="left"/>
              <w:rPr>
                <w:rFonts w:ascii="Times New Roman" w:hAnsi="Times New Roman" w:cs="Times New Roman" w:eastAsia="Times New Roman" w:hint="default"/>
                <w:sz w:val="16"/>
                <w:szCs w:val="16"/>
              </w:rPr>
            </w:pPr>
          </w:p>
          <w:p>
            <w:pPr>
              <w:pStyle w:val="TableParagraph"/>
              <w:spacing w:line="240" w:lineRule="auto"/>
              <w:ind w:left="846" w:right="816"/>
              <w:jc w:val="center"/>
              <w:rPr>
                <w:rFonts w:ascii="Times New Roman" w:hAnsi="Times New Roman" w:cs="Times New Roman" w:eastAsia="Times New Roman" w:hint="default"/>
                <w:sz w:val="12"/>
                <w:szCs w:val="12"/>
              </w:rPr>
            </w:pPr>
            <w:r>
              <w:rPr>
                <w:rFonts w:ascii="Times New Roman" w:hAnsi="Times New Roman"/>
                <w:sz w:val="12"/>
              </w:rPr>
              <w:t>Зона</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12"/>
                <w:szCs w:val="12"/>
              </w:rPr>
            </w:pPr>
          </w:p>
          <w:p>
            <w:pPr>
              <w:pStyle w:val="TableParagraph"/>
              <w:spacing w:line="240" w:lineRule="auto"/>
              <w:ind w:right="0"/>
              <w:jc w:val="left"/>
              <w:rPr>
                <w:rFonts w:ascii="Times New Roman" w:hAnsi="Times New Roman" w:cs="Times New Roman" w:eastAsia="Times New Roman" w:hint="default"/>
                <w:sz w:val="12"/>
                <w:szCs w:val="12"/>
              </w:rPr>
            </w:pPr>
          </w:p>
          <w:p>
            <w:pPr>
              <w:pStyle w:val="TableParagraph"/>
              <w:spacing w:line="240" w:lineRule="auto"/>
              <w:ind w:right="0"/>
              <w:jc w:val="left"/>
              <w:rPr>
                <w:rFonts w:ascii="Times New Roman" w:hAnsi="Times New Roman" w:cs="Times New Roman" w:eastAsia="Times New Roman" w:hint="default"/>
                <w:sz w:val="12"/>
                <w:szCs w:val="12"/>
              </w:rPr>
            </w:pPr>
          </w:p>
          <w:p>
            <w:pPr>
              <w:pStyle w:val="TableParagraph"/>
              <w:spacing w:line="240" w:lineRule="auto" w:before="3"/>
              <w:ind w:right="0"/>
              <w:jc w:val="left"/>
              <w:rPr>
                <w:rFonts w:ascii="Times New Roman" w:hAnsi="Times New Roman" w:cs="Times New Roman" w:eastAsia="Times New Roman" w:hint="default"/>
                <w:sz w:val="16"/>
                <w:szCs w:val="16"/>
              </w:rPr>
            </w:pPr>
          </w:p>
          <w:p>
            <w:pPr>
              <w:pStyle w:val="TableParagraph"/>
              <w:spacing w:line="235" w:lineRule="auto"/>
              <w:ind w:left="122" w:right="121" w:hanging="1"/>
              <w:jc w:val="center"/>
              <w:rPr>
                <w:rFonts w:ascii="Times New Roman" w:hAnsi="Times New Roman" w:cs="Times New Roman" w:eastAsia="Times New Roman" w:hint="default"/>
                <w:sz w:val="12"/>
                <w:szCs w:val="12"/>
              </w:rPr>
            </w:pPr>
            <w:r>
              <w:rPr>
                <w:rFonts w:ascii="Times New Roman" w:hAnsi="Times New Roman"/>
                <w:sz w:val="12"/>
              </w:rPr>
              <w:t>Месечна закупнина за м</w:t>
            </w:r>
            <w:r>
              <w:rPr>
                <w:rFonts w:ascii="Times New Roman" w:hAnsi="Times New Roman"/>
                <w:position w:val="5"/>
                <w:sz w:val="8"/>
              </w:rPr>
              <w:t>2 </w:t>
            </w:r>
            <w:r>
              <w:rPr>
                <w:rFonts w:ascii="Times New Roman" w:hAnsi="Times New Roman"/>
                <w:sz w:val="12"/>
              </w:rPr>
              <w:t>непокретне ствари, по зонама</w:t>
            </w:r>
          </w:p>
        </w:tc>
        <w:tc>
          <w:tcPr>
            <w:tcW w:w="20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3"/>
              <w:ind w:left="144" w:right="142" w:hanging="2"/>
              <w:jc w:val="center"/>
              <w:rPr>
                <w:rFonts w:ascii="Times New Roman" w:hAnsi="Times New Roman" w:cs="Times New Roman" w:eastAsia="Times New Roman" w:hint="default"/>
                <w:sz w:val="12"/>
                <w:szCs w:val="12"/>
              </w:rPr>
            </w:pPr>
            <w:r>
              <w:rPr>
                <w:rFonts w:ascii="Times New Roman" w:hAnsi="Times New Roman"/>
                <w:sz w:val="12"/>
              </w:rPr>
              <w:t>Месечна закупнина за 1м</w:t>
            </w:r>
            <w:r>
              <w:rPr>
                <w:rFonts w:ascii="Times New Roman" w:hAnsi="Times New Roman"/>
                <w:position w:val="5"/>
                <w:sz w:val="8"/>
              </w:rPr>
              <w:t>2 </w:t>
            </w:r>
            <w:r>
              <w:rPr>
                <w:rFonts w:ascii="Times New Roman" w:hAnsi="Times New Roman"/>
                <w:sz w:val="12"/>
              </w:rPr>
              <w:t>пословног простора у којој делатност обављају политичке странке које имају посланике у Народној Скупштини РС, одборнике у Скупштини града и у скупштинама градских општина, јавна предузећа чији </w:t>
            </w:r>
            <w:r>
              <w:rPr>
                <w:rFonts w:ascii="Times New Roman" w:hAnsi="Times New Roman"/>
                <w:spacing w:val="-3"/>
                <w:sz w:val="12"/>
              </w:rPr>
              <w:t>је </w:t>
            </w:r>
            <w:r>
              <w:rPr>
                <w:rFonts w:ascii="Times New Roman" w:hAnsi="Times New Roman"/>
                <w:sz w:val="12"/>
              </w:rPr>
              <w:t>оснивач </w:t>
            </w:r>
            <w:r>
              <w:rPr>
                <w:rFonts w:ascii="Times New Roman" w:hAnsi="Times New Roman"/>
                <w:sz w:val="12"/>
              </w:rPr>
              <w:t>град, по</w:t>
            </w:r>
            <w:r>
              <w:rPr>
                <w:rFonts w:ascii="Times New Roman" w:hAnsi="Times New Roman"/>
                <w:spacing w:val="-2"/>
                <w:sz w:val="12"/>
              </w:rPr>
              <w:t> </w:t>
            </w:r>
            <w:r>
              <w:rPr>
                <w:rFonts w:ascii="Times New Roman" w:hAnsi="Times New Roman"/>
                <w:sz w:val="12"/>
              </w:rPr>
              <w:t>зонама</w:t>
            </w:r>
          </w:p>
        </w:tc>
        <w:tc>
          <w:tcPr>
            <w:tcW w:w="264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3"/>
              <w:ind w:left="117" w:right="118"/>
              <w:jc w:val="center"/>
              <w:rPr>
                <w:rFonts w:ascii="Times New Roman" w:hAnsi="Times New Roman" w:cs="Times New Roman" w:eastAsia="Times New Roman" w:hint="default"/>
                <w:sz w:val="12"/>
                <w:szCs w:val="12"/>
              </w:rPr>
            </w:pPr>
            <w:r>
              <w:rPr>
                <w:rFonts w:ascii="Times New Roman" w:hAnsi="Times New Roman"/>
                <w:sz w:val="12"/>
              </w:rPr>
              <w:t>Месечна закупнина за 1м</w:t>
            </w:r>
            <w:r>
              <w:rPr>
                <w:rFonts w:ascii="Times New Roman" w:hAnsi="Times New Roman"/>
                <w:position w:val="5"/>
                <w:sz w:val="8"/>
              </w:rPr>
              <w:t>2 </w:t>
            </w:r>
            <w:r>
              <w:rPr>
                <w:rFonts w:ascii="Times New Roman" w:hAnsi="Times New Roman"/>
                <w:sz w:val="12"/>
              </w:rPr>
              <w:t>пословног простора у којој делатност обављају уметници, струковне коморе, верске и хуманитарне организације, удружења и организације грађана из области науке, културе, просвете, социјалне и дечије заштите и спорта и удружења особа са инвалидитетом (под условом да се та ствар не користи за остваривање прихода), по</w:t>
            </w:r>
            <w:r>
              <w:rPr>
                <w:rFonts w:ascii="Times New Roman" w:hAnsi="Times New Roman"/>
                <w:spacing w:val="-10"/>
                <w:sz w:val="12"/>
              </w:rPr>
              <w:t> </w:t>
            </w:r>
            <w:r>
              <w:rPr>
                <w:rFonts w:ascii="Times New Roman" w:hAnsi="Times New Roman"/>
                <w:sz w:val="12"/>
              </w:rPr>
              <w:t>зонама</w:t>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12"/>
                <w:szCs w:val="12"/>
              </w:rPr>
            </w:pPr>
          </w:p>
          <w:p>
            <w:pPr>
              <w:pStyle w:val="TableParagraph"/>
              <w:spacing w:line="240" w:lineRule="auto" w:before="3"/>
              <w:ind w:right="0"/>
              <w:jc w:val="left"/>
              <w:rPr>
                <w:rFonts w:ascii="Times New Roman" w:hAnsi="Times New Roman" w:cs="Times New Roman" w:eastAsia="Times New Roman" w:hint="default"/>
                <w:sz w:val="16"/>
                <w:szCs w:val="16"/>
              </w:rPr>
            </w:pPr>
          </w:p>
          <w:p>
            <w:pPr>
              <w:pStyle w:val="TableParagraph"/>
              <w:spacing w:line="235" w:lineRule="auto"/>
              <w:ind w:left="105" w:right="102" w:hanging="5"/>
              <w:jc w:val="center"/>
              <w:rPr>
                <w:rFonts w:ascii="Times New Roman" w:hAnsi="Times New Roman" w:cs="Times New Roman" w:eastAsia="Times New Roman" w:hint="default"/>
                <w:sz w:val="12"/>
                <w:szCs w:val="12"/>
              </w:rPr>
            </w:pPr>
            <w:r>
              <w:rPr>
                <w:rFonts w:ascii="Times New Roman" w:hAnsi="Times New Roman"/>
                <w:sz w:val="12"/>
              </w:rPr>
              <w:t>Месечна закупнина за</w:t>
            </w:r>
            <w:r>
              <w:rPr>
                <w:rFonts w:ascii="Times New Roman" w:hAnsi="Times New Roman"/>
                <w:spacing w:val="-9"/>
                <w:sz w:val="12"/>
              </w:rPr>
              <w:t> </w:t>
            </w:r>
            <w:r>
              <w:rPr>
                <w:rFonts w:ascii="Times New Roman" w:hAnsi="Times New Roman"/>
                <w:spacing w:val="-9"/>
                <w:sz w:val="12"/>
              </w:rPr>
            </w:r>
            <w:r>
              <w:rPr>
                <w:rFonts w:ascii="Times New Roman" w:hAnsi="Times New Roman"/>
                <w:sz w:val="12"/>
              </w:rPr>
              <w:t>1м</w:t>
            </w:r>
            <w:r>
              <w:rPr>
                <w:rFonts w:ascii="Times New Roman" w:hAnsi="Times New Roman"/>
                <w:position w:val="5"/>
                <w:sz w:val="8"/>
              </w:rPr>
              <w:t>2 </w:t>
            </w:r>
            <w:r>
              <w:rPr>
                <w:rFonts w:ascii="Times New Roman" w:hAnsi="Times New Roman"/>
                <w:sz w:val="12"/>
              </w:rPr>
              <w:t>непокретних ствари у којима се искључиво обавља делатност старих заната, одређених посебним прописом, по зонама</w:t>
            </w:r>
          </w:p>
        </w:tc>
      </w:tr>
      <w:tr>
        <w:trPr>
          <w:trHeight w:val="199" w:hRule="exact"/>
        </w:trPr>
        <w:tc>
          <w:tcPr>
            <w:tcW w:w="194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247" w:right="0"/>
              <w:jc w:val="left"/>
              <w:rPr>
                <w:rFonts w:ascii="Times New Roman" w:hAnsi="Times New Roman" w:cs="Times New Roman" w:eastAsia="Times New Roman" w:hint="default"/>
                <w:sz w:val="16"/>
                <w:szCs w:val="16"/>
              </w:rPr>
            </w:pPr>
            <w:r>
              <w:rPr>
                <w:rFonts w:ascii="Times New Roman" w:hAnsi="Times New Roman"/>
                <w:b/>
                <w:sz w:val="16"/>
              </w:rPr>
              <w:t>Централна</w:t>
            </w:r>
            <w:r>
              <w:rPr>
                <w:rFonts w:ascii="Times New Roman" w:hAnsi="Times New Roman"/>
                <w:b/>
                <w:spacing w:val="-5"/>
                <w:sz w:val="16"/>
              </w:rPr>
              <w:t> </w:t>
            </w:r>
            <w:r>
              <w:rPr>
                <w:rFonts w:ascii="Times New Roman" w:hAnsi="Times New Roman"/>
                <w:b/>
                <w:sz w:val="16"/>
              </w:rPr>
              <w:t>зона</w:t>
            </w:r>
            <w:r>
              <w:rPr>
                <w:rFonts w:ascii="Times New Roman" w:hAnsi="Times New Roman"/>
                <w:sz w:val="16"/>
              </w:rPr>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left="231" w:right="231"/>
              <w:jc w:val="center"/>
              <w:rPr>
                <w:rFonts w:ascii="Times New Roman" w:hAnsi="Times New Roman" w:cs="Times New Roman" w:eastAsia="Times New Roman" w:hint="default"/>
                <w:sz w:val="16"/>
                <w:szCs w:val="16"/>
              </w:rPr>
            </w:pPr>
            <w:r>
              <w:rPr>
                <w:rFonts w:ascii="Times New Roman"/>
                <w:sz w:val="16"/>
              </w:rPr>
              <w:t>3.204,00</w:t>
            </w:r>
          </w:p>
        </w:tc>
        <w:tc>
          <w:tcPr>
            <w:tcW w:w="2052"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right="245"/>
              <w:jc w:val="right"/>
              <w:rPr>
                <w:rFonts w:ascii="Times New Roman" w:hAnsi="Times New Roman" w:cs="Times New Roman" w:eastAsia="Times New Roman" w:hint="default"/>
                <w:sz w:val="16"/>
                <w:szCs w:val="16"/>
              </w:rPr>
            </w:pPr>
            <w:r>
              <w:rPr>
                <w:rFonts w:ascii="Times New Roman"/>
                <w:spacing w:val="-2"/>
                <w:sz w:val="16"/>
              </w:rPr>
              <w:t>285,00</w:t>
            </w:r>
            <w:r>
              <w:rPr>
                <w:rFonts w:ascii="Times New Roman"/>
                <w:sz w:val="16"/>
              </w:rPr>
            </w:r>
          </w:p>
        </w:tc>
        <w:tc>
          <w:tcPr>
            <w:tcW w:w="2641"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right="245"/>
              <w:jc w:val="right"/>
              <w:rPr>
                <w:rFonts w:ascii="Times New Roman" w:hAnsi="Times New Roman" w:cs="Times New Roman" w:eastAsia="Times New Roman" w:hint="default"/>
                <w:sz w:val="16"/>
                <w:szCs w:val="16"/>
              </w:rPr>
            </w:pPr>
            <w:r>
              <w:rPr>
                <w:rFonts w:ascii="Times New Roman"/>
                <w:spacing w:val="-2"/>
                <w:sz w:val="16"/>
              </w:rPr>
              <w:t>128,00</w:t>
            </w:r>
            <w:r>
              <w:rPr>
                <w:rFonts w:ascii="Times New Roman"/>
                <w:sz w:val="16"/>
              </w:rPr>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right="245"/>
              <w:jc w:val="right"/>
              <w:rPr>
                <w:rFonts w:ascii="Times New Roman" w:hAnsi="Times New Roman" w:cs="Times New Roman" w:eastAsia="Times New Roman" w:hint="default"/>
                <w:sz w:val="16"/>
                <w:szCs w:val="16"/>
              </w:rPr>
            </w:pPr>
            <w:r>
              <w:rPr>
                <w:rFonts w:ascii="Times New Roman"/>
                <w:spacing w:val="-2"/>
                <w:sz w:val="16"/>
              </w:rPr>
              <w:t>712,00</w:t>
            </w:r>
            <w:r>
              <w:rPr>
                <w:rFonts w:ascii="Times New Roman"/>
                <w:sz w:val="16"/>
              </w:rPr>
            </w:r>
          </w:p>
        </w:tc>
      </w:tr>
      <w:tr>
        <w:trPr>
          <w:trHeight w:val="194" w:hRule="exact"/>
        </w:trPr>
        <w:tc>
          <w:tcPr>
            <w:tcW w:w="194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247" w:right="0"/>
              <w:jc w:val="left"/>
              <w:rPr>
                <w:rFonts w:ascii="Times New Roman" w:hAnsi="Times New Roman" w:cs="Times New Roman" w:eastAsia="Times New Roman" w:hint="default"/>
                <w:sz w:val="16"/>
                <w:szCs w:val="16"/>
              </w:rPr>
            </w:pPr>
            <w:r>
              <w:rPr>
                <w:rFonts w:ascii="Times New Roman" w:hAnsi="Times New Roman"/>
                <w:sz w:val="16"/>
              </w:rPr>
              <w:t>Приземље</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231" w:right="231"/>
              <w:jc w:val="center"/>
              <w:rPr>
                <w:rFonts w:ascii="Times New Roman" w:hAnsi="Times New Roman" w:cs="Times New Roman" w:eastAsia="Times New Roman" w:hint="default"/>
                <w:sz w:val="16"/>
                <w:szCs w:val="16"/>
              </w:rPr>
            </w:pPr>
            <w:r>
              <w:rPr>
                <w:rFonts w:ascii="Times New Roman"/>
                <w:sz w:val="16"/>
              </w:rPr>
              <w:t>3.204,00</w:t>
            </w:r>
          </w:p>
        </w:tc>
        <w:tc>
          <w:tcPr>
            <w:tcW w:w="205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285,00</w:t>
            </w:r>
            <w:r>
              <w:rPr>
                <w:rFonts w:ascii="Times New Roman"/>
                <w:sz w:val="16"/>
              </w:rPr>
            </w:r>
          </w:p>
        </w:tc>
        <w:tc>
          <w:tcPr>
            <w:tcW w:w="264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128,00</w:t>
            </w:r>
            <w:r>
              <w:rPr>
                <w:rFonts w:ascii="Times New Roman"/>
                <w:sz w:val="16"/>
              </w:rPr>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712,00</w:t>
            </w:r>
            <w:r>
              <w:rPr>
                <w:rFonts w:ascii="Times New Roman"/>
                <w:sz w:val="16"/>
              </w:rPr>
            </w:r>
          </w:p>
        </w:tc>
      </w:tr>
      <w:tr>
        <w:trPr>
          <w:trHeight w:val="194" w:hRule="exact"/>
        </w:trPr>
        <w:tc>
          <w:tcPr>
            <w:tcW w:w="194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247" w:right="0"/>
              <w:jc w:val="left"/>
              <w:rPr>
                <w:rFonts w:ascii="Times New Roman" w:hAnsi="Times New Roman" w:cs="Times New Roman" w:eastAsia="Times New Roman" w:hint="default"/>
                <w:sz w:val="16"/>
                <w:szCs w:val="16"/>
              </w:rPr>
            </w:pPr>
            <w:r>
              <w:rPr>
                <w:rFonts w:ascii="Times New Roman" w:hAnsi="Times New Roman"/>
                <w:sz w:val="16"/>
              </w:rPr>
              <w:t>први</w:t>
            </w:r>
            <w:r>
              <w:rPr>
                <w:rFonts w:ascii="Times New Roman" w:hAnsi="Times New Roman"/>
                <w:spacing w:val="-3"/>
                <w:sz w:val="16"/>
              </w:rPr>
              <w:t> </w:t>
            </w:r>
            <w:r>
              <w:rPr>
                <w:rFonts w:ascii="Times New Roman" w:hAnsi="Times New Roman"/>
                <w:sz w:val="16"/>
              </w:rPr>
              <w:t>спрат</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231" w:right="231"/>
              <w:jc w:val="center"/>
              <w:rPr>
                <w:rFonts w:ascii="Times New Roman" w:hAnsi="Times New Roman" w:cs="Times New Roman" w:eastAsia="Times New Roman" w:hint="default"/>
                <w:sz w:val="16"/>
                <w:szCs w:val="16"/>
              </w:rPr>
            </w:pPr>
            <w:r>
              <w:rPr>
                <w:rFonts w:ascii="Times New Roman"/>
                <w:sz w:val="16"/>
              </w:rPr>
              <w:t>2.130,00</w:t>
            </w:r>
          </w:p>
        </w:tc>
        <w:tc>
          <w:tcPr>
            <w:tcW w:w="205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214,00</w:t>
            </w:r>
            <w:r>
              <w:rPr>
                <w:rFonts w:ascii="Times New Roman"/>
                <w:sz w:val="16"/>
              </w:rPr>
            </w:r>
          </w:p>
        </w:tc>
        <w:tc>
          <w:tcPr>
            <w:tcW w:w="264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85,00</w:t>
            </w:r>
            <w:r>
              <w:rPr>
                <w:rFonts w:ascii="Times New Roman"/>
                <w:sz w:val="16"/>
              </w:rPr>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429,00</w:t>
            </w:r>
            <w:r>
              <w:rPr>
                <w:rFonts w:ascii="Times New Roman"/>
                <w:sz w:val="16"/>
              </w:rPr>
            </w:r>
          </w:p>
        </w:tc>
      </w:tr>
      <w:tr>
        <w:trPr>
          <w:trHeight w:val="192" w:hRule="exact"/>
        </w:trPr>
        <w:tc>
          <w:tcPr>
            <w:tcW w:w="194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247" w:right="0"/>
              <w:jc w:val="left"/>
              <w:rPr>
                <w:rFonts w:ascii="Times New Roman" w:hAnsi="Times New Roman" w:cs="Times New Roman" w:eastAsia="Times New Roman" w:hint="default"/>
                <w:sz w:val="16"/>
                <w:szCs w:val="16"/>
              </w:rPr>
            </w:pPr>
            <w:r>
              <w:rPr>
                <w:rFonts w:ascii="Times New Roman" w:hAnsi="Times New Roman"/>
                <w:sz w:val="16"/>
              </w:rPr>
              <w:t>други</w:t>
            </w:r>
            <w:r>
              <w:rPr>
                <w:rFonts w:ascii="Times New Roman" w:hAnsi="Times New Roman"/>
                <w:spacing w:val="-3"/>
                <w:sz w:val="16"/>
              </w:rPr>
              <w:t> </w:t>
            </w:r>
            <w:r>
              <w:rPr>
                <w:rFonts w:ascii="Times New Roman" w:hAnsi="Times New Roman"/>
                <w:sz w:val="16"/>
              </w:rPr>
              <w:t>спрат</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231" w:right="231"/>
              <w:jc w:val="center"/>
              <w:rPr>
                <w:rFonts w:ascii="Times New Roman" w:hAnsi="Times New Roman" w:cs="Times New Roman" w:eastAsia="Times New Roman" w:hint="default"/>
                <w:sz w:val="16"/>
                <w:szCs w:val="16"/>
              </w:rPr>
            </w:pPr>
            <w:r>
              <w:rPr>
                <w:rFonts w:ascii="Times New Roman"/>
                <w:sz w:val="16"/>
              </w:rPr>
              <w:t>1.850,00</w:t>
            </w:r>
          </w:p>
        </w:tc>
        <w:tc>
          <w:tcPr>
            <w:tcW w:w="205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143,00</w:t>
            </w:r>
            <w:r>
              <w:rPr>
                <w:rFonts w:ascii="Times New Roman"/>
                <w:sz w:val="16"/>
              </w:rPr>
            </w:r>
          </w:p>
        </w:tc>
        <w:tc>
          <w:tcPr>
            <w:tcW w:w="264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71,00</w:t>
            </w:r>
            <w:r>
              <w:rPr>
                <w:rFonts w:ascii="Times New Roman"/>
                <w:sz w:val="16"/>
              </w:rPr>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285,00</w:t>
            </w:r>
            <w:r>
              <w:rPr>
                <w:rFonts w:ascii="Times New Roman"/>
                <w:sz w:val="16"/>
              </w:rPr>
            </w:r>
          </w:p>
        </w:tc>
      </w:tr>
      <w:tr>
        <w:trPr>
          <w:trHeight w:val="194" w:hRule="exact"/>
        </w:trPr>
        <w:tc>
          <w:tcPr>
            <w:tcW w:w="9237" w:type="dxa"/>
            <w:gridSpan w:val="5"/>
            <w:tcBorders>
              <w:top w:val="single" w:sz="4" w:space="0" w:color="000000"/>
              <w:left w:val="single" w:sz="4" w:space="0" w:color="000000"/>
              <w:bottom w:val="single" w:sz="4" w:space="0" w:color="000000"/>
              <w:right w:val="single" w:sz="4" w:space="0" w:color="000000"/>
            </w:tcBorders>
          </w:tcPr>
          <w:p>
            <w:pPr>
              <w:pStyle w:val="TableParagraph"/>
              <w:spacing w:line="183" w:lineRule="exact"/>
              <w:ind w:left="247" w:right="0"/>
              <w:jc w:val="left"/>
              <w:rPr>
                <w:rFonts w:ascii="Times New Roman" w:hAnsi="Times New Roman" w:cs="Times New Roman" w:eastAsia="Times New Roman" w:hint="default"/>
                <w:sz w:val="16"/>
                <w:szCs w:val="16"/>
              </w:rPr>
            </w:pPr>
            <w:r>
              <w:rPr>
                <w:rFonts w:ascii="Times New Roman" w:hAnsi="Times New Roman"/>
                <w:b/>
                <w:sz w:val="16"/>
              </w:rPr>
              <w:t>ТПЦ</w:t>
            </w:r>
            <w:r>
              <w:rPr>
                <w:rFonts w:ascii="Times New Roman" w:hAnsi="Times New Roman"/>
                <w:b/>
                <w:spacing w:val="-3"/>
                <w:sz w:val="16"/>
              </w:rPr>
              <w:t> </w:t>
            </w:r>
            <w:r>
              <w:rPr>
                <w:rFonts w:ascii="Times New Roman" w:hAnsi="Times New Roman"/>
                <w:b/>
                <w:sz w:val="16"/>
              </w:rPr>
              <w:t>"Калча"</w:t>
            </w:r>
            <w:r>
              <w:rPr>
                <w:rFonts w:ascii="Times New Roman" w:hAnsi="Times New Roman"/>
                <w:sz w:val="16"/>
              </w:rPr>
            </w:r>
          </w:p>
        </w:tc>
      </w:tr>
      <w:tr>
        <w:trPr>
          <w:trHeight w:val="194" w:hRule="exact"/>
        </w:trPr>
        <w:tc>
          <w:tcPr>
            <w:tcW w:w="194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247" w:right="0"/>
              <w:jc w:val="left"/>
              <w:rPr>
                <w:rFonts w:ascii="Times New Roman" w:hAnsi="Times New Roman" w:cs="Times New Roman" w:eastAsia="Times New Roman" w:hint="default"/>
                <w:sz w:val="16"/>
                <w:szCs w:val="16"/>
              </w:rPr>
            </w:pPr>
            <w:r>
              <w:rPr>
                <w:rFonts w:ascii="Times New Roman" w:hAnsi="Times New Roman"/>
                <w:sz w:val="16"/>
              </w:rPr>
              <w:t>Приземље</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231" w:right="231"/>
              <w:jc w:val="center"/>
              <w:rPr>
                <w:rFonts w:ascii="Times New Roman" w:hAnsi="Times New Roman" w:cs="Times New Roman" w:eastAsia="Times New Roman" w:hint="default"/>
                <w:sz w:val="16"/>
                <w:szCs w:val="16"/>
              </w:rPr>
            </w:pPr>
            <w:r>
              <w:rPr>
                <w:rFonts w:ascii="Times New Roman"/>
                <w:sz w:val="16"/>
              </w:rPr>
              <w:t>1.211,00</w:t>
            </w:r>
          </w:p>
        </w:tc>
        <w:tc>
          <w:tcPr>
            <w:tcW w:w="205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228,00</w:t>
            </w:r>
            <w:r>
              <w:rPr>
                <w:rFonts w:ascii="Times New Roman"/>
                <w:sz w:val="16"/>
              </w:rPr>
            </w:r>
          </w:p>
        </w:tc>
        <w:tc>
          <w:tcPr>
            <w:tcW w:w="264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114,00</w:t>
            </w:r>
            <w:r>
              <w:rPr>
                <w:rFonts w:ascii="Times New Roman"/>
                <w:sz w:val="16"/>
              </w:rPr>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522,00</w:t>
            </w:r>
            <w:r>
              <w:rPr>
                <w:rFonts w:ascii="Times New Roman"/>
                <w:sz w:val="16"/>
              </w:rPr>
            </w:r>
          </w:p>
        </w:tc>
      </w:tr>
      <w:tr>
        <w:trPr>
          <w:trHeight w:val="199" w:hRule="exact"/>
        </w:trPr>
        <w:tc>
          <w:tcPr>
            <w:tcW w:w="1940"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left="247" w:right="0"/>
              <w:jc w:val="left"/>
              <w:rPr>
                <w:rFonts w:ascii="Times New Roman" w:hAnsi="Times New Roman" w:cs="Times New Roman" w:eastAsia="Times New Roman" w:hint="default"/>
                <w:sz w:val="16"/>
                <w:szCs w:val="16"/>
              </w:rPr>
            </w:pPr>
            <w:r>
              <w:rPr>
                <w:rFonts w:ascii="Times New Roman" w:hAnsi="Times New Roman"/>
                <w:sz w:val="16"/>
              </w:rPr>
              <w:t>први</w:t>
            </w:r>
            <w:r>
              <w:rPr>
                <w:rFonts w:ascii="Times New Roman" w:hAnsi="Times New Roman"/>
                <w:spacing w:val="-3"/>
                <w:sz w:val="16"/>
              </w:rPr>
              <w:t> </w:t>
            </w:r>
            <w:r>
              <w:rPr>
                <w:rFonts w:ascii="Times New Roman" w:hAnsi="Times New Roman"/>
                <w:sz w:val="16"/>
              </w:rPr>
              <w:t>спрат</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left="231" w:right="231"/>
              <w:jc w:val="center"/>
              <w:rPr>
                <w:rFonts w:ascii="Times New Roman" w:hAnsi="Times New Roman" w:cs="Times New Roman" w:eastAsia="Times New Roman" w:hint="default"/>
                <w:sz w:val="16"/>
                <w:szCs w:val="16"/>
              </w:rPr>
            </w:pPr>
            <w:r>
              <w:rPr>
                <w:rFonts w:ascii="Times New Roman"/>
                <w:sz w:val="16"/>
              </w:rPr>
              <w:t>1.068,00</w:t>
            </w:r>
          </w:p>
        </w:tc>
        <w:tc>
          <w:tcPr>
            <w:tcW w:w="2052"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right="245"/>
              <w:jc w:val="right"/>
              <w:rPr>
                <w:rFonts w:ascii="Times New Roman" w:hAnsi="Times New Roman" w:cs="Times New Roman" w:eastAsia="Times New Roman" w:hint="default"/>
                <w:sz w:val="16"/>
                <w:szCs w:val="16"/>
              </w:rPr>
            </w:pPr>
            <w:r>
              <w:rPr>
                <w:rFonts w:ascii="Times New Roman"/>
                <w:spacing w:val="-2"/>
                <w:sz w:val="16"/>
              </w:rPr>
              <w:t>185,00</w:t>
            </w:r>
            <w:r>
              <w:rPr>
                <w:rFonts w:ascii="Times New Roman"/>
                <w:sz w:val="16"/>
              </w:rPr>
            </w:r>
          </w:p>
        </w:tc>
        <w:tc>
          <w:tcPr>
            <w:tcW w:w="2641"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right="245"/>
              <w:jc w:val="right"/>
              <w:rPr>
                <w:rFonts w:ascii="Times New Roman" w:hAnsi="Times New Roman" w:cs="Times New Roman" w:eastAsia="Times New Roman" w:hint="default"/>
                <w:sz w:val="16"/>
                <w:szCs w:val="16"/>
              </w:rPr>
            </w:pPr>
            <w:r>
              <w:rPr>
                <w:rFonts w:ascii="Times New Roman"/>
                <w:spacing w:val="-2"/>
                <w:sz w:val="16"/>
              </w:rPr>
              <w:t>86,00</w:t>
            </w:r>
            <w:r>
              <w:rPr>
                <w:rFonts w:ascii="Times New Roman"/>
                <w:sz w:val="16"/>
              </w:rPr>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right="245"/>
              <w:jc w:val="right"/>
              <w:rPr>
                <w:rFonts w:ascii="Times New Roman" w:hAnsi="Times New Roman" w:cs="Times New Roman" w:eastAsia="Times New Roman" w:hint="default"/>
                <w:sz w:val="16"/>
                <w:szCs w:val="16"/>
              </w:rPr>
            </w:pPr>
            <w:r>
              <w:rPr>
                <w:rFonts w:ascii="Times New Roman"/>
                <w:spacing w:val="-2"/>
                <w:sz w:val="16"/>
              </w:rPr>
              <w:t>457,00</w:t>
            </w:r>
            <w:r>
              <w:rPr>
                <w:rFonts w:ascii="Times New Roman"/>
                <w:sz w:val="16"/>
              </w:rPr>
            </w:r>
          </w:p>
        </w:tc>
      </w:tr>
      <w:tr>
        <w:trPr>
          <w:trHeight w:val="192" w:hRule="exact"/>
        </w:trPr>
        <w:tc>
          <w:tcPr>
            <w:tcW w:w="194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247" w:right="0"/>
              <w:jc w:val="left"/>
              <w:rPr>
                <w:rFonts w:ascii="Times New Roman" w:hAnsi="Times New Roman" w:cs="Times New Roman" w:eastAsia="Times New Roman" w:hint="default"/>
                <w:sz w:val="16"/>
                <w:szCs w:val="16"/>
              </w:rPr>
            </w:pPr>
            <w:r>
              <w:rPr>
                <w:rFonts w:ascii="Times New Roman" w:hAnsi="Times New Roman"/>
                <w:sz w:val="16"/>
              </w:rPr>
              <w:t>други</w:t>
            </w:r>
            <w:r>
              <w:rPr>
                <w:rFonts w:ascii="Times New Roman" w:hAnsi="Times New Roman"/>
                <w:spacing w:val="-3"/>
                <w:sz w:val="16"/>
              </w:rPr>
              <w:t> </w:t>
            </w:r>
            <w:r>
              <w:rPr>
                <w:rFonts w:ascii="Times New Roman" w:hAnsi="Times New Roman"/>
                <w:sz w:val="16"/>
              </w:rPr>
              <w:t>спрат</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231" w:right="111"/>
              <w:jc w:val="center"/>
              <w:rPr>
                <w:rFonts w:ascii="Times New Roman" w:hAnsi="Times New Roman" w:cs="Times New Roman" w:eastAsia="Times New Roman" w:hint="default"/>
                <w:sz w:val="16"/>
                <w:szCs w:val="16"/>
              </w:rPr>
            </w:pPr>
            <w:r>
              <w:rPr>
                <w:rFonts w:ascii="Times New Roman"/>
                <w:sz w:val="16"/>
              </w:rPr>
              <w:t>855,00</w:t>
            </w:r>
          </w:p>
        </w:tc>
        <w:tc>
          <w:tcPr>
            <w:tcW w:w="205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128,00</w:t>
            </w:r>
            <w:r>
              <w:rPr>
                <w:rFonts w:ascii="Times New Roman"/>
                <w:sz w:val="16"/>
              </w:rPr>
            </w:r>
          </w:p>
        </w:tc>
        <w:tc>
          <w:tcPr>
            <w:tcW w:w="264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71,00</w:t>
            </w:r>
            <w:r>
              <w:rPr>
                <w:rFonts w:ascii="Times New Roman"/>
                <w:sz w:val="16"/>
              </w:rPr>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392,00</w:t>
            </w:r>
            <w:r>
              <w:rPr>
                <w:rFonts w:ascii="Times New Roman"/>
                <w:sz w:val="16"/>
              </w:rPr>
            </w:r>
          </w:p>
        </w:tc>
      </w:tr>
      <w:tr>
        <w:trPr>
          <w:trHeight w:val="199" w:hRule="exact"/>
        </w:trPr>
        <w:tc>
          <w:tcPr>
            <w:tcW w:w="1940"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left="247" w:right="0"/>
              <w:jc w:val="left"/>
              <w:rPr>
                <w:rFonts w:ascii="Times New Roman" w:hAnsi="Times New Roman" w:cs="Times New Roman" w:eastAsia="Times New Roman" w:hint="default"/>
                <w:sz w:val="16"/>
                <w:szCs w:val="16"/>
              </w:rPr>
            </w:pPr>
            <w:r>
              <w:rPr>
                <w:rFonts w:ascii="Times New Roman" w:hAnsi="Times New Roman"/>
                <w:sz w:val="16"/>
              </w:rPr>
              <w:t>трећи</w:t>
            </w:r>
            <w:r>
              <w:rPr>
                <w:rFonts w:ascii="Times New Roman" w:hAnsi="Times New Roman"/>
                <w:spacing w:val="-5"/>
                <w:sz w:val="16"/>
              </w:rPr>
              <w:t> </w:t>
            </w:r>
            <w:r>
              <w:rPr>
                <w:rFonts w:ascii="Times New Roman" w:hAnsi="Times New Roman"/>
                <w:sz w:val="16"/>
              </w:rPr>
              <w:t>спрат</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left="231" w:right="111"/>
              <w:jc w:val="center"/>
              <w:rPr>
                <w:rFonts w:ascii="Times New Roman" w:hAnsi="Times New Roman" w:cs="Times New Roman" w:eastAsia="Times New Roman" w:hint="default"/>
                <w:sz w:val="16"/>
                <w:szCs w:val="16"/>
              </w:rPr>
            </w:pPr>
            <w:r>
              <w:rPr>
                <w:rFonts w:ascii="Times New Roman"/>
                <w:sz w:val="16"/>
              </w:rPr>
              <w:t>712,00</w:t>
            </w:r>
          </w:p>
        </w:tc>
        <w:tc>
          <w:tcPr>
            <w:tcW w:w="2052"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right="245"/>
              <w:jc w:val="right"/>
              <w:rPr>
                <w:rFonts w:ascii="Times New Roman" w:hAnsi="Times New Roman" w:cs="Times New Roman" w:eastAsia="Times New Roman" w:hint="default"/>
                <w:sz w:val="16"/>
                <w:szCs w:val="16"/>
              </w:rPr>
            </w:pPr>
            <w:r>
              <w:rPr>
                <w:rFonts w:ascii="Times New Roman"/>
                <w:spacing w:val="-2"/>
                <w:sz w:val="16"/>
              </w:rPr>
              <w:t>86,00</w:t>
            </w:r>
            <w:r>
              <w:rPr>
                <w:rFonts w:ascii="Times New Roman"/>
                <w:sz w:val="16"/>
              </w:rPr>
            </w:r>
          </w:p>
        </w:tc>
        <w:tc>
          <w:tcPr>
            <w:tcW w:w="2641"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right="245"/>
              <w:jc w:val="right"/>
              <w:rPr>
                <w:rFonts w:ascii="Times New Roman" w:hAnsi="Times New Roman" w:cs="Times New Roman" w:eastAsia="Times New Roman" w:hint="default"/>
                <w:sz w:val="16"/>
                <w:szCs w:val="16"/>
              </w:rPr>
            </w:pPr>
            <w:r>
              <w:rPr>
                <w:rFonts w:ascii="Times New Roman"/>
                <w:spacing w:val="-2"/>
                <w:sz w:val="16"/>
              </w:rPr>
              <w:t>43,00</w:t>
            </w:r>
            <w:r>
              <w:rPr>
                <w:rFonts w:ascii="Times New Roman"/>
                <w:sz w:val="16"/>
              </w:rPr>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right="245"/>
              <w:jc w:val="right"/>
              <w:rPr>
                <w:rFonts w:ascii="Times New Roman" w:hAnsi="Times New Roman" w:cs="Times New Roman" w:eastAsia="Times New Roman" w:hint="default"/>
                <w:sz w:val="16"/>
                <w:szCs w:val="16"/>
              </w:rPr>
            </w:pPr>
            <w:r>
              <w:rPr>
                <w:rFonts w:ascii="Times New Roman"/>
                <w:spacing w:val="-2"/>
                <w:sz w:val="16"/>
              </w:rPr>
              <w:t>327,00</w:t>
            </w:r>
            <w:r>
              <w:rPr>
                <w:rFonts w:ascii="Times New Roman"/>
                <w:sz w:val="16"/>
              </w:rPr>
            </w:r>
          </w:p>
        </w:tc>
      </w:tr>
      <w:tr>
        <w:trPr>
          <w:trHeight w:val="194" w:hRule="exact"/>
        </w:trPr>
        <w:tc>
          <w:tcPr>
            <w:tcW w:w="9237" w:type="dxa"/>
            <w:gridSpan w:val="5"/>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247" w:right="0"/>
              <w:jc w:val="left"/>
              <w:rPr>
                <w:rFonts w:ascii="Times New Roman" w:hAnsi="Times New Roman" w:cs="Times New Roman" w:eastAsia="Times New Roman" w:hint="default"/>
                <w:sz w:val="16"/>
                <w:szCs w:val="16"/>
              </w:rPr>
            </w:pPr>
            <w:r>
              <w:rPr>
                <w:rFonts w:ascii="Times New Roman" w:hAnsi="Times New Roman"/>
                <w:b/>
                <w:sz w:val="16"/>
              </w:rPr>
              <w:t>ТПЦ</w:t>
            </w:r>
            <w:r>
              <w:rPr>
                <w:rFonts w:ascii="Times New Roman" w:hAnsi="Times New Roman"/>
                <w:b/>
                <w:spacing w:val="-3"/>
                <w:sz w:val="16"/>
              </w:rPr>
              <w:t> </w:t>
            </w:r>
            <w:r>
              <w:rPr>
                <w:rFonts w:ascii="Times New Roman" w:hAnsi="Times New Roman"/>
                <w:b/>
                <w:sz w:val="16"/>
              </w:rPr>
              <w:t>"Горча"</w:t>
            </w:r>
            <w:r>
              <w:rPr>
                <w:rFonts w:ascii="Times New Roman" w:hAnsi="Times New Roman"/>
                <w:sz w:val="16"/>
              </w:rPr>
            </w:r>
          </w:p>
        </w:tc>
      </w:tr>
      <w:tr>
        <w:trPr>
          <w:trHeight w:val="195" w:hRule="exact"/>
        </w:trPr>
        <w:tc>
          <w:tcPr>
            <w:tcW w:w="194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247" w:right="0"/>
              <w:jc w:val="left"/>
              <w:rPr>
                <w:rFonts w:ascii="Times New Roman" w:hAnsi="Times New Roman" w:cs="Times New Roman" w:eastAsia="Times New Roman" w:hint="default"/>
                <w:sz w:val="16"/>
                <w:szCs w:val="16"/>
              </w:rPr>
            </w:pPr>
            <w:r>
              <w:rPr>
                <w:rFonts w:ascii="Times New Roman" w:hAnsi="Times New Roman"/>
                <w:sz w:val="16"/>
              </w:rPr>
              <w:t>Приземље</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231" w:right="231"/>
              <w:jc w:val="center"/>
              <w:rPr>
                <w:rFonts w:ascii="Times New Roman" w:hAnsi="Times New Roman" w:cs="Times New Roman" w:eastAsia="Times New Roman" w:hint="default"/>
                <w:sz w:val="16"/>
                <w:szCs w:val="16"/>
              </w:rPr>
            </w:pPr>
            <w:r>
              <w:rPr>
                <w:rFonts w:ascii="Times New Roman"/>
                <w:sz w:val="16"/>
              </w:rPr>
              <w:t>1.306,00</w:t>
            </w:r>
          </w:p>
        </w:tc>
        <w:tc>
          <w:tcPr>
            <w:tcW w:w="205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209,00</w:t>
            </w:r>
            <w:r>
              <w:rPr>
                <w:rFonts w:ascii="Times New Roman"/>
                <w:sz w:val="16"/>
              </w:rPr>
            </w:r>
          </w:p>
        </w:tc>
        <w:tc>
          <w:tcPr>
            <w:tcW w:w="264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105,00</w:t>
            </w:r>
            <w:r>
              <w:rPr>
                <w:rFonts w:ascii="Times New Roman"/>
                <w:sz w:val="16"/>
              </w:rPr>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522,00</w:t>
            </w:r>
            <w:r>
              <w:rPr>
                <w:rFonts w:ascii="Times New Roman"/>
                <w:sz w:val="16"/>
              </w:rPr>
            </w:r>
          </w:p>
        </w:tc>
      </w:tr>
      <w:tr>
        <w:trPr>
          <w:trHeight w:val="206" w:hRule="exact"/>
        </w:trPr>
        <w:tc>
          <w:tcPr>
            <w:tcW w:w="194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left="247" w:right="0"/>
              <w:jc w:val="left"/>
              <w:rPr>
                <w:rFonts w:ascii="Times New Roman" w:hAnsi="Times New Roman" w:cs="Times New Roman" w:eastAsia="Times New Roman" w:hint="default"/>
                <w:sz w:val="16"/>
                <w:szCs w:val="16"/>
              </w:rPr>
            </w:pPr>
            <w:r>
              <w:rPr>
                <w:rFonts w:ascii="Times New Roman" w:hAnsi="Times New Roman"/>
                <w:sz w:val="16"/>
              </w:rPr>
              <w:t>Мезанин</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left="231" w:right="231"/>
              <w:jc w:val="center"/>
              <w:rPr>
                <w:rFonts w:ascii="Times New Roman" w:hAnsi="Times New Roman" w:cs="Times New Roman" w:eastAsia="Times New Roman" w:hint="default"/>
                <w:sz w:val="16"/>
                <w:szCs w:val="16"/>
              </w:rPr>
            </w:pPr>
            <w:r>
              <w:rPr>
                <w:rFonts w:ascii="Times New Roman"/>
                <w:sz w:val="16"/>
              </w:rPr>
              <w:t>1.175,00</w:t>
            </w:r>
          </w:p>
        </w:tc>
        <w:tc>
          <w:tcPr>
            <w:tcW w:w="20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right="245"/>
              <w:jc w:val="right"/>
              <w:rPr>
                <w:rFonts w:ascii="Times New Roman" w:hAnsi="Times New Roman" w:cs="Times New Roman" w:eastAsia="Times New Roman" w:hint="default"/>
                <w:sz w:val="16"/>
                <w:szCs w:val="16"/>
              </w:rPr>
            </w:pPr>
            <w:r>
              <w:rPr>
                <w:rFonts w:ascii="Times New Roman"/>
                <w:spacing w:val="-2"/>
                <w:sz w:val="16"/>
              </w:rPr>
              <w:t>196,00</w:t>
            </w:r>
            <w:r>
              <w:rPr>
                <w:rFonts w:ascii="Times New Roman"/>
                <w:sz w:val="16"/>
              </w:rPr>
            </w:r>
          </w:p>
        </w:tc>
        <w:tc>
          <w:tcPr>
            <w:tcW w:w="264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right="245"/>
              <w:jc w:val="right"/>
              <w:rPr>
                <w:rFonts w:ascii="Times New Roman" w:hAnsi="Times New Roman" w:cs="Times New Roman" w:eastAsia="Times New Roman" w:hint="default"/>
                <w:sz w:val="16"/>
                <w:szCs w:val="16"/>
              </w:rPr>
            </w:pPr>
            <w:r>
              <w:rPr>
                <w:rFonts w:ascii="Times New Roman"/>
                <w:spacing w:val="-2"/>
                <w:sz w:val="16"/>
              </w:rPr>
              <w:t>91,00</w:t>
            </w:r>
            <w:r>
              <w:rPr>
                <w:rFonts w:ascii="Times New Roman"/>
                <w:sz w:val="16"/>
              </w:rPr>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right="245"/>
              <w:jc w:val="right"/>
              <w:rPr>
                <w:rFonts w:ascii="Times New Roman" w:hAnsi="Times New Roman" w:cs="Times New Roman" w:eastAsia="Times New Roman" w:hint="default"/>
                <w:sz w:val="16"/>
                <w:szCs w:val="16"/>
              </w:rPr>
            </w:pPr>
            <w:r>
              <w:rPr>
                <w:rFonts w:ascii="Times New Roman"/>
                <w:spacing w:val="-2"/>
                <w:sz w:val="16"/>
              </w:rPr>
              <w:t>496,00</w:t>
            </w:r>
            <w:r>
              <w:rPr>
                <w:rFonts w:ascii="Times New Roman"/>
                <w:sz w:val="16"/>
              </w:rPr>
            </w:r>
          </w:p>
        </w:tc>
      </w:tr>
      <w:tr>
        <w:trPr>
          <w:trHeight w:val="194" w:hRule="exact"/>
        </w:trPr>
        <w:tc>
          <w:tcPr>
            <w:tcW w:w="194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247" w:right="0"/>
              <w:jc w:val="left"/>
              <w:rPr>
                <w:rFonts w:ascii="Times New Roman" w:hAnsi="Times New Roman" w:cs="Times New Roman" w:eastAsia="Times New Roman" w:hint="default"/>
                <w:sz w:val="16"/>
                <w:szCs w:val="16"/>
              </w:rPr>
            </w:pPr>
            <w:r>
              <w:rPr>
                <w:rFonts w:ascii="Times New Roman" w:hAnsi="Times New Roman"/>
                <w:sz w:val="16"/>
              </w:rPr>
              <w:t>први</w:t>
            </w:r>
            <w:r>
              <w:rPr>
                <w:rFonts w:ascii="Times New Roman" w:hAnsi="Times New Roman"/>
                <w:spacing w:val="-3"/>
                <w:sz w:val="16"/>
              </w:rPr>
              <w:t> </w:t>
            </w:r>
            <w:r>
              <w:rPr>
                <w:rFonts w:ascii="Times New Roman" w:hAnsi="Times New Roman"/>
                <w:sz w:val="16"/>
              </w:rPr>
              <w:t>спрат</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231" w:right="231"/>
              <w:jc w:val="center"/>
              <w:rPr>
                <w:rFonts w:ascii="Times New Roman" w:hAnsi="Times New Roman" w:cs="Times New Roman" w:eastAsia="Times New Roman" w:hint="default"/>
                <w:sz w:val="16"/>
                <w:szCs w:val="16"/>
              </w:rPr>
            </w:pPr>
            <w:r>
              <w:rPr>
                <w:rFonts w:ascii="Times New Roman"/>
                <w:sz w:val="16"/>
              </w:rPr>
              <w:t>1.045,00</w:t>
            </w:r>
          </w:p>
        </w:tc>
        <w:tc>
          <w:tcPr>
            <w:tcW w:w="205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170,00</w:t>
            </w:r>
            <w:r>
              <w:rPr>
                <w:rFonts w:ascii="Times New Roman"/>
                <w:sz w:val="16"/>
              </w:rPr>
            </w:r>
          </w:p>
        </w:tc>
        <w:tc>
          <w:tcPr>
            <w:tcW w:w="264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78,00</w:t>
            </w:r>
            <w:r>
              <w:rPr>
                <w:rFonts w:ascii="Times New Roman"/>
                <w:sz w:val="16"/>
              </w:rPr>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457,00</w:t>
            </w:r>
            <w:r>
              <w:rPr>
                <w:rFonts w:ascii="Times New Roman"/>
                <w:sz w:val="16"/>
              </w:rPr>
            </w:r>
          </w:p>
        </w:tc>
      </w:tr>
      <w:tr>
        <w:trPr>
          <w:trHeight w:val="194" w:hRule="exact"/>
        </w:trPr>
        <w:tc>
          <w:tcPr>
            <w:tcW w:w="194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247" w:right="0"/>
              <w:jc w:val="left"/>
              <w:rPr>
                <w:rFonts w:ascii="Times New Roman" w:hAnsi="Times New Roman" w:cs="Times New Roman" w:eastAsia="Times New Roman" w:hint="default"/>
                <w:sz w:val="16"/>
                <w:szCs w:val="16"/>
              </w:rPr>
            </w:pPr>
            <w:r>
              <w:rPr>
                <w:rFonts w:ascii="Times New Roman" w:hAnsi="Times New Roman"/>
                <w:sz w:val="16"/>
              </w:rPr>
              <w:t>други</w:t>
            </w:r>
            <w:r>
              <w:rPr>
                <w:rFonts w:ascii="Times New Roman" w:hAnsi="Times New Roman"/>
                <w:spacing w:val="-3"/>
                <w:sz w:val="16"/>
              </w:rPr>
              <w:t> </w:t>
            </w:r>
            <w:r>
              <w:rPr>
                <w:rFonts w:ascii="Times New Roman" w:hAnsi="Times New Roman"/>
                <w:sz w:val="16"/>
              </w:rPr>
              <w:t>спрат</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231" w:right="111"/>
              <w:jc w:val="center"/>
              <w:rPr>
                <w:rFonts w:ascii="Times New Roman" w:hAnsi="Times New Roman" w:cs="Times New Roman" w:eastAsia="Times New Roman" w:hint="default"/>
                <w:sz w:val="16"/>
                <w:szCs w:val="16"/>
              </w:rPr>
            </w:pPr>
            <w:r>
              <w:rPr>
                <w:rFonts w:ascii="Times New Roman"/>
                <w:sz w:val="16"/>
              </w:rPr>
              <w:t>914,00</w:t>
            </w:r>
          </w:p>
        </w:tc>
        <w:tc>
          <w:tcPr>
            <w:tcW w:w="205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118,00</w:t>
            </w:r>
            <w:r>
              <w:rPr>
                <w:rFonts w:ascii="Times New Roman"/>
                <w:sz w:val="16"/>
              </w:rPr>
            </w:r>
          </w:p>
        </w:tc>
        <w:tc>
          <w:tcPr>
            <w:tcW w:w="264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65,00</w:t>
            </w:r>
            <w:r>
              <w:rPr>
                <w:rFonts w:ascii="Times New Roman"/>
                <w:sz w:val="16"/>
              </w:rPr>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392,00</w:t>
            </w:r>
            <w:r>
              <w:rPr>
                <w:rFonts w:ascii="Times New Roman"/>
                <w:sz w:val="16"/>
              </w:rPr>
            </w:r>
          </w:p>
        </w:tc>
      </w:tr>
      <w:tr>
        <w:trPr>
          <w:trHeight w:val="192" w:hRule="exact"/>
        </w:trPr>
        <w:tc>
          <w:tcPr>
            <w:tcW w:w="194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247" w:right="0"/>
              <w:jc w:val="left"/>
              <w:rPr>
                <w:rFonts w:ascii="Times New Roman" w:hAnsi="Times New Roman" w:cs="Times New Roman" w:eastAsia="Times New Roman" w:hint="default"/>
                <w:sz w:val="16"/>
                <w:szCs w:val="16"/>
              </w:rPr>
            </w:pPr>
            <w:r>
              <w:rPr>
                <w:rFonts w:ascii="Times New Roman" w:hAnsi="Times New Roman"/>
                <w:sz w:val="16"/>
              </w:rPr>
              <w:t>трећи</w:t>
            </w:r>
            <w:r>
              <w:rPr>
                <w:rFonts w:ascii="Times New Roman" w:hAnsi="Times New Roman"/>
                <w:spacing w:val="-5"/>
                <w:sz w:val="16"/>
              </w:rPr>
              <w:t> </w:t>
            </w:r>
            <w:r>
              <w:rPr>
                <w:rFonts w:ascii="Times New Roman" w:hAnsi="Times New Roman"/>
                <w:sz w:val="16"/>
              </w:rPr>
              <w:t>спрат</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231" w:right="111"/>
              <w:jc w:val="center"/>
              <w:rPr>
                <w:rFonts w:ascii="Times New Roman" w:hAnsi="Times New Roman" w:cs="Times New Roman" w:eastAsia="Times New Roman" w:hint="default"/>
                <w:sz w:val="16"/>
                <w:szCs w:val="16"/>
              </w:rPr>
            </w:pPr>
            <w:r>
              <w:rPr>
                <w:rFonts w:ascii="Times New Roman"/>
                <w:sz w:val="16"/>
              </w:rPr>
              <w:t>653,00</w:t>
            </w:r>
          </w:p>
        </w:tc>
        <w:tc>
          <w:tcPr>
            <w:tcW w:w="205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78,00</w:t>
            </w:r>
            <w:r>
              <w:rPr>
                <w:rFonts w:ascii="Times New Roman"/>
                <w:sz w:val="16"/>
              </w:rPr>
            </w:r>
          </w:p>
        </w:tc>
        <w:tc>
          <w:tcPr>
            <w:tcW w:w="264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39,00</w:t>
            </w:r>
            <w:r>
              <w:rPr>
                <w:rFonts w:ascii="Times New Roman"/>
                <w:sz w:val="16"/>
              </w:rPr>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327,00</w:t>
            </w:r>
            <w:r>
              <w:rPr>
                <w:rFonts w:ascii="Times New Roman"/>
                <w:sz w:val="16"/>
              </w:rPr>
            </w:r>
          </w:p>
        </w:tc>
      </w:tr>
      <w:tr>
        <w:trPr>
          <w:trHeight w:val="194" w:hRule="exact"/>
        </w:trPr>
        <w:tc>
          <w:tcPr>
            <w:tcW w:w="194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247" w:right="0"/>
              <w:jc w:val="left"/>
              <w:rPr>
                <w:rFonts w:ascii="Times New Roman" w:hAnsi="Times New Roman" w:cs="Times New Roman" w:eastAsia="Times New Roman" w:hint="default"/>
                <w:sz w:val="16"/>
                <w:szCs w:val="16"/>
              </w:rPr>
            </w:pPr>
            <w:r>
              <w:rPr>
                <w:rFonts w:ascii="Times New Roman" w:hAnsi="Times New Roman"/>
                <w:sz w:val="16"/>
              </w:rPr>
              <w:t>Поткровље</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231" w:right="111"/>
              <w:jc w:val="center"/>
              <w:rPr>
                <w:rFonts w:ascii="Times New Roman" w:hAnsi="Times New Roman" w:cs="Times New Roman" w:eastAsia="Times New Roman" w:hint="default"/>
                <w:sz w:val="16"/>
                <w:szCs w:val="16"/>
              </w:rPr>
            </w:pPr>
            <w:r>
              <w:rPr>
                <w:rFonts w:ascii="Times New Roman"/>
                <w:sz w:val="16"/>
              </w:rPr>
              <w:t>522,00</w:t>
            </w:r>
          </w:p>
        </w:tc>
        <w:tc>
          <w:tcPr>
            <w:tcW w:w="205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65,00</w:t>
            </w:r>
            <w:r>
              <w:rPr>
                <w:rFonts w:ascii="Times New Roman"/>
                <w:sz w:val="16"/>
              </w:rPr>
            </w:r>
          </w:p>
        </w:tc>
        <w:tc>
          <w:tcPr>
            <w:tcW w:w="264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39,00</w:t>
            </w:r>
            <w:r>
              <w:rPr>
                <w:rFonts w:ascii="Times New Roman"/>
                <w:sz w:val="16"/>
              </w:rPr>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287,00</w:t>
            </w:r>
            <w:r>
              <w:rPr>
                <w:rFonts w:ascii="Times New Roman"/>
                <w:sz w:val="16"/>
              </w:rPr>
            </w:r>
          </w:p>
        </w:tc>
      </w:tr>
      <w:tr>
        <w:trPr>
          <w:trHeight w:val="194" w:hRule="exact"/>
        </w:trPr>
        <w:tc>
          <w:tcPr>
            <w:tcW w:w="194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247" w:right="0"/>
              <w:jc w:val="left"/>
              <w:rPr>
                <w:rFonts w:ascii="Times New Roman" w:hAnsi="Times New Roman" w:cs="Times New Roman" w:eastAsia="Times New Roman" w:hint="default"/>
                <w:sz w:val="16"/>
                <w:szCs w:val="16"/>
              </w:rPr>
            </w:pPr>
            <w:r>
              <w:rPr>
                <w:rFonts w:ascii="Times New Roman" w:hAnsi="Times New Roman"/>
                <w:b/>
                <w:sz w:val="16"/>
              </w:rPr>
              <w:t>Екстра</w:t>
            </w:r>
            <w:r>
              <w:rPr>
                <w:rFonts w:ascii="Times New Roman" w:hAnsi="Times New Roman"/>
                <w:b/>
                <w:spacing w:val="-4"/>
                <w:sz w:val="16"/>
              </w:rPr>
              <w:t> </w:t>
            </w:r>
            <w:r>
              <w:rPr>
                <w:rFonts w:ascii="Times New Roman" w:hAnsi="Times New Roman"/>
                <w:b/>
                <w:sz w:val="16"/>
              </w:rPr>
              <w:t>зона</w:t>
            </w:r>
            <w:r>
              <w:rPr>
                <w:rFonts w:ascii="Times New Roman" w:hAnsi="Times New Roman"/>
                <w:sz w:val="16"/>
              </w:rPr>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231" w:right="231"/>
              <w:jc w:val="center"/>
              <w:rPr>
                <w:rFonts w:ascii="Times New Roman" w:hAnsi="Times New Roman" w:cs="Times New Roman" w:eastAsia="Times New Roman" w:hint="default"/>
                <w:sz w:val="16"/>
                <w:szCs w:val="16"/>
              </w:rPr>
            </w:pPr>
            <w:r>
              <w:rPr>
                <w:rFonts w:ascii="Times New Roman"/>
                <w:sz w:val="16"/>
              </w:rPr>
              <w:t>1.709,00</w:t>
            </w:r>
          </w:p>
        </w:tc>
        <w:tc>
          <w:tcPr>
            <w:tcW w:w="205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128,00</w:t>
            </w:r>
            <w:r>
              <w:rPr>
                <w:rFonts w:ascii="Times New Roman"/>
                <w:sz w:val="16"/>
              </w:rPr>
            </w:r>
          </w:p>
        </w:tc>
        <w:tc>
          <w:tcPr>
            <w:tcW w:w="264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78,00</w:t>
            </w:r>
            <w:r>
              <w:rPr>
                <w:rFonts w:ascii="Times New Roman"/>
                <w:sz w:val="16"/>
              </w:rPr>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427,00</w:t>
            </w:r>
            <w:r>
              <w:rPr>
                <w:rFonts w:ascii="Times New Roman"/>
                <w:sz w:val="16"/>
              </w:rPr>
            </w:r>
          </w:p>
        </w:tc>
      </w:tr>
      <w:tr>
        <w:trPr>
          <w:trHeight w:val="194" w:hRule="exact"/>
        </w:trPr>
        <w:tc>
          <w:tcPr>
            <w:tcW w:w="194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247" w:right="0"/>
              <w:jc w:val="left"/>
              <w:rPr>
                <w:rFonts w:ascii="Times New Roman" w:hAnsi="Times New Roman" w:cs="Times New Roman" w:eastAsia="Times New Roman" w:hint="default"/>
                <w:sz w:val="16"/>
                <w:szCs w:val="16"/>
              </w:rPr>
            </w:pPr>
            <w:r>
              <w:rPr>
                <w:rFonts w:ascii="Times New Roman" w:hAnsi="Times New Roman"/>
                <w:b/>
                <w:sz w:val="16"/>
              </w:rPr>
              <w:t>Прва</w:t>
            </w:r>
            <w:r>
              <w:rPr>
                <w:rFonts w:ascii="Times New Roman" w:hAnsi="Times New Roman"/>
                <w:b/>
                <w:spacing w:val="-2"/>
                <w:sz w:val="16"/>
              </w:rPr>
              <w:t> </w:t>
            </w:r>
            <w:r>
              <w:rPr>
                <w:rFonts w:ascii="Times New Roman" w:hAnsi="Times New Roman"/>
                <w:b/>
                <w:sz w:val="16"/>
              </w:rPr>
              <w:t>зона</w:t>
            </w:r>
            <w:r>
              <w:rPr>
                <w:rFonts w:ascii="Times New Roman" w:hAnsi="Times New Roman"/>
                <w:sz w:val="16"/>
              </w:rPr>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231" w:right="111"/>
              <w:jc w:val="center"/>
              <w:rPr>
                <w:rFonts w:ascii="Times New Roman" w:hAnsi="Times New Roman" w:cs="Times New Roman" w:eastAsia="Times New Roman" w:hint="default"/>
                <w:sz w:val="16"/>
                <w:szCs w:val="16"/>
              </w:rPr>
            </w:pPr>
            <w:r>
              <w:rPr>
                <w:rFonts w:ascii="Times New Roman"/>
                <w:sz w:val="16"/>
              </w:rPr>
              <w:t>783,00</w:t>
            </w:r>
          </w:p>
        </w:tc>
        <w:tc>
          <w:tcPr>
            <w:tcW w:w="205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100,00</w:t>
            </w:r>
            <w:r>
              <w:rPr>
                <w:rFonts w:ascii="Times New Roman"/>
                <w:sz w:val="16"/>
              </w:rPr>
            </w:r>
          </w:p>
        </w:tc>
        <w:tc>
          <w:tcPr>
            <w:tcW w:w="264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71,00</w:t>
            </w:r>
            <w:r>
              <w:rPr>
                <w:rFonts w:ascii="Times New Roman"/>
                <w:sz w:val="16"/>
              </w:rPr>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356,00</w:t>
            </w:r>
            <w:r>
              <w:rPr>
                <w:rFonts w:ascii="Times New Roman"/>
                <w:sz w:val="16"/>
              </w:rPr>
            </w:r>
          </w:p>
        </w:tc>
      </w:tr>
      <w:tr>
        <w:trPr>
          <w:trHeight w:val="197" w:hRule="exact"/>
        </w:trPr>
        <w:tc>
          <w:tcPr>
            <w:tcW w:w="194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247" w:right="0"/>
              <w:jc w:val="left"/>
              <w:rPr>
                <w:rFonts w:ascii="Times New Roman" w:hAnsi="Times New Roman" w:cs="Times New Roman" w:eastAsia="Times New Roman" w:hint="default"/>
                <w:sz w:val="16"/>
                <w:szCs w:val="16"/>
              </w:rPr>
            </w:pPr>
            <w:r>
              <w:rPr>
                <w:rFonts w:ascii="Times New Roman" w:hAnsi="Times New Roman"/>
                <w:b/>
                <w:sz w:val="16"/>
              </w:rPr>
              <w:t>Друга</w:t>
            </w:r>
            <w:r>
              <w:rPr>
                <w:rFonts w:ascii="Times New Roman" w:hAnsi="Times New Roman"/>
                <w:b/>
                <w:spacing w:val="-3"/>
                <w:sz w:val="16"/>
              </w:rPr>
              <w:t> </w:t>
            </w:r>
            <w:r>
              <w:rPr>
                <w:rFonts w:ascii="Times New Roman" w:hAnsi="Times New Roman"/>
                <w:b/>
                <w:sz w:val="16"/>
              </w:rPr>
              <w:t>зона</w:t>
            </w:r>
            <w:r>
              <w:rPr>
                <w:rFonts w:ascii="Times New Roman" w:hAnsi="Times New Roman"/>
                <w:sz w:val="16"/>
              </w:rPr>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left="231" w:right="111"/>
              <w:jc w:val="center"/>
              <w:rPr>
                <w:rFonts w:ascii="Times New Roman" w:hAnsi="Times New Roman" w:cs="Times New Roman" w:eastAsia="Times New Roman" w:hint="default"/>
                <w:sz w:val="16"/>
                <w:szCs w:val="16"/>
              </w:rPr>
            </w:pPr>
            <w:r>
              <w:rPr>
                <w:rFonts w:ascii="Times New Roman"/>
                <w:sz w:val="16"/>
              </w:rPr>
              <w:t>641,00</w:t>
            </w:r>
          </w:p>
        </w:tc>
        <w:tc>
          <w:tcPr>
            <w:tcW w:w="2052"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right="245"/>
              <w:jc w:val="right"/>
              <w:rPr>
                <w:rFonts w:ascii="Times New Roman" w:hAnsi="Times New Roman" w:cs="Times New Roman" w:eastAsia="Times New Roman" w:hint="default"/>
                <w:sz w:val="16"/>
                <w:szCs w:val="16"/>
              </w:rPr>
            </w:pPr>
            <w:r>
              <w:rPr>
                <w:rFonts w:ascii="Times New Roman"/>
                <w:spacing w:val="-2"/>
                <w:sz w:val="16"/>
              </w:rPr>
              <w:t>78,00</w:t>
            </w:r>
            <w:r>
              <w:rPr>
                <w:rFonts w:ascii="Times New Roman"/>
                <w:sz w:val="16"/>
              </w:rPr>
            </w:r>
          </w:p>
        </w:tc>
        <w:tc>
          <w:tcPr>
            <w:tcW w:w="2641"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right="245"/>
              <w:jc w:val="right"/>
              <w:rPr>
                <w:rFonts w:ascii="Times New Roman" w:hAnsi="Times New Roman" w:cs="Times New Roman" w:eastAsia="Times New Roman" w:hint="default"/>
                <w:sz w:val="16"/>
                <w:szCs w:val="16"/>
              </w:rPr>
            </w:pPr>
            <w:r>
              <w:rPr>
                <w:rFonts w:ascii="Times New Roman"/>
                <w:spacing w:val="-2"/>
                <w:sz w:val="16"/>
              </w:rPr>
              <w:t>57,00</w:t>
            </w:r>
            <w:r>
              <w:rPr>
                <w:rFonts w:ascii="Times New Roman"/>
                <w:sz w:val="16"/>
              </w:rPr>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right="245"/>
              <w:jc w:val="right"/>
              <w:rPr>
                <w:rFonts w:ascii="Times New Roman" w:hAnsi="Times New Roman" w:cs="Times New Roman" w:eastAsia="Times New Roman" w:hint="default"/>
                <w:sz w:val="16"/>
                <w:szCs w:val="16"/>
              </w:rPr>
            </w:pPr>
            <w:r>
              <w:rPr>
                <w:rFonts w:ascii="Times New Roman"/>
                <w:spacing w:val="-2"/>
                <w:sz w:val="16"/>
              </w:rPr>
              <w:t>285,00</w:t>
            </w:r>
            <w:r>
              <w:rPr>
                <w:rFonts w:ascii="Times New Roman"/>
                <w:sz w:val="16"/>
              </w:rPr>
            </w:r>
          </w:p>
        </w:tc>
      </w:tr>
      <w:tr>
        <w:trPr>
          <w:trHeight w:val="194" w:hRule="exact"/>
        </w:trPr>
        <w:tc>
          <w:tcPr>
            <w:tcW w:w="194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247" w:right="0"/>
              <w:jc w:val="left"/>
              <w:rPr>
                <w:rFonts w:ascii="Times New Roman" w:hAnsi="Times New Roman" w:cs="Times New Roman" w:eastAsia="Times New Roman" w:hint="default"/>
                <w:sz w:val="16"/>
                <w:szCs w:val="16"/>
              </w:rPr>
            </w:pPr>
            <w:r>
              <w:rPr>
                <w:rFonts w:ascii="Times New Roman" w:hAnsi="Times New Roman"/>
                <w:b/>
                <w:sz w:val="16"/>
              </w:rPr>
              <w:t>Трећа</w:t>
            </w:r>
            <w:r>
              <w:rPr>
                <w:rFonts w:ascii="Times New Roman" w:hAnsi="Times New Roman"/>
                <w:b/>
                <w:spacing w:val="-5"/>
                <w:sz w:val="16"/>
              </w:rPr>
              <w:t> </w:t>
            </w:r>
            <w:r>
              <w:rPr>
                <w:rFonts w:ascii="Times New Roman" w:hAnsi="Times New Roman"/>
                <w:b/>
                <w:sz w:val="16"/>
              </w:rPr>
              <w:t>зона</w:t>
            </w:r>
            <w:r>
              <w:rPr>
                <w:rFonts w:ascii="Times New Roman" w:hAnsi="Times New Roman"/>
                <w:sz w:val="16"/>
              </w:rPr>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231" w:right="111"/>
              <w:jc w:val="center"/>
              <w:rPr>
                <w:rFonts w:ascii="Times New Roman" w:hAnsi="Times New Roman" w:cs="Times New Roman" w:eastAsia="Times New Roman" w:hint="default"/>
                <w:sz w:val="16"/>
                <w:szCs w:val="16"/>
              </w:rPr>
            </w:pPr>
            <w:r>
              <w:rPr>
                <w:rFonts w:ascii="Times New Roman"/>
                <w:sz w:val="16"/>
              </w:rPr>
              <w:t>356,00</w:t>
            </w:r>
          </w:p>
        </w:tc>
        <w:tc>
          <w:tcPr>
            <w:tcW w:w="205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57,00</w:t>
            </w:r>
            <w:r>
              <w:rPr>
                <w:rFonts w:ascii="Times New Roman"/>
                <w:sz w:val="16"/>
              </w:rPr>
            </w:r>
          </w:p>
        </w:tc>
        <w:tc>
          <w:tcPr>
            <w:tcW w:w="264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43,00</w:t>
            </w:r>
            <w:r>
              <w:rPr>
                <w:rFonts w:ascii="Times New Roman"/>
                <w:sz w:val="16"/>
              </w:rPr>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171,00</w:t>
            </w:r>
            <w:r>
              <w:rPr>
                <w:rFonts w:ascii="Times New Roman"/>
                <w:sz w:val="16"/>
              </w:rPr>
            </w:r>
          </w:p>
        </w:tc>
      </w:tr>
      <w:tr>
        <w:trPr>
          <w:trHeight w:val="194" w:hRule="exact"/>
        </w:trPr>
        <w:tc>
          <w:tcPr>
            <w:tcW w:w="194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247" w:right="0"/>
              <w:jc w:val="left"/>
              <w:rPr>
                <w:rFonts w:ascii="Times New Roman" w:hAnsi="Times New Roman" w:cs="Times New Roman" w:eastAsia="Times New Roman" w:hint="default"/>
                <w:sz w:val="16"/>
                <w:szCs w:val="16"/>
              </w:rPr>
            </w:pPr>
            <w:r>
              <w:rPr>
                <w:rFonts w:ascii="Times New Roman" w:hAnsi="Times New Roman"/>
                <w:b/>
                <w:sz w:val="16"/>
              </w:rPr>
              <w:t>Четврта</w:t>
            </w:r>
            <w:r>
              <w:rPr>
                <w:rFonts w:ascii="Times New Roman" w:hAnsi="Times New Roman"/>
                <w:b/>
                <w:spacing w:val="-4"/>
                <w:sz w:val="16"/>
              </w:rPr>
              <w:t> </w:t>
            </w:r>
            <w:r>
              <w:rPr>
                <w:rFonts w:ascii="Times New Roman" w:hAnsi="Times New Roman"/>
                <w:b/>
                <w:sz w:val="16"/>
              </w:rPr>
              <w:t>зона</w:t>
            </w:r>
            <w:r>
              <w:rPr>
                <w:rFonts w:ascii="Times New Roman" w:hAnsi="Times New Roman"/>
                <w:sz w:val="16"/>
              </w:rPr>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231" w:right="111"/>
              <w:jc w:val="center"/>
              <w:rPr>
                <w:rFonts w:ascii="Times New Roman" w:hAnsi="Times New Roman" w:cs="Times New Roman" w:eastAsia="Times New Roman" w:hint="default"/>
                <w:sz w:val="16"/>
                <w:szCs w:val="16"/>
              </w:rPr>
            </w:pPr>
            <w:r>
              <w:rPr>
                <w:rFonts w:ascii="Times New Roman"/>
                <w:sz w:val="16"/>
              </w:rPr>
              <w:t>285,00</w:t>
            </w:r>
          </w:p>
        </w:tc>
        <w:tc>
          <w:tcPr>
            <w:tcW w:w="205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28,00</w:t>
            </w:r>
            <w:r>
              <w:rPr>
                <w:rFonts w:ascii="Times New Roman"/>
                <w:sz w:val="16"/>
              </w:rPr>
            </w:r>
          </w:p>
        </w:tc>
        <w:tc>
          <w:tcPr>
            <w:tcW w:w="264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14,00</w:t>
            </w:r>
            <w:r>
              <w:rPr>
                <w:rFonts w:ascii="Times New Roman"/>
                <w:sz w:val="16"/>
              </w:rPr>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128,00</w:t>
            </w:r>
            <w:r>
              <w:rPr>
                <w:rFonts w:ascii="Times New Roman"/>
                <w:sz w:val="16"/>
              </w:rPr>
            </w:r>
          </w:p>
        </w:tc>
      </w:tr>
      <w:tr>
        <w:trPr>
          <w:trHeight w:val="194" w:hRule="exact"/>
        </w:trPr>
        <w:tc>
          <w:tcPr>
            <w:tcW w:w="194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247" w:right="0"/>
              <w:jc w:val="left"/>
              <w:rPr>
                <w:rFonts w:ascii="Times New Roman" w:hAnsi="Times New Roman" w:cs="Times New Roman" w:eastAsia="Times New Roman" w:hint="default"/>
                <w:sz w:val="16"/>
                <w:szCs w:val="16"/>
              </w:rPr>
            </w:pPr>
            <w:r>
              <w:rPr>
                <w:rFonts w:ascii="Times New Roman" w:hAnsi="Times New Roman"/>
                <w:b/>
                <w:sz w:val="16"/>
              </w:rPr>
              <w:t>Пета</w:t>
            </w:r>
            <w:r>
              <w:rPr>
                <w:rFonts w:ascii="Times New Roman" w:hAnsi="Times New Roman"/>
                <w:b/>
                <w:spacing w:val="-3"/>
                <w:sz w:val="16"/>
              </w:rPr>
              <w:t> </w:t>
            </w:r>
            <w:r>
              <w:rPr>
                <w:rFonts w:ascii="Times New Roman" w:hAnsi="Times New Roman"/>
                <w:b/>
                <w:sz w:val="16"/>
              </w:rPr>
              <w:t>зона</w:t>
            </w:r>
            <w:r>
              <w:rPr>
                <w:rFonts w:ascii="Times New Roman" w:hAnsi="Times New Roman"/>
                <w:sz w:val="16"/>
              </w:rPr>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231" w:right="111"/>
              <w:jc w:val="center"/>
              <w:rPr>
                <w:rFonts w:ascii="Times New Roman" w:hAnsi="Times New Roman" w:cs="Times New Roman" w:eastAsia="Times New Roman" w:hint="default"/>
                <w:sz w:val="16"/>
                <w:szCs w:val="16"/>
              </w:rPr>
            </w:pPr>
            <w:r>
              <w:rPr>
                <w:rFonts w:ascii="Times New Roman"/>
                <w:sz w:val="16"/>
              </w:rPr>
              <w:t>171,00</w:t>
            </w:r>
          </w:p>
        </w:tc>
        <w:tc>
          <w:tcPr>
            <w:tcW w:w="205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14,00</w:t>
            </w:r>
            <w:r>
              <w:rPr>
                <w:rFonts w:ascii="Times New Roman"/>
                <w:sz w:val="16"/>
              </w:rPr>
            </w:r>
          </w:p>
        </w:tc>
        <w:tc>
          <w:tcPr>
            <w:tcW w:w="264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2"/>
              <w:jc w:val="right"/>
              <w:rPr>
                <w:rFonts w:ascii="Times New Roman" w:hAnsi="Times New Roman" w:cs="Times New Roman" w:eastAsia="Times New Roman" w:hint="default"/>
                <w:sz w:val="16"/>
                <w:szCs w:val="16"/>
              </w:rPr>
            </w:pPr>
            <w:r>
              <w:rPr>
                <w:rFonts w:ascii="Times New Roman"/>
                <w:sz w:val="16"/>
              </w:rPr>
              <w:t>7,00</w:t>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45"/>
              <w:jc w:val="right"/>
              <w:rPr>
                <w:rFonts w:ascii="Times New Roman" w:hAnsi="Times New Roman" w:cs="Times New Roman" w:eastAsia="Times New Roman" w:hint="default"/>
                <w:sz w:val="16"/>
                <w:szCs w:val="16"/>
              </w:rPr>
            </w:pPr>
            <w:r>
              <w:rPr>
                <w:rFonts w:ascii="Times New Roman"/>
                <w:spacing w:val="-2"/>
                <w:sz w:val="16"/>
              </w:rPr>
              <w:t>100,00</w:t>
            </w:r>
            <w:r>
              <w:rPr>
                <w:rFonts w:ascii="Times New Roman"/>
                <w:sz w:val="16"/>
              </w:rPr>
            </w:r>
          </w:p>
        </w:tc>
      </w:tr>
    </w:tbl>
    <w:p>
      <w:pPr>
        <w:pStyle w:val="BodyText"/>
        <w:spacing w:line="240" w:lineRule="auto"/>
        <w:ind w:right="172" w:firstLine="566"/>
        <w:jc w:val="both"/>
      </w:pPr>
      <w:r>
        <w:rPr/>
        <w:t>Поједини индиректни буџетски корисници издају пословни простор у закуп по основу чега су остварили приходе и то: СЦ „Чаир“ у износу од 10.411 хиљада динара, Позориште лутака у износу од </w:t>
      </w:r>
      <w:r>
        <w:rPr>
          <w:rFonts w:ascii="Times New Roman" w:hAnsi="Times New Roman" w:cs="Times New Roman" w:eastAsia="Times New Roman" w:hint="default"/>
        </w:rPr>
        <w:t>779 </w:t>
      </w:r>
      <w:r>
        <w:rPr/>
        <w:t>хиљада динара, Народно позориште у износу од </w:t>
      </w:r>
      <w:r>
        <w:rPr>
          <w:rFonts w:ascii="Times New Roman" w:hAnsi="Times New Roman" w:cs="Times New Roman" w:eastAsia="Times New Roman" w:hint="default"/>
        </w:rPr>
        <w:t>1.769 </w:t>
      </w:r>
      <w:r>
        <w:rPr/>
        <w:t>хиљада динара, Нишки симфонијски оркестар у износу </w:t>
      </w:r>
      <w:r>
        <w:rPr>
          <w:rFonts w:ascii="Times New Roman" w:hAnsi="Times New Roman" w:cs="Times New Roman" w:eastAsia="Times New Roman" w:hint="default"/>
        </w:rPr>
        <w:t>1.545 </w:t>
      </w:r>
      <w:r>
        <w:rPr/>
        <w:t>хиљада динара и Галерија савремене ликовне уметности  у износу од 823 хиљаде</w:t>
      </w:r>
      <w:r>
        <w:rPr>
          <w:spacing w:val="-14"/>
        </w:rPr>
        <w:t> </w:t>
      </w:r>
      <w:r>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Град Ниш није остварио приход од закупнине за станове у својини града који су дати у закуп од најмање 11.794 хиљаде динара. Закупнину за станове издате у закуп наплаћује ЈКП „Обједињена наплата“ Ниш и та средства преноси ЈП „Нишстан“ Ниш. Према писаном појашњењу Начелника Управе за имовину и инспекцијске послове, датом у поступку ревизије, ЈП „Нишстан“ није пренео Граду наплаћена средства по основу наплаћене закупнине. На основу наведеног поступљено је супротно члану 44. Одлуке о стамбеним зградама и становима, члану 6, 32. и 60. Закона о финансирању локалне самоуправе и члану 25. и 49. Закона о буџетском</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систему.</w:t>
      </w:r>
    </w:p>
    <w:p>
      <w:pPr>
        <w:pStyle w:val="ListParagraph"/>
        <w:numPr>
          <w:ilvl w:val="0"/>
          <w:numId w:val="9"/>
        </w:numPr>
        <w:tabs>
          <w:tab w:pos="303" w:val="left" w:leader="none"/>
        </w:tabs>
        <w:spacing w:line="274" w:lineRule="exact" w:before="24"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Град Ниш не располаже подацима о: свим издатим становима у закуп, износу месечне закупнине  за  издате  станове,  наплаћеној  закупнини,  ненаплаћеној  закупнини  и  </w:t>
      </w:r>
      <w:r>
        <w:rPr>
          <w:rFonts w:ascii="Times New Roman" w:hAnsi="Times New Roman"/>
          <w:spacing w:val="17"/>
          <w:sz w:val="24"/>
        </w:rPr>
        <w:t> </w:t>
      </w:r>
      <w:r>
        <w:rPr>
          <w:rFonts w:ascii="Times New Roman" w:hAnsi="Times New Roman"/>
          <w:sz w:val="24"/>
        </w:rPr>
        <w:t>није</w:t>
      </w:r>
    </w:p>
    <w:p>
      <w:pPr>
        <w:spacing w:after="0" w:line="274" w:lineRule="exact"/>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0"/>
        <w:jc w:val="both"/>
      </w:pPr>
      <w:r>
        <w:rPr/>
        <w:t>предузимао мере за наплату прихода по основу ненаплаћене закупнине за издате</w:t>
      </w:r>
      <w:r>
        <w:rPr>
          <w:spacing w:val="-39"/>
        </w:rPr>
        <w:t> </w:t>
      </w:r>
      <w:r>
        <w:rPr/>
        <w:t>станове.</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Индиректни корисници: СЦ Чаир, Народно позориште, Позориште лутака, Нишки симфонијски оркестар и Галерија савремене ликовне уметности су издали пословни простор супротно члану </w:t>
      </w:r>
      <w:r>
        <w:rPr>
          <w:rFonts w:ascii="Times New Roman" w:hAnsi="Times New Roman"/>
          <w:sz w:val="24"/>
        </w:rPr>
        <w:t>42. </w:t>
      </w:r>
      <w:r>
        <w:rPr>
          <w:rFonts w:ascii="Times New Roman" w:hAnsi="Times New Roman"/>
          <w:sz w:val="24"/>
        </w:rPr>
        <w:t>Одлуке о прибављању, располагању и управљању стварима у јавној својини града Ниша, јер су уговоре закључили директори наведених</w:t>
      </w:r>
      <w:r>
        <w:rPr>
          <w:rFonts w:ascii="Times New Roman" w:hAnsi="Times New Roman"/>
          <w:spacing w:val="-24"/>
          <w:sz w:val="24"/>
        </w:rPr>
        <w:t> </w:t>
      </w:r>
      <w:r>
        <w:rPr>
          <w:rFonts w:ascii="Times New Roman" w:hAnsi="Times New Roman"/>
          <w:sz w:val="24"/>
        </w:rPr>
        <w:t>корисника.</w:t>
      </w:r>
    </w:p>
    <w:p>
      <w:pPr>
        <w:pStyle w:val="ListParagraph"/>
        <w:numPr>
          <w:ilvl w:val="0"/>
          <w:numId w:val="9"/>
        </w:numPr>
        <w:tabs>
          <w:tab w:pos="303"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Индиректни корисници: Позориште лутака и Галерија савремене ликовне уметности су издали пословни простор супротно члану 26. Одлуке о прибављању, располагању и управљању стварима у јавној својини града Ниша, јер не поседују сагласност Градоначелника за издавање простора. Иста неправилност је утврђена и у поступку ревизије финансијских извештаја завршног рачуна буџета града Ниша за 2010.</w:t>
      </w:r>
      <w:r>
        <w:rPr>
          <w:rFonts w:ascii="Times New Roman" w:hAnsi="Times New Roman"/>
          <w:spacing w:val="-23"/>
          <w:sz w:val="24"/>
        </w:rPr>
        <w:t> </w:t>
      </w:r>
      <w:r>
        <w:rPr>
          <w:rFonts w:ascii="Times New Roman" w:hAnsi="Times New Roman"/>
          <w:sz w:val="24"/>
        </w:rPr>
        <w:t>годину.</w:t>
      </w:r>
    </w:p>
    <w:p>
      <w:pPr>
        <w:pStyle w:val="ListParagraph"/>
        <w:numPr>
          <w:ilvl w:val="0"/>
          <w:numId w:val="9"/>
        </w:numPr>
        <w:tabs>
          <w:tab w:pos="303"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Приходи од издавања у закуп пословног простора у јавној својини у износу од 15.327 хиљада динара, уплаћени су на рачун сопствених прихода индиректних корисника, што је супротно члану 6, 32. и 60. Закона о финансирању јединице локалне самоуправе и члану 25</w:t>
      </w:r>
      <w:r>
        <w:rPr>
          <w:rFonts w:ascii="Times New Roman" w:hAnsi="Times New Roman"/>
          <w:sz w:val="24"/>
        </w:rPr>
        <w:t>, 49. </w:t>
      </w:r>
      <w:r>
        <w:rPr>
          <w:rFonts w:ascii="Times New Roman" w:hAnsi="Times New Roman"/>
          <w:sz w:val="24"/>
        </w:rPr>
        <w:t>и 105. Закона о буџетском</w:t>
      </w:r>
      <w:r>
        <w:rPr>
          <w:rFonts w:ascii="Times New Roman" w:hAnsi="Times New Roman"/>
          <w:spacing w:val="-17"/>
          <w:sz w:val="24"/>
        </w:rPr>
        <w:t> </w:t>
      </w:r>
      <w:r>
        <w:rPr>
          <w:rFonts w:ascii="Times New Roman" w:hAnsi="Times New Roman"/>
          <w:sz w:val="24"/>
        </w:rPr>
        <w:t>систему.</w:t>
      </w:r>
    </w:p>
    <w:p>
      <w:pPr>
        <w:pStyle w:val="ListParagraph"/>
        <w:numPr>
          <w:ilvl w:val="0"/>
          <w:numId w:val="9"/>
        </w:numPr>
        <w:tabs>
          <w:tab w:pos="303" w:val="left" w:leader="none"/>
        </w:tabs>
        <w:spacing w:line="240" w:lineRule="auto" w:before="0" w:after="0"/>
        <w:ind w:left="160" w:right="171" w:firstLine="0"/>
        <w:jc w:val="both"/>
        <w:rPr>
          <w:rFonts w:ascii="Times New Roman" w:hAnsi="Times New Roman" w:cs="Times New Roman" w:eastAsia="Times New Roman" w:hint="default"/>
          <w:sz w:val="22"/>
          <w:szCs w:val="22"/>
        </w:rPr>
      </w:pPr>
      <w:r>
        <w:rPr>
          <w:rFonts w:ascii="Times New Roman" w:hAnsi="Times New Roman" w:cs="Times New Roman" w:eastAsia="Times New Roman" w:hint="default"/>
          <w:sz w:val="24"/>
          <w:szCs w:val="24"/>
        </w:rPr>
        <w:t>Приход од закупнине у износу од 13.98</w:t>
      </w:r>
      <w:r>
        <w:rPr>
          <w:rFonts w:ascii="Times New Roman" w:hAnsi="Times New Roman" w:cs="Times New Roman" w:eastAsia="Times New Roman" w:hint="default"/>
          <w:sz w:val="24"/>
          <w:szCs w:val="24"/>
        </w:rPr>
        <w:t>9 </w:t>
      </w:r>
      <w:r>
        <w:rPr>
          <w:rFonts w:ascii="Times New Roman" w:hAnsi="Times New Roman" w:cs="Times New Roman" w:eastAsia="Times New Roman" w:hint="default"/>
          <w:sz w:val="24"/>
          <w:szCs w:val="24"/>
        </w:rPr>
        <w:t>хиљада динара, није потрошен за намене прописане чланом 32. Закона о финансирању јединице локалне самоуправе, који прописује да се средства од закупа користе за куповину, изградњу, текуће поправке и одржавање зграда и објеката и набавку и одржавање опреме и члану 56. Закона о буџетском систему, и то: СЦ „Чаир“ у износу од 9.351 хиљаде динара, Народно позориште у износу од 1.667 хиљада динара, Позориште лутака у износу од </w:t>
      </w:r>
      <w:r>
        <w:rPr>
          <w:rFonts w:ascii="Times New Roman" w:hAnsi="Times New Roman" w:cs="Times New Roman" w:eastAsia="Times New Roman" w:hint="default"/>
          <w:sz w:val="24"/>
          <w:szCs w:val="24"/>
        </w:rPr>
        <w:t>620 </w:t>
      </w:r>
      <w:r>
        <w:rPr>
          <w:rFonts w:ascii="Times New Roman" w:hAnsi="Times New Roman" w:cs="Times New Roman" w:eastAsia="Times New Roman" w:hint="default"/>
          <w:sz w:val="24"/>
          <w:szCs w:val="24"/>
        </w:rPr>
        <w:t>хиљада динара, Нишки симфонијски оркестар у износу од 1.54</w:t>
      </w:r>
      <w:r>
        <w:rPr>
          <w:rFonts w:ascii="Times New Roman" w:hAnsi="Times New Roman" w:cs="Times New Roman" w:eastAsia="Times New Roman" w:hint="default"/>
          <w:sz w:val="24"/>
          <w:szCs w:val="24"/>
        </w:rPr>
        <w:t>3 </w:t>
      </w:r>
      <w:r>
        <w:rPr>
          <w:rFonts w:ascii="Times New Roman" w:hAnsi="Times New Roman" w:cs="Times New Roman" w:eastAsia="Times New Roman" w:hint="default"/>
          <w:sz w:val="24"/>
          <w:szCs w:val="24"/>
        </w:rPr>
        <w:t>хиљаде динара и Галерију савремене ликовне уметности у износу од 808 хиљада</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динара.</w:t>
      </w:r>
    </w:p>
    <w:p>
      <w:pPr>
        <w:pStyle w:val="ListParagraph"/>
        <w:numPr>
          <w:ilvl w:val="0"/>
          <w:numId w:val="9"/>
        </w:numPr>
        <w:tabs>
          <w:tab w:pos="303" w:val="left" w:leader="none"/>
        </w:tabs>
        <w:spacing w:line="237" w:lineRule="auto" w:before="4"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Нишки симфонијски оркестар није закупцу зарачунао законску камату за неблаговремено измирење закупнине, што је супротно члану 3. Уговора о закупу пословног простора број </w:t>
      </w:r>
      <w:r>
        <w:rPr>
          <w:rFonts w:ascii="Times New Roman" w:hAnsi="Times New Roman"/>
          <w:sz w:val="24"/>
        </w:rPr>
        <w:t>1355 </w:t>
      </w:r>
      <w:r>
        <w:rPr>
          <w:rFonts w:ascii="Times New Roman" w:hAnsi="Times New Roman"/>
          <w:sz w:val="24"/>
        </w:rPr>
        <w:t>од 13.12.2010.</w:t>
      </w:r>
      <w:r>
        <w:rPr>
          <w:rFonts w:ascii="Times New Roman" w:hAnsi="Times New Roman"/>
          <w:spacing w:val="-5"/>
          <w:sz w:val="24"/>
        </w:rPr>
        <w:t> </w:t>
      </w:r>
      <w:r>
        <w:rPr>
          <w:rFonts w:ascii="Times New Roman" w:hAnsi="Times New Roman"/>
          <w:sz w:val="24"/>
        </w:rPr>
        <w:t>године</w:t>
      </w:r>
      <w:r>
        <w:rPr>
          <w:rFonts w:ascii="Times New Roman" w:hAnsi="Times New Roman"/>
          <w:sz w:val="24"/>
        </w:rPr>
        <w:t>.</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Управни одбор Нишког симфонијског оркестра је донео одлуку којом је одобрио смањење закупа пословног простора за период од 01.06.2014. године до 31.08.2014. године, а да та могућност није предвиђена Одлуком којом се уређује располагање пословног простора</w:t>
      </w:r>
      <w:r>
        <w:rPr>
          <w:rFonts w:ascii="Times New Roman" w:hAnsi="Times New Roman"/>
          <w:spacing w:val="-7"/>
          <w:sz w:val="24"/>
        </w:rPr>
        <w:t> </w:t>
      </w:r>
      <w:r>
        <w:rPr>
          <w:rFonts w:ascii="Times New Roman" w:hAnsi="Times New Roman"/>
          <w:sz w:val="24"/>
        </w:rPr>
        <w:t>Града.</w:t>
      </w:r>
    </w:p>
    <w:p>
      <w:pPr>
        <w:pStyle w:val="Heading2"/>
        <w:spacing w:line="240" w:lineRule="auto"/>
        <w:ind w:right="173"/>
        <w:jc w:val="both"/>
        <w:rPr>
          <w:rFonts w:ascii="Times New Roman" w:hAnsi="Times New Roman" w:cs="Times New Roman" w:eastAsia="Times New Roman" w:hint="default"/>
          <w:b w:val="0"/>
          <w:bCs w:val="0"/>
          <w:i w:val="0"/>
        </w:rPr>
      </w:pPr>
      <w:r>
        <w:rPr>
          <w:i/>
        </w:rPr>
        <w:t>Препоручује се одговорним лицима да обезбеде утврђивање, наплату и контролу јавних прихода, да обезбеде уплату прихода на уплатни рачун буџета Града и да наменске јавне приходе користе за прописану</w:t>
      </w:r>
      <w:r>
        <w:rPr>
          <w:i/>
          <w:spacing w:val="-13"/>
        </w:rPr>
        <w:t> </w:t>
      </w:r>
      <w:r>
        <w:rPr>
          <w:i/>
        </w:rPr>
        <w:t>намену</w:t>
      </w:r>
      <w:r>
        <w:rPr>
          <w:rFonts w:ascii="Times New Roman" w:hAnsi="Times New Roman"/>
          <w:i/>
        </w:rPr>
        <w:t>.</w:t>
      </w:r>
      <w:r>
        <w:rPr>
          <w:rFonts w:ascii="Times New Roman" w:hAnsi="Times New Roman"/>
          <w:b w:val="0"/>
          <w:i w:val="0"/>
        </w:rPr>
      </w:r>
    </w:p>
    <w:p>
      <w:pPr>
        <w:pStyle w:val="BodyText"/>
        <w:spacing w:line="272" w:lineRule="exact"/>
        <w:ind w:left="726" w:right="141"/>
        <w:jc w:val="left"/>
      </w:pPr>
      <w:r>
        <w:rPr>
          <w:rFonts w:ascii="Times New Roman" w:hAnsi="Times New Roman"/>
        </w:rPr>
      </w:r>
      <w:r>
        <w:rPr>
          <w:rFonts w:ascii="Times New Roman" w:hAnsi="Times New Roman"/>
          <w:spacing w:val="-60"/>
          <w:u w:val="single" w:color="000000"/>
        </w:rPr>
        <w:t> </w:t>
      </w:r>
      <w:r>
        <w:rPr>
          <w:u w:val="single" w:color="000000"/>
        </w:rPr>
        <w:t>Приходи од закупнине за грађевинско земљиште у корист нивоа градова   </w:t>
      </w:r>
      <w:r>
        <w:rPr>
          <w:spacing w:val="25"/>
          <w:u w:val="single" w:color="000000"/>
        </w:rPr>
        <w:t> </w:t>
      </w:r>
      <w:r>
        <w:rPr>
          <w:rFonts w:ascii="Times New Roman" w:hAnsi="Times New Roman"/>
          <w:u w:val="single" w:color="000000"/>
        </w:rPr>
        <w:t>(</w:t>
      </w:r>
      <w:r>
        <w:rPr>
          <w:u w:val="single" w:color="000000"/>
        </w:rPr>
        <w:t>уплатни</w:t>
      </w:r>
      <w:r>
        <w:rPr/>
      </w:r>
    </w:p>
    <w:p>
      <w:pPr>
        <w:pStyle w:val="BodyText"/>
        <w:spacing w:line="240" w:lineRule="auto"/>
        <w:ind w:right="175"/>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рачун </w:t>
      </w:r>
      <w:r>
        <w:rPr>
          <w:rFonts w:ascii="Times New Roman" w:hAnsi="Times New Roman" w:cs="Times New Roman" w:eastAsia="Times New Roman" w:hint="default"/>
          <w:u w:val="single" w:color="000000"/>
        </w:rPr>
        <w:t>742143) </w:t>
      </w:r>
      <w:r>
        <w:rPr>
          <w:rFonts w:ascii="Times New Roman" w:hAnsi="Times New Roman" w:cs="Times New Roman" w:eastAsia="Times New Roman" w:hint="default"/>
        </w:rPr>
      </w:r>
      <w:r>
        <w:rPr/>
        <w:t>– У 2014. години град Ниш остварио је приход у износу од 28.071 хиљаде динара и то по основу давања у закуп грађевинског земљишта у износу од 15.432 хиљаде динара, отуђења грађевинског земљишта у износу од 11.929 хиљада динара и по основу установљавања права службености пролаза </w:t>
      </w:r>
      <w:r>
        <w:rPr>
          <w:spacing w:val="-3"/>
        </w:rPr>
        <w:t>уз </w:t>
      </w:r>
      <w:r>
        <w:rPr/>
        <w:t>накнаду у износу од 710 хиљада</w:t>
      </w:r>
      <w:r>
        <w:rPr>
          <w:spacing w:val="-17"/>
        </w:rPr>
        <w:t> </w:t>
      </w:r>
      <w:r>
        <w:rPr/>
        <w:t>динара.</w:t>
      </w:r>
    </w:p>
    <w:p>
      <w:pPr>
        <w:pStyle w:val="BodyText"/>
        <w:spacing w:line="276" w:lineRule="exact" w:before="3"/>
        <w:ind w:right="175" w:firstLine="566"/>
        <w:jc w:val="both"/>
      </w:pPr>
      <w:r>
        <w:rPr/>
        <w:t>Град Ниш донео је Одлуку о отуђењу и давању у закуп грађевинског земљишта</w:t>
      </w:r>
      <w:r>
        <w:rPr>
          <w:rFonts w:ascii="Times New Roman" w:hAnsi="Times New Roman"/>
          <w:position w:val="11"/>
          <w:sz w:val="16"/>
        </w:rPr>
        <w:t>42 </w:t>
      </w:r>
      <w:r>
        <w:rPr/>
        <w:t>којом се уређују услови, поступак и начин отуђења и давања у закуп неизграђеног грађевинског земљишта у јавној својини на којем је као власник у јавној књизи за евиденцију непокретности и правима на њима уписан град Ниш, као и престанак права закупа на грађевинском</w:t>
      </w:r>
      <w:r>
        <w:rPr>
          <w:spacing w:val="-16"/>
        </w:rPr>
        <w:t> </w:t>
      </w:r>
      <w:r>
        <w:rPr/>
        <w:t>земљишту.</w:t>
      </w:r>
    </w:p>
    <w:p>
      <w:pPr>
        <w:pStyle w:val="Heading1"/>
        <w:spacing w:line="240" w:lineRule="auto" w:before="1"/>
        <w:ind w:right="141"/>
        <w:jc w:val="left"/>
        <w:rPr>
          <w:b w:val="0"/>
          <w:bCs w:val="0"/>
        </w:rPr>
      </w:pPr>
      <w:r>
        <w:rPr/>
        <w:t>На основу ревизије узорковане документације утврђено</w:t>
      </w:r>
      <w:r>
        <w:rPr>
          <w:spacing w:val="-18"/>
        </w:rPr>
        <w:t> </w:t>
      </w:r>
      <w:r>
        <w:rPr/>
        <w:t>је:</w:t>
      </w:r>
      <w:r>
        <w:rPr>
          <w:b w:val="0"/>
        </w:rPr>
      </w:r>
    </w:p>
    <w:p>
      <w:pPr>
        <w:spacing w:line="240" w:lineRule="auto" w:before="0"/>
        <w:rPr>
          <w:rFonts w:ascii="Times New Roman" w:hAnsi="Times New Roman" w:cs="Times New Roman" w:eastAsia="Times New Roman" w:hint="default"/>
          <w:b/>
          <w:bCs/>
          <w:sz w:val="20"/>
          <w:szCs w:val="20"/>
        </w:rPr>
      </w:pPr>
    </w:p>
    <w:p>
      <w:pPr>
        <w:spacing w:line="240" w:lineRule="auto" w:before="0"/>
        <w:rPr>
          <w:rFonts w:ascii="Times New Roman" w:hAnsi="Times New Roman" w:cs="Times New Roman" w:eastAsia="Times New Roman" w:hint="default"/>
          <w:b/>
          <w:bCs/>
          <w:sz w:val="20"/>
          <w:szCs w:val="20"/>
        </w:rPr>
      </w:pPr>
    </w:p>
    <w:p>
      <w:pPr>
        <w:spacing w:line="240" w:lineRule="auto" w:before="10"/>
        <w:rPr>
          <w:rFonts w:ascii="Times New Roman" w:hAnsi="Times New Roman" w:cs="Times New Roman" w:eastAsia="Times New Roman" w:hint="default"/>
          <w:b/>
          <w:bCs/>
          <w:sz w:val="15"/>
          <w:szCs w:val="15"/>
        </w:rPr>
      </w:pPr>
      <w:r>
        <w:rPr/>
        <w:pict>
          <v:group style="position:absolute;margin-left:78.024002pt;margin-top:10.36626pt;width:144.050pt;height:.1pt;mso-position-horizontal-relative:page;mso-position-vertical-relative:paragraph;z-index:1480;mso-wrap-distance-left:0;mso-wrap-distance-right:0" coordorigin="1560,207" coordsize="2881,2">
            <v:shape style="position:absolute;left:1560;top:207;width:2881;height:2" coordorigin="1560,207" coordsize="2881,0" path="m1560,207l4441,207e" filled="false" stroked="true" strokeweight=".599980pt" strokecolor="#000000">
              <v:path arrowok="t"/>
            </v:shape>
            <w10:wrap type="topAndBottom"/>
          </v:group>
        </w:pict>
      </w:r>
    </w:p>
    <w:p>
      <w:pPr>
        <w:spacing w:before="52"/>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42 </w:t>
      </w:r>
      <w:r>
        <w:rPr>
          <w:rFonts w:ascii="Times New Roman" w:hAnsi="Times New Roman" w:cs="Times New Roman" w:eastAsia="Times New Roman" w:hint="default"/>
          <w:sz w:val="16"/>
          <w:szCs w:val="16"/>
        </w:rPr>
        <w:t>„Службени лист града Ниша“ број 66/2010 ...</w:t>
      </w:r>
      <w:r>
        <w:rPr>
          <w:rFonts w:ascii="Times New Roman" w:hAnsi="Times New Roman" w:cs="Times New Roman" w:eastAsia="Times New Roman" w:hint="default"/>
          <w:spacing w:val="-10"/>
          <w:sz w:val="16"/>
          <w:szCs w:val="16"/>
        </w:rPr>
        <w:t> </w:t>
      </w:r>
      <w:r>
        <w:rPr>
          <w:rFonts w:ascii="Times New Roman" w:hAnsi="Times New Roman" w:cs="Times New Roman" w:eastAsia="Times New Roman" w:hint="default"/>
          <w:sz w:val="16"/>
          <w:szCs w:val="16"/>
        </w:rPr>
        <w:t>48/2013</w:t>
      </w:r>
    </w:p>
    <w:p>
      <w:pPr>
        <w:spacing w:after="0"/>
        <w:jc w:val="left"/>
        <w:rPr>
          <w:rFonts w:ascii="Times New Roman" w:hAnsi="Times New Roman" w:cs="Times New Roman" w:eastAsia="Times New Roman" w:hint="default"/>
          <w:sz w:val="16"/>
          <w:szCs w:val="16"/>
        </w:rPr>
        <w:sectPr>
          <w:pgSz w:w="12240" w:h="15840"/>
          <w:pgMar w:header="740" w:footer="1274" w:top="1280" w:bottom="1460" w:left="1400" w:right="1260"/>
        </w:sectPr>
      </w:pPr>
    </w:p>
    <w:p>
      <w:pPr>
        <w:pStyle w:val="ListParagraph"/>
        <w:numPr>
          <w:ilvl w:val="0"/>
          <w:numId w:val="9"/>
        </w:numPr>
        <w:tabs>
          <w:tab w:pos="303" w:val="left" w:leader="none"/>
        </w:tabs>
        <w:spacing w:line="240" w:lineRule="auto" w:before="124" w:after="0"/>
        <w:ind w:left="160" w:right="179"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Управа за имовину и инспекцијске послове града Ниша је, дана 06.08.2014. године, дошла до сазнања, увиђајем на лицу места, да се на катастарској парцели број 547/12 КО Медошевац, јавној својини града Ниша, налази бетонска и асфалтна база Грађевинског предузећа „Планум“ ад Земун, као и објекти: управна зграда, стамбена зграда, лабораторија за асфалт, магацински простор, трафостаница и три метална контејнера. Град Ниш не спроводи теренску контролу и обилазак грађевинских парцела, па је тако дошло до дугогодишњег коришћења градског грађевинског земљишта без накнаде. На тај начин Град је поступио супротно члану 6, 32. и 60. Закона о финансирању локалне самоуправе и члану 49. Закона о буџетском систему. Градско јавно правобранилаштво је, дана 09.03.2015. године, покренуло поступак пред судом за накнаду штете због неоснованог коришћења грађевинског земљишта „више од десет</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година“</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32" w:lineRule="auto" w:before="10"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је као приход евидентирано примање по основу отуђења грађевинског земљишта у износу од 11.929 хиљада динара, уместо на групи 8</w:t>
      </w:r>
      <w:r>
        <w:rPr>
          <w:rFonts w:ascii="Times New Roman" w:hAnsi="Times New Roman" w:cs="Times New Roman" w:eastAsia="Times New Roman" w:hint="default"/>
          <w:sz w:val="24"/>
          <w:szCs w:val="24"/>
        </w:rPr>
        <w:t>41000 </w:t>
      </w:r>
      <w:r>
        <w:rPr>
          <w:rFonts w:ascii="Times New Roman" w:hAnsi="Times New Roman" w:cs="Times New Roman" w:eastAsia="Times New Roman" w:hint="default"/>
          <w:sz w:val="24"/>
          <w:szCs w:val="24"/>
        </w:rPr>
        <w:t>– Примања од продаје земљишта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што је супротно члану  49. Закона о буџетском систему,  Правилнику о условима и начину вођења рачуна за уплату јавних прихода и распоред средстава са  тих рачуна</w:t>
      </w:r>
      <w:r>
        <w:rPr>
          <w:rFonts w:ascii="Times New Roman" w:hAnsi="Times New Roman" w:cs="Times New Roman" w:eastAsia="Times New Roman" w:hint="default"/>
          <w:position w:val="11"/>
          <w:sz w:val="16"/>
          <w:szCs w:val="16"/>
        </w:rPr>
        <w:t>43  </w:t>
      </w:r>
      <w:r>
        <w:rPr>
          <w:rFonts w:ascii="Times New Roman" w:hAnsi="Times New Roman" w:cs="Times New Roman" w:eastAsia="Times New Roman" w:hint="default"/>
          <w:sz w:val="24"/>
          <w:szCs w:val="24"/>
        </w:rPr>
        <w:t>и Правилнику о стандардном класификационом оквиру и контном плану </w:t>
      </w:r>
      <w:r>
        <w:rPr>
          <w:rFonts w:ascii="Times New Roman" w:hAnsi="Times New Roman" w:cs="Times New Roman" w:eastAsia="Times New Roman" w:hint="default"/>
          <w:spacing w:val="48"/>
          <w:sz w:val="24"/>
          <w:szCs w:val="24"/>
        </w:rPr>
        <w:t> </w:t>
      </w:r>
      <w:r>
        <w:rPr>
          <w:rFonts w:ascii="Times New Roman" w:hAnsi="Times New Roman" w:cs="Times New Roman" w:eastAsia="Times New Roman" w:hint="default"/>
          <w:sz w:val="24"/>
          <w:szCs w:val="24"/>
        </w:rPr>
        <w:t>за</w:t>
      </w:r>
    </w:p>
    <w:p>
      <w:pPr>
        <w:pStyle w:val="BodyText"/>
        <w:spacing w:line="240" w:lineRule="auto" w:before="1"/>
        <w:ind w:right="0"/>
        <w:jc w:val="both"/>
      </w:pPr>
      <w:r>
        <w:rPr/>
        <w:t>буџетски</w:t>
      </w:r>
      <w:r>
        <w:rPr>
          <w:spacing w:val="-9"/>
        </w:rPr>
        <w:t> </w:t>
      </w:r>
      <w:r>
        <w:rPr/>
        <w:t>систем.</w:t>
      </w:r>
    </w:p>
    <w:p>
      <w:pPr>
        <w:pStyle w:val="Heading2"/>
        <w:spacing w:line="240" w:lineRule="auto"/>
        <w:ind w:right="176"/>
        <w:jc w:val="both"/>
        <w:rPr>
          <w:b w:val="0"/>
          <w:bCs w:val="0"/>
          <w:i w:val="0"/>
        </w:rPr>
      </w:pPr>
      <w:r>
        <w:rPr>
          <w:i/>
        </w:rPr>
        <w:t>Препоручује се одговорним лицима да обезбеде утврђивање, наплату и контролу јавних прихода и да приходе евидентирају у складу са Законом о буџетском систему, Правилником о условима и начину вођења рачуна за уплату јавних прихода и распоред средстава са тих рачуна и Правилником о стандардном класификационом оквиру и контном плану за буџетски</w:t>
      </w:r>
      <w:r>
        <w:rPr>
          <w:i/>
          <w:spacing w:val="-17"/>
        </w:rPr>
        <w:t> </w:t>
      </w:r>
      <w:r>
        <w:rPr>
          <w:i/>
        </w:rPr>
        <w:t>систем.</w:t>
      </w:r>
      <w:r>
        <w:rPr>
          <w:b w:val="0"/>
          <w:i w:val="0"/>
        </w:rPr>
      </w:r>
    </w:p>
    <w:p>
      <w:pPr>
        <w:pStyle w:val="BodyText"/>
        <w:spacing w:line="271" w:lineRule="exact"/>
        <w:ind w:left="726" w:right="141"/>
        <w:jc w:val="left"/>
      </w:pPr>
      <w:r>
        <w:rPr>
          <w:rFonts w:ascii="Times New Roman" w:hAnsi="Times New Roman"/>
        </w:rPr>
      </w:r>
      <w:r>
        <w:rPr>
          <w:rFonts w:ascii="Times New Roman" w:hAnsi="Times New Roman"/>
          <w:spacing w:val="-60"/>
          <w:u w:val="single" w:color="000000"/>
        </w:rPr>
        <w:t> </w:t>
      </w:r>
      <w:r>
        <w:rPr>
          <w:u w:val="single" w:color="000000"/>
        </w:rPr>
        <w:t>Накнада по основу конверзије права  коришћења  у право својине  у корист    </w:t>
      </w:r>
      <w:r>
        <w:rPr>
          <w:spacing w:val="10"/>
          <w:u w:val="single" w:color="000000"/>
        </w:rPr>
        <w:t> </w:t>
      </w:r>
      <w:r>
        <w:rPr>
          <w:u w:val="single" w:color="000000"/>
        </w:rPr>
        <w:t>нивоа</w:t>
      </w:r>
      <w:r>
        <w:rPr/>
      </w:r>
    </w:p>
    <w:p>
      <w:pPr>
        <w:pStyle w:val="BodyText"/>
        <w:spacing w:line="240" w:lineRule="auto"/>
        <w:ind w:right="17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градова (уплатни рачун </w:t>
      </w:r>
      <w:r>
        <w:rPr>
          <w:rFonts w:ascii="Times New Roman" w:hAnsi="Times New Roman" w:cs="Times New Roman" w:eastAsia="Times New Roman" w:hint="default"/>
          <w:u w:val="single" w:color="000000"/>
        </w:rPr>
        <w:t>742144) </w:t>
      </w:r>
      <w:r>
        <w:rPr>
          <w:rFonts w:ascii="Times New Roman" w:hAnsi="Times New Roman" w:cs="Times New Roman" w:eastAsia="Times New Roman" w:hint="default"/>
        </w:rPr>
        <w:t>- </w:t>
      </w:r>
      <w:r>
        <w:rPr/>
        <w:t>У 2014. години град Ниш је остварио приход у износу од 28.499 хиљада динара, на основу Уговора о конверзији права коришћења у право својине на грађевинском земљишту Ов. II бр. 855/14 од 30.09.2014. године закљученог између града Ниша и Друштва за развој некретнина „Туш“ доо Београд, као стицаоца права својине, а на основу решења Управе за имовину и инспекцијске послове града Ниша број 463</w:t>
      </w:r>
      <w:r>
        <w:rPr>
          <w:rFonts w:ascii="Times New Roman" w:hAnsi="Times New Roman" w:cs="Times New Roman" w:eastAsia="Times New Roman" w:hint="default"/>
        </w:rPr>
        <w:t>-3/2012-</w:t>
      </w:r>
      <w:r>
        <w:rPr/>
        <w:t>04 од 20.03.2014. године, које је постало правноснажно дана 01.09.2014. године. Висина накнаде за конверзију износи 56.992 хиљаде динара, у коју је урачунат попуст од 30%, услед једнократне исплате, и то у корист Фонда за реституцију 50% од утврђеног износа накнаде што износи 28.496 хиљада динара и на рачун буџета града Ниша 50% од утврђеног износа накнаде у износу од 28.496 хиљада</w:t>
      </w:r>
      <w:r>
        <w:rPr>
          <w:spacing w:val="-24"/>
        </w:rPr>
        <w:t> </w:t>
      </w:r>
      <w:r>
        <w:rPr/>
        <w:t>динара.</w:t>
      </w:r>
    </w:p>
    <w:p>
      <w:pPr>
        <w:pStyle w:val="BodyText"/>
        <w:spacing w:line="240" w:lineRule="auto"/>
        <w:ind w:left="726" w:right="141"/>
        <w:jc w:val="left"/>
      </w:pPr>
      <w:r>
        <w:rPr>
          <w:rFonts w:ascii="Times New Roman" w:hAnsi="Times New Roman"/>
        </w:rPr>
      </w:r>
      <w:r>
        <w:rPr>
          <w:rFonts w:ascii="Times New Roman" w:hAnsi="Times New Roman"/>
          <w:spacing w:val="-60"/>
          <w:u w:val="single" w:color="000000"/>
        </w:rPr>
        <w:t> </w:t>
      </w:r>
      <w:r>
        <w:rPr>
          <w:u w:val="single" w:color="000000"/>
        </w:rPr>
        <w:t>Приходи</w:t>
      </w:r>
      <w:r>
        <w:rPr>
          <w:spacing w:val="27"/>
          <w:u w:val="single" w:color="000000"/>
        </w:rPr>
        <w:t> </w:t>
      </w:r>
      <w:r>
        <w:rPr>
          <w:u w:val="single" w:color="000000"/>
        </w:rPr>
        <w:t>које</w:t>
      </w:r>
      <w:r>
        <w:rPr>
          <w:spacing w:val="26"/>
          <w:u w:val="single" w:color="000000"/>
        </w:rPr>
        <w:t> </w:t>
      </w:r>
      <w:r>
        <w:rPr>
          <w:u w:val="single" w:color="000000"/>
        </w:rPr>
        <w:t>својом</w:t>
      </w:r>
      <w:r>
        <w:rPr>
          <w:spacing w:val="25"/>
          <w:u w:val="single" w:color="000000"/>
        </w:rPr>
        <w:t> </w:t>
      </w:r>
      <w:r>
        <w:rPr>
          <w:u w:val="single" w:color="000000"/>
        </w:rPr>
        <w:t>делатношћу</w:t>
      </w:r>
      <w:r>
        <w:rPr>
          <w:spacing w:val="21"/>
          <w:u w:val="single" w:color="000000"/>
        </w:rPr>
        <w:t> </w:t>
      </w:r>
      <w:r>
        <w:rPr>
          <w:u w:val="single" w:color="000000"/>
        </w:rPr>
        <w:t>остваре</w:t>
      </w:r>
      <w:r>
        <w:rPr>
          <w:spacing w:val="25"/>
          <w:u w:val="single" w:color="000000"/>
        </w:rPr>
        <w:t> </w:t>
      </w:r>
      <w:r>
        <w:rPr>
          <w:u w:val="single" w:color="000000"/>
        </w:rPr>
        <w:t>органи</w:t>
      </w:r>
      <w:r>
        <w:rPr>
          <w:spacing w:val="27"/>
          <w:u w:val="single" w:color="000000"/>
        </w:rPr>
        <w:t> </w:t>
      </w:r>
      <w:r>
        <w:rPr>
          <w:u w:val="single" w:color="000000"/>
        </w:rPr>
        <w:t>и</w:t>
      </w:r>
      <w:r>
        <w:rPr>
          <w:spacing w:val="27"/>
          <w:u w:val="single" w:color="000000"/>
        </w:rPr>
        <w:t> </w:t>
      </w:r>
      <w:r>
        <w:rPr>
          <w:u w:val="single" w:color="000000"/>
        </w:rPr>
        <w:t>организације</w:t>
      </w:r>
      <w:r>
        <w:rPr>
          <w:spacing w:val="26"/>
          <w:u w:val="single" w:color="000000"/>
        </w:rPr>
        <w:t> </w:t>
      </w:r>
      <w:r>
        <w:rPr>
          <w:u w:val="single" w:color="000000"/>
        </w:rPr>
        <w:t>градова</w:t>
      </w:r>
      <w:r>
        <w:rPr>
          <w:spacing w:val="25"/>
          <w:u w:val="single" w:color="000000"/>
        </w:rPr>
        <w:t> </w:t>
      </w:r>
      <w:r>
        <w:rPr>
          <w:u w:val="single" w:color="000000"/>
        </w:rPr>
        <w:t>(уплатни</w:t>
      </w:r>
      <w:r>
        <w:rPr/>
      </w:r>
    </w:p>
    <w:p>
      <w:pPr>
        <w:pStyle w:val="BodyText"/>
        <w:spacing w:line="240" w:lineRule="auto"/>
        <w:ind w:right="173"/>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рачун </w:t>
      </w:r>
      <w:r>
        <w:rPr>
          <w:rFonts w:ascii="Times New Roman" w:hAnsi="Times New Roman" w:cs="Times New Roman" w:eastAsia="Times New Roman" w:hint="default"/>
          <w:u w:val="single" w:color="000000"/>
        </w:rPr>
        <w:t>742341) </w:t>
      </w:r>
      <w:r>
        <w:rPr>
          <w:rFonts w:ascii="Times New Roman" w:hAnsi="Times New Roman" w:cs="Times New Roman" w:eastAsia="Times New Roman" w:hint="default"/>
        </w:rPr>
      </w:r>
      <w:r>
        <w:rPr/>
        <w:t>– Град Ниш је, у 2014. години, остварио приход у износу од 9.882 хиљаде динара.</w:t>
      </w:r>
    </w:p>
    <w:p>
      <w:pPr>
        <w:pStyle w:val="BodyText"/>
        <w:spacing w:line="276" w:lineRule="exact" w:before="3"/>
        <w:ind w:right="174" w:firstLine="566"/>
        <w:jc w:val="both"/>
      </w:pPr>
      <w:r>
        <w:rPr/>
        <w:t>Према појашњењу Управе за привреду, одрживи развој и заштиту животне средине број 05</w:t>
      </w:r>
      <w:r>
        <w:rPr>
          <w:rFonts w:ascii="Times New Roman" w:hAnsi="Times New Roman" w:cs="Times New Roman" w:eastAsia="Times New Roman" w:hint="default"/>
        </w:rPr>
        <w:t>-</w:t>
      </w:r>
      <w:r>
        <w:rPr/>
        <w:t>601/2015 од 22.06.2015. године остварен је приход на овом уплатном рачуну по основу наплате градских административних такси у складу са Одлуком о градским административним таксама</w:t>
      </w:r>
      <w:r>
        <w:rPr>
          <w:rFonts w:ascii="Times New Roman" w:hAnsi="Times New Roman" w:cs="Times New Roman" w:eastAsia="Times New Roman" w:hint="default"/>
          <w:position w:val="11"/>
          <w:sz w:val="16"/>
          <w:szCs w:val="16"/>
        </w:rPr>
        <w:t>44 </w:t>
      </w:r>
      <w:r>
        <w:rPr/>
        <w:t>и по основу закљученог Споразума о унапређењу  међусобне сарадње између Агенције за привредне регистре и града Ниша – Управе за привреду, одрживи развој и заштиту животне средине број 2691/2005</w:t>
      </w:r>
      <w:r>
        <w:rPr>
          <w:rFonts w:ascii="Times New Roman" w:hAnsi="Times New Roman" w:cs="Times New Roman" w:eastAsia="Times New Roman" w:hint="default"/>
        </w:rPr>
        <w:t>-</w:t>
      </w:r>
      <w:r>
        <w:rPr/>
        <w:t>1 од 13.01.2006. године и Анекса број </w:t>
      </w:r>
      <w:r>
        <w:rPr>
          <w:rFonts w:ascii="Times New Roman" w:hAnsi="Times New Roman" w:cs="Times New Roman" w:eastAsia="Times New Roman" w:hint="default"/>
        </w:rPr>
        <w:t>1250/2009-</w:t>
      </w:r>
      <w:r>
        <w:rPr/>
        <w:t>1 од 25.05.2009.</w:t>
      </w:r>
      <w:r>
        <w:rPr>
          <w:spacing w:val="-5"/>
        </w:rPr>
        <w:t> </w:t>
      </w:r>
      <w:r>
        <w:rPr/>
        <w:t>године.</w:t>
      </w:r>
    </w:p>
    <w:p>
      <w:pPr>
        <w:pStyle w:val="BodyText"/>
        <w:spacing w:line="273" w:lineRule="exact"/>
        <w:ind w:left="726" w:right="141"/>
        <w:jc w:val="left"/>
      </w:pPr>
      <w:r>
        <w:rPr/>
        <w:t>Према  појашњењу  Управе  за  комуналне  делатности,  енергетику  и  саобраћај</w:t>
      </w:r>
      <w:r>
        <w:rPr>
          <w:spacing w:val="56"/>
        </w:rPr>
        <w:t> </w:t>
      </w:r>
      <w:r>
        <w:rPr/>
        <w:t>од</w:t>
      </w:r>
    </w:p>
    <w:p>
      <w:pPr>
        <w:spacing w:line="240" w:lineRule="auto" w:before="9"/>
        <w:rPr>
          <w:rFonts w:ascii="Times New Roman" w:hAnsi="Times New Roman" w:cs="Times New Roman" w:eastAsia="Times New Roman" w:hint="default"/>
          <w:sz w:val="20"/>
          <w:szCs w:val="20"/>
        </w:rPr>
      </w:pPr>
      <w:r>
        <w:rPr/>
        <w:pict>
          <v:group style="position:absolute;margin-left:78.024002pt;margin-top:13.184309pt;width:144.050pt;height:.1pt;mso-position-horizontal-relative:page;mso-position-vertical-relative:paragraph;z-index:1504;mso-wrap-distance-left:0;mso-wrap-distance-right:0" coordorigin="1560,264" coordsize="2881,2">
            <v:shape style="position:absolute;left:1560;top:264;width:2881;height:2" coordorigin="1560,264" coordsize="2881,0" path="m1560,264l4441,264e" filled="false" stroked="true" strokeweight=".599980pt" strokecolor="#000000">
              <v:path arrowok="t"/>
            </v:shape>
            <w10:wrap type="topAndBottom"/>
          </v:group>
        </w:pict>
      </w:r>
    </w:p>
    <w:p>
      <w:pPr>
        <w:spacing w:line="191" w:lineRule="exact" w:before="5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43 </w:t>
      </w:r>
      <w:r>
        <w:rPr>
          <w:rFonts w:ascii="Times New Roman" w:hAnsi="Times New Roman" w:cs="Times New Roman" w:eastAsia="Times New Roman" w:hint="default"/>
          <w:sz w:val="16"/>
          <w:szCs w:val="16"/>
        </w:rPr>
        <w:t>„Службени гласник Републике Србије“ број</w:t>
      </w:r>
      <w:r>
        <w:rPr>
          <w:rFonts w:ascii="Times New Roman" w:hAnsi="Times New Roman" w:cs="Times New Roman" w:eastAsia="Times New Roman" w:hint="default"/>
          <w:spacing w:val="-14"/>
          <w:sz w:val="16"/>
          <w:szCs w:val="16"/>
        </w:rPr>
        <w:t> </w:t>
      </w:r>
      <w:r>
        <w:rPr>
          <w:rFonts w:ascii="Times New Roman" w:hAnsi="Times New Roman" w:cs="Times New Roman" w:eastAsia="Times New Roman" w:hint="default"/>
          <w:sz w:val="16"/>
          <w:szCs w:val="16"/>
        </w:rPr>
        <w:t>104/2011...131/2014</w:t>
      </w:r>
    </w:p>
    <w:p>
      <w:pPr>
        <w:spacing w:line="191" w:lineRule="exact" w:before="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44 </w:t>
      </w:r>
      <w:r>
        <w:rPr>
          <w:rFonts w:ascii="Times New Roman" w:hAnsi="Times New Roman" w:cs="Times New Roman" w:eastAsia="Times New Roman" w:hint="default"/>
          <w:sz w:val="16"/>
          <w:szCs w:val="16"/>
        </w:rPr>
        <w:t>„Службени лист града Ниша“ број 46/2009 и</w:t>
      </w:r>
      <w:r>
        <w:rPr>
          <w:rFonts w:ascii="Times New Roman" w:hAnsi="Times New Roman" w:cs="Times New Roman" w:eastAsia="Times New Roman" w:hint="default"/>
          <w:spacing w:val="-6"/>
          <w:sz w:val="16"/>
          <w:szCs w:val="16"/>
        </w:rPr>
        <w:t> </w:t>
      </w:r>
      <w:r>
        <w:rPr>
          <w:rFonts w:ascii="Times New Roman" w:hAnsi="Times New Roman" w:cs="Times New Roman" w:eastAsia="Times New Roman" w:hint="default"/>
          <w:sz w:val="16"/>
          <w:szCs w:val="16"/>
        </w:rPr>
        <w:t>12/2010</w:t>
      </w:r>
    </w:p>
    <w:p>
      <w:pPr>
        <w:spacing w:after="0" w:line="191" w:lineRule="exact"/>
        <w:jc w:val="left"/>
        <w:rPr>
          <w:rFonts w:ascii="Times New Roman" w:hAnsi="Times New Roman" w:cs="Times New Roman" w:eastAsia="Times New Roman" w:hint="default"/>
          <w:sz w:val="16"/>
          <w:szCs w:val="16"/>
        </w:rPr>
        <w:sectPr>
          <w:pgSz w:w="12240" w:h="15840"/>
          <w:pgMar w:header="740" w:footer="1274" w:top="1280" w:bottom="1460" w:left="1400" w:right="1260"/>
        </w:sectPr>
      </w:pPr>
    </w:p>
    <w:p>
      <w:pPr>
        <w:pStyle w:val="BodyText"/>
        <w:spacing w:line="240" w:lineRule="auto" w:before="122"/>
        <w:ind w:right="179"/>
        <w:jc w:val="both"/>
        <w:rPr>
          <w:rFonts w:ascii="Times New Roman" w:hAnsi="Times New Roman" w:cs="Times New Roman" w:eastAsia="Times New Roman" w:hint="default"/>
        </w:rPr>
      </w:pPr>
      <w:r>
        <w:rPr/>
        <w:t>19.06.2015. године остварен је приход у износу од 861 хиљаде динара по основу таксе за раскопавање јавне површине и у износу од 775 хиљада динара по основу таксе за полагање такси</w:t>
      </w:r>
      <w:r>
        <w:rPr>
          <w:spacing w:val="-4"/>
        </w:rPr>
        <w:t> </w:t>
      </w:r>
      <w:r>
        <w:rPr/>
        <w:t>испита</w:t>
      </w:r>
      <w:r>
        <w:rPr>
          <w:rFonts w:ascii="Times New Roman" w:hAnsi="Times New Roman"/>
        </w:rPr>
        <w:t>.</w:t>
      </w:r>
    </w:p>
    <w:p>
      <w:pPr>
        <w:pStyle w:val="BodyText"/>
        <w:spacing w:line="240" w:lineRule="auto"/>
        <w:ind w:left="702" w:right="0"/>
        <w:jc w:val="center"/>
      </w:pPr>
      <w:r>
        <w:rPr>
          <w:rFonts w:ascii="Times New Roman" w:hAnsi="Times New Roman"/>
        </w:rPr>
      </w:r>
      <w:r>
        <w:rPr>
          <w:rFonts w:ascii="Times New Roman" w:hAnsi="Times New Roman"/>
          <w:spacing w:val="-60"/>
          <w:u w:val="single" w:color="000000"/>
        </w:rPr>
        <w:t> </w:t>
      </w:r>
      <w:r>
        <w:rPr>
          <w:u w:val="single" w:color="000000"/>
        </w:rPr>
        <w:t>Приходи  од  новчаних  казни за прекршаје, предвиђене прописима о </w:t>
      </w:r>
      <w:r>
        <w:rPr>
          <w:spacing w:val="29"/>
          <w:u w:val="single" w:color="000000"/>
        </w:rPr>
        <w:t> </w:t>
      </w:r>
      <w:r>
        <w:rPr>
          <w:u w:val="single" w:color="000000"/>
        </w:rPr>
        <w:t>безбедности</w:t>
      </w:r>
      <w:r>
        <w:rPr/>
      </w:r>
    </w:p>
    <w:p>
      <w:pPr>
        <w:pStyle w:val="BodyText"/>
        <w:spacing w:line="240" w:lineRule="auto"/>
        <w:ind w:right="174"/>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саобраћаја на путевима (уплатни рачун 743324) </w:t>
      </w:r>
      <w:r>
        <w:rPr/>
        <w:t>– У току буџетске 2014. године, </w:t>
      </w:r>
      <w:r>
        <w:rPr/>
        <w:t>остварени су приходи од новчаних казни за прекршаје у износу од 39.380 хиљада динара. Савет за безбедност саобраћаја града Ниша је донео 27.01.2014. године Програм коришћења средстава за унапређење безбедности саобраћаја на територији града Ниша за 2014. годину којим није предвидео коришћење средстава за поправљање саобраћајне инфраструктуре. Средства остварена по основу прихода од новчаних казни за  саобраћајне прекршаје су искоришћена за поправљање саобраћајне инфраструктуре у износу од 35.116 хиљада динара, а 4.264 хиљаде динара сходно наведеном</w:t>
      </w:r>
      <w:r>
        <w:rPr>
          <w:spacing w:val="-24"/>
        </w:rPr>
        <w:t> </w:t>
      </w:r>
      <w:r>
        <w:rPr/>
        <w:t>Програму.</w:t>
      </w:r>
    </w:p>
    <w:p>
      <w:pPr>
        <w:spacing w:line="276" w:lineRule="exact" w:before="3"/>
        <w:ind w:left="160" w:right="174" w:firstLine="719"/>
        <w:jc w:val="both"/>
        <w:rPr>
          <w:rFonts w:ascii="Times New Roman" w:hAnsi="Times New Roman" w:cs="Times New Roman" w:eastAsia="Times New Roman" w:hint="default"/>
          <w:sz w:val="16"/>
          <w:szCs w:val="16"/>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Програм коришћења средстава за унапређење безбедности саобраћаја на територији града Ниша за 2014. годину није донет у складу са чланом 19. Закона о безбедности саобраћаја на путевима.</w:t>
      </w:r>
      <w:r>
        <w:rPr>
          <w:rFonts w:ascii="Times New Roman" w:hAnsi="Times New Roman"/>
          <w:position w:val="11"/>
          <w:sz w:val="16"/>
        </w:rPr>
        <w:t>45</w:t>
      </w:r>
      <w:r>
        <w:rPr>
          <w:rFonts w:ascii="Times New Roman" w:hAnsi="Times New Roman"/>
          <w:sz w:val="16"/>
        </w:rPr>
      </w:r>
    </w:p>
    <w:p>
      <w:pPr>
        <w:pStyle w:val="Heading2"/>
        <w:spacing w:line="240" w:lineRule="auto" w:before="1"/>
        <w:ind w:right="174" w:firstLine="719"/>
        <w:jc w:val="both"/>
        <w:rPr>
          <w:b w:val="0"/>
          <w:bCs w:val="0"/>
          <w:i w:val="0"/>
        </w:rPr>
      </w:pPr>
      <w:r>
        <w:rPr>
          <w:i/>
        </w:rPr>
        <w:t>Препоручује се одговорним лицима да Програмом коришћења средстава за унапређење безбедности саобраћаја обухвате целокупан износ прихода од новчаних казни за прекршаје предвиђене прописима о безбедности саобраћаја на</w:t>
      </w:r>
      <w:r>
        <w:rPr>
          <w:i/>
          <w:spacing w:val="-20"/>
        </w:rPr>
        <w:t> </w:t>
      </w:r>
      <w:r>
        <w:rPr>
          <w:i/>
        </w:rPr>
        <w:t>путевима</w:t>
      </w:r>
      <w:r>
        <w:rPr>
          <w:b w:val="0"/>
          <w:i w:val="0"/>
        </w:rPr>
      </w:r>
    </w:p>
    <w:p>
      <w:pPr>
        <w:pStyle w:val="BodyText"/>
        <w:spacing w:line="271" w:lineRule="exact"/>
        <w:ind w:left="726" w:right="141"/>
        <w:jc w:val="left"/>
      </w:pPr>
      <w:r>
        <w:rPr>
          <w:rFonts w:ascii="Times New Roman" w:hAnsi="Times New Roman"/>
        </w:rPr>
      </w:r>
      <w:r>
        <w:rPr>
          <w:rFonts w:ascii="Times New Roman" w:hAnsi="Times New Roman"/>
          <w:spacing w:val="-60"/>
          <w:u w:val="single" w:color="000000"/>
        </w:rPr>
        <w:t> </w:t>
      </w:r>
      <w:r>
        <w:rPr>
          <w:u w:val="single" w:color="000000"/>
        </w:rPr>
        <w:t>Приходи  од  новчаних  казни  изречених  у  прекршајном  поступку  за   </w:t>
      </w:r>
      <w:r>
        <w:rPr>
          <w:spacing w:val="27"/>
          <w:u w:val="single" w:color="000000"/>
        </w:rPr>
        <w:t> </w:t>
      </w:r>
      <w:r>
        <w:rPr>
          <w:u w:val="single" w:color="000000"/>
        </w:rPr>
        <w:t>прекршаје</w:t>
      </w:r>
      <w:r>
        <w:rPr/>
      </w:r>
    </w:p>
    <w:p>
      <w:pPr>
        <w:pStyle w:val="BodyText"/>
        <w:spacing w:line="240" w:lineRule="auto"/>
        <w:ind w:right="175"/>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прописане актом Скупштине града, као и одузета имовинска корист у том поступку </w:t>
      </w:r>
      <w:r>
        <w:rPr/>
      </w:r>
      <w:r>
        <w:rPr/>
      </w:r>
      <w:r>
        <w:rPr>
          <w:rFonts w:ascii="Times New Roman" w:hAnsi="Times New Roman" w:cs="Times New Roman" w:eastAsia="Times New Roman" w:hint="default"/>
        </w:rPr>
      </w:r>
      <w:r>
        <w:rPr>
          <w:rFonts w:ascii="Times New Roman" w:hAnsi="Times New Roman" w:cs="Times New Roman" w:eastAsia="Times New Roman" w:hint="default"/>
          <w:u w:val="single" w:color="000000"/>
        </w:rPr>
        <w:t>(</w:t>
      </w:r>
      <w:r>
        <w:rPr>
          <w:u w:val="single" w:color="000000"/>
        </w:rPr>
        <w:t>уплатни рачун </w:t>
      </w:r>
      <w:r>
        <w:rPr>
          <w:rFonts w:ascii="Times New Roman" w:hAnsi="Times New Roman" w:cs="Times New Roman" w:eastAsia="Times New Roman" w:hint="default"/>
          <w:u w:val="single" w:color="000000"/>
        </w:rPr>
        <w:t>743341) </w:t>
      </w:r>
      <w:r>
        <w:rPr>
          <w:rFonts w:ascii="Times New Roman" w:hAnsi="Times New Roman" w:cs="Times New Roman" w:eastAsia="Times New Roman" w:hint="default"/>
        </w:rPr>
      </w:r>
      <w:r>
        <w:rPr/>
        <w:t>– У 2014. години град Ниш је остварио приход у износу од 6.965 хиљада динара. Одлуком о утврђивању прихода који припадају граду, односно градским општинама и распореду трансферних средстава из буџета града Ниша градским општинама у 2014. години предвиђено је да градским општинама припадају приходи од новчаних казни изречених у прекршајном поступку за прекршаје прописане актом Скупштине општине, као и одузета имовинска корист у том</w:t>
      </w:r>
      <w:r>
        <w:rPr>
          <w:spacing w:val="-32"/>
        </w:rPr>
        <w:t> </w:t>
      </w:r>
      <w:r>
        <w:rPr/>
        <w:t>поступку.</w:t>
      </w:r>
    </w:p>
    <w:p>
      <w:pPr>
        <w:pStyle w:val="BodyText"/>
        <w:spacing w:line="240" w:lineRule="auto"/>
        <w:ind w:left="726" w:right="141"/>
        <w:jc w:val="left"/>
      </w:pPr>
      <w:r>
        <w:rPr>
          <w:rFonts w:ascii="Times New Roman" w:hAnsi="Times New Roman"/>
        </w:rPr>
      </w:r>
      <w:r>
        <w:rPr>
          <w:rFonts w:ascii="Times New Roman" w:hAnsi="Times New Roman"/>
          <w:spacing w:val="-60"/>
          <w:u w:val="single" w:color="000000"/>
        </w:rPr>
        <w:t> </w:t>
      </w:r>
      <w:r>
        <w:rPr>
          <w:u w:val="single" w:color="000000"/>
        </w:rPr>
        <w:t>Текући добровољни трансфери од физичких и правних лица у корист нивоа</w:t>
      </w:r>
      <w:r>
        <w:rPr>
          <w:spacing w:val="15"/>
          <w:u w:val="single" w:color="000000"/>
        </w:rPr>
        <w:t> </w:t>
      </w:r>
      <w:r>
        <w:rPr>
          <w:u w:val="single" w:color="000000"/>
        </w:rPr>
        <w:t>градова</w:t>
      </w:r>
      <w:r>
        <w:rPr/>
      </w:r>
    </w:p>
    <w:p>
      <w:pPr>
        <w:pStyle w:val="BodyText"/>
        <w:spacing w:line="240" w:lineRule="auto"/>
        <w:ind w:right="173"/>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(уплатни рачун 744141) </w:t>
      </w:r>
      <w:r>
        <w:rPr/>
        <w:t>– У 2014. години град Ниш остварио је приход у износу од 9.089 </w:t>
      </w:r>
      <w:r>
        <w:rPr/>
        <w:t>хиљада динара. Наведени приход је остварен на основу Одлуке Скупштине града Ниша број 06</w:t>
      </w:r>
      <w:r>
        <w:rPr>
          <w:rFonts w:ascii="Times New Roman" w:hAnsi="Times New Roman" w:cs="Times New Roman" w:eastAsia="Times New Roman" w:hint="default"/>
        </w:rPr>
        <w:t>-762/2013-11-</w:t>
      </w:r>
      <w:r>
        <w:rPr/>
        <w:t>02 од 18.12.2013. године о сарадњи града Ниша са Основним јавним тужилаштвом у Нишу. Протокол о сарадњи између града Ниша и Основног јавног тужилаштва у Нишу, није потписан од стране потписника, а њиме је регулисана сарадња на начин да се добровољне уплате осумњичених лица, којима се одлаже кривично гоњење, сходно Законику о кривичном поступку, усмеравају на уплатни рачун града Ниша, а ради расподеле наменских средстава хуманитарним организацијама, фондовима или јавним установама на територији града</w:t>
      </w:r>
      <w:r>
        <w:rPr>
          <w:spacing w:val="-16"/>
        </w:rPr>
        <w:t> </w:t>
      </w:r>
      <w:r>
        <w:rPr/>
        <w:t>Ниша.</w:t>
      </w:r>
    </w:p>
    <w:p>
      <w:pPr>
        <w:pStyle w:val="BodyText"/>
        <w:spacing w:line="240" w:lineRule="auto"/>
        <w:ind w:right="178" w:firstLine="566"/>
        <w:jc w:val="both"/>
        <w:rPr>
          <w:rFonts w:ascii="Times New Roman" w:hAnsi="Times New Roman" w:cs="Times New Roman" w:eastAsia="Times New Roman" w:hint="default"/>
        </w:rPr>
      </w:pPr>
      <w:r>
        <w:rPr/>
        <w:t>У поступку ревизије, дана 18.08.2015. године град Ниш је обезбедио потписан Протокол о</w:t>
      </w:r>
      <w:r>
        <w:rPr>
          <w:spacing w:val="-2"/>
        </w:rPr>
        <w:t> </w:t>
      </w:r>
      <w:r>
        <w:rPr/>
        <w:t>сарадњи</w:t>
      </w:r>
      <w:r>
        <w:rPr>
          <w:rFonts w:ascii="Times New Roman" w:hAnsi="Times New Roman"/>
        </w:rPr>
        <w:t>.</w:t>
      </w:r>
    </w:p>
    <w:p>
      <w:pPr>
        <w:pStyle w:val="BodyText"/>
        <w:spacing w:line="240" w:lineRule="auto"/>
        <w:ind w:right="173" w:firstLine="566"/>
        <w:jc w:val="both"/>
      </w:pPr>
      <w:r>
        <w:rPr>
          <w:rFonts w:ascii="Times New Roman" w:hAnsi="Times New Roman"/>
        </w:rPr>
      </w:r>
      <w:r>
        <w:rPr>
          <w:rFonts w:ascii="Times New Roman" w:hAnsi="Times New Roman"/>
          <w:spacing w:val="-60"/>
          <w:u w:val="single" w:color="000000"/>
        </w:rPr>
        <w:t> </w:t>
      </w:r>
      <w:r>
        <w:rPr>
          <w:u w:val="single" w:color="000000"/>
        </w:rPr>
        <w:t>Остали приходи у корист нивоа градова (уплатни рачун 745141) </w:t>
      </w:r>
      <w:r>
        <w:rPr/>
      </w:r>
      <w:r>
        <w:rPr>
          <w:rFonts w:ascii="Times New Roman" w:hAnsi="Times New Roman"/>
        </w:rPr>
        <w:t>- </w:t>
      </w:r>
      <w:r>
        <w:rPr/>
        <w:t>У 2014. години град Ниш је остварио приход у износу од 130.096 хиљада динара. Наведени приход остварен је по основу</w:t>
      </w:r>
      <w:r>
        <w:rPr>
          <w:rFonts w:ascii="Times New Roman" w:hAnsi="Times New Roman"/>
        </w:rPr>
        <w:t>: </w:t>
      </w:r>
      <w:r>
        <w:rPr/>
        <w:t>закупа стубова уличне расвете, који прати ЈП Дирекција за изградњу града Ниша; наплате накнаде за ознаку (налепницу) за категорију смештаја; рефактурисаних комуналних трошкова; накнаде за рушење нелегално саграђених објеката; преноса стања са рачуна боловања и</w:t>
      </w:r>
      <w:r>
        <w:rPr>
          <w:spacing w:val="-12"/>
        </w:rPr>
        <w:t> </w:t>
      </w:r>
      <w:r>
        <w:rPr/>
        <w:t>друго.</w:t>
      </w:r>
    </w:p>
    <w:p>
      <w:pPr>
        <w:spacing w:line="240" w:lineRule="auto" w:before="9"/>
        <w:rPr>
          <w:rFonts w:ascii="Times New Roman" w:hAnsi="Times New Roman" w:cs="Times New Roman" w:eastAsia="Times New Roman" w:hint="default"/>
          <w:sz w:val="15"/>
          <w:szCs w:val="15"/>
        </w:rPr>
      </w:pPr>
      <w:r>
        <w:rPr/>
        <w:pict>
          <v:group style="position:absolute;margin-left:78.024002pt;margin-top:10.304309pt;width:144.050pt;height:.1pt;mso-position-horizontal-relative:page;mso-position-vertical-relative:paragraph;z-index:1528;mso-wrap-distance-left:0;mso-wrap-distance-right:0" coordorigin="1560,206" coordsize="2881,2">
            <v:shape style="position:absolute;left:1560;top:206;width:2881;height:2" coordorigin="1560,206" coordsize="2881,0" path="m1560,206l4441,206e" filled="false" stroked="true" strokeweight=".599980pt" strokecolor="#000000">
              <v:path arrowok="t"/>
            </v:shape>
            <w10:wrap type="topAndBottom"/>
          </v:group>
        </w:pict>
      </w:r>
    </w:p>
    <w:p>
      <w:pPr>
        <w:spacing w:before="52"/>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45 </w:t>
      </w:r>
      <w:r>
        <w:rPr>
          <w:rFonts w:ascii="Times New Roman" w:hAnsi="Times New Roman" w:cs="Times New Roman" w:eastAsia="Times New Roman" w:hint="default"/>
          <w:sz w:val="16"/>
          <w:szCs w:val="16"/>
        </w:rPr>
        <w:t>„Службени гласник Републике Србије“ број 41/2009, 53/2010,</w:t>
      </w:r>
      <w:r>
        <w:rPr>
          <w:rFonts w:ascii="Times New Roman" w:hAnsi="Times New Roman" w:cs="Times New Roman" w:eastAsia="Times New Roman" w:hint="default"/>
          <w:spacing w:val="-22"/>
          <w:sz w:val="16"/>
          <w:szCs w:val="16"/>
        </w:rPr>
        <w:t> </w:t>
      </w:r>
      <w:r>
        <w:rPr>
          <w:rFonts w:ascii="Times New Roman" w:hAnsi="Times New Roman" w:cs="Times New Roman" w:eastAsia="Times New Roman" w:hint="default"/>
          <w:sz w:val="16"/>
          <w:szCs w:val="16"/>
        </w:rPr>
        <w:t>101/2011</w:t>
      </w:r>
    </w:p>
    <w:p>
      <w:pPr>
        <w:spacing w:after="0"/>
        <w:jc w:val="left"/>
        <w:rPr>
          <w:rFonts w:ascii="Times New Roman" w:hAnsi="Times New Roman" w:cs="Times New Roman" w:eastAsia="Times New Roman" w:hint="default"/>
          <w:sz w:val="16"/>
          <w:szCs w:val="16"/>
        </w:rPr>
        <w:sectPr>
          <w:pgSz w:w="12240" w:h="15840"/>
          <w:pgMar w:header="740" w:footer="1274" w:top="1280" w:bottom="1460" w:left="1400" w:right="1260"/>
        </w:sectPr>
      </w:pPr>
    </w:p>
    <w:p>
      <w:pPr>
        <w:spacing w:before="122"/>
        <w:ind w:left="160" w:right="175"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град Ниш не прати остварене приходе на овом уплатном рачуну, те се</w:t>
      </w:r>
      <w:r>
        <w:rPr>
          <w:rFonts w:ascii="Times New Roman" w:hAnsi="Times New Roman"/>
          <w:sz w:val="24"/>
        </w:rPr>
        <w:t>, </w:t>
      </w:r>
      <w:r>
        <w:rPr>
          <w:rFonts w:ascii="Times New Roman" w:hAnsi="Times New Roman"/>
          <w:sz w:val="24"/>
        </w:rPr>
        <w:t>у поступку ревизије није могао утврдити у потпуности основ по коме је наведени приход</w:t>
      </w:r>
      <w:r>
        <w:rPr>
          <w:rFonts w:ascii="Times New Roman" w:hAnsi="Times New Roman"/>
          <w:spacing w:val="-19"/>
          <w:sz w:val="24"/>
        </w:rPr>
        <w:t> </w:t>
      </w:r>
      <w:r>
        <w:rPr>
          <w:rFonts w:ascii="Times New Roman" w:hAnsi="Times New Roman"/>
          <w:sz w:val="24"/>
        </w:rPr>
        <w:t>остварен.</w:t>
      </w:r>
    </w:p>
    <w:p>
      <w:pPr>
        <w:pStyle w:val="Heading2"/>
        <w:spacing w:line="240" w:lineRule="auto"/>
        <w:ind w:right="177"/>
        <w:jc w:val="both"/>
        <w:rPr>
          <w:b w:val="0"/>
          <w:bCs w:val="0"/>
          <w:i w:val="0"/>
        </w:rPr>
      </w:pPr>
      <w:r>
        <w:rPr>
          <w:i/>
        </w:rPr>
        <w:t>Препоручује се одговорним лицима да прате остварење прихода и за сваки приход обезбеде</w:t>
      </w:r>
      <w:r>
        <w:rPr>
          <w:i/>
          <w:spacing w:val="-4"/>
        </w:rPr>
        <w:t> </w:t>
      </w:r>
      <w:r>
        <w:rPr>
          <w:i/>
        </w:rPr>
        <w:t>основ.</w:t>
      </w:r>
      <w:r>
        <w:rPr>
          <w:b w:val="0"/>
          <w:i w:val="0"/>
        </w:rPr>
      </w:r>
    </w:p>
    <w:p>
      <w:pPr>
        <w:pStyle w:val="BodyText"/>
        <w:spacing w:line="271" w:lineRule="exact"/>
        <w:ind w:left="726" w:right="141"/>
        <w:jc w:val="left"/>
      </w:pPr>
      <w:r>
        <w:rPr>
          <w:rFonts w:ascii="Times New Roman" w:hAnsi="Times New Roman"/>
        </w:rPr>
      </w:r>
      <w:r>
        <w:rPr>
          <w:rFonts w:ascii="Times New Roman" w:hAnsi="Times New Roman"/>
          <w:spacing w:val="-60"/>
          <w:u w:val="single" w:color="000000"/>
        </w:rPr>
        <w:t> </w:t>
      </w:r>
      <w:r>
        <w:rPr>
          <w:u w:val="single" w:color="000000"/>
        </w:rPr>
        <w:t>Део</w:t>
      </w:r>
      <w:r>
        <w:rPr>
          <w:spacing w:val="37"/>
          <w:u w:val="single" w:color="000000"/>
        </w:rPr>
        <w:t> </w:t>
      </w:r>
      <w:r>
        <w:rPr>
          <w:u w:val="single" w:color="000000"/>
        </w:rPr>
        <w:t>добити</w:t>
      </w:r>
      <w:r>
        <w:rPr>
          <w:spacing w:val="36"/>
          <w:u w:val="single" w:color="000000"/>
        </w:rPr>
        <w:t> </w:t>
      </w:r>
      <w:r>
        <w:rPr>
          <w:u w:val="single" w:color="000000"/>
        </w:rPr>
        <w:t>јавног</w:t>
      </w:r>
      <w:r>
        <w:rPr>
          <w:spacing w:val="37"/>
          <w:u w:val="single" w:color="000000"/>
        </w:rPr>
        <w:t> </w:t>
      </w:r>
      <w:r>
        <w:rPr>
          <w:u w:val="single" w:color="000000"/>
        </w:rPr>
        <w:t>предузећа,</w:t>
      </w:r>
      <w:r>
        <w:rPr>
          <w:spacing w:val="37"/>
          <w:u w:val="single" w:color="000000"/>
        </w:rPr>
        <w:t> </w:t>
      </w:r>
      <w:r>
        <w:rPr>
          <w:u w:val="single" w:color="000000"/>
        </w:rPr>
        <w:t>према</w:t>
      </w:r>
      <w:r>
        <w:rPr>
          <w:spacing w:val="36"/>
          <w:u w:val="single" w:color="000000"/>
        </w:rPr>
        <w:t> </w:t>
      </w:r>
      <w:r>
        <w:rPr>
          <w:u w:val="single" w:color="000000"/>
        </w:rPr>
        <w:t>одлуци</w:t>
      </w:r>
      <w:r>
        <w:rPr>
          <w:spacing w:val="38"/>
          <w:u w:val="single" w:color="000000"/>
        </w:rPr>
        <w:t> </w:t>
      </w:r>
      <w:r>
        <w:rPr>
          <w:u w:val="single" w:color="000000"/>
        </w:rPr>
        <w:t>управног</w:t>
      </w:r>
      <w:r>
        <w:rPr>
          <w:spacing w:val="37"/>
          <w:u w:val="single" w:color="000000"/>
        </w:rPr>
        <w:t> </w:t>
      </w:r>
      <w:r>
        <w:rPr>
          <w:u w:val="single" w:color="000000"/>
        </w:rPr>
        <w:t>одбора</w:t>
      </w:r>
      <w:r>
        <w:rPr>
          <w:spacing w:val="37"/>
          <w:u w:val="single" w:color="000000"/>
        </w:rPr>
        <w:t> </w:t>
      </w:r>
      <w:r>
        <w:rPr>
          <w:u w:val="single" w:color="000000"/>
        </w:rPr>
        <w:t>јавног</w:t>
      </w:r>
      <w:r>
        <w:rPr>
          <w:spacing w:val="37"/>
          <w:u w:val="single" w:color="000000"/>
        </w:rPr>
        <w:t> </w:t>
      </w:r>
      <w:r>
        <w:rPr>
          <w:u w:val="single" w:color="000000"/>
        </w:rPr>
        <w:t>предузећа,</w:t>
      </w:r>
      <w:r>
        <w:rPr>
          <w:spacing w:val="42"/>
          <w:u w:val="single" w:color="000000"/>
        </w:rPr>
        <w:t> </w:t>
      </w:r>
      <w:r>
        <w:rPr>
          <w:spacing w:val="6"/>
          <w:u w:val="single" w:color="000000"/>
        </w:rPr>
        <w:t>у</w:t>
      </w:r>
      <w:r>
        <w:rPr>
          <w:spacing w:val="6"/>
        </w:rPr>
      </w:r>
      <w:r>
        <w:rPr/>
      </w:r>
    </w:p>
    <w:p>
      <w:pPr>
        <w:pStyle w:val="BodyText"/>
        <w:spacing w:line="240" w:lineRule="auto"/>
        <w:ind w:right="177"/>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корист нивоа градова (уплатни рачун </w:t>
      </w:r>
      <w:r>
        <w:rPr>
          <w:rFonts w:ascii="Times New Roman" w:hAnsi="Times New Roman" w:cs="Times New Roman" w:eastAsia="Times New Roman" w:hint="default"/>
          <w:u w:val="single" w:color="000000"/>
        </w:rPr>
        <w:t>745143) </w:t>
      </w:r>
      <w:r>
        <w:rPr>
          <w:rFonts w:ascii="Times New Roman" w:hAnsi="Times New Roman" w:cs="Times New Roman" w:eastAsia="Times New Roman" w:hint="default"/>
        </w:rPr>
      </w:r>
      <w:r>
        <w:rPr/>
        <w:t>– Град Ниш је у 2014. години остварио приход  у  износу  од  1.200  хиљада  динара  на  основу  Одлуке  надзорног  одбора  </w:t>
      </w:r>
      <w:r>
        <w:rPr>
          <w:spacing w:val="32"/>
        </w:rPr>
        <w:t> </w:t>
      </w:r>
      <w:r>
        <w:rPr/>
        <w:t>ЈКП</w:t>
      </w:r>
    </w:p>
    <w:p>
      <w:pPr>
        <w:pStyle w:val="BodyText"/>
        <w:spacing w:line="240" w:lineRule="auto"/>
        <w:ind w:right="181"/>
        <w:jc w:val="both"/>
        <w:rPr>
          <w:rFonts w:ascii="Times New Roman" w:hAnsi="Times New Roman" w:cs="Times New Roman" w:eastAsia="Times New Roman" w:hint="default"/>
        </w:rPr>
      </w:pPr>
      <w:r>
        <w:rPr/>
        <w:t>„Обједињена наплата“ Ниш број 00</w:t>
      </w:r>
      <w:r>
        <w:rPr>
          <w:rFonts w:ascii="Times New Roman" w:hAnsi="Times New Roman" w:cs="Times New Roman" w:eastAsia="Times New Roman" w:hint="default"/>
        </w:rPr>
        <w:t>-</w:t>
      </w:r>
      <w:r>
        <w:rPr/>
        <w:t>2219 од 07.04.2014. године којом се врши расподела добити ЈКП „Обједињена наплата“ Ниш остварена у 2013.</w:t>
      </w:r>
      <w:r>
        <w:rPr>
          <w:spacing w:val="-11"/>
        </w:rPr>
        <w:t> </w:t>
      </w:r>
      <w:r>
        <w:rPr/>
        <w:t>години</w:t>
      </w:r>
      <w:r>
        <w:rPr>
          <w:rFonts w:ascii="Times New Roman" w:hAnsi="Times New Roman" w:cs="Times New Roman" w:eastAsia="Times New Roman" w:hint="default"/>
        </w:rPr>
        <w:t>.</w:t>
      </w:r>
    </w:p>
    <w:p>
      <w:pPr>
        <w:pStyle w:val="BodyText"/>
        <w:spacing w:line="240" w:lineRule="auto"/>
        <w:ind w:right="179" w:firstLine="566"/>
        <w:jc w:val="both"/>
      </w:pPr>
      <w:r>
        <w:rPr/>
        <w:t>ЈКП „Паркинг сервис“ Ниш је остварио добит у 2013. години у износу од </w:t>
      </w:r>
      <w:r>
        <w:rPr>
          <w:rFonts w:ascii="Times New Roman" w:hAnsi="Times New Roman" w:cs="Times New Roman" w:eastAsia="Times New Roman" w:hint="default"/>
        </w:rPr>
        <w:t>7.550 </w:t>
      </w:r>
      <w:r>
        <w:rPr/>
        <w:t>хиљада динара и исту је Надзорни одбор расподелио Одлуком број 1857/14 од  26.07.2014. године у износу од 3.775 хиљада динара за повећање капитала, а 3.775  хиљада динара за уплате оснивачу. Скупштина града је на наведену Одлуку дала сагласност 14.10.2014. године. Део добити за 2013. годину није</w:t>
      </w:r>
      <w:r>
        <w:rPr>
          <w:spacing w:val="-17"/>
        </w:rPr>
        <w:t> </w:t>
      </w:r>
      <w:r>
        <w:rPr/>
        <w:t>уплаћен.</w:t>
      </w:r>
    </w:p>
    <w:p>
      <w:pPr>
        <w:pStyle w:val="BodyText"/>
        <w:spacing w:line="240" w:lineRule="auto"/>
        <w:ind w:left="726" w:right="141"/>
        <w:jc w:val="left"/>
      </w:pPr>
      <w:r>
        <w:rPr/>
        <w:t>Добит</w:t>
      </w:r>
      <w:r>
        <w:rPr>
          <w:spacing w:val="23"/>
        </w:rPr>
        <w:t> </w:t>
      </w:r>
      <w:r>
        <w:rPr/>
        <w:t>у</w:t>
      </w:r>
      <w:r>
        <w:rPr>
          <w:spacing w:val="13"/>
        </w:rPr>
        <w:t> </w:t>
      </w:r>
      <w:r>
        <w:rPr/>
        <w:t>2013.</w:t>
      </w:r>
      <w:r>
        <w:rPr>
          <w:spacing w:val="20"/>
        </w:rPr>
        <w:t> </w:t>
      </w:r>
      <w:r>
        <w:rPr/>
        <w:t>години</w:t>
      </w:r>
      <w:r>
        <w:rPr>
          <w:spacing w:val="18"/>
        </w:rPr>
        <w:t> </w:t>
      </w:r>
      <w:r>
        <w:rPr/>
        <w:t>остварили</w:t>
      </w:r>
      <w:r>
        <w:rPr>
          <w:spacing w:val="21"/>
        </w:rPr>
        <w:t> </w:t>
      </w:r>
      <w:r>
        <w:rPr/>
        <w:t>су,</w:t>
      </w:r>
      <w:r>
        <w:rPr>
          <w:spacing w:val="20"/>
        </w:rPr>
        <w:t> </w:t>
      </w:r>
      <w:r>
        <w:rPr/>
        <w:t>а</w:t>
      </w:r>
      <w:r>
        <w:rPr>
          <w:spacing w:val="19"/>
        </w:rPr>
        <w:t> </w:t>
      </w:r>
      <w:r>
        <w:rPr/>
        <w:t>нису</w:t>
      </w:r>
      <w:r>
        <w:rPr>
          <w:spacing w:val="15"/>
        </w:rPr>
        <w:t> </w:t>
      </w:r>
      <w:r>
        <w:rPr/>
        <w:t>донели</w:t>
      </w:r>
      <w:r>
        <w:rPr>
          <w:spacing w:val="21"/>
        </w:rPr>
        <w:t> </w:t>
      </w:r>
      <w:r>
        <w:rPr/>
        <w:t>одлуке</w:t>
      </w:r>
      <w:r>
        <w:rPr>
          <w:spacing w:val="19"/>
        </w:rPr>
        <w:t> </w:t>
      </w:r>
      <w:r>
        <w:rPr/>
        <w:t>о</w:t>
      </w:r>
      <w:r>
        <w:rPr>
          <w:spacing w:val="20"/>
        </w:rPr>
        <w:t> </w:t>
      </w:r>
      <w:r>
        <w:rPr/>
        <w:t>расподели</w:t>
      </w:r>
      <w:r>
        <w:rPr>
          <w:spacing w:val="21"/>
        </w:rPr>
        <w:t> </w:t>
      </w:r>
      <w:r>
        <w:rPr/>
        <w:t>добити:</w:t>
      </w:r>
      <w:r>
        <w:rPr>
          <w:spacing w:val="18"/>
        </w:rPr>
        <w:t> </w:t>
      </w:r>
      <w:r>
        <w:rPr/>
        <w:t>ЈП</w:t>
      </w:r>
    </w:p>
    <w:p>
      <w:pPr>
        <w:pStyle w:val="BodyText"/>
        <w:spacing w:line="240" w:lineRule="auto"/>
        <w:ind w:right="0"/>
        <w:jc w:val="both"/>
      </w:pPr>
      <w:r>
        <w:rPr/>
        <w:t>„Дирекција  за  јавни  превоз  града  Ниша“  Ниш  у  износу  од  1.220  хиљада  динара,</w:t>
      </w:r>
      <w:r>
        <w:rPr>
          <w:spacing w:val="-21"/>
        </w:rPr>
        <w:t> </w:t>
      </w:r>
      <w:r>
        <w:rPr/>
        <w:t>ЈП</w:t>
      </w:r>
    </w:p>
    <w:p>
      <w:pPr>
        <w:pStyle w:val="BodyText"/>
        <w:spacing w:line="240" w:lineRule="auto"/>
        <w:ind w:right="176"/>
        <w:jc w:val="both"/>
      </w:pPr>
      <w:r>
        <w:rPr/>
        <w:t>„Завод за урбанизам“ Ниш у износу од 1.732 хиљаде динара и ЈП „Нишка телевизија“ Ниш у износу од 3.475 хиљада</w:t>
      </w:r>
      <w:r>
        <w:rPr>
          <w:spacing w:val="-8"/>
        </w:rPr>
        <w:t> </w:t>
      </w:r>
      <w:r>
        <w:rPr/>
        <w:t>динара.</w:t>
      </w:r>
    </w:p>
    <w:p>
      <w:pPr>
        <w:pStyle w:val="BodyText"/>
        <w:spacing w:line="240" w:lineRule="auto"/>
        <w:ind w:right="172" w:firstLine="566"/>
        <w:jc w:val="both"/>
      </w:pPr>
      <w:r>
        <w:rPr>
          <w:rFonts w:ascii="Times New Roman" w:hAnsi="Times New Roman" w:cs="Times New Roman" w:eastAsia="Times New Roman" w:hint="default"/>
          <w:b/>
          <w:bCs/>
        </w:rPr>
        <w:t>На основу ревизије узорковане документације утврђено је </w:t>
      </w:r>
      <w:r>
        <w:rPr/>
        <w:t>да је град Ниш мање остварио приход од најмање 3.775 хиљада динара по основу неуплаћеног дела добити од стране ЈКП „Паркинг сервис“ Ниш као и добити остварене у 2013. години за коју нису донели одлуку о расподели ЈП „Дирекција за јавни превоз града Ниша“ Ниш, ЈП „Завод  за урбанизам“ Ниш и ЈП „Нишка телевизија“ Ниш, што је супротно члану 49. Закона о јавним</w:t>
      </w:r>
      <w:r>
        <w:rPr>
          <w:spacing w:val="-10"/>
        </w:rPr>
        <w:t> </w:t>
      </w:r>
      <w:r>
        <w:rPr/>
        <w:t>предузећима.</w:t>
      </w:r>
    </w:p>
    <w:p>
      <w:pPr>
        <w:pStyle w:val="Heading2"/>
        <w:spacing w:line="240" w:lineRule="auto"/>
        <w:ind w:right="186"/>
        <w:jc w:val="both"/>
        <w:rPr>
          <w:rFonts w:ascii="Times New Roman" w:hAnsi="Times New Roman" w:cs="Times New Roman" w:eastAsia="Times New Roman" w:hint="default"/>
          <w:b w:val="0"/>
          <w:bCs w:val="0"/>
          <w:i w:val="0"/>
        </w:rPr>
      </w:pPr>
      <w:r>
        <w:rPr>
          <w:i/>
        </w:rPr>
        <w:t>Препоручује се одговорним лицима да обезбеде да јавна предузећа чији је град оснивач примењују одредбе Закона о јавним предузећима и Одлуке о</w:t>
      </w:r>
      <w:r>
        <w:rPr>
          <w:i/>
          <w:spacing w:val="-18"/>
        </w:rPr>
        <w:t> </w:t>
      </w:r>
      <w:r>
        <w:rPr>
          <w:i/>
        </w:rPr>
        <w:t>оснивању</w:t>
      </w:r>
      <w:r>
        <w:rPr>
          <w:rFonts w:ascii="Times New Roman" w:hAnsi="Times New Roman"/>
          <w:i/>
        </w:rPr>
        <w:t>.</w:t>
      </w:r>
      <w:r>
        <w:rPr>
          <w:rFonts w:ascii="Times New Roman" w:hAnsi="Times New Roman"/>
          <w:b w:val="0"/>
          <w:i w:val="0"/>
        </w:rPr>
      </w:r>
    </w:p>
    <w:p>
      <w:pPr>
        <w:pStyle w:val="ListParagraph"/>
        <w:numPr>
          <w:ilvl w:val="3"/>
          <w:numId w:val="21"/>
        </w:numPr>
        <w:tabs>
          <w:tab w:pos="986" w:val="left" w:leader="none"/>
        </w:tabs>
        <w:spacing w:line="240" w:lineRule="auto" w:before="132" w:after="0"/>
        <w:ind w:left="986" w:right="0" w:hanging="260"/>
        <w:jc w:val="left"/>
        <w:rPr>
          <w:rFonts w:ascii="Times New Roman" w:hAnsi="Times New Roman" w:cs="Times New Roman" w:eastAsia="Times New Roman" w:hint="default"/>
          <w:sz w:val="24"/>
          <w:szCs w:val="24"/>
        </w:rPr>
      </w:pPr>
      <w:r>
        <w:rPr>
          <w:rFonts w:ascii="Times New Roman" w:hAnsi="Times New Roman"/>
          <w:b/>
          <w:sz w:val="24"/>
        </w:rPr>
        <w:t>Донације </w:t>
      </w:r>
      <w:r>
        <w:rPr>
          <w:rFonts w:ascii="Times New Roman" w:hAnsi="Times New Roman"/>
          <w:b/>
          <w:sz w:val="24"/>
        </w:rPr>
        <w:t>- </w:t>
      </w:r>
      <w:r>
        <w:rPr>
          <w:rFonts w:ascii="Times New Roman" w:hAnsi="Times New Roman"/>
          <w:sz w:val="24"/>
        </w:rPr>
        <w:t>У 2014. години град Ниш није остварио приходе по основу</w:t>
      </w:r>
      <w:r>
        <w:rPr>
          <w:rFonts w:ascii="Times New Roman" w:hAnsi="Times New Roman"/>
          <w:spacing w:val="-19"/>
          <w:sz w:val="24"/>
        </w:rPr>
        <w:t> </w:t>
      </w:r>
      <w:r>
        <w:rPr>
          <w:rFonts w:ascii="Times New Roman" w:hAnsi="Times New Roman"/>
          <w:sz w:val="24"/>
        </w:rPr>
        <w:t>донација.</w:t>
      </w:r>
    </w:p>
    <w:p>
      <w:pPr>
        <w:spacing w:before="0"/>
        <w:ind w:left="160" w:right="176"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није евидентиран приход  од  донација  на  девизном  подрачуну  у  износу  од  98.739,62  евра  за </w:t>
      </w:r>
      <w:r>
        <w:rPr>
          <w:rFonts w:ascii="Times New Roman" w:hAnsi="Times New Roman"/>
          <w:spacing w:val="18"/>
          <w:sz w:val="24"/>
        </w:rPr>
        <w:t> </w:t>
      </w:r>
      <w:r>
        <w:rPr>
          <w:rFonts w:ascii="Times New Roman" w:hAnsi="Times New Roman"/>
          <w:sz w:val="24"/>
        </w:rPr>
        <w:t>Пројекат</w:t>
      </w:r>
    </w:p>
    <w:p>
      <w:pPr>
        <w:pStyle w:val="BodyText"/>
        <w:spacing w:line="240" w:lineRule="auto"/>
        <w:ind w:right="174"/>
        <w:jc w:val="both"/>
      </w:pPr>
      <w:r>
        <w:rPr/>
        <w:t>„Имовина локалних самоуправа у процесу ЕУ интеграција“ што по средњем курсу НБС износи у динарској противвредности 11.945 хиљада динара и приход од 2.593 хиљаде динара на наменском подрачуну за Пројекат „Е</w:t>
      </w:r>
      <w:r>
        <w:rPr>
          <w:rFonts w:ascii="Times New Roman" w:hAnsi="Times New Roman" w:cs="Times New Roman" w:eastAsia="Times New Roman" w:hint="default"/>
        </w:rPr>
        <w:t>co-milk</w:t>
      </w:r>
      <w:r>
        <w:rPr/>
        <w:t>“. Скрећемо пажњу да Управа за трезор још увек није почела са вођењем девизних рачуна корисника буџетских средстава. Неправилност је настала као последица недовољно уређеног</w:t>
      </w:r>
      <w:r>
        <w:rPr>
          <w:spacing w:val="-20"/>
        </w:rPr>
        <w:t> </w:t>
      </w:r>
      <w:r>
        <w:rPr/>
        <w:t>система.</w:t>
      </w:r>
    </w:p>
    <w:p>
      <w:pPr>
        <w:pStyle w:val="Heading2"/>
        <w:spacing w:line="240" w:lineRule="auto"/>
        <w:ind w:right="182"/>
        <w:jc w:val="both"/>
        <w:rPr>
          <w:rFonts w:ascii="Times New Roman" w:hAnsi="Times New Roman" w:cs="Times New Roman" w:eastAsia="Times New Roman" w:hint="default"/>
          <w:b w:val="0"/>
          <w:bCs w:val="0"/>
          <w:i w:val="0"/>
        </w:rPr>
      </w:pPr>
      <w:r>
        <w:rPr>
          <w:i/>
        </w:rPr>
        <w:t>Препоручује се одговорним лицима да приходе евидентирају у оствареном износу</w:t>
      </w:r>
      <w:r>
        <w:rPr>
          <w:rFonts w:ascii="Times New Roman" w:hAnsi="Times New Roman"/>
          <w:i/>
        </w:rPr>
        <w:t>.</w:t>
      </w:r>
      <w:r>
        <w:rPr>
          <w:rFonts w:ascii="Times New Roman" w:hAnsi="Times New Roman"/>
          <w:b w:val="0"/>
          <w:i w:val="0"/>
        </w:rPr>
      </w:r>
    </w:p>
    <w:p>
      <w:pPr>
        <w:pStyle w:val="ListParagraph"/>
        <w:numPr>
          <w:ilvl w:val="3"/>
          <w:numId w:val="21"/>
        </w:numPr>
        <w:tabs>
          <w:tab w:pos="1006" w:val="left" w:leader="none"/>
        </w:tabs>
        <w:spacing w:line="240" w:lineRule="auto" w:before="132" w:after="0"/>
        <w:ind w:left="160" w:right="183" w:firstLine="566"/>
        <w:jc w:val="both"/>
        <w:rPr>
          <w:rFonts w:ascii="Times New Roman" w:hAnsi="Times New Roman" w:cs="Times New Roman" w:eastAsia="Times New Roman" w:hint="default"/>
          <w:sz w:val="24"/>
          <w:szCs w:val="24"/>
        </w:rPr>
      </w:pPr>
      <w:r>
        <w:rPr>
          <w:rFonts w:ascii="Times New Roman" w:hAnsi="Times New Roman"/>
          <w:b/>
          <w:sz w:val="24"/>
        </w:rPr>
        <w:t>Трансфери </w:t>
      </w:r>
      <w:r>
        <w:rPr>
          <w:rFonts w:ascii="Times New Roman" w:hAnsi="Times New Roman"/>
          <w:b/>
          <w:sz w:val="24"/>
        </w:rPr>
        <w:t>- </w:t>
      </w:r>
      <w:r>
        <w:rPr>
          <w:rFonts w:ascii="Times New Roman" w:hAnsi="Times New Roman"/>
          <w:sz w:val="24"/>
        </w:rPr>
        <w:t>У 2014. години Град је остварио приходе од трансфера у укупном износу од 900.990 хиљада динара и то од ненаменских трансфера од Републике у корист нивоа градова у износу од 623.997 хиљада динара и текућих наменских трансфера,  у ужем смислу, од Републике у корист нивоа градова у износу од 276.993 хиљаде</w:t>
      </w:r>
      <w:r>
        <w:rPr>
          <w:rFonts w:ascii="Times New Roman" w:hAnsi="Times New Roman"/>
          <w:spacing w:val="-24"/>
          <w:sz w:val="24"/>
        </w:rPr>
        <w:t> </w:t>
      </w:r>
      <w:r>
        <w:rPr>
          <w:rFonts w:ascii="Times New Roman" w:hAnsi="Times New Roman"/>
          <w:sz w:val="24"/>
        </w:rPr>
        <w:t>динара.</w:t>
      </w:r>
    </w:p>
    <w:p>
      <w:pPr>
        <w:pStyle w:val="BodyText"/>
        <w:spacing w:line="240" w:lineRule="auto"/>
        <w:ind w:right="175"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Ненаменски трансфери од Републике у корист нивоа градова (уплатни рачун </w:t>
      </w:r>
      <w:r>
        <w:rPr/>
      </w:r>
      <w:r>
        <w:rPr/>
      </w:r>
      <w:r>
        <w:rPr>
          <w:rFonts w:ascii="Times New Roman" w:hAnsi="Times New Roman" w:cs="Times New Roman" w:eastAsia="Times New Roman" w:hint="default"/>
        </w:rPr>
      </w:r>
      <w:r>
        <w:rPr>
          <w:rFonts w:ascii="Times New Roman" w:hAnsi="Times New Roman" w:cs="Times New Roman" w:eastAsia="Times New Roman" w:hint="default"/>
          <w:u w:val="single" w:color="000000"/>
        </w:rPr>
        <w:t>733141) </w:t>
      </w:r>
      <w:r>
        <w:rPr>
          <w:rFonts w:ascii="Times New Roman" w:hAnsi="Times New Roman" w:cs="Times New Roman" w:eastAsia="Times New Roman" w:hint="default"/>
        </w:rPr>
      </w:r>
      <w:r>
        <w:rPr/>
        <w:t>– Пренета су средства из Републике за редовно финансирање локалне управе – градова у износу од 623.997 хиљада динара. Законом о буџету Републике Србије за </w:t>
      </w:r>
      <w:r>
        <w:rPr>
          <w:spacing w:val="3"/>
        </w:rPr>
        <w:t> </w:t>
      </w:r>
      <w:r>
        <w:rPr/>
        <w:t>2014.</w:t>
      </w:r>
    </w:p>
    <w:p>
      <w:pPr>
        <w:spacing w:after="0" w:line="240" w:lineRule="auto"/>
        <w:jc w:val="both"/>
        <w:sectPr>
          <w:pgSz w:w="12240" w:h="15840"/>
          <w:pgMar w:header="740" w:footer="1274" w:top="1280" w:bottom="1460" w:left="1400" w:right="1260"/>
        </w:sectPr>
      </w:pPr>
    </w:p>
    <w:p>
      <w:pPr>
        <w:pStyle w:val="BodyText"/>
        <w:spacing w:line="240" w:lineRule="auto" w:before="122"/>
        <w:ind w:right="181"/>
        <w:jc w:val="both"/>
      </w:pPr>
      <w:r>
        <w:rPr/>
        <w:t>годину предвиђено је да ненаменски трансфер за град Ниш износи 633.997 хиљада динара.</w:t>
      </w:r>
    </w:p>
    <w:p>
      <w:pPr>
        <w:pStyle w:val="BodyText"/>
        <w:spacing w:line="240" w:lineRule="auto"/>
        <w:ind w:right="141" w:firstLine="566"/>
        <w:jc w:val="left"/>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Текући наменски трансфери, у ужем смислу, од Републике у корист нивоа градова </w:t>
      </w:r>
      <w:r>
        <w:rPr/>
      </w:r>
      <w:r>
        <w:rPr/>
      </w:r>
      <w:r>
        <w:rPr>
          <w:rFonts w:ascii="Times New Roman" w:hAnsi="Times New Roman" w:cs="Times New Roman" w:eastAsia="Times New Roman" w:hint="default"/>
        </w:rPr>
      </w:r>
      <w:r>
        <w:rPr>
          <w:rFonts w:ascii="Times New Roman" w:hAnsi="Times New Roman" w:cs="Times New Roman" w:eastAsia="Times New Roman" w:hint="default"/>
          <w:u w:val="single" w:color="000000"/>
        </w:rPr>
        <w:t>(</w:t>
      </w:r>
      <w:r>
        <w:rPr>
          <w:u w:val="single" w:color="000000"/>
        </w:rPr>
        <w:t>уплатни рачун </w:t>
      </w:r>
      <w:r>
        <w:rPr>
          <w:rFonts w:ascii="Times New Roman" w:hAnsi="Times New Roman" w:cs="Times New Roman" w:eastAsia="Times New Roman" w:hint="default"/>
          <w:u w:val="single" w:color="000000"/>
        </w:rPr>
        <w:t>733144) </w:t>
      </w:r>
      <w:r>
        <w:rPr>
          <w:rFonts w:ascii="Times New Roman" w:hAnsi="Times New Roman" w:cs="Times New Roman" w:eastAsia="Times New Roman" w:hint="default"/>
        </w:rPr>
      </w:r>
      <w:r>
        <w:rPr/>
        <w:t>– Остварени су у износу од 276.993 хиљаде</w:t>
      </w:r>
      <w:r>
        <w:rPr>
          <w:spacing w:val="-22"/>
        </w:rPr>
        <w:t> </w:t>
      </w:r>
      <w:r>
        <w:rPr/>
        <w:t>динара:</w:t>
      </w:r>
    </w:p>
    <w:p>
      <w:pPr>
        <w:pStyle w:val="ListParagraph"/>
        <w:numPr>
          <w:ilvl w:val="0"/>
          <w:numId w:val="22"/>
        </w:numPr>
        <w:tabs>
          <w:tab w:pos="1013" w:val="left" w:leader="none"/>
        </w:tabs>
        <w:spacing w:line="240" w:lineRule="auto" w:before="0" w:after="0"/>
        <w:ind w:left="160" w:right="172" w:firstLine="566"/>
        <w:jc w:val="left"/>
        <w:rPr>
          <w:rFonts w:ascii="Times New Roman" w:hAnsi="Times New Roman" w:cs="Times New Roman" w:eastAsia="Times New Roman" w:hint="default"/>
          <w:sz w:val="24"/>
          <w:szCs w:val="24"/>
        </w:rPr>
      </w:pPr>
      <w:r>
        <w:rPr>
          <w:rFonts w:ascii="Times New Roman" w:hAnsi="Times New Roman"/>
          <w:sz w:val="24"/>
        </w:rPr>
        <w:t>Од Министарства културе и информисања у износу од 21.682 хиљаде динара и  то</w:t>
      </w:r>
      <w:r>
        <w:rPr>
          <w:rFonts w:ascii="Times New Roman" w:hAnsi="Times New Roman"/>
          <w:spacing w:val="39"/>
          <w:sz w:val="24"/>
        </w:rPr>
        <w:t> </w:t>
      </w:r>
      <w:r>
        <w:rPr>
          <w:rFonts w:ascii="Times New Roman" w:hAnsi="Times New Roman"/>
          <w:sz w:val="24"/>
        </w:rPr>
        <w:t>за</w:t>
      </w:r>
      <w:r>
        <w:rPr>
          <w:rFonts w:ascii="Times New Roman" w:hAnsi="Times New Roman"/>
          <w:sz w:val="24"/>
        </w:rPr>
        <w:t>:</w:t>
      </w:r>
      <w:r>
        <w:rPr>
          <w:rFonts w:ascii="Times New Roman" w:hAnsi="Times New Roman"/>
          <w:spacing w:val="40"/>
          <w:sz w:val="24"/>
        </w:rPr>
        <w:t> </w:t>
      </w:r>
      <w:r>
        <w:rPr>
          <w:rFonts w:ascii="Times New Roman" w:hAnsi="Times New Roman"/>
          <w:sz w:val="24"/>
        </w:rPr>
        <w:t>Народни</w:t>
      </w:r>
      <w:r>
        <w:rPr>
          <w:rFonts w:ascii="Times New Roman" w:hAnsi="Times New Roman"/>
          <w:spacing w:val="40"/>
          <w:sz w:val="24"/>
        </w:rPr>
        <w:t> </w:t>
      </w:r>
      <w:r>
        <w:rPr>
          <w:rFonts w:ascii="Times New Roman" w:hAnsi="Times New Roman"/>
          <w:sz w:val="24"/>
        </w:rPr>
        <w:t>музеј</w:t>
      </w:r>
      <w:r>
        <w:rPr>
          <w:rFonts w:ascii="Times New Roman" w:hAnsi="Times New Roman"/>
          <w:spacing w:val="42"/>
          <w:sz w:val="24"/>
        </w:rPr>
        <w:t> </w:t>
      </w:r>
      <w:r>
        <w:rPr>
          <w:rFonts w:ascii="Times New Roman" w:hAnsi="Times New Roman"/>
          <w:sz w:val="24"/>
        </w:rPr>
        <w:t>у</w:t>
      </w:r>
      <w:r>
        <w:rPr>
          <w:rFonts w:ascii="Times New Roman" w:hAnsi="Times New Roman"/>
          <w:spacing w:val="39"/>
          <w:sz w:val="24"/>
        </w:rPr>
        <w:t> </w:t>
      </w:r>
      <w:r>
        <w:rPr>
          <w:rFonts w:ascii="Times New Roman" w:hAnsi="Times New Roman"/>
          <w:sz w:val="24"/>
        </w:rPr>
        <w:t>укупном</w:t>
      </w:r>
      <w:r>
        <w:rPr>
          <w:rFonts w:ascii="Times New Roman" w:hAnsi="Times New Roman"/>
          <w:spacing w:val="38"/>
          <w:sz w:val="24"/>
        </w:rPr>
        <w:t> </w:t>
      </w:r>
      <w:r>
        <w:rPr>
          <w:rFonts w:ascii="Times New Roman" w:hAnsi="Times New Roman"/>
          <w:sz w:val="24"/>
        </w:rPr>
        <w:t>износу</w:t>
      </w:r>
      <w:r>
        <w:rPr>
          <w:rFonts w:ascii="Times New Roman" w:hAnsi="Times New Roman"/>
          <w:spacing w:val="34"/>
          <w:sz w:val="24"/>
        </w:rPr>
        <w:t> </w:t>
      </w:r>
      <w:r>
        <w:rPr>
          <w:rFonts w:ascii="Times New Roman" w:hAnsi="Times New Roman"/>
          <w:sz w:val="24"/>
        </w:rPr>
        <w:t>од</w:t>
      </w:r>
      <w:r>
        <w:rPr>
          <w:rFonts w:ascii="Times New Roman" w:hAnsi="Times New Roman"/>
          <w:spacing w:val="39"/>
          <w:sz w:val="24"/>
        </w:rPr>
        <w:t> </w:t>
      </w:r>
      <w:r>
        <w:rPr>
          <w:rFonts w:ascii="Times New Roman" w:hAnsi="Times New Roman"/>
          <w:sz w:val="24"/>
        </w:rPr>
        <w:t>5.027</w:t>
      </w:r>
      <w:r>
        <w:rPr>
          <w:rFonts w:ascii="Times New Roman" w:hAnsi="Times New Roman"/>
          <w:spacing w:val="39"/>
          <w:sz w:val="24"/>
        </w:rPr>
        <w:t> </w:t>
      </w:r>
      <w:r>
        <w:rPr>
          <w:rFonts w:ascii="Times New Roman" w:hAnsi="Times New Roman"/>
          <w:sz w:val="24"/>
        </w:rPr>
        <w:t>хиљада</w:t>
      </w:r>
      <w:r>
        <w:rPr>
          <w:rFonts w:ascii="Times New Roman" w:hAnsi="Times New Roman"/>
          <w:spacing w:val="38"/>
          <w:sz w:val="24"/>
        </w:rPr>
        <w:t> </w:t>
      </w:r>
      <w:r>
        <w:rPr>
          <w:rFonts w:ascii="Times New Roman" w:hAnsi="Times New Roman"/>
          <w:sz w:val="24"/>
        </w:rPr>
        <w:t>динара,</w:t>
      </w:r>
      <w:r>
        <w:rPr>
          <w:rFonts w:ascii="Times New Roman" w:hAnsi="Times New Roman"/>
          <w:spacing w:val="43"/>
          <w:sz w:val="24"/>
        </w:rPr>
        <w:t> </w:t>
      </w:r>
      <w:r>
        <w:rPr>
          <w:rFonts w:ascii="Times New Roman" w:hAnsi="Times New Roman"/>
          <w:sz w:val="24"/>
        </w:rPr>
        <w:t>Народну</w:t>
      </w:r>
      <w:r>
        <w:rPr>
          <w:rFonts w:ascii="Times New Roman" w:hAnsi="Times New Roman"/>
          <w:spacing w:val="34"/>
          <w:sz w:val="24"/>
        </w:rPr>
        <w:t> </w:t>
      </w:r>
      <w:r>
        <w:rPr>
          <w:rFonts w:ascii="Times New Roman" w:hAnsi="Times New Roman"/>
          <w:sz w:val="24"/>
        </w:rPr>
        <w:t>библиотеку</w:t>
      </w:r>
    </w:p>
    <w:p>
      <w:pPr>
        <w:pStyle w:val="BodyText"/>
        <w:spacing w:line="240" w:lineRule="auto"/>
        <w:ind w:right="177"/>
        <w:jc w:val="both"/>
      </w:pPr>
      <w:r>
        <w:rPr/>
        <w:t>„Стеван Сремац“ у износу од 420 хиљада динара</w:t>
      </w:r>
      <w:r>
        <w:rPr>
          <w:rFonts w:ascii="Times New Roman" w:hAnsi="Times New Roman" w:cs="Times New Roman" w:eastAsia="Times New Roman" w:hint="default"/>
        </w:rPr>
        <w:t>, </w:t>
      </w:r>
      <w:r>
        <w:rPr/>
        <w:t>Позориште лутака у износу од 350 хиљада динара, Галерију савремене ликовне уметности у износу од 5.862 хиљаде динара, Нишки културни центар у износу од 6.</w:t>
      </w:r>
      <w:r>
        <w:rPr>
          <w:rFonts w:ascii="Times New Roman" w:hAnsi="Times New Roman" w:cs="Times New Roman" w:eastAsia="Times New Roman" w:hint="default"/>
        </w:rPr>
        <w:t>5</w:t>
      </w:r>
      <w:r>
        <w:rPr/>
        <w:t>95 хиљада динара, Историјски архив у износу </w:t>
      </w:r>
      <w:r>
        <w:rPr>
          <w:spacing w:val="35"/>
        </w:rPr>
        <w:t> </w:t>
      </w:r>
      <w:r>
        <w:rPr/>
        <w:t>од</w:t>
      </w:r>
    </w:p>
    <w:p>
      <w:pPr>
        <w:pStyle w:val="BodyText"/>
        <w:spacing w:line="240" w:lineRule="auto"/>
        <w:ind w:right="175"/>
        <w:jc w:val="both"/>
        <w:rPr>
          <w:rFonts w:ascii="Times New Roman" w:hAnsi="Times New Roman" w:cs="Times New Roman" w:eastAsia="Times New Roman" w:hint="default"/>
        </w:rPr>
      </w:pPr>
      <w:r>
        <w:rPr/>
        <w:t>176 хиљада динара, Завод за заштиту споменика културе у износу од 3.252 хиљаде динара</w:t>
      </w:r>
      <w:r>
        <w:rPr>
          <w:rFonts w:ascii="Times New Roman" w:hAnsi="Times New Roman"/>
        </w:rPr>
        <w:t>;</w:t>
      </w:r>
    </w:p>
    <w:p>
      <w:pPr>
        <w:pStyle w:val="ListParagraph"/>
        <w:numPr>
          <w:ilvl w:val="0"/>
          <w:numId w:val="22"/>
        </w:numPr>
        <w:tabs>
          <w:tab w:pos="1013" w:val="left" w:leader="none"/>
        </w:tabs>
        <w:spacing w:line="240" w:lineRule="auto" w:before="0" w:after="0"/>
        <w:ind w:left="160" w:right="175"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Од Министарства финансија у износу од 203.750 хиљада динара и то: у износу  од 3.750 хиљада динара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на име помоћи за санирање штета насталих услед елементарне непогоде – поплаве и у износу од 200.000 хиљада динара на име трансфера јединицама локалне самоуправе за извршавање обавеза услед смањеног обима прихода буџета тих јединица локалне</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самоуправе;</w:t>
      </w:r>
    </w:p>
    <w:p>
      <w:pPr>
        <w:pStyle w:val="ListParagraph"/>
        <w:numPr>
          <w:ilvl w:val="0"/>
          <w:numId w:val="22"/>
        </w:numPr>
        <w:tabs>
          <w:tab w:pos="1013" w:val="left" w:leader="none"/>
        </w:tabs>
        <w:spacing w:line="240" w:lineRule="auto" w:before="0" w:after="0"/>
        <w:ind w:left="160" w:right="175" w:firstLine="566"/>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Од Министарства пољопривреде и заштите животне средине – Управе за пољопривредно земљиште у износу од  19.267 хиљада</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динара</w:t>
      </w:r>
      <w:r>
        <w:rPr>
          <w:rFonts w:ascii="Times New Roman" w:hAnsi="Times New Roman" w:cs="Times New Roman" w:eastAsia="Times New Roman" w:hint="default"/>
          <w:sz w:val="24"/>
          <w:szCs w:val="24"/>
        </w:rPr>
        <w:t>;</w:t>
      </w:r>
    </w:p>
    <w:p>
      <w:pPr>
        <w:pStyle w:val="ListParagraph"/>
        <w:numPr>
          <w:ilvl w:val="0"/>
          <w:numId w:val="22"/>
        </w:numPr>
        <w:tabs>
          <w:tab w:pos="1013" w:val="left" w:leader="none"/>
        </w:tabs>
        <w:spacing w:line="240" w:lineRule="auto" w:before="0" w:after="0"/>
        <w:ind w:left="160" w:right="175" w:firstLine="566"/>
        <w:jc w:val="left"/>
        <w:rPr>
          <w:rFonts w:ascii="Times New Roman" w:hAnsi="Times New Roman" w:cs="Times New Roman" w:eastAsia="Times New Roman" w:hint="default"/>
          <w:sz w:val="24"/>
          <w:szCs w:val="24"/>
        </w:rPr>
      </w:pPr>
      <w:r>
        <w:rPr>
          <w:rFonts w:ascii="Times New Roman" w:hAnsi="Times New Roman"/>
          <w:sz w:val="24"/>
        </w:rPr>
        <w:t>Од Комесаријата за избеглице и миграције Републике Србије у износу од 27.</w:t>
      </w:r>
      <w:r>
        <w:rPr>
          <w:rFonts w:ascii="Times New Roman" w:hAnsi="Times New Roman"/>
          <w:sz w:val="24"/>
        </w:rPr>
        <w:t>295 </w:t>
      </w:r>
      <w:r>
        <w:rPr>
          <w:rFonts w:ascii="Times New Roman" w:hAnsi="Times New Roman"/>
          <w:sz w:val="24"/>
        </w:rPr>
        <w:t>хиљада</w:t>
      </w:r>
      <w:r>
        <w:rPr>
          <w:rFonts w:ascii="Times New Roman" w:hAnsi="Times New Roman"/>
          <w:spacing w:val="-3"/>
          <w:sz w:val="24"/>
        </w:rPr>
        <w:t> </w:t>
      </w:r>
      <w:r>
        <w:rPr>
          <w:rFonts w:ascii="Times New Roman" w:hAnsi="Times New Roman"/>
          <w:sz w:val="24"/>
        </w:rPr>
        <w:t>динара</w:t>
      </w:r>
      <w:r>
        <w:rPr>
          <w:rFonts w:ascii="Times New Roman" w:hAnsi="Times New Roman"/>
          <w:sz w:val="24"/>
        </w:rPr>
        <w:t>;</w:t>
      </w:r>
    </w:p>
    <w:p>
      <w:pPr>
        <w:pStyle w:val="ListParagraph"/>
        <w:numPr>
          <w:ilvl w:val="0"/>
          <w:numId w:val="22"/>
        </w:numPr>
        <w:tabs>
          <w:tab w:pos="1013" w:val="left" w:leader="none"/>
        </w:tabs>
        <w:spacing w:line="240" w:lineRule="auto" w:before="0" w:after="0"/>
        <w:ind w:left="1012" w:right="0" w:hanging="286"/>
        <w:jc w:val="left"/>
        <w:rPr>
          <w:rFonts w:ascii="Times New Roman" w:hAnsi="Times New Roman" w:cs="Times New Roman" w:eastAsia="Times New Roman" w:hint="default"/>
          <w:sz w:val="24"/>
          <w:szCs w:val="24"/>
        </w:rPr>
      </w:pPr>
      <w:r>
        <w:rPr>
          <w:rFonts w:ascii="Times New Roman" w:hAnsi="Times New Roman"/>
          <w:sz w:val="24"/>
        </w:rPr>
        <w:t>Од  Министарства  грађевинарства,  саобраћаја  и  инфраструктуре  у  износу  </w:t>
      </w:r>
      <w:r>
        <w:rPr>
          <w:rFonts w:ascii="Times New Roman" w:hAnsi="Times New Roman"/>
          <w:spacing w:val="15"/>
          <w:sz w:val="24"/>
        </w:rPr>
        <w:t> </w:t>
      </w:r>
      <w:r>
        <w:rPr>
          <w:rFonts w:ascii="Times New Roman" w:hAnsi="Times New Roman"/>
          <w:sz w:val="24"/>
        </w:rPr>
        <w:t>од</w:t>
      </w:r>
    </w:p>
    <w:p>
      <w:pPr>
        <w:pStyle w:val="BodyText"/>
        <w:spacing w:line="240" w:lineRule="auto"/>
        <w:ind w:right="177"/>
        <w:jc w:val="both"/>
      </w:pPr>
      <w:r>
        <w:rPr/>
        <w:t>5.000 хиљада динара ради уклањања објекта, односно делова објеката, који се граде или је њихово грађење завршено без грађевинске дозволе, а који су у надлежности локалних самоуправа, на подручју Републике Србије за 2014.</w:t>
      </w:r>
      <w:r>
        <w:rPr>
          <w:spacing w:val="-19"/>
        </w:rPr>
        <w:t> </w:t>
      </w:r>
      <w:r>
        <w:rPr/>
        <w:t>годину.</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Град Ниш није вршио контролу наплате прихода, нити је у тренутку уплате на уплатни рачун био упознат са основом уплате и наменом уплаћених средстава, већ за примљена средства дана 30.04.2014. године за санирање штета насталих услед елементарне непогоде – поплаве сазнао је намену 21.07.2015. године, а за примљена средства дана 25.12.2014. године за извршавање обавеза услед смањеног обима прихода буџета сазнао је намену 26.06.2015. године. Због наведеног је дошло до ненаменског коришћења наменских</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трансфера.</w:t>
      </w:r>
    </w:p>
    <w:p>
      <w:pPr>
        <w:pStyle w:val="ListParagraph"/>
        <w:numPr>
          <w:ilvl w:val="0"/>
          <w:numId w:val="9"/>
        </w:numPr>
        <w:tabs>
          <w:tab w:pos="303" w:val="left" w:leader="none"/>
        </w:tabs>
        <w:spacing w:line="240" w:lineRule="auto" w:before="2" w:after="0"/>
        <w:ind w:left="160" w:right="184" w:firstLine="0"/>
        <w:jc w:val="both"/>
        <w:rPr>
          <w:rFonts w:ascii="Times New Roman" w:hAnsi="Times New Roman" w:cs="Times New Roman" w:eastAsia="Times New Roman" w:hint="default"/>
          <w:sz w:val="24"/>
          <w:szCs w:val="24"/>
        </w:rPr>
      </w:pPr>
      <w:r>
        <w:rPr>
          <w:rFonts w:ascii="Times New Roman" w:hAnsi="Times New Roman"/>
          <w:sz w:val="24"/>
        </w:rPr>
        <w:t>Није евидентиран приход од трансфера у износу од 6.489 хиљада динара за Комесаријат за избеглице и миграције Републике Србије, што је супротно члану 9. Уредбе о буџетском рачуноводству и Правилнику о стандардном класификационом оквиру и контном плану за буџетску</w:t>
      </w:r>
      <w:r>
        <w:rPr>
          <w:rFonts w:ascii="Times New Roman" w:hAnsi="Times New Roman"/>
          <w:spacing w:val="-14"/>
          <w:sz w:val="24"/>
        </w:rPr>
        <w:t> </w:t>
      </w:r>
      <w:r>
        <w:rPr>
          <w:rFonts w:ascii="Times New Roman" w:hAnsi="Times New Roman"/>
          <w:sz w:val="24"/>
        </w:rPr>
        <w:t>систем.</w:t>
      </w:r>
    </w:p>
    <w:p>
      <w:pPr>
        <w:pStyle w:val="Heading2"/>
        <w:spacing w:line="240" w:lineRule="auto"/>
        <w:ind w:right="141"/>
        <w:jc w:val="left"/>
        <w:rPr>
          <w:rFonts w:ascii="Times New Roman" w:hAnsi="Times New Roman" w:cs="Times New Roman" w:eastAsia="Times New Roman" w:hint="default"/>
          <w:b w:val="0"/>
          <w:bCs w:val="0"/>
          <w:i w:val="0"/>
        </w:rPr>
      </w:pPr>
      <w:r>
        <w:rPr>
          <w:i/>
        </w:rPr>
        <w:t>Препоручује се одговорним лицима да врше потпуну и правовремену контролу наплате изворних прихода и да приходе евидентирају у оствареном</w:t>
      </w:r>
      <w:r>
        <w:rPr>
          <w:i/>
          <w:spacing w:val="-21"/>
        </w:rPr>
        <w:t> </w:t>
      </w:r>
      <w:r>
        <w:rPr>
          <w:i/>
        </w:rPr>
        <w:t>износу</w:t>
      </w:r>
      <w:r>
        <w:rPr>
          <w:rFonts w:ascii="Times New Roman" w:hAnsi="Times New Roman"/>
          <w:i/>
        </w:rPr>
        <w:t>.</w:t>
      </w:r>
      <w:r>
        <w:rPr>
          <w:rFonts w:ascii="Times New Roman" w:hAnsi="Times New Roman"/>
          <w:b w:val="0"/>
          <w:i w:val="0"/>
        </w:rPr>
      </w:r>
    </w:p>
    <w:p>
      <w:pPr>
        <w:pStyle w:val="ListParagraph"/>
        <w:numPr>
          <w:ilvl w:val="3"/>
          <w:numId w:val="21"/>
        </w:numPr>
        <w:tabs>
          <w:tab w:pos="1061" w:val="left" w:leader="none"/>
        </w:tabs>
        <w:spacing w:line="240" w:lineRule="auto" w:before="137" w:after="0"/>
        <w:ind w:left="1060" w:right="0" w:hanging="334"/>
        <w:jc w:val="left"/>
        <w:rPr>
          <w:rFonts w:ascii="Times New Roman" w:hAnsi="Times New Roman" w:cs="Times New Roman" w:eastAsia="Times New Roman" w:hint="default"/>
          <w:sz w:val="24"/>
          <w:szCs w:val="24"/>
        </w:rPr>
      </w:pPr>
      <w:r>
        <w:rPr>
          <w:rFonts w:ascii="Times New Roman" w:hAnsi="Times New Roman"/>
          <w:b/>
          <w:sz w:val="24"/>
        </w:rPr>
        <w:t>Коришћење јавних</w:t>
      </w:r>
      <w:r>
        <w:rPr>
          <w:rFonts w:ascii="Times New Roman" w:hAnsi="Times New Roman"/>
          <w:b/>
          <w:spacing w:val="-10"/>
          <w:sz w:val="24"/>
        </w:rPr>
        <w:t> </w:t>
      </w:r>
      <w:r>
        <w:rPr>
          <w:rFonts w:ascii="Times New Roman" w:hAnsi="Times New Roman"/>
          <w:b/>
          <w:sz w:val="24"/>
        </w:rPr>
        <w:t>прихода</w:t>
      </w:r>
      <w:r>
        <w:rPr>
          <w:rFonts w:ascii="Times New Roman" w:hAnsi="Times New Roman"/>
          <w:sz w:val="24"/>
        </w:rPr>
      </w:r>
    </w:p>
    <w:p>
      <w:pPr>
        <w:spacing w:line="275" w:lineRule="exact" w:before="0"/>
        <w:ind w:left="726" w:right="141" w:firstLine="0"/>
        <w:jc w:val="left"/>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w:t>
      </w:r>
      <w:r>
        <w:rPr>
          <w:rFonts w:ascii="Times New Roman" w:hAnsi="Times New Roman"/>
          <w:b/>
          <w:spacing w:val="-16"/>
          <w:sz w:val="24"/>
        </w:rPr>
        <w:t> </w:t>
      </w:r>
      <w:r>
        <w:rPr>
          <w:rFonts w:ascii="Times New Roman" w:hAnsi="Times New Roman"/>
          <w:b/>
          <w:sz w:val="24"/>
        </w:rPr>
        <w:t>је:</w:t>
      </w:r>
      <w:r>
        <w:rPr>
          <w:rFonts w:ascii="Times New Roman" w:hAnsi="Times New Roman"/>
          <w:sz w:val="24"/>
        </w:rPr>
      </w:r>
    </w:p>
    <w:p>
      <w:pPr>
        <w:pStyle w:val="ListParagraph"/>
        <w:numPr>
          <w:ilvl w:val="0"/>
          <w:numId w:val="9"/>
        </w:numPr>
        <w:tabs>
          <w:tab w:pos="303" w:val="left" w:leader="none"/>
        </w:tabs>
        <w:spacing w:line="274" w:lineRule="exact" w:before="20"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Наменска средства остварена по основу јавних прихода нису искоришћена за намене за које су остварена и примљена у укупном износу од </w:t>
      </w:r>
      <w:r>
        <w:rPr>
          <w:rFonts w:ascii="Times New Roman" w:hAnsi="Times New Roman"/>
          <w:sz w:val="24"/>
        </w:rPr>
        <w:t>85.572 </w:t>
      </w:r>
      <w:r>
        <w:rPr>
          <w:rFonts w:ascii="Times New Roman" w:hAnsi="Times New Roman"/>
          <w:sz w:val="24"/>
        </w:rPr>
        <w:t>хиљаде динара</w:t>
      </w:r>
      <w:r>
        <w:rPr>
          <w:rFonts w:ascii="Times New Roman" w:hAnsi="Times New Roman"/>
          <w:sz w:val="24"/>
        </w:rPr>
        <w:t>, </w:t>
      </w:r>
      <w:r>
        <w:rPr>
          <w:rFonts w:ascii="Times New Roman" w:hAnsi="Times New Roman"/>
          <w:sz w:val="24"/>
        </w:rPr>
        <w:t>и</w:t>
      </w:r>
      <w:r>
        <w:rPr>
          <w:rFonts w:ascii="Times New Roman" w:hAnsi="Times New Roman"/>
          <w:spacing w:val="-20"/>
          <w:sz w:val="24"/>
        </w:rPr>
        <w:t> </w:t>
      </w:r>
      <w:r>
        <w:rPr>
          <w:rFonts w:ascii="Times New Roman" w:hAnsi="Times New Roman"/>
          <w:sz w:val="24"/>
        </w:rPr>
        <w:t>то</w:t>
      </w:r>
      <w:r>
        <w:rPr>
          <w:rFonts w:ascii="Times New Roman" w:hAnsi="Times New Roman"/>
          <w:sz w:val="24"/>
        </w:rPr>
        <w:t>:</w:t>
      </w:r>
    </w:p>
    <w:p>
      <w:pPr>
        <w:pStyle w:val="ListParagraph"/>
        <w:numPr>
          <w:ilvl w:val="1"/>
          <w:numId w:val="9"/>
        </w:numPr>
        <w:tabs>
          <w:tab w:pos="869" w:val="left" w:leader="none"/>
        </w:tabs>
        <w:spacing w:line="240" w:lineRule="auto" w:before="0" w:after="0"/>
        <w:ind w:left="160" w:right="176" w:firstLine="566"/>
        <w:jc w:val="left"/>
        <w:rPr>
          <w:rFonts w:ascii="Times New Roman" w:hAnsi="Times New Roman" w:cs="Times New Roman" w:eastAsia="Times New Roman" w:hint="default"/>
          <w:sz w:val="24"/>
          <w:szCs w:val="24"/>
        </w:rPr>
      </w:pPr>
      <w:r>
        <w:rPr>
          <w:rFonts w:ascii="Times New Roman" w:hAnsi="Times New Roman"/>
          <w:sz w:val="24"/>
        </w:rPr>
        <w:t>Приход по основу посебне накнаде за заштиту животне средине у 2014. години је остварен</w:t>
      </w:r>
      <w:r>
        <w:rPr>
          <w:rFonts w:ascii="Times New Roman" w:hAnsi="Times New Roman"/>
          <w:spacing w:val="38"/>
          <w:sz w:val="24"/>
        </w:rPr>
        <w:t> </w:t>
      </w:r>
      <w:r>
        <w:rPr>
          <w:rFonts w:ascii="Times New Roman" w:hAnsi="Times New Roman"/>
          <w:sz w:val="24"/>
        </w:rPr>
        <w:t>у</w:t>
      </w:r>
      <w:r>
        <w:rPr>
          <w:rFonts w:ascii="Times New Roman" w:hAnsi="Times New Roman"/>
          <w:spacing w:val="30"/>
          <w:sz w:val="24"/>
        </w:rPr>
        <w:t> </w:t>
      </w:r>
      <w:r>
        <w:rPr>
          <w:rFonts w:ascii="Times New Roman" w:hAnsi="Times New Roman"/>
          <w:sz w:val="24"/>
        </w:rPr>
        <w:t>износу</w:t>
      </w:r>
      <w:r>
        <w:rPr>
          <w:rFonts w:ascii="Times New Roman" w:hAnsi="Times New Roman"/>
          <w:spacing w:val="29"/>
          <w:sz w:val="24"/>
        </w:rPr>
        <w:t> </w:t>
      </w:r>
      <w:r>
        <w:rPr>
          <w:rFonts w:ascii="Times New Roman" w:hAnsi="Times New Roman"/>
          <w:sz w:val="24"/>
        </w:rPr>
        <w:t>од</w:t>
      </w:r>
      <w:r>
        <w:rPr>
          <w:rFonts w:ascii="Times New Roman" w:hAnsi="Times New Roman"/>
          <w:spacing w:val="37"/>
          <w:sz w:val="24"/>
        </w:rPr>
        <w:t> </w:t>
      </w:r>
      <w:r>
        <w:rPr>
          <w:rFonts w:ascii="Times New Roman" w:hAnsi="Times New Roman"/>
          <w:sz w:val="24"/>
        </w:rPr>
        <w:t>60.232</w:t>
      </w:r>
      <w:r>
        <w:rPr>
          <w:rFonts w:ascii="Times New Roman" w:hAnsi="Times New Roman"/>
          <w:spacing w:val="35"/>
          <w:sz w:val="24"/>
        </w:rPr>
        <w:t> </w:t>
      </w:r>
      <w:r>
        <w:rPr>
          <w:rFonts w:ascii="Times New Roman" w:hAnsi="Times New Roman"/>
          <w:sz w:val="24"/>
        </w:rPr>
        <w:t>хиљаде</w:t>
      </w:r>
      <w:r>
        <w:rPr>
          <w:rFonts w:ascii="Times New Roman" w:hAnsi="Times New Roman"/>
          <w:spacing w:val="34"/>
          <w:sz w:val="24"/>
        </w:rPr>
        <w:t> </w:t>
      </w:r>
      <w:r>
        <w:rPr>
          <w:rFonts w:ascii="Times New Roman" w:hAnsi="Times New Roman"/>
          <w:sz w:val="24"/>
        </w:rPr>
        <w:t>динара.</w:t>
      </w:r>
      <w:r>
        <w:rPr>
          <w:rFonts w:ascii="Times New Roman" w:hAnsi="Times New Roman"/>
          <w:spacing w:val="34"/>
          <w:sz w:val="24"/>
        </w:rPr>
        <w:t> </w:t>
      </w:r>
      <w:r>
        <w:rPr>
          <w:rFonts w:ascii="Times New Roman" w:hAnsi="Times New Roman"/>
          <w:sz w:val="24"/>
        </w:rPr>
        <w:t>У</w:t>
      </w:r>
      <w:r>
        <w:rPr>
          <w:rFonts w:ascii="Times New Roman" w:hAnsi="Times New Roman"/>
          <w:spacing w:val="35"/>
          <w:sz w:val="24"/>
        </w:rPr>
        <w:t> </w:t>
      </w:r>
      <w:r>
        <w:rPr>
          <w:rFonts w:ascii="Times New Roman" w:hAnsi="Times New Roman"/>
          <w:sz w:val="24"/>
        </w:rPr>
        <w:t>току</w:t>
      </w:r>
      <w:r>
        <w:rPr>
          <w:rFonts w:ascii="Times New Roman" w:hAnsi="Times New Roman"/>
          <w:spacing w:val="27"/>
          <w:sz w:val="24"/>
        </w:rPr>
        <w:t> </w:t>
      </w:r>
      <w:r>
        <w:rPr>
          <w:rFonts w:ascii="Times New Roman" w:hAnsi="Times New Roman"/>
          <w:sz w:val="24"/>
        </w:rPr>
        <w:t>2014.</w:t>
      </w:r>
      <w:r>
        <w:rPr>
          <w:rFonts w:ascii="Times New Roman" w:hAnsi="Times New Roman"/>
          <w:spacing w:val="34"/>
          <w:sz w:val="24"/>
        </w:rPr>
        <w:t> </w:t>
      </w:r>
      <w:r>
        <w:rPr>
          <w:rFonts w:ascii="Times New Roman" w:hAnsi="Times New Roman"/>
          <w:sz w:val="24"/>
        </w:rPr>
        <w:t>године</w:t>
      </w:r>
      <w:r>
        <w:rPr>
          <w:rFonts w:ascii="Times New Roman" w:hAnsi="Times New Roman"/>
          <w:spacing w:val="31"/>
          <w:sz w:val="24"/>
        </w:rPr>
        <w:t> </w:t>
      </w:r>
      <w:r>
        <w:rPr>
          <w:rFonts w:ascii="Times New Roman" w:hAnsi="Times New Roman"/>
          <w:sz w:val="24"/>
        </w:rPr>
        <w:t>утрошен</w:t>
      </w:r>
      <w:r>
        <w:rPr>
          <w:rFonts w:ascii="Times New Roman" w:hAnsi="Times New Roman"/>
          <w:spacing w:val="35"/>
          <w:sz w:val="24"/>
        </w:rPr>
        <w:t> </w:t>
      </w:r>
      <w:r>
        <w:rPr>
          <w:rFonts w:ascii="Times New Roman" w:hAnsi="Times New Roman"/>
          <w:sz w:val="24"/>
        </w:rPr>
        <w:t>је</w:t>
      </w:r>
      <w:r>
        <w:rPr>
          <w:rFonts w:ascii="Times New Roman" w:hAnsi="Times New Roman"/>
          <w:spacing w:val="34"/>
          <w:sz w:val="24"/>
        </w:rPr>
        <w:t> </w:t>
      </w:r>
      <w:r>
        <w:rPr>
          <w:rFonts w:ascii="Times New Roman" w:hAnsi="Times New Roman"/>
          <w:sz w:val="24"/>
        </w:rPr>
        <w:t>износ</w:t>
      </w:r>
      <w:r>
        <w:rPr>
          <w:rFonts w:ascii="Times New Roman" w:hAnsi="Times New Roman"/>
          <w:spacing w:val="31"/>
          <w:sz w:val="24"/>
        </w:rPr>
        <w:t> </w:t>
      </w:r>
      <w:r>
        <w:rPr>
          <w:rFonts w:ascii="Times New Roman" w:hAnsi="Times New Roman"/>
          <w:sz w:val="24"/>
        </w:rPr>
        <w:t>од</w:t>
      </w:r>
    </w:p>
    <w:p>
      <w:pPr>
        <w:pStyle w:val="ListParagraph"/>
        <w:numPr>
          <w:ilvl w:val="1"/>
          <w:numId w:val="23"/>
        </w:numPr>
        <w:tabs>
          <w:tab w:pos="917"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хиљада динара по Програму коришћења средстава Буџетског фонда за заштиту животне</w:t>
      </w:r>
      <w:r>
        <w:rPr>
          <w:rFonts w:ascii="Times New Roman" w:hAnsi="Times New Roman"/>
          <w:spacing w:val="25"/>
          <w:sz w:val="24"/>
        </w:rPr>
        <w:t> </w:t>
      </w:r>
      <w:r>
        <w:rPr>
          <w:rFonts w:ascii="Times New Roman" w:hAnsi="Times New Roman"/>
          <w:sz w:val="24"/>
        </w:rPr>
        <w:t>средине</w:t>
      </w:r>
      <w:r>
        <w:rPr>
          <w:rFonts w:ascii="Times New Roman" w:hAnsi="Times New Roman"/>
          <w:spacing w:val="25"/>
          <w:sz w:val="24"/>
        </w:rPr>
        <w:t> </w:t>
      </w:r>
      <w:r>
        <w:rPr>
          <w:rFonts w:ascii="Times New Roman" w:hAnsi="Times New Roman"/>
          <w:sz w:val="24"/>
        </w:rPr>
        <w:t>града</w:t>
      </w:r>
      <w:r>
        <w:rPr>
          <w:rFonts w:ascii="Times New Roman" w:hAnsi="Times New Roman"/>
          <w:spacing w:val="25"/>
          <w:sz w:val="24"/>
        </w:rPr>
        <w:t> </w:t>
      </w:r>
      <w:r>
        <w:rPr>
          <w:rFonts w:ascii="Times New Roman" w:hAnsi="Times New Roman"/>
          <w:sz w:val="24"/>
        </w:rPr>
        <w:t>Ниша</w:t>
      </w:r>
      <w:r>
        <w:rPr>
          <w:rFonts w:ascii="Times New Roman" w:hAnsi="Times New Roman"/>
          <w:spacing w:val="25"/>
          <w:sz w:val="24"/>
        </w:rPr>
        <w:t> </w:t>
      </w:r>
      <w:r>
        <w:rPr>
          <w:rFonts w:ascii="Times New Roman" w:hAnsi="Times New Roman"/>
          <w:sz w:val="24"/>
        </w:rPr>
        <w:t>за</w:t>
      </w:r>
      <w:r>
        <w:rPr>
          <w:rFonts w:ascii="Times New Roman" w:hAnsi="Times New Roman"/>
          <w:spacing w:val="25"/>
          <w:sz w:val="24"/>
        </w:rPr>
        <w:t> </w:t>
      </w:r>
      <w:r>
        <w:rPr>
          <w:rFonts w:ascii="Times New Roman" w:hAnsi="Times New Roman"/>
          <w:sz w:val="24"/>
        </w:rPr>
        <w:t>2014.</w:t>
      </w:r>
      <w:r>
        <w:rPr>
          <w:rFonts w:ascii="Times New Roman" w:hAnsi="Times New Roman"/>
          <w:spacing w:val="29"/>
          <w:sz w:val="24"/>
        </w:rPr>
        <w:t> </w:t>
      </w:r>
      <w:r>
        <w:rPr>
          <w:rFonts w:ascii="Times New Roman" w:hAnsi="Times New Roman"/>
          <w:sz w:val="24"/>
        </w:rPr>
        <w:t>годину</w:t>
      </w:r>
      <w:r>
        <w:rPr>
          <w:rFonts w:ascii="Times New Roman" w:hAnsi="Times New Roman"/>
          <w:spacing w:val="21"/>
          <w:sz w:val="24"/>
        </w:rPr>
        <w:t> </w:t>
      </w:r>
      <w:r>
        <w:rPr>
          <w:rFonts w:ascii="Times New Roman" w:hAnsi="Times New Roman"/>
          <w:sz w:val="24"/>
        </w:rPr>
        <w:t>број</w:t>
      </w:r>
      <w:r>
        <w:rPr>
          <w:rFonts w:ascii="Times New Roman" w:hAnsi="Times New Roman"/>
          <w:spacing w:val="26"/>
          <w:sz w:val="24"/>
        </w:rPr>
        <w:t> </w:t>
      </w:r>
      <w:r>
        <w:rPr>
          <w:rFonts w:ascii="Times New Roman" w:hAnsi="Times New Roman"/>
          <w:sz w:val="24"/>
        </w:rPr>
        <w:t>317</w:t>
      </w:r>
      <w:r>
        <w:rPr>
          <w:rFonts w:ascii="Times New Roman" w:hAnsi="Times New Roman"/>
          <w:sz w:val="24"/>
        </w:rPr>
        <w:t>-6/2014-</w:t>
      </w:r>
      <w:r>
        <w:rPr>
          <w:rFonts w:ascii="Times New Roman" w:hAnsi="Times New Roman"/>
          <w:sz w:val="24"/>
        </w:rPr>
        <w:t>03</w:t>
      </w:r>
      <w:r>
        <w:rPr>
          <w:rFonts w:ascii="Times New Roman" w:hAnsi="Times New Roman"/>
          <w:spacing w:val="26"/>
          <w:sz w:val="24"/>
        </w:rPr>
        <w:t> </w:t>
      </w:r>
      <w:r>
        <w:rPr>
          <w:rFonts w:ascii="Times New Roman" w:hAnsi="Times New Roman"/>
          <w:sz w:val="24"/>
        </w:rPr>
        <w:t>од</w:t>
      </w:r>
      <w:r>
        <w:rPr>
          <w:rFonts w:ascii="Times New Roman" w:hAnsi="Times New Roman"/>
          <w:spacing w:val="26"/>
          <w:sz w:val="24"/>
        </w:rPr>
        <w:t> </w:t>
      </w:r>
      <w:r>
        <w:rPr>
          <w:rFonts w:ascii="Times New Roman" w:hAnsi="Times New Roman"/>
          <w:sz w:val="24"/>
        </w:rPr>
        <w:t>10.03.2014.</w:t>
      </w:r>
      <w:r>
        <w:rPr>
          <w:rFonts w:ascii="Times New Roman" w:hAnsi="Times New Roman"/>
          <w:spacing w:val="26"/>
          <w:sz w:val="24"/>
        </w:rPr>
        <w:t> </w:t>
      </w:r>
      <w:r>
        <w:rPr>
          <w:rFonts w:ascii="Times New Roman" w:hAnsi="Times New Roman"/>
          <w:sz w:val="24"/>
        </w:rPr>
        <w:t>године</w:t>
      </w:r>
      <w:r>
        <w:rPr>
          <w:rFonts w:ascii="Times New Roman" w:hAnsi="Times New Roman"/>
          <w:sz w:val="24"/>
        </w:rPr>
        <w:t>,</w:t>
      </w:r>
    </w:p>
    <w:p>
      <w:pPr>
        <w:spacing w:after="0" w:line="240" w:lineRule="auto"/>
        <w:jc w:val="both"/>
        <w:rPr>
          <w:rFonts w:ascii="Times New Roman" w:hAnsi="Times New Roman" w:cs="Times New Roman" w:eastAsia="Times New Roman" w:hint="default"/>
          <w:sz w:val="24"/>
          <w:szCs w:val="24"/>
        </w:rPr>
        <w:sectPr>
          <w:footerReference w:type="default" r:id="rId54"/>
          <w:pgSz w:w="12240" w:h="15840"/>
          <w:pgMar w:footer="1274" w:header="740" w:top="1280" w:bottom="1460" w:left="1400" w:right="1260"/>
        </w:sectPr>
      </w:pPr>
    </w:p>
    <w:p>
      <w:pPr>
        <w:pStyle w:val="BodyText"/>
        <w:spacing w:line="276" w:lineRule="exact" w:before="125"/>
        <w:ind w:right="173"/>
        <w:jc w:val="both"/>
      </w:pPr>
      <w:r>
        <w:rPr/>
        <w:t>тако да је на дан </w:t>
      </w:r>
      <w:r>
        <w:rPr>
          <w:rFonts w:ascii="Times New Roman" w:hAnsi="Times New Roman"/>
        </w:rPr>
        <w:t>31.12.2</w:t>
      </w:r>
      <w:r>
        <w:rPr/>
        <w:t>014. године остао неутрошен износ од </w:t>
      </w:r>
      <w:r>
        <w:rPr>
          <w:rFonts w:ascii="Times New Roman" w:hAnsi="Times New Roman"/>
        </w:rPr>
        <w:t>25.972 </w:t>
      </w:r>
      <w:r>
        <w:rPr/>
        <w:t>хиљаде динара. У Одлуци о завршном рачуну</w:t>
      </w:r>
      <w:r>
        <w:rPr>
          <w:rFonts w:ascii="Times New Roman" w:hAnsi="Times New Roman"/>
        </w:rPr>
        <w:t>, </w:t>
      </w:r>
      <w:r>
        <w:rPr/>
        <w:t>у члану </w:t>
      </w:r>
      <w:r>
        <w:rPr>
          <w:rFonts w:ascii="Times New Roman" w:hAnsi="Times New Roman"/>
        </w:rPr>
        <w:t>12. </w:t>
      </w:r>
      <w:r>
        <w:rPr/>
        <w:t>наведено је да се, од средстава осталих на рачуну извршења буџета на дан 31.12.2014. године, износ од 3.083 хиљаде динара односи на заштиту животне средине. Разлика у износу од 22.889 хиљада динара није искоришћена за намене одређене Програмом коришћења средстава Буџетског фонда за заштиту животне средине града Ниша за 2014. годину, што је супротно члану 87. Закона о  заштити животне средине</w:t>
      </w:r>
      <w:r>
        <w:rPr>
          <w:rFonts w:ascii="Times New Roman" w:hAnsi="Times New Roman"/>
          <w:position w:val="11"/>
          <w:sz w:val="16"/>
        </w:rPr>
        <w:t>46</w:t>
      </w:r>
      <w:r>
        <w:rPr/>
        <w:t>, члану 56. Закона о буџетском систему и члану 29. Одлуке буџету града Ниша за 2014.</w:t>
      </w:r>
      <w:r>
        <w:rPr>
          <w:spacing w:val="-10"/>
        </w:rPr>
        <w:t> </w:t>
      </w:r>
      <w:r>
        <w:rPr/>
        <w:t>годину;</w:t>
      </w:r>
    </w:p>
    <w:p>
      <w:pPr>
        <w:pStyle w:val="ListParagraph"/>
        <w:numPr>
          <w:ilvl w:val="2"/>
          <w:numId w:val="23"/>
        </w:numPr>
        <w:tabs>
          <w:tab w:pos="1102" w:val="left" w:leader="none"/>
        </w:tabs>
        <w:spacing w:line="240" w:lineRule="auto" w:before="0" w:after="0"/>
        <w:ind w:left="160" w:right="174" w:firstLine="566"/>
        <w:jc w:val="both"/>
        <w:rPr>
          <w:rFonts w:ascii="Times New Roman" w:hAnsi="Times New Roman" w:cs="Times New Roman" w:eastAsia="Times New Roman" w:hint="default"/>
          <w:sz w:val="24"/>
          <w:szCs w:val="24"/>
        </w:rPr>
      </w:pPr>
      <w:r>
        <w:rPr>
          <w:rFonts w:ascii="Times New Roman" w:hAnsi="Times New Roman"/>
          <w:sz w:val="24"/>
        </w:rPr>
        <w:t>Наменски трансфер од Министарства грађевинарства</w:t>
      </w:r>
      <w:r>
        <w:rPr>
          <w:rFonts w:ascii="Times New Roman" w:hAnsi="Times New Roman"/>
          <w:sz w:val="24"/>
        </w:rPr>
        <w:t>, </w:t>
      </w:r>
      <w:r>
        <w:rPr>
          <w:rFonts w:ascii="Times New Roman" w:hAnsi="Times New Roman"/>
          <w:sz w:val="24"/>
        </w:rPr>
        <w:t>саобраћаја и инфраструктуре у износу од </w:t>
      </w:r>
      <w:r>
        <w:rPr>
          <w:rFonts w:ascii="Times New Roman" w:hAnsi="Times New Roman"/>
          <w:sz w:val="24"/>
        </w:rPr>
        <w:t>5.000 </w:t>
      </w:r>
      <w:r>
        <w:rPr>
          <w:rFonts w:ascii="Times New Roman" w:hAnsi="Times New Roman"/>
          <w:sz w:val="24"/>
        </w:rPr>
        <w:t>хиљада динара не налази се на дан 31.12.2014. године на рачуну извршења буџета, а није искоришћен за намену </w:t>
      </w:r>
      <w:r>
        <w:rPr>
          <w:rFonts w:ascii="Times New Roman" w:hAnsi="Times New Roman"/>
          <w:sz w:val="24"/>
        </w:rPr>
        <w:t>- </w:t>
      </w:r>
      <w:r>
        <w:rPr>
          <w:rFonts w:ascii="Times New Roman" w:hAnsi="Times New Roman"/>
          <w:sz w:val="24"/>
        </w:rPr>
        <w:t>уклањање објеката, односно делова објеката, који се граде или је њихово грађење завршено без грађевинске дозволе</w:t>
      </w:r>
      <w:r>
        <w:rPr>
          <w:rFonts w:ascii="Times New Roman" w:hAnsi="Times New Roman"/>
          <w:sz w:val="24"/>
        </w:rPr>
        <w:t>, </w:t>
      </w:r>
      <w:r>
        <w:rPr>
          <w:rFonts w:ascii="Times New Roman" w:hAnsi="Times New Roman"/>
          <w:sz w:val="24"/>
        </w:rPr>
        <w:t>што је супротно члану 45. Закона о финансирању локалне самоуправе, члану 2. и 56. Закона о буџетском систему и Уговору број 6033/2014</w:t>
      </w:r>
      <w:r>
        <w:rPr>
          <w:rFonts w:ascii="Times New Roman" w:hAnsi="Times New Roman"/>
          <w:sz w:val="24"/>
        </w:rPr>
        <w:t>-</w:t>
      </w:r>
      <w:r>
        <w:rPr>
          <w:rFonts w:ascii="Times New Roman" w:hAnsi="Times New Roman"/>
          <w:sz w:val="24"/>
        </w:rPr>
        <w:t>04 од 25.12.2014.</w:t>
      </w:r>
      <w:r>
        <w:rPr>
          <w:rFonts w:ascii="Times New Roman" w:hAnsi="Times New Roman"/>
          <w:spacing w:val="-9"/>
          <w:sz w:val="24"/>
        </w:rPr>
        <w:t> </w:t>
      </w:r>
      <w:r>
        <w:rPr>
          <w:rFonts w:ascii="Times New Roman" w:hAnsi="Times New Roman"/>
          <w:sz w:val="24"/>
        </w:rPr>
        <w:t>године</w:t>
      </w:r>
      <w:r>
        <w:rPr>
          <w:rFonts w:ascii="Times New Roman" w:hAnsi="Times New Roman"/>
          <w:sz w:val="24"/>
        </w:rPr>
        <w:t>;</w:t>
      </w:r>
    </w:p>
    <w:p>
      <w:pPr>
        <w:pStyle w:val="ListParagraph"/>
        <w:numPr>
          <w:ilvl w:val="2"/>
          <w:numId w:val="23"/>
        </w:numPr>
        <w:tabs>
          <w:tab w:pos="878" w:val="left" w:leader="none"/>
        </w:tabs>
        <w:spacing w:line="240" w:lineRule="auto" w:before="0" w:after="0"/>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Наменски трансфер од Министарства финансија у износу од </w:t>
      </w:r>
      <w:r>
        <w:rPr>
          <w:rFonts w:ascii="Times New Roman" w:hAnsi="Times New Roman" w:cs="Times New Roman" w:eastAsia="Times New Roman" w:hint="default"/>
          <w:sz w:val="24"/>
          <w:szCs w:val="24"/>
        </w:rPr>
        <w:t>3.750 </w:t>
      </w:r>
      <w:r>
        <w:rPr>
          <w:rFonts w:ascii="Times New Roman" w:hAnsi="Times New Roman" w:cs="Times New Roman" w:eastAsia="Times New Roman" w:hint="default"/>
          <w:sz w:val="24"/>
          <w:szCs w:val="24"/>
        </w:rPr>
        <w:t>хиљада динара за санирање штета насталих услед елементарне непогоде – поплаве, није искоришћен за ту намену, што је супротно члану 2, 3, 6. и 7. Закона о коришћењу средстава за санацију  и заштиту од елементарних непогода, члану 45. Закона о финансирању локалне самоуправе и члану 2. и 56. Закона о буџетском</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систему;</w:t>
      </w:r>
    </w:p>
    <w:p>
      <w:pPr>
        <w:pStyle w:val="ListParagraph"/>
        <w:numPr>
          <w:ilvl w:val="2"/>
          <w:numId w:val="23"/>
        </w:numPr>
        <w:tabs>
          <w:tab w:pos="941" w:val="left" w:leader="none"/>
        </w:tabs>
        <w:spacing w:line="240" w:lineRule="auto" w:before="0" w:after="0"/>
        <w:ind w:left="160" w:right="173" w:firstLine="566"/>
        <w:jc w:val="both"/>
        <w:rPr>
          <w:rFonts w:ascii="Times New Roman" w:hAnsi="Times New Roman" w:cs="Times New Roman" w:eastAsia="Times New Roman" w:hint="default"/>
          <w:sz w:val="24"/>
          <w:szCs w:val="24"/>
        </w:rPr>
      </w:pPr>
      <w:r>
        <w:rPr>
          <w:rFonts w:ascii="Times New Roman" w:hAnsi="Times New Roman"/>
          <w:sz w:val="24"/>
        </w:rPr>
        <w:t>На дан 31.12.2014. године средства остварена од наменских трансфера од Министарства културе нису утрошена за реализацију пројеката за које су примљена у укупном износу од </w:t>
      </w:r>
      <w:r>
        <w:rPr>
          <w:rFonts w:ascii="Times New Roman" w:hAnsi="Times New Roman"/>
          <w:sz w:val="24"/>
        </w:rPr>
        <w:t>67.697 </w:t>
      </w:r>
      <w:r>
        <w:rPr>
          <w:rFonts w:ascii="Times New Roman" w:hAnsi="Times New Roman"/>
          <w:sz w:val="24"/>
        </w:rPr>
        <w:t>хиљада динара и</w:t>
      </w:r>
      <w:r>
        <w:rPr>
          <w:rFonts w:ascii="Times New Roman" w:hAnsi="Times New Roman"/>
          <w:spacing w:val="-9"/>
          <w:sz w:val="24"/>
        </w:rPr>
        <w:t> </w:t>
      </w:r>
      <w:r>
        <w:rPr>
          <w:rFonts w:ascii="Times New Roman" w:hAnsi="Times New Roman"/>
          <w:sz w:val="24"/>
        </w:rPr>
        <w:t>то:</w:t>
      </w:r>
    </w:p>
    <w:p>
      <w:pPr>
        <w:pStyle w:val="ListParagraph"/>
        <w:numPr>
          <w:ilvl w:val="0"/>
          <w:numId w:val="12"/>
        </w:numPr>
        <w:tabs>
          <w:tab w:pos="36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за Завод за заштиту споменика културе у укупном износу од 57.874 хиљаде динара по Пројектима за Царичин град, Прохор Пчињски, Конак Рударе, Градско поље Ниш, Књажевац, Вилу са перистилом у Медијани, Гостушу Пирот, Публикацију Манастири и цркве јужне и југоисточне Србије,</w:t>
      </w:r>
      <w:r>
        <w:rPr>
          <w:rFonts w:ascii="Times New Roman" w:hAnsi="Times New Roman"/>
          <w:spacing w:val="-16"/>
          <w:sz w:val="24"/>
        </w:rPr>
        <w:t> </w:t>
      </w:r>
      <w:r>
        <w:rPr>
          <w:rFonts w:ascii="Times New Roman" w:hAnsi="Times New Roman"/>
          <w:sz w:val="24"/>
        </w:rPr>
        <w:t>Врело</w:t>
      </w:r>
      <w:r>
        <w:rPr>
          <w:rFonts w:ascii="Times New Roman" w:hAnsi="Times New Roman"/>
          <w:sz w:val="24"/>
        </w:rPr>
        <w:t>-</w:t>
      </w:r>
      <w:r>
        <w:rPr>
          <w:rFonts w:ascii="Times New Roman" w:hAnsi="Times New Roman"/>
          <w:sz w:val="24"/>
        </w:rPr>
        <w:t>Шаркамен,</w:t>
      </w:r>
    </w:p>
    <w:p>
      <w:pPr>
        <w:pStyle w:val="ListParagraph"/>
        <w:numPr>
          <w:ilvl w:val="0"/>
          <w:numId w:val="12"/>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Народни музеј у укупном износу од </w:t>
      </w:r>
      <w:r>
        <w:rPr>
          <w:rFonts w:ascii="Times New Roman" w:hAnsi="Times New Roman" w:cs="Times New Roman" w:eastAsia="Times New Roman" w:hint="default"/>
          <w:sz w:val="24"/>
          <w:szCs w:val="24"/>
        </w:rPr>
        <w:t>4.330 </w:t>
      </w:r>
      <w:r>
        <w:rPr>
          <w:rFonts w:ascii="Times New Roman" w:hAnsi="Times New Roman" w:cs="Times New Roman" w:eastAsia="Times New Roman" w:hint="default"/>
          <w:sz w:val="24"/>
          <w:szCs w:val="24"/>
        </w:rPr>
        <w:t>хиљада динара по Пројектима: Ризница Ниша, Мултимедијална поставка, Пројекциона сала 12. фебруар, Касноантичка некропола у Јагодин мали, Ниш у сликама, Историја мог дома, 80 година Народног музеја у Нишу, Ниш</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ратна престоница, Изложба Ликовна колонија Сићево 1964</w:t>
      </w:r>
      <w:r>
        <w:rPr>
          <w:rFonts w:ascii="Times New Roman" w:hAnsi="Times New Roman" w:cs="Times New Roman" w:eastAsia="Times New Roman" w:hint="default"/>
          <w:sz w:val="24"/>
          <w:szCs w:val="24"/>
        </w:rPr>
        <w:t>-1969, </w:t>
      </w:r>
      <w:r>
        <w:rPr>
          <w:rFonts w:ascii="Times New Roman" w:hAnsi="Times New Roman" w:cs="Times New Roman" w:eastAsia="Times New Roman" w:hint="default"/>
          <w:sz w:val="24"/>
          <w:szCs w:val="24"/>
        </w:rPr>
        <w:t>Изложба књижевно меморијалне поставке Бранко Миљковић и Стеван Сремац –  оставина српском народу, Заштита и презентација културног добра на примеру мозаика из виле са конхама са археолошког налазишта</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Медијана</w:t>
      </w:r>
      <w:r>
        <w:rPr>
          <w:rFonts w:ascii="Times New Roman" w:hAnsi="Times New Roman" w:cs="Times New Roman" w:eastAsia="Times New Roman" w:hint="default"/>
          <w:sz w:val="24"/>
          <w:szCs w:val="24"/>
        </w:rPr>
        <w:t>,</w:t>
      </w:r>
    </w:p>
    <w:p>
      <w:pPr>
        <w:pStyle w:val="ListParagraph"/>
        <w:numPr>
          <w:ilvl w:val="0"/>
          <w:numId w:val="12"/>
        </w:numPr>
        <w:tabs>
          <w:tab w:pos="303"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за Нишки културни центар у укупном износу од 1.034 хиљаде динара по Пројектима: Награда Рамонда Сербика, Филмски сусрети 2014, Градина, Дани Бранка Миљковића 2013, Дани Стевана Сремца 2013, Дечија уметничка колонија</w:t>
      </w:r>
      <w:r>
        <w:rPr>
          <w:rFonts w:ascii="Times New Roman" w:hAnsi="Times New Roman"/>
          <w:spacing w:val="-16"/>
          <w:sz w:val="24"/>
        </w:rPr>
        <w:t> </w:t>
      </w:r>
      <w:r>
        <w:rPr>
          <w:rFonts w:ascii="Times New Roman" w:hAnsi="Times New Roman"/>
          <w:sz w:val="24"/>
        </w:rPr>
        <w:t>Грачаница</w:t>
      </w:r>
      <w:r>
        <w:rPr>
          <w:rFonts w:ascii="Times New Roman" w:hAnsi="Times New Roman"/>
          <w:sz w:val="24"/>
        </w:rPr>
        <w:t>,</w:t>
      </w:r>
    </w:p>
    <w:p>
      <w:pPr>
        <w:pStyle w:val="ListParagraph"/>
        <w:numPr>
          <w:ilvl w:val="0"/>
          <w:numId w:val="12"/>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за Галерију савремене ликовне уметности у укупном износу од 4.459 хиљада динара по Пројектима Унапређење  услова чувања музејске грађе, Ликовна колонија Сићево   </w:t>
      </w:r>
      <w:r>
        <w:rPr>
          <w:rFonts w:ascii="Times New Roman" w:hAnsi="Times New Roman"/>
          <w:spacing w:val="1"/>
          <w:sz w:val="24"/>
        </w:rPr>
        <w:t> </w:t>
      </w:r>
      <w:r>
        <w:rPr>
          <w:rFonts w:ascii="Times New Roman" w:hAnsi="Times New Roman"/>
          <w:sz w:val="24"/>
        </w:rPr>
        <w:t>2014,</w:t>
      </w:r>
    </w:p>
    <w:p>
      <w:pPr>
        <w:pStyle w:val="BodyText"/>
        <w:spacing w:line="240" w:lineRule="auto"/>
        <w:ind w:right="176"/>
        <w:jc w:val="both"/>
        <w:rPr>
          <w:rFonts w:ascii="Times New Roman" w:hAnsi="Times New Roman" w:cs="Times New Roman" w:eastAsia="Times New Roman" w:hint="default"/>
        </w:rPr>
      </w:pPr>
      <w:r>
        <w:rPr/>
        <w:t>50 година Ликовне колоније Сићево, Салон 77. годишњи изложбени програм, Финансирање уметничких дела за</w:t>
      </w:r>
      <w:r>
        <w:rPr>
          <w:spacing w:val="-17"/>
        </w:rPr>
        <w:t> </w:t>
      </w:r>
      <w:r>
        <w:rPr/>
        <w:t>колекцију</w:t>
      </w:r>
      <w:r>
        <w:rPr>
          <w:rFonts w:ascii="Times New Roman" w:hAnsi="Times New Roman"/>
        </w:rPr>
        <w:t>.</w:t>
      </w:r>
    </w:p>
    <w:p>
      <w:pPr>
        <w:pStyle w:val="BodyText"/>
        <w:spacing w:line="240" w:lineRule="auto"/>
        <w:ind w:right="173" w:firstLine="566"/>
        <w:jc w:val="both"/>
      </w:pPr>
      <w:r>
        <w:rPr/>
        <w:t>У Одлуци о завршном рачуну, у члану 12. наведено је да се, од средстава осталих  на рачуну извршења буџета на дан 31.12.2014. године, износ од </w:t>
      </w:r>
      <w:r>
        <w:rPr>
          <w:rFonts w:ascii="Times New Roman" w:hAnsi="Times New Roman"/>
        </w:rPr>
        <w:t>13.764 </w:t>
      </w:r>
      <w:r>
        <w:rPr/>
        <w:t>хиљаде динара односи на програме у области културе. Разлика у износу од 53.933 хиљаде динара се на дан   31.12.2014.   године   не   налази   на   рачуну   извршења,   тако   да   није  </w:t>
      </w:r>
      <w:r>
        <w:rPr>
          <w:spacing w:val="4"/>
        </w:rPr>
        <w:t> </w:t>
      </w:r>
      <w:r>
        <w:rPr/>
        <w:t>наменски</w:t>
      </w:r>
    </w:p>
    <w:p>
      <w:pPr>
        <w:spacing w:line="240" w:lineRule="auto" w:before="0"/>
        <w:rPr>
          <w:rFonts w:ascii="Times New Roman" w:hAnsi="Times New Roman" w:cs="Times New Roman" w:eastAsia="Times New Roman" w:hint="default"/>
          <w:sz w:val="20"/>
          <w:szCs w:val="20"/>
        </w:rPr>
      </w:pPr>
    </w:p>
    <w:p>
      <w:pPr>
        <w:spacing w:line="240" w:lineRule="auto" w:before="9"/>
        <w:rPr>
          <w:rFonts w:ascii="Times New Roman" w:hAnsi="Times New Roman" w:cs="Times New Roman" w:eastAsia="Times New Roman" w:hint="default"/>
          <w:sz w:val="19"/>
          <w:szCs w:val="19"/>
        </w:rPr>
      </w:pPr>
      <w:r>
        <w:rPr/>
        <w:pict>
          <v:group style="position:absolute;margin-left:78.024002pt;margin-top:12.605281pt;width:144.050pt;height:.1pt;mso-position-horizontal-relative:page;mso-position-vertical-relative:paragraph;z-index:1552;mso-wrap-distance-left:0;mso-wrap-distance-right:0" coordorigin="1560,252" coordsize="2881,2">
            <v:shape style="position:absolute;left:1560;top:252;width:2881;height:2" coordorigin="1560,252" coordsize="2881,0" path="m1560,252l4441,252e" filled="false" stroked="true" strokeweight=".599980pt" strokecolor="#000000">
              <v:path arrowok="t"/>
            </v:shape>
            <w10:wrap type="topAndBottom"/>
          </v:group>
        </w:pict>
      </w:r>
    </w:p>
    <w:p>
      <w:pPr>
        <w:spacing w:before="52"/>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46 </w:t>
      </w:r>
      <w:r>
        <w:rPr>
          <w:rFonts w:ascii="Times New Roman" w:hAnsi="Times New Roman" w:cs="Times New Roman" w:eastAsia="Times New Roman" w:hint="default"/>
          <w:sz w:val="16"/>
          <w:szCs w:val="16"/>
        </w:rPr>
        <w:t>„Службени гласник Републике Србије“ број</w:t>
      </w:r>
      <w:r>
        <w:rPr>
          <w:rFonts w:ascii="Times New Roman" w:hAnsi="Times New Roman" w:cs="Times New Roman" w:eastAsia="Times New Roman" w:hint="default"/>
          <w:spacing w:val="-15"/>
          <w:sz w:val="16"/>
          <w:szCs w:val="16"/>
        </w:rPr>
        <w:t> </w:t>
      </w:r>
      <w:r>
        <w:rPr>
          <w:rFonts w:ascii="Times New Roman" w:hAnsi="Times New Roman" w:cs="Times New Roman" w:eastAsia="Times New Roman" w:hint="default"/>
          <w:sz w:val="16"/>
          <w:szCs w:val="16"/>
        </w:rPr>
        <w:t>135/2004...43/2011</w:t>
      </w:r>
    </w:p>
    <w:p>
      <w:pPr>
        <w:spacing w:after="0"/>
        <w:jc w:val="left"/>
        <w:rPr>
          <w:rFonts w:ascii="Times New Roman" w:hAnsi="Times New Roman" w:cs="Times New Roman" w:eastAsia="Times New Roman" w:hint="default"/>
          <w:sz w:val="16"/>
          <w:szCs w:val="16"/>
        </w:rPr>
        <w:sectPr>
          <w:footerReference w:type="default" r:id="rId55"/>
          <w:pgSz w:w="12240" w:h="15840"/>
          <w:pgMar w:footer="1274" w:header="740" w:top="1280" w:bottom="1460" w:left="1400" w:right="1260"/>
          <w:pgNumType w:start="61"/>
        </w:sectPr>
      </w:pPr>
    </w:p>
    <w:p>
      <w:pPr>
        <w:pStyle w:val="BodyText"/>
        <w:spacing w:line="240" w:lineRule="auto" w:before="122"/>
        <w:ind w:right="179"/>
        <w:jc w:val="both"/>
      </w:pPr>
      <w:r>
        <w:rPr/>
        <w:t>искоришћена, што је супротно члану 76. Закона о култури, члану </w:t>
      </w:r>
      <w:r>
        <w:rPr>
          <w:rFonts w:ascii="Times New Roman" w:hAnsi="Times New Roman"/>
        </w:rPr>
        <w:t>2. </w:t>
      </w:r>
      <w:r>
        <w:rPr/>
        <w:t>и </w:t>
      </w:r>
      <w:r>
        <w:rPr>
          <w:rFonts w:ascii="Times New Roman" w:hAnsi="Times New Roman"/>
        </w:rPr>
        <w:t>45</w:t>
      </w:r>
      <w:r>
        <w:rPr/>
        <w:t>. Закона о финансирању локалне самоуправе и члану 2. и 56. Закона о буџетском</w:t>
      </w:r>
      <w:r>
        <w:rPr>
          <w:spacing w:val="-25"/>
        </w:rPr>
        <w:t> </w:t>
      </w:r>
      <w:r>
        <w:rPr/>
        <w:t>систему.</w:t>
      </w:r>
    </w:p>
    <w:p>
      <w:pPr>
        <w:pStyle w:val="BodyText"/>
        <w:spacing w:line="240" w:lineRule="auto"/>
        <w:ind w:right="177" w:firstLine="566"/>
        <w:jc w:val="both"/>
      </w:pPr>
      <w:r>
        <w:rPr/>
        <w:t>На основу писаног појашњења одговорних лица Управе за финансије, изворне приходе локалне самоуправе и јавне набавке: „принудном наплатом са рачуна извршења буџета града Ниша крајем 2014. године (од 25.12.2014. до 31.12.2014. године) скинут је износ од 91.070 хиљада динара, те је из тог разлога на рачуну остао износ од 25.748 хиљада</w:t>
      </w:r>
      <w:r>
        <w:rPr>
          <w:spacing w:val="-3"/>
        </w:rPr>
        <w:t> </w:t>
      </w:r>
      <w:r>
        <w:rPr/>
        <w:t>динара.“</w:t>
      </w:r>
    </w:p>
    <w:p>
      <w:pPr>
        <w:pStyle w:val="BodyText"/>
        <w:spacing w:line="240" w:lineRule="auto"/>
        <w:ind w:right="176" w:firstLine="566"/>
        <w:jc w:val="both"/>
      </w:pPr>
      <w:r>
        <w:rPr/>
        <w:t>Током 2015. године, Град је средства од наменских прихода из 2014. године наменски утрошио у износу од </w:t>
      </w:r>
      <w:r>
        <w:rPr>
          <w:rFonts w:ascii="Times New Roman" w:hAnsi="Times New Roman"/>
        </w:rPr>
        <w:t>54.644 </w:t>
      </w:r>
      <w:r>
        <w:rPr/>
        <w:t>хиљада динара и то: од прихода по основу посебне накнаде за заштиту животне средине у износу од 12.489 хиљада динара, од наменског трансфера Министарства грађевинарства, саобраћаја и инфраструктуре у износу од 3.614 хиљада динара, од наменског трансфера од Министарства културе и информисања у износу од 38.541 хиљаде</w:t>
      </w:r>
      <w:r>
        <w:rPr>
          <w:spacing w:val="-11"/>
        </w:rPr>
        <w:t> </w:t>
      </w:r>
      <w:r>
        <w:rPr/>
        <w:t>динара.</w:t>
      </w:r>
    </w:p>
    <w:p>
      <w:pPr>
        <w:pStyle w:val="Heading2"/>
        <w:spacing w:line="240" w:lineRule="auto"/>
        <w:ind w:right="180"/>
        <w:jc w:val="both"/>
        <w:rPr>
          <w:b w:val="0"/>
          <w:bCs w:val="0"/>
          <w:i w:val="0"/>
        </w:rPr>
      </w:pPr>
      <w:r>
        <w:rPr>
          <w:i/>
        </w:rPr>
        <w:t>Препоручује се одговорним лицима да наменске јавне приходе користе за прописану</w:t>
      </w:r>
      <w:r>
        <w:rPr>
          <w:i/>
          <w:spacing w:val="-8"/>
        </w:rPr>
        <w:t> </w:t>
      </w:r>
      <w:r>
        <w:rPr>
          <w:i/>
        </w:rPr>
        <w:t>намену.</w:t>
      </w:r>
      <w:r>
        <w:rPr>
          <w:b w:val="0"/>
          <w:i w:val="0"/>
        </w:rPr>
      </w:r>
    </w:p>
    <w:p>
      <w:pPr>
        <w:pStyle w:val="Heading1"/>
        <w:spacing w:line="274" w:lineRule="exact" w:before="137"/>
        <w:ind w:left="160" w:right="0"/>
        <w:jc w:val="both"/>
        <w:rPr>
          <w:b w:val="0"/>
          <w:bCs w:val="0"/>
        </w:rPr>
      </w:pPr>
      <w:bookmarkStart w:name="_bookmark7" w:id="12"/>
      <w:bookmarkEnd w:id="12"/>
      <w:r>
        <w:rPr>
          <w:b w:val="0"/>
        </w:rPr>
      </w:r>
      <w:r>
        <w:rPr>
          <w:rFonts w:ascii="Times New Roman" w:hAnsi="Times New Roman"/>
        </w:rPr>
        <w:t>4.1.3</w:t>
      </w:r>
      <w:r>
        <w:rPr>
          <w:rFonts w:ascii="Times New Roman" w:hAnsi="Times New Roman"/>
          <w:spacing w:val="59"/>
        </w:rPr>
        <w:t> </w:t>
      </w:r>
      <w:r>
        <w:rPr/>
        <w:t>Примања</w:t>
      </w:r>
      <w:r>
        <w:rPr>
          <w:b w:val="0"/>
        </w:rPr>
      </w:r>
    </w:p>
    <w:p>
      <w:pPr>
        <w:pStyle w:val="BodyText"/>
        <w:spacing w:line="240" w:lineRule="auto"/>
        <w:ind w:right="181" w:firstLine="566"/>
        <w:jc w:val="both"/>
      </w:pPr>
      <w:r>
        <w:rPr/>
        <w:t>Примања су средства која се остварују продајом нефинансијске и финансијске имовине и</w:t>
      </w:r>
      <w:r>
        <w:rPr>
          <w:spacing w:val="-9"/>
        </w:rPr>
        <w:t> </w:t>
      </w:r>
      <w:r>
        <w:rPr/>
        <w:t>задуживањем.</w:t>
      </w:r>
    </w:p>
    <w:p>
      <w:pPr>
        <w:spacing w:before="0"/>
        <w:ind w:left="160" w:right="175" w:firstLine="566"/>
        <w:jc w:val="both"/>
        <w:rPr>
          <w:rFonts w:ascii="Times New Roman" w:hAnsi="Times New Roman" w:cs="Times New Roman" w:eastAsia="Times New Roman" w:hint="default"/>
          <w:sz w:val="24"/>
          <w:szCs w:val="24"/>
        </w:rPr>
      </w:pPr>
      <w:r>
        <w:rPr>
          <w:rFonts w:ascii="Times New Roman" w:hAnsi="Times New Roman"/>
          <w:b/>
          <w:sz w:val="24"/>
        </w:rPr>
        <w:t>Примања од продаје нефинансијске имовине (класа </w:t>
      </w:r>
      <w:r>
        <w:rPr>
          <w:rFonts w:ascii="Times New Roman" w:hAnsi="Times New Roman"/>
          <w:b/>
          <w:sz w:val="24"/>
        </w:rPr>
        <w:t>800000) </w:t>
      </w:r>
      <w:r>
        <w:rPr>
          <w:rFonts w:ascii="Times New Roman" w:hAnsi="Times New Roman"/>
          <w:sz w:val="24"/>
        </w:rPr>
        <w:t>планирана су средства из буџета Града у износу од </w:t>
      </w:r>
      <w:r>
        <w:rPr>
          <w:rFonts w:ascii="Times New Roman" w:hAnsi="Times New Roman"/>
          <w:sz w:val="24"/>
        </w:rPr>
        <w:t>405.020 </w:t>
      </w:r>
      <w:r>
        <w:rPr>
          <w:rFonts w:ascii="Times New Roman" w:hAnsi="Times New Roman"/>
          <w:sz w:val="24"/>
        </w:rPr>
        <w:t>хиљад</w:t>
      </w:r>
      <w:r>
        <w:rPr>
          <w:rFonts w:ascii="Times New Roman" w:hAnsi="Times New Roman"/>
          <w:sz w:val="24"/>
        </w:rPr>
        <w:t>a </w:t>
      </w:r>
      <w:r>
        <w:rPr>
          <w:rFonts w:ascii="Times New Roman" w:hAnsi="Times New Roman"/>
          <w:sz w:val="24"/>
        </w:rPr>
        <w:t>динара, а остварена су у износу  </w:t>
      </w:r>
      <w:r>
        <w:rPr>
          <w:rFonts w:ascii="Times New Roman" w:hAnsi="Times New Roman"/>
          <w:spacing w:val="27"/>
          <w:sz w:val="24"/>
        </w:rPr>
        <w:t> </w:t>
      </w:r>
      <w:r>
        <w:rPr>
          <w:rFonts w:ascii="Times New Roman" w:hAnsi="Times New Roman"/>
          <w:sz w:val="24"/>
        </w:rPr>
        <w:t>од</w:t>
      </w:r>
    </w:p>
    <w:p>
      <w:pPr>
        <w:pStyle w:val="BodyText"/>
        <w:spacing w:line="240" w:lineRule="auto"/>
        <w:ind w:right="178"/>
        <w:jc w:val="both"/>
      </w:pPr>
      <w:r>
        <w:rPr>
          <w:rFonts w:ascii="Times New Roman" w:hAnsi="Times New Roman"/>
        </w:rPr>
        <w:t>59.073 </w:t>
      </w:r>
      <w:r>
        <w:rPr/>
        <w:t>хиљад</w:t>
      </w:r>
      <w:r>
        <w:rPr>
          <w:rFonts w:ascii="Times New Roman" w:hAnsi="Times New Roman"/>
        </w:rPr>
        <w:t>e </w:t>
      </w:r>
      <w:r>
        <w:rPr/>
        <w:t>динара, односно 14,59% и то: примања од продаје основних средстава у износу од 10.896 хиљада динара и примања од продаје робних залиха у износу од 48.177 хиљада</w:t>
      </w:r>
      <w:r>
        <w:rPr>
          <w:spacing w:val="-3"/>
        </w:rPr>
        <w:t> </w:t>
      </w:r>
      <w:r>
        <w:rPr/>
        <w:t>динара.</w:t>
      </w:r>
    </w:p>
    <w:p>
      <w:pPr>
        <w:pStyle w:val="BodyText"/>
        <w:spacing w:line="240" w:lineRule="auto"/>
        <w:ind w:right="170" w:firstLine="566"/>
        <w:jc w:val="both"/>
      </w:pPr>
      <w:r>
        <w:rPr>
          <w:rFonts w:ascii="Times New Roman" w:hAnsi="Times New Roman"/>
          <w:b/>
        </w:rPr>
        <w:t>На основу ревизије узорковане документације утврђено је </w:t>
      </w:r>
      <w:r>
        <w:rPr/>
        <w:t>да су у Консолидованом Обрасцу 5 исказана примања од продаје нефинансијске имовине у укупном износу од 121.285 хиљада динара и то из буџета Града у износу од  59.073 хиљаде динара и из осталих извора у износу од 62.212 хиљада динара. Примања из осталих извора нису планирана Одлуком о буџету за 2014. годину, што је супротно</w:t>
      </w:r>
      <w:r>
        <w:rPr>
          <w:spacing w:val="-7"/>
        </w:rPr>
        <w:t> </w:t>
      </w:r>
      <w:r>
        <w:rPr/>
        <w:t>члану</w:t>
      </w:r>
    </w:p>
    <w:p>
      <w:pPr>
        <w:pStyle w:val="BodyText"/>
        <w:spacing w:line="240" w:lineRule="auto"/>
        <w:ind w:right="178"/>
        <w:jc w:val="both"/>
      </w:pPr>
      <w:r>
        <w:rPr>
          <w:rFonts w:ascii="Times New Roman" w:hAnsi="Times New Roman" w:cs="Times New Roman" w:eastAsia="Times New Roman" w:hint="default"/>
        </w:rPr>
        <w:t>2. </w:t>
      </w:r>
      <w:r>
        <w:rPr/>
        <w:t>став 1</w:t>
      </w:r>
      <w:r>
        <w:rPr>
          <w:rFonts w:ascii="Times New Roman" w:hAnsi="Times New Roman" w:cs="Times New Roman" w:eastAsia="Times New Roman" w:hint="default"/>
        </w:rPr>
        <w:t>. </w:t>
      </w:r>
      <w:r>
        <w:rPr/>
        <w:t>тачка 23</w:t>
      </w:r>
      <w:r>
        <w:rPr>
          <w:rFonts w:ascii="Times New Roman" w:hAnsi="Times New Roman" w:cs="Times New Roman" w:eastAsia="Times New Roman" w:hint="default"/>
        </w:rPr>
        <w:t>. </w:t>
      </w:r>
      <w:r>
        <w:rPr/>
        <w:t>Закона о буџетском систему. Примања из осталих извора у укупном износу од 62.212 хиљада динара нису исказана у Одлуци о завршном рачуну за 2014. годину, што је супротно члану 2</w:t>
      </w:r>
      <w:r>
        <w:rPr>
          <w:rFonts w:ascii="Times New Roman" w:hAnsi="Times New Roman" w:cs="Times New Roman" w:eastAsia="Times New Roman" w:hint="default"/>
        </w:rPr>
        <w:t>. </w:t>
      </w:r>
      <w:r>
        <w:rPr/>
        <w:t>став 1</w:t>
      </w:r>
      <w:r>
        <w:rPr>
          <w:rFonts w:ascii="Times New Roman" w:hAnsi="Times New Roman" w:cs="Times New Roman" w:eastAsia="Times New Roman" w:hint="default"/>
        </w:rPr>
        <w:t>. </w:t>
      </w:r>
      <w:r>
        <w:rPr/>
        <w:t>тачка 53</w:t>
      </w:r>
      <w:r>
        <w:rPr>
          <w:rFonts w:ascii="Times New Roman" w:hAnsi="Times New Roman" w:cs="Times New Roman" w:eastAsia="Times New Roman" w:hint="default"/>
        </w:rPr>
        <w:t>. </w:t>
      </w:r>
      <w:r>
        <w:rPr/>
        <w:t>и члану 5</w:t>
      </w:r>
      <w:r>
        <w:rPr>
          <w:rFonts w:ascii="Times New Roman" w:hAnsi="Times New Roman" w:cs="Times New Roman" w:eastAsia="Times New Roman" w:hint="default"/>
        </w:rPr>
        <w:t>. </w:t>
      </w:r>
      <w:r>
        <w:rPr/>
        <w:t>став 3. Закона о буџетском систему. Примања из осталих извора остварили су ПУ „Пчелица“ у износу од 55.917 хиљада динара по основу продаје сопствених готових производа, СЦ „Чаир“ у износу </w:t>
      </w:r>
      <w:r>
        <w:rPr>
          <w:spacing w:val="27"/>
        </w:rPr>
        <w:t> </w:t>
      </w:r>
      <w:r>
        <w:rPr/>
        <w:t>од</w:t>
      </w:r>
    </w:p>
    <w:p>
      <w:pPr>
        <w:pStyle w:val="BodyText"/>
        <w:spacing w:line="240" w:lineRule="auto"/>
        <w:ind w:right="181"/>
        <w:jc w:val="both"/>
      </w:pPr>
      <w:r>
        <w:rPr/>
        <w:t>3.110 хиљада динара по основу продаје пића у бифеу, Дечији центар у износу од 699 хиљада динара по основу продаје пића у бифеу, Народни музеј у износу од 311 хиљада динара по основу продаје сувенира, ТОН у износу од 2.173 хиљаде динара по основу продаје сувенира и Позориште лутака у износу од две хиљаде динара по основу продаје основних</w:t>
      </w:r>
      <w:r>
        <w:rPr>
          <w:spacing w:val="-7"/>
        </w:rPr>
        <w:t> </w:t>
      </w:r>
      <w:r>
        <w:rPr/>
        <w:t>средстава.</w:t>
      </w:r>
    </w:p>
    <w:p>
      <w:pPr>
        <w:pStyle w:val="Heading2"/>
        <w:spacing w:line="240" w:lineRule="auto"/>
        <w:ind w:right="183"/>
        <w:jc w:val="both"/>
        <w:rPr>
          <w:b w:val="0"/>
          <w:bCs w:val="0"/>
          <w:i w:val="0"/>
        </w:rPr>
      </w:pPr>
      <w:r>
        <w:rPr>
          <w:i/>
        </w:rPr>
        <w:t>Препоручује се одговорним лицима да примања из осталих извора планирају Одлуком о буџету и исказују Одлуком о завршном</w:t>
      </w:r>
      <w:r>
        <w:rPr>
          <w:i/>
          <w:spacing w:val="-13"/>
        </w:rPr>
        <w:t> </w:t>
      </w:r>
      <w:r>
        <w:rPr>
          <w:i/>
        </w:rPr>
        <w:t>рачуну.</w:t>
      </w:r>
      <w:r>
        <w:rPr>
          <w:b w:val="0"/>
          <w:i w:val="0"/>
        </w:rPr>
      </w:r>
    </w:p>
    <w:p>
      <w:pPr>
        <w:pStyle w:val="BodyText"/>
        <w:spacing w:line="240" w:lineRule="auto"/>
        <w:ind w:right="178" w:firstLine="719"/>
        <w:jc w:val="both"/>
      </w:pPr>
      <w:r>
        <w:rPr/>
        <w:t>Ревидирана су примања из средстава буџета Града. Примања од продаје основних средстава су планирана у износу од 163.200 хиљада динара, а остварена у износу од 10.896 хиљада</w:t>
      </w:r>
      <w:r>
        <w:rPr>
          <w:spacing w:val="-3"/>
        </w:rPr>
        <w:t> </w:t>
      </w:r>
      <w:r>
        <w:rPr/>
        <w:t>динара.</w:t>
      </w:r>
    </w:p>
    <w:p>
      <w:pPr>
        <w:pStyle w:val="BodyText"/>
        <w:spacing w:line="240" w:lineRule="auto"/>
        <w:ind w:right="177" w:firstLine="566"/>
        <w:jc w:val="both"/>
      </w:pPr>
      <w:r>
        <w:rPr>
          <w:rFonts w:ascii="Times New Roman" w:hAnsi="Times New Roman"/>
        </w:rPr>
      </w:r>
      <w:r>
        <w:rPr>
          <w:rFonts w:ascii="Times New Roman" w:hAnsi="Times New Roman"/>
          <w:spacing w:val="-60"/>
          <w:u w:val="single" w:color="000000"/>
        </w:rPr>
        <w:t> </w:t>
      </w:r>
      <w:r>
        <w:rPr>
          <w:u w:val="single" w:color="000000"/>
        </w:rPr>
        <w:t>Примања од продаје непокретности у корист нивоа градова, уплатни рачун </w:t>
      </w:r>
      <w:r>
        <w:rPr>
          <w:rFonts w:ascii="Times New Roman" w:hAnsi="Times New Roman"/>
          <w:u w:val="single" w:color="000000"/>
        </w:rPr>
        <w:t>811141 </w:t>
      </w:r>
      <w:r>
        <w:rPr>
          <w:rFonts w:ascii="Times New Roman" w:hAnsi="Times New Roman"/>
        </w:rPr>
        <w:t>- </w:t>
      </w:r>
      <w:r>
        <w:rPr>
          <w:rFonts w:ascii="Times New Roman" w:hAnsi="Times New Roman"/>
        </w:rPr>
      </w:r>
      <w:r>
        <w:rPr/>
        <w:t>Исказан је износ од </w:t>
      </w:r>
      <w:r>
        <w:rPr>
          <w:rFonts w:ascii="Times New Roman" w:hAnsi="Times New Roman"/>
        </w:rPr>
        <w:t>59.073 </w:t>
      </w:r>
      <w:r>
        <w:rPr/>
        <w:t>хиљад</w:t>
      </w:r>
      <w:r>
        <w:rPr>
          <w:rFonts w:ascii="Times New Roman" w:hAnsi="Times New Roman"/>
        </w:rPr>
        <w:t>e </w:t>
      </w:r>
      <w:r>
        <w:rPr/>
        <w:t>динара на дуговној страни. На крају обрачунског периода, за сва исказана примања на субаналитичким контима 813141, 821141 и   </w:t>
      </w:r>
      <w:r>
        <w:rPr>
          <w:spacing w:val="7"/>
        </w:rPr>
        <w:t> </w:t>
      </w:r>
      <w:r>
        <w:rPr/>
        <w:t>823141</w:t>
      </w:r>
    </w:p>
    <w:p>
      <w:pPr>
        <w:spacing w:after="0" w:line="240" w:lineRule="auto"/>
        <w:jc w:val="both"/>
        <w:sectPr>
          <w:pgSz w:w="12240" w:h="15840"/>
          <w:pgMar w:header="740" w:footer="1274" w:top="1280" w:bottom="1460" w:left="1400" w:right="1260"/>
        </w:sectPr>
      </w:pPr>
    </w:p>
    <w:p>
      <w:pPr>
        <w:pStyle w:val="BodyText"/>
        <w:spacing w:line="240" w:lineRule="auto" w:before="122"/>
        <w:ind w:right="183"/>
        <w:jc w:val="both"/>
      </w:pPr>
      <w:r>
        <w:rPr/>
        <w:t>збирно је прокњижен наведени износ на дуговној страни конта 811141, као затварање класе</w:t>
      </w:r>
      <w:r>
        <w:rPr>
          <w:spacing w:val="-3"/>
        </w:rPr>
        <w:t> </w:t>
      </w:r>
      <w:r>
        <w:rPr/>
        <w:t>800000.</w:t>
      </w:r>
    </w:p>
    <w:p>
      <w:pPr>
        <w:spacing w:before="0"/>
        <w:ind w:left="160" w:right="176"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је затварање класе 800000 извршено супротно Уредби о буџетском рачуноводству и Правилнику о стандардном класификационом оквиру и контном плану за буџетски</w:t>
      </w:r>
      <w:r>
        <w:rPr>
          <w:rFonts w:ascii="Times New Roman" w:hAnsi="Times New Roman"/>
          <w:spacing w:val="-31"/>
          <w:sz w:val="24"/>
        </w:rPr>
        <w:t> </w:t>
      </w:r>
      <w:r>
        <w:rPr>
          <w:rFonts w:ascii="Times New Roman" w:hAnsi="Times New Roman"/>
          <w:sz w:val="24"/>
        </w:rPr>
        <w:t>систем.</w:t>
      </w:r>
    </w:p>
    <w:p>
      <w:pPr>
        <w:pStyle w:val="Heading2"/>
        <w:spacing w:line="240" w:lineRule="auto"/>
        <w:ind w:right="172"/>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BodyText"/>
        <w:spacing w:line="271" w:lineRule="exact"/>
        <w:ind w:left="726" w:right="141"/>
        <w:jc w:val="left"/>
      </w:pPr>
      <w:r>
        <w:rPr>
          <w:rFonts w:ascii="Times New Roman" w:hAnsi="Times New Roman"/>
        </w:rPr>
      </w:r>
      <w:r>
        <w:rPr>
          <w:rFonts w:ascii="Times New Roman" w:hAnsi="Times New Roman"/>
          <w:spacing w:val="-60"/>
          <w:u w:val="single" w:color="000000"/>
        </w:rPr>
        <w:t> </w:t>
      </w:r>
      <w:r>
        <w:rPr>
          <w:u w:val="single" w:color="000000"/>
        </w:rPr>
        <w:t>Примања од продаје осталих основних средстава у корист нивоа градова,   </w:t>
      </w:r>
      <w:r>
        <w:rPr>
          <w:spacing w:val="43"/>
          <w:u w:val="single" w:color="000000"/>
        </w:rPr>
        <w:t> </w:t>
      </w:r>
      <w:r>
        <w:rPr>
          <w:u w:val="single" w:color="000000"/>
        </w:rPr>
        <w:t>уплатни</w:t>
      </w:r>
      <w:r>
        <w:rPr/>
      </w:r>
    </w:p>
    <w:p>
      <w:pPr>
        <w:pStyle w:val="BodyText"/>
        <w:spacing w:line="240" w:lineRule="auto"/>
        <w:ind w:right="177"/>
        <w:jc w:val="both"/>
        <w:rPr>
          <w:rFonts w:ascii="Times New Roman" w:hAnsi="Times New Roman" w:cs="Times New Roman" w:eastAsia="Times New Roman" w:hint="default"/>
        </w:rPr>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рачун </w:t>
      </w:r>
      <w:r>
        <w:rPr>
          <w:rFonts w:ascii="Times New Roman" w:hAnsi="Times New Roman" w:cs="Times New Roman" w:eastAsia="Times New Roman" w:hint="default"/>
          <w:u w:val="single" w:color="000000"/>
        </w:rPr>
        <w:t>813141 </w:t>
      </w:r>
      <w:r>
        <w:rPr>
          <w:rFonts w:ascii="Times New Roman" w:hAnsi="Times New Roman" w:cs="Times New Roman" w:eastAsia="Times New Roman" w:hint="default"/>
        </w:rPr>
      </w:r>
      <w:r>
        <w:rPr>
          <w:rFonts w:ascii="Times New Roman" w:hAnsi="Times New Roman" w:cs="Times New Roman" w:eastAsia="Times New Roman" w:hint="default"/>
          <w:b/>
          <w:bCs/>
          <w:i/>
        </w:rPr>
        <w:t>– </w:t>
      </w:r>
      <w:r>
        <w:rPr/>
        <w:t>Остварена су у износу од 10.896 хиљада динара и то по основу примања од откупа станова у државној</w:t>
      </w:r>
      <w:r>
        <w:rPr>
          <w:spacing w:val="-4"/>
        </w:rPr>
        <w:t> </w:t>
      </w:r>
      <w:r>
        <w:rPr/>
        <w:t>својини</w:t>
      </w:r>
      <w:r>
        <w:rPr>
          <w:rFonts w:ascii="Times New Roman" w:hAnsi="Times New Roman" w:cs="Times New Roman" w:eastAsia="Times New Roman" w:hint="default"/>
        </w:rPr>
        <w:t>.</w:t>
      </w:r>
    </w:p>
    <w:p>
      <w:pPr>
        <w:pStyle w:val="BodyText"/>
        <w:spacing w:line="240" w:lineRule="auto"/>
        <w:ind w:right="173" w:firstLine="566"/>
        <w:jc w:val="both"/>
      </w:pPr>
      <w:r>
        <w:rPr/>
        <w:t>Управљање, коришћење и располагање стамбеним зградама и становима чији је власник град Ниш уређено је Одлуком Скупштине града Ниша о стамбеним зградама и становима донетом 1993. године, са задњом изменом и допуном од 12.12.2012. године</w:t>
      </w:r>
      <w:r>
        <w:rPr>
          <w:rFonts w:ascii="Times New Roman" w:hAnsi="Times New Roman"/>
        </w:rPr>
        <w:t>. </w:t>
      </w:r>
      <w:r>
        <w:rPr/>
        <w:t>Чланом 6. наведене Одлуке, прописано је да се станови чији је власник град Ниш поверавају на одржавање Јавном предузећу за стамбене услуге у</w:t>
      </w:r>
      <w:r>
        <w:rPr>
          <w:spacing w:val="-25"/>
        </w:rPr>
        <w:t> </w:t>
      </w:r>
      <w:r>
        <w:rPr/>
        <w:t>Нишу.</w:t>
      </w:r>
    </w:p>
    <w:p>
      <w:pPr>
        <w:pStyle w:val="BodyText"/>
        <w:spacing w:line="240" w:lineRule="auto"/>
        <w:ind w:right="177" w:firstLine="566"/>
        <w:jc w:val="both"/>
      </w:pPr>
      <w:r>
        <w:rPr/>
        <w:t>Поступак откупа станова на којима је носилац права располагања град Ниш уређен је Одлуком Скупштине града Ниша о откупу станова из 2005. године. Чланом 6. Одлуке  о откупу станова одређено је да откупну цену станова утврђује ЈП „Нишстан“ и да врши ревалоризацију. Чланом 8. Одлуке о откупу станова, регулисано је да надлежна Управа  за имовину води евиденцију уговора о откупу станова и прати извршење уговорних обавеза.</w:t>
      </w:r>
    </w:p>
    <w:p>
      <w:pPr>
        <w:pStyle w:val="Heading1"/>
        <w:spacing w:line="240" w:lineRule="auto" w:before="0"/>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2"/>
        </w:rPr>
        <w:t> </w:t>
      </w:r>
      <w:r>
        <w:rPr/>
        <w:t>је</w:t>
      </w:r>
      <w:r>
        <w:rPr>
          <w:rFonts w:ascii="Times New Roman" w:hAnsi="Times New Roman"/>
          <w:b w:val="0"/>
        </w:rPr>
        <w:t>:</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Управа за имовину и инспекцијске послове не води ажурну евиденцију уговора о  откупу станова и не прати извршење уговорних обавеза, што је супротно члану 8. Одлуке о откупу станова, члану 6. Закона о јавној својини и члану 56. Закона о буџетском систему. На основу писаног појашњења одговорних лица Управе за имовину и инспекцијске послове град Ниш поседује 139 станова, за које не постоје аналитичке евиденције  рата  у  поступку  откупа</w:t>
      </w:r>
      <w:r>
        <w:rPr>
          <w:rFonts w:ascii="Times New Roman" w:hAnsi="Times New Roman"/>
          <w:sz w:val="24"/>
        </w:rPr>
        <w:t>.  </w:t>
      </w:r>
      <w:r>
        <w:rPr>
          <w:rFonts w:ascii="Times New Roman" w:hAnsi="Times New Roman"/>
          <w:sz w:val="24"/>
        </w:rPr>
        <w:t>Према  писаном  појашњењу  одговорних  лица</w:t>
      </w:r>
      <w:r>
        <w:rPr>
          <w:rFonts w:ascii="Times New Roman" w:hAnsi="Times New Roman"/>
          <w:spacing w:val="31"/>
          <w:sz w:val="24"/>
        </w:rPr>
        <w:t> </w:t>
      </w:r>
      <w:r>
        <w:rPr>
          <w:rFonts w:ascii="Times New Roman" w:hAnsi="Times New Roman"/>
          <w:sz w:val="24"/>
        </w:rPr>
        <w:t>ЈП</w:t>
      </w:r>
    </w:p>
    <w:p>
      <w:pPr>
        <w:pStyle w:val="BodyText"/>
        <w:spacing w:line="240" w:lineRule="auto"/>
        <w:ind w:right="185"/>
        <w:jc w:val="both"/>
      </w:pPr>
      <w:r>
        <w:rPr/>
        <w:t>„Нишстан“ Ниш</w:t>
      </w:r>
      <w:r>
        <w:rPr>
          <w:rFonts w:ascii="Times New Roman" w:hAnsi="Times New Roman" w:cs="Times New Roman" w:eastAsia="Times New Roman" w:hint="default"/>
        </w:rPr>
        <w:t>, </w:t>
      </w:r>
      <w:r>
        <w:rPr/>
        <w:t>не постоји тачна евиденција станова који су дати у откуп од стране града Ниша и који нису</w:t>
      </w:r>
      <w:r>
        <w:rPr>
          <w:spacing w:val="-12"/>
        </w:rPr>
        <w:t> </w:t>
      </w:r>
      <w:r>
        <w:rPr/>
        <w:t>откупљени.</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Ревалоризацију</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односно усклађивања месечних рата са кретањем потрошачких цена врши ЈП „Нишстан“. Нисмо се уверили у правилност усклађивања рата са кретањем потрошачких цена, а и Град није вршио  проверу</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усклађивања.</w:t>
      </w:r>
    </w:p>
    <w:p>
      <w:pPr>
        <w:pStyle w:val="ListParagraph"/>
        <w:numPr>
          <w:ilvl w:val="0"/>
          <w:numId w:val="9"/>
        </w:numPr>
        <w:tabs>
          <w:tab w:pos="303" w:val="left" w:leader="none"/>
        </w:tabs>
        <w:spacing w:line="240" w:lineRule="auto" w:before="2" w:after="0"/>
        <w:ind w:left="160" w:right="18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ЈП „Нишстан“ и Управа за имовину и инспекцијске послове немају податке о измиреним ратама за станове у откупу, јер се база података са висином откупних рата за станове налази у ЈП „Нишстан“, уплате месечних рата се врше на уплатни рачун код града Ниша, односно код Управе за финансије, тако да са тим уплатама нису упознати</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ЈП</w:t>
      </w:r>
    </w:p>
    <w:p>
      <w:pPr>
        <w:pStyle w:val="BodyText"/>
        <w:spacing w:line="240" w:lineRule="auto"/>
        <w:ind w:right="180"/>
        <w:jc w:val="both"/>
      </w:pPr>
      <w:r>
        <w:rPr/>
        <w:t>„Нишстан“ и Управа за имовину и инспекцијске послове, што је супротно Закону о становању. Купац који отплати стан, сам доказује да је стан отплатио, а одговорни у Граду тек тада сачињавају евиденцију о стану и</w:t>
      </w:r>
      <w:r>
        <w:rPr>
          <w:spacing w:val="-16"/>
        </w:rPr>
        <w:t> </w:t>
      </w:r>
      <w:r>
        <w:rPr/>
        <w:t>отплати.</w:t>
      </w:r>
    </w:p>
    <w:p>
      <w:pPr>
        <w:pStyle w:val="ListParagraph"/>
        <w:numPr>
          <w:ilvl w:val="0"/>
          <w:numId w:val="9"/>
        </w:numPr>
        <w:tabs>
          <w:tab w:pos="303" w:val="left" w:leader="none"/>
        </w:tabs>
        <w:spacing w:line="274" w:lineRule="exact" w:before="24"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Град Ниш није предузимао мере за наплату доспелих рата са купцима који не отплаћују рате за</w:t>
      </w:r>
      <w:r>
        <w:rPr>
          <w:rFonts w:ascii="Times New Roman" w:hAnsi="Times New Roman"/>
          <w:spacing w:val="-5"/>
          <w:sz w:val="24"/>
        </w:rPr>
        <w:t> </w:t>
      </w:r>
      <w:r>
        <w:rPr>
          <w:rFonts w:ascii="Times New Roman" w:hAnsi="Times New Roman"/>
          <w:sz w:val="24"/>
        </w:rPr>
        <w:t>стан.</w:t>
      </w:r>
    </w:p>
    <w:p>
      <w:pPr>
        <w:pStyle w:val="Heading2"/>
        <w:spacing w:line="240" w:lineRule="auto" w:before="2"/>
        <w:ind w:right="179"/>
        <w:jc w:val="both"/>
        <w:rPr>
          <w:b w:val="0"/>
          <w:bCs w:val="0"/>
          <w:i w:val="0"/>
        </w:rPr>
      </w:pPr>
      <w:r>
        <w:rPr>
          <w:i/>
        </w:rPr>
        <w:t>Препоручује се одговорним лицима да: сачине аналитичку евиденцију станова датих у откуп, евидентирају потраживања, прате наплату, предузимају мере за наплату доспелих рата и средства користе сходно Закону о</w:t>
      </w:r>
      <w:r>
        <w:rPr>
          <w:i/>
          <w:spacing w:val="-24"/>
        </w:rPr>
        <w:t> </w:t>
      </w:r>
      <w:r>
        <w:rPr>
          <w:i/>
        </w:rPr>
        <w:t>становању.</w:t>
      </w:r>
      <w:r>
        <w:rPr>
          <w:b w:val="0"/>
          <w:i w:val="0"/>
        </w:rPr>
      </w:r>
    </w:p>
    <w:p>
      <w:pPr>
        <w:spacing w:after="0" w:line="240" w:lineRule="auto"/>
        <w:jc w:val="both"/>
        <w:sectPr>
          <w:pgSz w:w="12240" w:h="15840"/>
          <w:pgMar w:header="740" w:footer="1274" w:top="1280" w:bottom="1460" w:left="1400" w:right="1260"/>
        </w:sectPr>
      </w:pPr>
    </w:p>
    <w:p>
      <w:pPr>
        <w:pStyle w:val="BodyText"/>
        <w:spacing w:line="240" w:lineRule="auto" w:before="122"/>
        <w:ind w:left="726" w:right="141"/>
        <w:jc w:val="left"/>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Примања од продаје робних резерви у корист нивоа градова, уплатни рачун </w:t>
      </w:r>
      <w:r>
        <w:rPr>
          <w:spacing w:val="22"/>
          <w:u w:val="single" w:color="000000"/>
        </w:rPr>
        <w:t> </w:t>
      </w:r>
      <w:r>
        <w:rPr>
          <w:rFonts w:ascii="Times New Roman" w:hAnsi="Times New Roman"/>
          <w:u w:val="single" w:color="000000"/>
        </w:rPr>
        <w:t>821141</w:t>
      </w:r>
      <w:r>
        <w:rPr>
          <w:rFonts w:ascii="Times New Roman" w:hAnsi="Times New Roman"/>
        </w:rPr>
      </w:r>
    </w:p>
    <w:p>
      <w:pPr>
        <w:pStyle w:val="BodyText"/>
        <w:spacing w:line="240" w:lineRule="auto"/>
        <w:ind w:right="170"/>
        <w:jc w:val="both"/>
      </w:pPr>
      <w:r>
        <w:rPr>
          <w:rFonts w:ascii="Times New Roman" w:hAnsi="Times New Roman" w:cs="Times New Roman" w:eastAsia="Times New Roman" w:hint="default"/>
          <w:b/>
          <w:bCs/>
          <w:i/>
        </w:rPr>
        <w:t>– </w:t>
      </w:r>
      <w:r>
        <w:rPr/>
        <w:t>У 2014. години град Ниш је планирао средства по основу продаје робних резерви у износу од 5.700 хиљада динара, остварио је примања у износу од 9.833 хиљаде динара и то  по  основу судских  пресуда  за  позајмљену  робу  из  градских  робних  резерви</w:t>
      </w:r>
      <w:r>
        <w:rPr>
          <w:spacing w:val="19"/>
        </w:rPr>
        <w:t> </w:t>
      </w:r>
      <w:r>
        <w:rPr/>
        <w:t>(ЈКП</w:t>
      </w:r>
    </w:p>
    <w:p>
      <w:pPr>
        <w:pStyle w:val="BodyText"/>
        <w:spacing w:line="240" w:lineRule="auto"/>
        <w:ind w:right="0"/>
        <w:jc w:val="both"/>
      </w:pPr>
      <w:r>
        <w:rPr/>
        <w:t>„Тржница“ Ниш, „Житопек“ ад Ниш и „Србија Турист“ ад</w:t>
      </w:r>
      <w:r>
        <w:rPr>
          <w:spacing w:val="-16"/>
        </w:rPr>
        <w:t> </w:t>
      </w:r>
      <w:r>
        <w:rPr/>
        <w:t>Ниш).</w:t>
      </w:r>
    </w:p>
    <w:p>
      <w:pPr>
        <w:pStyle w:val="BodyText"/>
        <w:spacing w:line="276" w:lineRule="exact" w:before="3"/>
        <w:ind w:right="177" w:firstLine="566"/>
        <w:jc w:val="both"/>
      </w:pPr>
      <w:r>
        <w:rPr/>
        <w:t>Скупштина града Ниша је на седници дана 31.03.1998. године, донела Одлуку о образовању робних резерви града Ниша</w:t>
      </w:r>
      <w:r>
        <w:rPr>
          <w:rFonts w:ascii="Times New Roman" w:hAnsi="Times New Roman"/>
          <w:position w:val="11"/>
          <w:sz w:val="16"/>
        </w:rPr>
        <w:t>47</w:t>
      </w:r>
      <w:r>
        <w:rPr/>
        <w:t>. Градоначелник града Ниша је дана 11.02.2014. године, донео Годишњи програм робних резерви града Ниша за 2014.</w:t>
      </w:r>
      <w:r>
        <w:rPr>
          <w:spacing w:val="-18"/>
        </w:rPr>
        <w:t> </w:t>
      </w:r>
      <w:r>
        <w:rPr/>
        <w:t>годину.</w:t>
      </w:r>
    </w:p>
    <w:p>
      <w:pPr>
        <w:pStyle w:val="BodyText"/>
        <w:spacing w:line="240" w:lineRule="auto"/>
        <w:ind w:right="181" w:firstLine="566"/>
        <w:jc w:val="both"/>
      </w:pPr>
      <w:r>
        <w:rPr/>
        <w:t>На дан 31.12.2014. године Град има залихе робних резерви у износу од 27.973 хиљаде динара, али и потраживања у износу од 249.840 хиљада динара за позајмљене робне резерве и износ од 49.956 хиљада динара по основу судских пресуда за невраћене позајмљене робне</w:t>
      </w:r>
      <w:r>
        <w:rPr>
          <w:spacing w:val="-6"/>
        </w:rPr>
        <w:t> </w:t>
      </w:r>
      <w:r>
        <w:rPr/>
        <w:t>резерве.</w:t>
      </w:r>
    </w:p>
    <w:p>
      <w:pPr>
        <w:pStyle w:val="Heading1"/>
        <w:spacing w:line="240" w:lineRule="auto" w:before="0"/>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2"/>
        </w:rPr>
        <w:t> </w:t>
      </w:r>
      <w:r>
        <w:rPr/>
        <w:t>је</w:t>
      </w:r>
      <w:r>
        <w:rPr>
          <w:rFonts w:ascii="Times New Roman" w:hAnsi="Times New Roman"/>
          <w:b w:val="0"/>
        </w:rPr>
        <w:t>:</w:t>
      </w:r>
    </w:p>
    <w:p>
      <w:pPr>
        <w:pStyle w:val="ListParagraph"/>
        <w:numPr>
          <w:ilvl w:val="0"/>
          <w:numId w:val="9"/>
        </w:numPr>
        <w:tabs>
          <w:tab w:pos="303" w:val="left" w:leader="none"/>
        </w:tabs>
        <w:spacing w:line="237" w:lineRule="auto" w:before="4" w:after="0"/>
        <w:ind w:left="160" w:right="185" w:firstLine="0"/>
        <w:jc w:val="both"/>
        <w:rPr>
          <w:rFonts w:ascii="Times New Roman" w:hAnsi="Times New Roman" w:cs="Times New Roman" w:eastAsia="Times New Roman" w:hint="default"/>
          <w:sz w:val="24"/>
          <w:szCs w:val="24"/>
        </w:rPr>
      </w:pPr>
      <w:r>
        <w:rPr>
          <w:rFonts w:ascii="Times New Roman" w:hAnsi="Times New Roman"/>
          <w:sz w:val="24"/>
        </w:rPr>
        <w:t>Град Ниш није од свих корисника позајмица за робне резерве захтевао средство обезбеђења, како је то прописано чланом 8. Одлуке о образовању робних резерви града Ниша.</w:t>
      </w:r>
    </w:p>
    <w:p>
      <w:pPr>
        <w:pStyle w:val="ListParagraph"/>
        <w:numPr>
          <w:ilvl w:val="0"/>
          <w:numId w:val="9"/>
        </w:numPr>
        <w:tabs>
          <w:tab w:pos="303" w:val="left" w:leader="none"/>
        </w:tabs>
        <w:spacing w:line="237" w:lineRule="auto" w:before="5"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Средства од продатих робних резерви, односно по основу судских пресуда за позајмљену робу из градских робних резерви у износу од 9.833 хиљаде динара нису издвојена на подрачун 840</w:t>
      </w:r>
      <w:r>
        <w:rPr>
          <w:rFonts w:ascii="Times New Roman" w:hAnsi="Times New Roman" w:cs="Times New Roman" w:eastAsia="Times New Roman" w:hint="default"/>
          <w:sz w:val="24"/>
          <w:szCs w:val="24"/>
        </w:rPr>
        <w:t>-1260740-35 </w:t>
      </w:r>
      <w:r>
        <w:rPr>
          <w:rFonts w:ascii="Times New Roman" w:hAnsi="Times New Roman" w:cs="Times New Roman" w:eastAsia="Times New Roman" w:hint="default"/>
          <w:sz w:val="24"/>
          <w:szCs w:val="24"/>
        </w:rPr>
        <w:t>– градске робне</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резерве.</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На дан 31.12.2014. године на рачуну извршења буџета не налазе се средства остварена реализацијом извршних судских пресуда за позајмљену робу из градских робних резерви у износу од 9.833 хиљаде динара, а иста нису утрошена за намену која је предвиђена Годишњим програмом робних резерви града Ниша за 2014. годину број 374/2014</w:t>
      </w:r>
      <w:r>
        <w:rPr>
          <w:rFonts w:ascii="Times New Roman" w:hAnsi="Times New Roman"/>
          <w:sz w:val="24"/>
        </w:rPr>
        <w:t>-</w:t>
      </w:r>
      <w:r>
        <w:rPr>
          <w:rFonts w:ascii="Times New Roman" w:hAnsi="Times New Roman"/>
          <w:sz w:val="24"/>
        </w:rPr>
        <w:t>01 од 11.02.2014. године, што је супротно Одлуци о образовању робних резерви града Ниша</w:t>
      </w:r>
      <w:r>
        <w:rPr>
          <w:rFonts w:ascii="Times New Roman" w:hAnsi="Times New Roman"/>
          <w:sz w:val="24"/>
        </w:rPr>
        <w:t>, </w:t>
      </w:r>
      <w:r>
        <w:rPr>
          <w:rFonts w:ascii="Times New Roman" w:hAnsi="Times New Roman"/>
          <w:sz w:val="24"/>
        </w:rPr>
        <w:t>која је донета по Закону о робним резервама из 1992. године, иако је донет Закон о робним резервама у 2013. години са изменама и допунама у 2014.</w:t>
      </w:r>
      <w:r>
        <w:rPr>
          <w:rFonts w:ascii="Times New Roman" w:hAnsi="Times New Roman"/>
          <w:spacing w:val="-10"/>
          <w:sz w:val="24"/>
        </w:rPr>
        <w:t> </w:t>
      </w:r>
      <w:r>
        <w:rPr>
          <w:rFonts w:ascii="Times New Roman" w:hAnsi="Times New Roman"/>
          <w:sz w:val="24"/>
        </w:rPr>
        <w:t>години</w:t>
      </w:r>
      <w:r>
        <w:rPr>
          <w:rFonts w:ascii="Times New Roman" w:hAnsi="Times New Roman"/>
          <w:sz w:val="24"/>
        </w:rPr>
        <w:t>.</w:t>
      </w:r>
    </w:p>
    <w:p>
      <w:pPr>
        <w:pStyle w:val="Heading2"/>
        <w:spacing w:line="240" w:lineRule="auto"/>
        <w:ind w:right="177"/>
        <w:jc w:val="both"/>
        <w:rPr>
          <w:b w:val="0"/>
          <w:bCs w:val="0"/>
          <w:i w:val="0"/>
        </w:rPr>
      </w:pPr>
      <w:r>
        <w:rPr>
          <w:i/>
        </w:rPr>
        <w:t>Препоручује се одговорним лицима да захтевају средства обезбеђења, сходно Одлуци о образовању робних резерви града Ниша и да средства користе у складу са наменом предвиђеном Годишњим програмом робних</w:t>
      </w:r>
      <w:r>
        <w:rPr>
          <w:i/>
          <w:spacing w:val="-13"/>
        </w:rPr>
        <w:t> </w:t>
      </w:r>
      <w:r>
        <w:rPr>
          <w:i/>
        </w:rPr>
        <w:t>резерви.</w:t>
      </w:r>
      <w:r>
        <w:rPr>
          <w:b w:val="0"/>
          <w:i w:val="0"/>
        </w:rPr>
      </w:r>
    </w:p>
    <w:p>
      <w:pPr>
        <w:pStyle w:val="BodyText"/>
        <w:spacing w:line="240" w:lineRule="auto"/>
        <w:ind w:right="175"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Примања од продаје робе за даљу продају у корист нивоа градова, уплатни рачун </w:t>
      </w:r>
      <w:r>
        <w:rPr/>
      </w:r>
      <w:r>
        <w:rPr/>
      </w:r>
      <w:r>
        <w:rPr>
          <w:rFonts w:ascii="Times New Roman" w:hAnsi="Times New Roman" w:cs="Times New Roman" w:eastAsia="Times New Roman" w:hint="default"/>
        </w:rPr>
      </w:r>
      <w:r>
        <w:rPr>
          <w:rFonts w:ascii="Times New Roman" w:hAnsi="Times New Roman" w:cs="Times New Roman" w:eastAsia="Times New Roman" w:hint="default"/>
          <w:u w:val="single" w:color="000000"/>
        </w:rPr>
        <w:t>823141 </w:t>
      </w:r>
      <w:r>
        <w:rPr>
          <w:rFonts w:ascii="Times New Roman" w:hAnsi="Times New Roman" w:cs="Times New Roman" w:eastAsia="Times New Roman" w:hint="default"/>
        </w:rPr>
      </w:r>
      <w:r>
        <w:rPr>
          <w:rFonts w:ascii="Times New Roman" w:hAnsi="Times New Roman" w:cs="Times New Roman" w:eastAsia="Times New Roman" w:hint="default"/>
          <w:b/>
          <w:bCs/>
          <w:i/>
        </w:rPr>
        <w:t>– </w:t>
      </w:r>
      <w:r>
        <w:rPr/>
        <w:t>У 2014. години планирана су средства у износу од 150.000 хиљада динара, а остварена у износу од 38.344 хиљаде динара, и то по основу наплате месечних рата уговорених приликом откупа станова у својини града Ниша коју наплаћује ЈП „Градска стамбена агенција“, а по основу Закона о социјалном становању. ЈП „Градска стамбена агенција“ у својим пословним књигама води потраживања по основу откупа станова за социјално становање, што је ближе објашњено код Биланса стања, на конту 122000 – краткорочна</w:t>
      </w:r>
      <w:r>
        <w:rPr>
          <w:spacing w:val="-10"/>
        </w:rPr>
        <w:t> </w:t>
      </w:r>
      <w:r>
        <w:rPr/>
        <w:t>потраживања.</w:t>
      </w:r>
    </w:p>
    <w:p>
      <w:pPr>
        <w:pStyle w:val="BodyText"/>
        <w:spacing w:line="240" w:lineRule="auto"/>
        <w:ind w:right="177" w:firstLine="566"/>
        <w:jc w:val="both"/>
      </w:pPr>
      <w:r>
        <w:rPr/>
        <w:t>ЈП „Градска стамбена агенција“ је у 2014. години предузимала појачане мере наплате доспелих рата од купаца који не отплаћују рате за</w:t>
      </w:r>
      <w:r>
        <w:rPr>
          <w:spacing w:val="-17"/>
        </w:rPr>
        <w:t> </w:t>
      </w:r>
      <w:r>
        <w:rPr/>
        <w:t>стан.</w:t>
      </w:r>
    </w:p>
    <w:p>
      <w:pPr>
        <w:spacing w:line="240" w:lineRule="auto" w:before="7"/>
        <w:rPr>
          <w:rFonts w:ascii="Times New Roman" w:hAnsi="Times New Roman" w:cs="Times New Roman" w:eastAsia="Times New Roman" w:hint="default"/>
          <w:sz w:val="24"/>
          <w:szCs w:val="24"/>
        </w:rPr>
      </w:pPr>
    </w:p>
    <w:p>
      <w:pPr>
        <w:spacing w:line="237" w:lineRule="auto" w:before="0"/>
        <w:ind w:left="160" w:right="183" w:firstLine="566"/>
        <w:jc w:val="both"/>
        <w:rPr>
          <w:rFonts w:ascii="Times New Roman" w:hAnsi="Times New Roman" w:cs="Times New Roman" w:eastAsia="Times New Roman" w:hint="default"/>
          <w:sz w:val="24"/>
          <w:szCs w:val="24"/>
        </w:rPr>
      </w:pPr>
      <w:r>
        <w:rPr>
          <w:rFonts w:ascii="Times New Roman" w:hAnsi="Times New Roman"/>
          <w:b/>
          <w:sz w:val="24"/>
        </w:rPr>
        <w:t>Примања од задуживања и продаје финансијске имовине (класа 900000) </w:t>
      </w:r>
      <w:r>
        <w:rPr>
          <w:rFonts w:ascii="Times New Roman" w:hAnsi="Times New Roman"/>
          <w:sz w:val="24"/>
        </w:rPr>
        <w:t>планирана су у износу од 585.299 хиљада динара, а остварена су у износу од 516.501 хиљаде динара, односно 88,25% и</w:t>
      </w:r>
      <w:r>
        <w:rPr>
          <w:rFonts w:ascii="Times New Roman" w:hAnsi="Times New Roman"/>
          <w:spacing w:val="-6"/>
          <w:sz w:val="24"/>
        </w:rPr>
        <w:t> </w:t>
      </w:r>
      <w:r>
        <w:rPr>
          <w:rFonts w:ascii="Times New Roman" w:hAnsi="Times New Roman"/>
          <w:sz w:val="24"/>
        </w:rPr>
        <w:t>то:</w:t>
      </w:r>
    </w:p>
    <w:p>
      <w:pPr>
        <w:pStyle w:val="ListParagraph"/>
        <w:numPr>
          <w:ilvl w:val="0"/>
          <w:numId w:val="24"/>
        </w:numPr>
        <w:tabs>
          <w:tab w:pos="727" w:val="left" w:leader="none"/>
        </w:tabs>
        <w:spacing w:line="240" w:lineRule="auto" w:before="1" w:after="0"/>
        <w:ind w:left="160" w:right="0" w:firstLine="360"/>
        <w:jc w:val="left"/>
        <w:rPr>
          <w:rFonts w:ascii="Times New Roman" w:hAnsi="Times New Roman" w:cs="Times New Roman" w:eastAsia="Times New Roman" w:hint="default"/>
          <w:sz w:val="24"/>
          <w:szCs w:val="24"/>
        </w:rPr>
      </w:pPr>
      <w:r>
        <w:rPr>
          <w:rFonts w:ascii="Times New Roman" w:hAnsi="Times New Roman"/>
          <w:sz w:val="24"/>
        </w:rPr>
        <w:t>Примања од задуживања у износу од 323.333 хиљаде</w:t>
      </w:r>
      <w:r>
        <w:rPr>
          <w:rFonts w:ascii="Times New Roman" w:hAnsi="Times New Roman"/>
          <w:spacing w:val="-14"/>
          <w:sz w:val="24"/>
        </w:rPr>
        <w:t> </w:t>
      </w:r>
      <w:r>
        <w:rPr>
          <w:rFonts w:ascii="Times New Roman" w:hAnsi="Times New Roman"/>
          <w:sz w:val="24"/>
        </w:rPr>
        <w:t>динара</w:t>
      </w:r>
    </w:p>
    <w:p>
      <w:pPr>
        <w:spacing w:line="240" w:lineRule="auto" w:before="0"/>
        <w:rPr>
          <w:rFonts w:ascii="Times New Roman" w:hAnsi="Times New Roman" w:cs="Times New Roman" w:eastAsia="Times New Roman" w:hint="default"/>
          <w:sz w:val="20"/>
          <w:szCs w:val="20"/>
        </w:rPr>
      </w:pPr>
    </w:p>
    <w:p>
      <w:pPr>
        <w:spacing w:line="240" w:lineRule="auto" w:before="2"/>
        <w:rPr>
          <w:rFonts w:ascii="Times New Roman" w:hAnsi="Times New Roman" w:cs="Times New Roman" w:eastAsia="Times New Roman" w:hint="default"/>
          <w:sz w:val="15"/>
          <w:szCs w:val="15"/>
        </w:rPr>
      </w:pPr>
      <w:r>
        <w:rPr/>
        <w:pict>
          <v:group style="position:absolute;margin-left:78.024002pt;margin-top:9.965281pt;width:144.050pt;height:.1pt;mso-position-horizontal-relative:page;mso-position-vertical-relative:paragraph;z-index:1576;mso-wrap-distance-left:0;mso-wrap-distance-right:0" coordorigin="1560,199" coordsize="2881,2">
            <v:shape style="position:absolute;left:1560;top:199;width:2881;height:2" coordorigin="1560,199" coordsize="2881,0" path="m1560,199l4441,199e" filled="false" stroked="true" strokeweight=".599980pt" strokecolor="#000000">
              <v:path arrowok="t"/>
            </v:shape>
            <w10:wrap type="topAndBottom"/>
          </v:group>
        </w:pict>
      </w:r>
    </w:p>
    <w:p>
      <w:pPr>
        <w:spacing w:before="52"/>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47 </w:t>
      </w:r>
      <w:r>
        <w:rPr>
          <w:rFonts w:ascii="Times New Roman" w:hAnsi="Times New Roman" w:cs="Times New Roman" w:eastAsia="Times New Roman" w:hint="default"/>
          <w:sz w:val="16"/>
          <w:szCs w:val="16"/>
        </w:rPr>
        <w:t>„Службени лист града Ниша“ број 9/1998, 1/2002 и</w:t>
      </w:r>
      <w:r>
        <w:rPr>
          <w:rFonts w:ascii="Times New Roman" w:hAnsi="Times New Roman" w:cs="Times New Roman" w:eastAsia="Times New Roman" w:hint="default"/>
          <w:spacing w:val="-14"/>
          <w:sz w:val="16"/>
          <w:szCs w:val="16"/>
        </w:rPr>
        <w:t> </w:t>
      </w:r>
      <w:r>
        <w:rPr>
          <w:rFonts w:ascii="Times New Roman" w:hAnsi="Times New Roman" w:cs="Times New Roman" w:eastAsia="Times New Roman" w:hint="default"/>
          <w:sz w:val="16"/>
          <w:szCs w:val="16"/>
        </w:rPr>
        <w:t>104/2004</w:t>
      </w:r>
    </w:p>
    <w:p>
      <w:pPr>
        <w:spacing w:after="0"/>
        <w:jc w:val="left"/>
        <w:rPr>
          <w:rFonts w:ascii="Times New Roman" w:hAnsi="Times New Roman" w:cs="Times New Roman" w:eastAsia="Times New Roman" w:hint="default"/>
          <w:sz w:val="16"/>
          <w:szCs w:val="16"/>
        </w:rPr>
        <w:sectPr>
          <w:pgSz w:w="12240" w:h="15840"/>
          <w:pgMar w:header="740" w:footer="1274" w:top="1280" w:bottom="1460" w:left="1400" w:right="1260"/>
        </w:sectPr>
      </w:pPr>
    </w:p>
    <w:p>
      <w:pPr>
        <w:pStyle w:val="ListParagraph"/>
        <w:numPr>
          <w:ilvl w:val="0"/>
          <w:numId w:val="24"/>
        </w:numPr>
        <w:tabs>
          <w:tab w:pos="727" w:val="left" w:leader="none"/>
        </w:tabs>
        <w:spacing w:line="240" w:lineRule="auto" w:before="122" w:after="0"/>
        <w:ind w:left="160" w:right="182" w:firstLine="360"/>
        <w:jc w:val="left"/>
        <w:rPr>
          <w:rFonts w:ascii="Times New Roman" w:hAnsi="Times New Roman" w:cs="Times New Roman" w:eastAsia="Times New Roman" w:hint="default"/>
          <w:sz w:val="24"/>
          <w:szCs w:val="24"/>
        </w:rPr>
      </w:pPr>
      <w:r>
        <w:rPr>
          <w:rFonts w:ascii="Times New Roman" w:hAnsi="Times New Roman"/>
          <w:sz w:val="24"/>
        </w:rPr>
        <w:t>Примања од продаје домаће финансијске имовине у износу од 193.168 хиљада динара</w:t>
      </w:r>
      <w:r>
        <w:rPr>
          <w:rFonts w:ascii="Times New Roman" w:hAnsi="Times New Roman"/>
          <w:sz w:val="24"/>
        </w:rPr>
        <w:t>.</w:t>
      </w:r>
    </w:p>
    <w:p>
      <w:pPr>
        <w:pStyle w:val="BodyText"/>
        <w:spacing w:line="240" w:lineRule="auto"/>
        <w:ind w:right="175"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Примања од задуживања </w:t>
      </w:r>
      <w:r>
        <w:rPr/>
        <w:t>– Планирана су у износу од </w:t>
      </w:r>
      <w:r>
        <w:rPr>
          <w:rFonts w:ascii="Times New Roman" w:hAnsi="Times New Roman" w:cs="Times New Roman" w:eastAsia="Times New Roman" w:hint="default"/>
        </w:rPr>
        <w:t>323.33</w:t>
      </w:r>
      <w:r>
        <w:rPr/>
        <w:t>4 хиљад</w:t>
      </w:r>
      <w:r>
        <w:rPr>
          <w:rFonts w:ascii="Times New Roman" w:hAnsi="Times New Roman" w:cs="Times New Roman" w:eastAsia="Times New Roman" w:hint="default"/>
        </w:rPr>
        <w:t>e </w:t>
      </w:r>
      <w:r>
        <w:rPr/>
        <w:t>динара, а остварена у износу од 323.333 хиљаде</w:t>
      </w:r>
      <w:r>
        <w:rPr>
          <w:spacing w:val="-11"/>
        </w:rPr>
        <w:t> </w:t>
      </w:r>
      <w:r>
        <w:rPr/>
        <w:t>динара.</w:t>
      </w:r>
    </w:p>
    <w:p>
      <w:pPr>
        <w:pStyle w:val="BodyText"/>
        <w:spacing w:line="240" w:lineRule="auto"/>
        <w:ind w:left="726" w:right="141"/>
        <w:jc w:val="left"/>
      </w:pPr>
      <w:r>
        <w:rPr>
          <w:rFonts w:ascii="Times New Roman" w:hAnsi="Times New Roman"/>
        </w:rPr>
      </w:r>
      <w:r>
        <w:rPr>
          <w:rFonts w:ascii="Times New Roman" w:hAnsi="Times New Roman"/>
          <w:spacing w:val="-60"/>
          <w:u w:val="single" w:color="000000"/>
        </w:rPr>
        <w:t> </w:t>
      </w:r>
      <w:r>
        <w:rPr>
          <w:u w:val="single" w:color="000000"/>
        </w:rPr>
        <w:t>Примања од задуживања код пословних  банака  у земљи  у корист  нивоа  </w:t>
      </w:r>
      <w:r>
        <w:rPr>
          <w:spacing w:val="27"/>
          <w:u w:val="single" w:color="000000"/>
        </w:rPr>
        <w:t> </w:t>
      </w:r>
      <w:r>
        <w:rPr>
          <w:u w:val="single" w:color="000000"/>
        </w:rPr>
        <w:t>градова,</w:t>
      </w:r>
      <w:r>
        <w:rPr/>
      </w:r>
    </w:p>
    <w:p>
      <w:pPr>
        <w:pStyle w:val="BodyText"/>
        <w:spacing w:line="240" w:lineRule="auto"/>
        <w:ind w:right="173"/>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уплатни рачун </w:t>
      </w:r>
      <w:r>
        <w:rPr>
          <w:rFonts w:ascii="Times New Roman" w:hAnsi="Times New Roman" w:cs="Times New Roman" w:eastAsia="Times New Roman" w:hint="default"/>
          <w:u w:val="single" w:color="000000"/>
        </w:rPr>
        <w:t>911441 </w:t>
      </w:r>
      <w:r>
        <w:rPr>
          <w:rFonts w:ascii="Times New Roman" w:hAnsi="Times New Roman" w:cs="Times New Roman" w:eastAsia="Times New Roman" w:hint="default"/>
        </w:rPr>
        <w:t>- </w:t>
      </w:r>
      <w:r>
        <w:rPr/>
        <w:t>Остварена су у износу од 323.333 хиљаде динара и то по основу кредита узетог од „Аик банка“ ад Ниш. Скупштина града Ниша је дана  03.02.2014. године донела Одлуку о задуживању за финансирање текуће ликвидности. Након спроведеног поступка јавне набавке град Ниш је закључио са „Аик банка“ ад  Ниш Уговор о кредиту број 1171/2014</w:t>
      </w:r>
      <w:r>
        <w:rPr>
          <w:rFonts w:ascii="Times New Roman" w:hAnsi="Times New Roman" w:cs="Times New Roman" w:eastAsia="Times New Roman" w:hint="default"/>
        </w:rPr>
        <w:t>-</w:t>
      </w:r>
      <w:r>
        <w:rPr/>
        <w:t>01 од 31.03.2014. године у вредности од 2.800.000 евра  у динарској противвредности по средњем курсу Народне банке Србије, што на дан повлачења износи 323.333 хиљаде динара. Кредит је одобрен за финансирање дефицита текуће ликвидности услед неуравнотежености кретања у јавним приходима и јавним расходима буџета града Ниша. Дана 01.04.2014. године Град је повукао средства у износу од 323.333 хиљаде динара. Рок враћања кредита је до 25.12.2014. године. Уговором је прописана висина камате од 4,8% годишње. Град је вратио кредит у уговореном року, што је објашњено код групе</w:t>
      </w:r>
      <w:r>
        <w:rPr>
          <w:spacing w:val="-7"/>
        </w:rPr>
        <w:t> </w:t>
      </w:r>
      <w:r>
        <w:rPr/>
        <w:t>611000.</w:t>
      </w:r>
    </w:p>
    <w:p>
      <w:pPr>
        <w:pStyle w:val="BodyText"/>
        <w:spacing w:line="240" w:lineRule="auto"/>
        <w:ind w:left="726" w:right="141"/>
        <w:jc w:val="left"/>
      </w:pPr>
      <w:r>
        <w:rPr>
          <w:rFonts w:ascii="Times New Roman" w:hAnsi="Times New Roman"/>
        </w:rPr>
      </w:r>
      <w:r>
        <w:rPr>
          <w:rFonts w:ascii="Times New Roman" w:hAnsi="Times New Roman"/>
          <w:spacing w:val="-60"/>
          <w:u w:val="single" w:color="000000"/>
        </w:rPr>
        <w:t> </w:t>
      </w:r>
      <w:r>
        <w:rPr>
          <w:u w:val="single" w:color="000000"/>
        </w:rPr>
        <w:t>Примања од задуживања код осталих поверилаца у земљи у корист нивоа  </w:t>
      </w:r>
      <w:r>
        <w:rPr>
          <w:spacing w:val="53"/>
          <w:u w:val="single" w:color="000000"/>
        </w:rPr>
        <w:t> </w:t>
      </w:r>
      <w:r>
        <w:rPr>
          <w:u w:val="single" w:color="000000"/>
        </w:rPr>
        <w:t>градова,</w:t>
      </w:r>
      <w:r>
        <w:rPr/>
      </w:r>
    </w:p>
    <w:p>
      <w:pPr>
        <w:pStyle w:val="BodyText"/>
        <w:spacing w:line="240" w:lineRule="auto"/>
        <w:ind w:right="176"/>
        <w:jc w:val="both"/>
      </w:pPr>
      <w:r>
        <w:rPr>
          <w:rFonts w:ascii="Times New Roman" w:hAnsi="Times New Roman"/>
        </w:rPr>
      </w:r>
      <w:r>
        <w:rPr>
          <w:rFonts w:ascii="Times New Roman" w:hAnsi="Times New Roman"/>
          <w:spacing w:val="-60"/>
          <w:u w:val="single" w:color="000000"/>
        </w:rPr>
        <w:t> </w:t>
      </w:r>
      <w:r>
        <w:rPr>
          <w:u w:val="single" w:color="000000"/>
        </w:rPr>
        <w:t>уплатни рачун </w:t>
      </w:r>
      <w:r>
        <w:rPr>
          <w:rFonts w:ascii="Times New Roman" w:hAnsi="Times New Roman"/>
          <w:u w:val="single" w:color="000000"/>
        </w:rPr>
        <w:t>911541 </w:t>
      </w:r>
      <w:r>
        <w:rPr>
          <w:rFonts w:ascii="Times New Roman" w:hAnsi="Times New Roman"/>
        </w:rPr>
        <w:t>- </w:t>
      </w:r>
      <w:r>
        <w:rPr/>
        <w:t>Није исказан салдо. Увидом у аналитичку картицу утврдили смо да је евидентирана интерна позајмица града Ниша у оквиру Консолидованог рачуна трезора. Начелник Управе за финансије, изворне приходе локалне самоуправе и јавне набавке, донео је дана 25.05.2011. године Правилник о начину коришћења средстава са подрачуна, односно других рачуна консолидованог рачуна трезора града Ниша и о инвестирању средстава корисника буџета број 11</w:t>
      </w:r>
      <w:r>
        <w:rPr>
          <w:rFonts w:ascii="Times New Roman" w:hAnsi="Times New Roman"/>
        </w:rPr>
        <w:t>-813-</w:t>
      </w:r>
      <w:r>
        <w:rPr/>
        <w:t>1/2011, којим је ближе уређен начин коришћења новчаних средстава са подрачуна, односно других рачуна  трезора града Ниша, а чланом 7 је одређено да се позајмица мора вратити до 31.12. Град је у  2013. години </w:t>
      </w:r>
      <w:r>
        <w:rPr>
          <w:spacing w:val="-3"/>
        </w:rPr>
        <w:t>узео </w:t>
      </w:r>
      <w:r>
        <w:rPr/>
        <w:t>интерну позајмицу. Дана 17.12.2013. године, Начелник Управе за </w:t>
      </w:r>
      <w:r>
        <w:rPr/>
        <w:t>финансије, донео је Правилник о измени Правилника о начину коришћења средстава са подрачуна, односно других рачуна консолидованог рачуна трезора града Ниша и о инвестирању средстава корисника буџета. Изменом Правилника измењен је члан 7, тако да се позајмица не мора вратити до краја текуће године у зависности од услова на финансијском</w:t>
      </w:r>
      <w:r>
        <w:rPr>
          <w:spacing w:val="-5"/>
        </w:rPr>
        <w:t> </w:t>
      </w:r>
      <w:r>
        <w:rPr/>
        <w:t>тржишту.</w:t>
      </w:r>
    </w:p>
    <w:p>
      <w:pPr>
        <w:pStyle w:val="BodyText"/>
        <w:spacing w:line="240" w:lineRule="auto"/>
        <w:ind w:right="182" w:firstLine="566"/>
        <w:jc w:val="both"/>
      </w:pPr>
      <w:r>
        <w:rPr/>
        <w:t>Град Ниш до </w:t>
      </w:r>
      <w:r>
        <w:rPr>
          <w:rFonts w:ascii="Times New Roman" w:hAnsi="Times New Roman"/>
        </w:rPr>
        <w:t>31.12.20</w:t>
      </w:r>
      <w:r>
        <w:rPr/>
        <w:t>13. године није вратио интерну позајмицу у износу од 146.000 хиљада динара. До краја 2014. године, интерна позајмица је у целости</w:t>
      </w:r>
      <w:r>
        <w:rPr>
          <w:spacing w:val="-20"/>
        </w:rPr>
        <w:t> </w:t>
      </w:r>
      <w:r>
        <w:rPr/>
        <w:t>враћена.</w:t>
      </w:r>
    </w:p>
    <w:p>
      <w:pPr>
        <w:pStyle w:val="BodyText"/>
        <w:spacing w:line="240" w:lineRule="auto"/>
        <w:ind w:right="174" w:firstLine="566"/>
        <w:jc w:val="both"/>
      </w:pPr>
      <w:r>
        <w:rPr>
          <w:rFonts w:ascii="Times New Roman" w:hAnsi="Times New Roman" w:cs="Times New Roman" w:eastAsia="Times New Roman" w:hint="default"/>
          <w:b/>
          <w:bCs/>
        </w:rPr>
        <w:t>На основу ревизије узорковане документације утврђено је </w:t>
      </w:r>
      <w:r>
        <w:rPr/>
        <w:t>да Управа за финансије није евидентирала интерну позајмицу на класи 300000 – капитал, што је супротно члану 9. Уредбе о буџетском рачуноводству и Правилнику о стандардном класификационом оквиру и контном плану за буџетски</w:t>
      </w:r>
      <w:r>
        <w:rPr>
          <w:spacing w:val="-31"/>
        </w:rPr>
        <w:t> </w:t>
      </w:r>
      <w:r>
        <w:rPr/>
        <w:t>систем.</w:t>
      </w:r>
    </w:p>
    <w:p>
      <w:pPr>
        <w:pStyle w:val="Heading2"/>
        <w:spacing w:line="240" w:lineRule="auto"/>
        <w:ind w:right="172"/>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BodyText"/>
        <w:spacing w:line="240" w:lineRule="auto"/>
        <w:ind w:right="183" w:firstLine="566"/>
        <w:jc w:val="both"/>
      </w:pPr>
      <w:r>
        <w:rPr>
          <w:rFonts w:ascii="Times New Roman" w:hAnsi="Times New Roman"/>
        </w:rPr>
      </w:r>
      <w:r>
        <w:rPr>
          <w:rFonts w:ascii="Times New Roman" w:hAnsi="Times New Roman"/>
          <w:spacing w:val="-60"/>
          <w:u w:val="single" w:color="000000"/>
        </w:rPr>
        <w:t> </w:t>
      </w:r>
      <w:r>
        <w:rPr>
          <w:u w:val="single" w:color="000000"/>
        </w:rPr>
        <w:t>Примања од продаје домаће финансијске имовине </w:t>
      </w:r>
      <w:r>
        <w:rPr/>
      </w:r>
      <w:r>
        <w:rPr>
          <w:rFonts w:ascii="Times New Roman" w:hAnsi="Times New Roman"/>
        </w:rPr>
        <w:t>- </w:t>
      </w:r>
      <w:r>
        <w:rPr/>
        <w:t>Планирана су у износу од 261.965 хиљада динара, а остварена у износу од 193.168 хиљада</w:t>
      </w:r>
      <w:r>
        <w:rPr>
          <w:spacing w:val="-17"/>
        </w:rPr>
        <w:t> </w:t>
      </w:r>
      <w:r>
        <w:rPr/>
        <w:t>динара.</w:t>
      </w:r>
    </w:p>
    <w:p>
      <w:pPr>
        <w:pStyle w:val="BodyText"/>
        <w:spacing w:line="240" w:lineRule="auto"/>
        <w:ind w:left="726" w:right="141"/>
        <w:jc w:val="left"/>
      </w:pPr>
      <w:r>
        <w:rPr>
          <w:rFonts w:ascii="Times New Roman" w:hAnsi="Times New Roman"/>
        </w:rPr>
      </w:r>
      <w:r>
        <w:rPr>
          <w:rFonts w:ascii="Times New Roman" w:hAnsi="Times New Roman"/>
          <w:spacing w:val="-60"/>
          <w:u w:val="single" w:color="000000"/>
        </w:rPr>
        <w:t> </w:t>
      </w:r>
      <w:r>
        <w:rPr>
          <w:u w:val="single" w:color="000000"/>
        </w:rPr>
        <w:t>Примања од отплате кредита датих домаћим јавним нефинансијским</w:t>
      </w:r>
      <w:r>
        <w:rPr>
          <w:spacing w:val="-4"/>
          <w:u w:val="single" w:color="000000"/>
        </w:rPr>
        <w:t> </w:t>
      </w:r>
      <w:r>
        <w:rPr>
          <w:u w:val="single" w:color="000000"/>
        </w:rPr>
        <w:t>институцијама</w:t>
      </w:r>
      <w:r>
        <w:rPr/>
      </w:r>
    </w:p>
    <w:p>
      <w:pPr>
        <w:pStyle w:val="BodyText"/>
        <w:spacing w:line="240" w:lineRule="auto"/>
        <w:ind w:right="175"/>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у корист нивоа градова, уплатни рачун </w:t>
      </w:r>
      <w:r>
        <w:rPr>
          <w:rFonts w:ascii="Times New Roman" w:hAnsi="Times New Roman" w:cs="Times New Roman" w:eastAsia="Times New Roman" w:hint="default"/>
          <w:u w:val="single" w:color="000000"/>
        </w:rPr>
        <w:t>921541 </w:t>
      </w:r>
      <w:r>
        <w:rPr>
          <w:rFonts w:ascii="Times New Roman" w:hAnsi="Times New Roman" w:cs="Times New Roman" w:eastAsia="Times New Roman" w:hint="default"/>
        </w:rPr>
      </w:r>
      <w:r>
        <w:rPr/>
        <w:t>– Остварена су у износу од  </w:t>
      </w:r>
      <w:r>
        <w:rPr>
          <w:rFonts w:ascii="Times New Roman" w:hAnsi="Times New Roman" w:cs="Times New Roman" w:eastAsia="Times New Roman" w:hint="default"/>
        </w:rPr>
        <w:t>108.878 </w:t>
      </w:r>
      <w:r>
        <w:rPr/>
        <w:t>хиљада  динара.  ЈКП  „</w:t>
      </w:r>
      <w:r>
        <w:rPr>
          <w:rFonts w:ascii="Times New Roman" w:hAnsi="Times New Roman" w:cs="Times New Roman" w:eastAsia="Times New Roman" w:hint="default"/>
        </w:rPr>
        <w:t>Naissus</w:t>
      </w:r>
      <w:r>
        <w:rPr/>
        <w:t>“  је  вршио  уплату  граду  Нишу  на  основу   </w:t>
      </w:r>
      <w:r>
        <w:rPr>
          <w:spacing w:val="18"/>
        </w:rPr>
        <w:t> </w:t>
      </w:r>
      <w:r>
        <w:rPr/>
        <w:t>закљученог</w:t>
      </w:r>
    </w:p>
    <w:p>
      <w:pPr>
        <w:spacing w:after="0" w:line="240" w:lineRule="auto"/>
        <w:jc w:val="both"/>
        <w:sectPr>
          <w:pgSz w:w="12240" w:h="15840"/>
          <w:pgMar w:header="740" w:footer="1274" w:top="1280" w:bottom="1460" w:left="1400" w:right="1260"/>
        </w:sectPr>
      </w:pPr>
    </w:p>
    <w:p>
      <w:pPr>
        <w:pStyle w:val="BodyText"/>
        <w:spacing w:line="240" w:lineRule="auto" w:before="122"/>
        <w:ind w:right="172"/>
        <w:jc w:val="both"/>
      </w:pPr>
      <w:r>
        <w:rPr/>
        <w:t>Секундарног Уговора о зајму број 06</w:t>
      </w:r>
      <w:r>
        <w:rPr>
          <w:rFonts w:ascii="Times New Roman" w:hAnsi="Times New Roman" w:cs="Times New Roman" w:eastAsia="Times New Roman" w:hint="default"/>
        </w:rPr>
        <w:t>-</w:t>
      </w:r>
      <w:r>
        <w:rPr/>
        <w:t>116/2002 од 10.05.2002. године. Секундарни уговор је закључен на бази основног уговора о зајму између града Ниша и Европске банке за обнову и развој. Основним уговором Банка захтева од града и Компаније (ЈКП „</w:t>
      </w:r>
      <w:r>
        <w:rPr>
          <w:rFonts w:ascii="Times New Roman" w:hAnsi="Times New Roman" w:cs="Times New Roman" w:eastAsia="Times New Roman" w:hint="default"/>
        </w:rPr>
        <w:t>Naissus</w:t>
      </w:r>
      <w:r>
        <w:rPr/>
        <w:t>“) да закључе овај секундарни уговор, према коме ће средства зајма бити стављена на располагање Компанији (ЈКП „</w:t>
      </w:r>
      <w:r>
        <w:rPr>
          <w:rFonts w:ascii="Times New Roman" w:hAnsi="Times New Roman" w:cs="Times New Roman" w:eastAsia="Times New Roman" w:hint="default"/>
        </w:rPr>
        <w:t>Naissus</w:t>
      </w:r>
      <w:r>
        <w:rPr/>
        <w:t>“), у циљу извођења пројекта, који ће индиректно користити Компанији (ЈКП „</w:t>
      </w:r>
      <w:r>
        <w:rPr>
          <w:rFonts w:ascii="Times New Roman" w:hAnsi="Times New Roman" w:cs="Times New Roman" w:eastAsia="Times New Roman" w:hint="default"/>
        </w:rPr>
        <w:t>Naissus</w:t>
      </w:r>
      <w:r>
        <w:rPr/>
        <w:t>“). Град се сложио да Компанији, под условом Секундарног Уговора о зајму, да на зајам укупан износ који је једнак суми од 6.000.000 евра. Савезна Република Југославија је гарант за зајам који преузима град Ниш, као зајмопримац, (као носилац пројекта корисник зајма је ЈКП „</w:t>
      </w:r>
      <w:r>
        <w:rPr>
          <w:rFonts w:ascii="Times New Roman" w:hAnsi="Times New Roman" w:cs="Times New Roman" w:eastAsia="Times New Roman" w:hint="default"/>
        </w:rPr>
        <w:t>Naissus</w:t>
      </w:r>
      <w:r>
        <w:rPr/>
        <w:t>“). Договорено је враћање зајма два пута годишње 22.03. и 22.09. сваке године. Компанија се обавезала да Граду плаћа комисиону провизију од половине процента годишње на износ неподигнутог кредита.</w:t>
      </w:r>
    </w:p>
    <w:p>
      <w:pPr>
        <w:pStyle w:val="BodyText"/>
        <w:spacing w:line="240" w:lineRule="auto"/>
        <w:ind w:right="175" w:firstLine="566"/>
        <w:jc w:val="both"/>
      </w:pPr>
      <w:r>
        <w:rPr/>
        <w:t>Увидом у картицу аналитике Компаније (ЈКП „</w:t>
      </w:r>
      <w:r>
        <w:rPr>
          <w:rFonts w:ascii="Times New Roman" w:hAnsi="Times New Roman" w:cs="Times New Roman" w:eastAsia="Times New Roman" w:hint="default"/>
        </w:rPr>
        <w:t>Naissus</w:t>
      </w:r>
      <w:r>
        <w:rPr/>
        <w:t>“) утврђено је да Компанија на дан 31.12.2014. године има обавезу према граду у износу од </w:t>
      </w:r>
      <w:r>
        <w:rPr>
          <w:rFonts w:ascii="Times New Roman" w:hAnsi="Times New Roman" w:cs="Times New Roman" w:eastAsia="Times New Roman" w:hint="default"/>
        </w:rPr>
        <w:t>23.899 </w:t>
      </w:r>
      <w:r>
        <w:rPr/>
        <w:t>хиљада</w:t>
      </w:r>
      <w:r>
        <w:rPr>
          <w:spacing w:val="-15"/>
        </w:rPr>
        <w:t> </w:t>
      </w:r>
      <w:r>
        <w:rPr/>
        <w:t>динара.</w:t>
      </w:r>
    </w:p>
    <w:p>
      <w:pPr>
        <w:pStyle w:val="BodyText"/>
        <w:spacing w:line="240" w:lineRule="auto"/>
        <w:ind w:left="726" w:right="141"/>
        <w:jc w:val="left"/>
      </w:pPr>
      <w:r>
        <w:rPr>
          <w:rFonts w:ascii="Times New Roman" w:hAnsi="Times New Roman"/>
        </w:rPr>
      </w:r>
      <w:r>
        <w:rPr>
          <w:rFonts w:ascii="Times New Roman" w:hAnsi="Times New Roman"/>
          <w:spacing w:val="-60"/>
          <w:u w:val="single" w:color="000000"/>
        </w:rPr>
        <w:t> </w:t>
      </w:r>
      <w:r>
        <w:rPr>
          <w:u w:val="single" w:color="000000"/>
        </w:rPr>
        <w:t>Примања</w:t>
      </w:r>
      <w:r>
        <w:rPr>
          <w:spacing w:val="36"/>
          <w:u w:val="single" w:color="000000"/>
        </w:rPr>
        <w:t> </w:t>
      </w:r>
      <w:r>
        <w:rPr>
          <w:u w:val="single" w:color="000000"/>
        </w:rPr>
        <w:t>од</w:t>
      </w:r>
      <w:r>
        <w:rPr>
          <w:spacing w:val="38"/>
          <w:u w:val="single" w:color="000000"/>
        </w:rPr>
        <w:t> </w:t>
      </w:r>
      <w:r>
        <w:rPr>
          <w:u w:val="single" w:color="000000"/>
        </w:rPr>
        <w:t>продаје</w:t>
      </w:r>
      <w:r>
        <w:rPr>
          <w:spacing w:val="38"/>
          <w:u w:val="single" w:color="000000"/>
        </w:rPr>
        <w:t> </w:t>
      </w:r>
      <w:r>
        <w:rPr>
          <w:u w:val="single" w:color="000000"/>
        </w:rPr>
        <w:t>домаћих</w:t>
      </w:r>
      <w:r>
        <w:rPr>
          <w:spacing w:val="40"/>
          <w:u w:val="single" w:color="000000"/>
        </w:rPr>
        <w:t> </w:t>
      </w:r>
      <w:r>
        <w:rPr>
          <w:u w:val="single" w:color="000000"/>
        </w:rPr>
        <w:t>акција</w:t>
      </w:r>
      <w:r>
        <w:rPr>
          <w:spacing w:val="35"/>
          <w:u w:val="single" w:color="000000"/>
        </w:rPr>
        <w:t> </w:t>
      </w:r>
      <w:r>
        <w:rPr>
          <w:u w:val="single" w:color="000000"/>
        </w:rPr>
        <w:t>и</w:t>
      </w:r>
      <w:r>
        <w:rPr>
          <w:spacing w:val="37"/>
          <w:u w:val="single" w:color="000000"/>
        </w:rPr>
        <w:t> </w:t>
      </w:r>
      <w:r>
        <w:rPr>
          <w:u w:val="single" w:color="000000"/>
        </w:rPr>
        <w:t>осталог</w:t>
      </w:r>
      <w:r>
        <w:rPr>
          <w:spacing w:val="38"/>
          <w:u w:val="single" w:color="000000"/>
        </w:rPr>
        <w:t> </w:t>
      </w:r>
      <w:r>
        <w:rPr>
          <w:u w:val="single" w:color="000000"/>
        </w:rPr>
        <w:t>капитала</w:t>
      </w:r>
      <w:r>
        <w:rPr>
          <w:spacing w:val="40"/>
          <w:u w:val="single" w:color="000000"/>
        </w:rPr>
        <w:t> </w:t>
      </w:r>
      <w:r>
        <w:rPr>
          <w:u w:val="single" w:color="000000"/>
        </w:rPr>
        <w:t>у</w:t>
      </w:r>
      <w:r>
        <w:rPr>
          <w:spacing w:val="31"/>
          <w:u w:val="single" w:color="000000"/>
        </w:rPr>
        <w:t> </w:t>
      </w:r>
      <w:r>
        <w:rPr>
          <w:u w:val="single" w:color="000000"/>
        </w:rPr>
        <w:t>корист</w:t>
      </w:r>
      <w:r>
        <w:rPr>
          <w:spacing w:val="39"/>
          <w:u w:val="single" w:color="000000"/>
        </w:rPr>
        <w:t> </w:t>
      </w:r>
      <w:r>
        <w:rPr>
          <w:u w:val="single" w:color="000000"/>
        </w:rPr>
        <w:t>нивоа</w:t>
      </w:r>
      <w:r>
        <w:rPr>
          <w:spacing w:val="37"/>
          <w:u w:val="single" w:color="000000"/>
        </w:rPr>
        <w:t> </w:t>
      </w:r>
      <w:r>
        <w:rPr>
          <w:u w:val="single" w:color="000000"/>
        </w:rPr>
        <w:t>градова,</w:t>
      </w:r>
      <w:r>
        <w:rPr/>
      </w:r>
    </w:p>
    <w:p>
      <w:pPr>
        <w:pStyle w:val="BodyText"/>
        <w:spacing w:line="240" w:lineRule="auto"/>
        <w:ind w:right="172"/>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уплатни рачун </w:t>
      </w:r>
      <w:r>
        <w:rPr>
          <w:rFonts w:ascii="Times New Roman" w:hAnsi="Times New Roman" w:cs="Times New Roman" w:eastAsia="Times New Roman" w:hint="default"/>
          <w:u w:val="single" w:color="000000"/>
        </w:rPr>
        <w:t>921941 </w:t>
      </w:r>
      <w:r>
        <w:rPr>
          <w:rFonts w:ascii="Times New Roman" w:hAnsi="Times New Roman" w:cs="Times New Roman" w:eastAsia="Times New Roman" w:hint="default"/>
        </w:rPr>
        <w:t>- </w:t>
      </w:r>
      <w:r>
        <w:rPr/>
        <w:t>Остварена су у износу од 84.290 хиљада динара</w:t>
      </w:r>
      <w:r>
        <w:rPr>
          <w:rFonts w:ascii="Times New Roman" w:hAnsi="Times New Roman" w:cs="Times New Roman" w:eastAsia="Times New Roman" w:hint="default"/>
        </w:rPr>
        <w:t>, </w:t>
      </w:r>
      <w:r>
        <w:rPr/>
        <w:t>по основу продатих акција „Аик банка“ ад Ниш, које су продали град Ниш и то </w:t>
      </w:r>
      <w:r>
        <w:rPr>
          <w:rFonts w:ascii="Times New Roman" w:hAnsi="Times New Roman" w:cs="Times New Roman" w:eastAsia="Times New Roman" w:hint="default"/>
        </w:rPr>
        <w:t>25.820 </w:t>
      </w:r>
      <w:r>
        <w:rPr/>
        <w:t>комада управљачких акција у износу од 42.110 хиљада динара и ЈП „Градска стамбена агенција“ Ниш 25.646 комада управљачких акција у износу од 41.826 хиљада динара и у износу  </w:t>
      </w:r>
      <w:r>
        <w:rPr>
          <w:spacing w:val="2"/>
        </w:rPr>
        <w:t> </w:t>
      </w:r>
      <w:r>
        <w:rPr/>
        <w:t>од</w:t>
      </w:r>
    </w:p>
    <w:p>
      <w:pPr>
        <w:pStyle w:val="BodyText"/>
        <w:spacing w:line="240" w:lineRule="auto"/>
        <w:ind w:right="175"/>
        <w:jc w:val="both"/>
      </w:pPr>
      <w:r>
        <w:rPr>
          <w:rFonts w:ascii="Times New Roman" w:hAnsi="Times New Roman" w:cs="Times New Roman" w:eastAsia="Times New Roman" w:hint="default"/>
        </w:rPr>
        <w:t>354 </w:t>
      </w:r>
      <w:r>
        <w:rPr/>
        <w:t>хиљаде динара по основу приватизације правних лица („ЕИ информатика“) на територији града Ниша. На основу усменог појашњења одговорних лица, средства остварена од приватизације нису коришћена и налазе се на рачуну извршења</w:t>
      </w:r>
      <w:r>
        <w:rPr>
          <w:spacing w:val="-31"/>
        </w:rPr>
        <w:t> </w:t>
      </w:r>
      <w:r>
        <w:rPr/>
        <w:t>буџета.</w:t>
      </w:r>
    </w:p>
    <w:p>
      <w:pPr>
        <w:pStyle w:val="BodyText"/>
        <w:spacing w:line="240" w:lineRule="auto"/>
        <w:ind w:right="174" w:firstLine="626"/>
        <w:jc w:val="both"/>
        <w:rPr>
          <w:rFonts w:ascii="Times New Roman" w:hAnsi="Times New Roman" w:cs="Times New Roman" w:eastAsia="Times New Roman" w:hint="default"/>
        </w:rPr>
      </w:pPr>
      <w:r>
        <w:rPr>
          <w:rFonts w:ascii="Times New Roman" w:hAnsi="Times New Roman"/>
          <w:b/>
        </w:rPr>
        <w:t>На основу ревизије узорковане документације утврђено је </w:t>
      </w:r>
      <w:r>
        <w:rPr/>
        <w:t>да се контра књижење на конту 999999 евидентира на крају текуће године, што је последица неажурног евидентирања пословних промена и догађаја који такође повећава ризик од нетачног исказивања пословних промена, што је супротно члану 9. Уредбе о буџетском рачуноводству и Правилнику о стандардном класификационом оквиру и контном плану за буџетски</w:t>
      </w:r>
      <w:r>
        <w:rPr>
          <w:spacing w:val="-8"/>
        </w:rPr>
        <w:t> </w:t>
      </w:r>
      <w:r>
        <w:rPr/>
        <w:t>систем</w:t>
      </w:r>
      <w:r>
        <w:rPr>
          <w:rFonts w:ascii="Times New Roman" w:hAnsi="Times New Roman"/>
        </w:rPr>
        <w:t>.</w:t>
      </w:r>
    </w:p>
    <w:p>
      <w:pPr>
        <w:pStyle w:val="Heading2"/>
        <w:spacing w:line="240" w:lineRule="auto"/>
        <w:ind w:right="172"/>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spacing w:line="240" w:lineRule="auto" w:before="1"/>
        <w:rPr>
          <w:rFonts w:ascii="Times New Roman" w:hAnsi="Times New Roman" w:cs="Times New Roman" w:eastAsia="Times New Roman" w:hint="default"/>
          <w:b/>
          <w:bCs/>
          <w:i/>
          <w:sz w:val="24"/>
          <w:szCs w:val="24"/>
        </w:rPr>
      </w:pPr>
    </w:p>
    <w:p>
      <w:pPr>
        <w:pStyle w:val="Heading1"/>
        <w:numPr>
          <w:ilvl w:val="2"/>
          <w:numId w:val="25"/>
        </w:numPr>
        <w:tabs>
          <w:tab w:pos="727" w:val="left" w:leader="none"/>
        </w:tabs>
        <w:spacing w:line="274" w:lineRule="exact" w:before="0" w:after="0"/>
        <w:ind w:left="726" w:right="0" w:hanging="566"/>
        <w:jc w:val="both"/>
        <w:rPr>
          <w:b w:val="0"/>
          <w:bCs w:val="0"/>
        </w:rPr>
      </w:pPr>
      <w:bookmarkStart w:name="_bookmark8" w:id="13"/>
      <w:bookmarkEnd w:id="13"/>
      <w:r>
        <w:rPr>
          <w:b w:val="0"/>
        </w:rPr>
      </w:r>
      <w:bookmarkStart w:name="_bookmark8" w:id="14"/>
      <w:bookmarkEnd w:id="14"/>
      <w:r>
        <w:rPr/>
        <w:t>Т</w:t>
      </w:r>
      <w:r>
        <w:rPr/>
        <w:t>екући</w:t>
      </w:r>
      <w:r>
        <w:rPr>
          <w:spacing w:val="-5"/>
        </w:rPr>
        <w:t> </w:t>
      </w:r>
      <w:r>
        <w:rPr/>
        <w:t>расходи</w:t>
      </w:r>
      <w:r>
        <w:rPr>
          <w:b w:val="0"/>
        </w:rPr>
      </w:r>
    </w:p>
    <w:p>
      <w:pPr>
        <w:pStyle w:val="BodyText"/>
        <w:spacing w:line="240" w:lineRule="auto"/>
        <w:ind w:right="183" w:firstLine="566"/>
        <w:jc w:val="both"/>
      </w:pPr>
      <w:r>
        <w:rPr/>
        <w:t>Класа 400000 </w:t>
      </w:r>
      <w:r>
        <w:rPr>
          <w:rFonts w:ascii="Times New Roman" w:hAnsi="Times New Roman"/>
        </w:rPr>
        <w:t>- </w:t>
      </w:r>
      <w:r>
        <w:rPr/>
        <w:t>Текући расходи садржи: расходе за запослене; коришћење услуга и роба; амортизацију и употребу средстава за рад; отплату камата и пратеће трошкове задуживања; субвенције; донације, дотације и трансфере; социјално осигурање и социјалну заштиту; остале</w:t>
      </w:r>
      <w:r>
        <w:rPr>
          <w:spacing w:val="-9"/>
        </w:rPr>
        <w:t> </w:t>
      </w:r>
      <w:r>
        <w:rPr/>
        <w:t>расходе.</w:t>
      </w:r>
    </w:p>
    <w:p>
      <w:pPr>
        <w:pStyle w:val="BodyText"/>
        <w:spacing w:line="240" w:lineRule="auto"/>
        <w:ind w:right="184" w:firstLine="566"/>
        <w:jc w:val="both"/>
        <w:rPr>
          <w:rFonts w:ascii="Times New Roman" w:hAnsi="Times New Roman" w:cs="Times New Roman" w:eastAsia="Times New Roman" w:hint="default"/>
        </w:rPr>
      </w:pPr>
      <w:r>
        <w:rPr/>
        <w:t>У наредним табелама тачке 4.1.4. Расходи према економској класификацији групa презентовани су подаци о плaнираном оквиру расхода, њиховим реалокацијама, исказаном извршењу и налазима ревизије, са припадајућим индексима извршења, за узорковане кориснике буџета</w:t>
      </w:r>
      <w:r>
        <w:rPr>
          <w:spacing w:val="-14"/>
        </w:rPr>
        <w:t> </w:t>
      </w:r>
      <w:r>
        <w:rPr/>
        <w:t>Града</w:t>
      </w:r>
      <w:r>
        <w:rPr>
          <w:rFonts w:ascii="Times New Roman" w:hAnsi="Times New Roman"/>
        </w:rPr>
        <w:t>.</w:t>
      </w:r>
    </w:p>
    <w:p>
      <w:pPr>
        <w:pStyle w:val="BodyText"/>
        <w:spacing w:line="240" w:lineRule="auto"/>
        <w:ind w:right="175" w:firstLine="566"/>
        <w:jc w:val="both"/>
      </w:pPr>
      <w:r>
        <w:rPr>
          <w:rFonts w:ascii="Times New Roman" w:hAnsi="Times New Roman"/>
          <w:b/>
        </w:rPr>
        <w:t>На основу ревизије узорковане документације утврђено је </w:t>
      </w:r>
      <w:r>
        <w:rPr/>
        <w:t>да су директни корисници буџета вршили плаћања изнад висине расхода, које је за тромесечни период одредио начелник Управе за финансије, изворне приходе локалне самоуправе и јавне набавке, што је супротно члану 53. Закона о буџетском систему и Упутству о раду трезора</w:t>
      </w:r>
      <w:r>
        <w:rPr>
          <w:spacing w:val="19"/>
        </w:rPr>
        <w:t> </w:t>
      </w:r>
      <w:r>
        <w:rPr/>
        <w:t>града</w:t>
      </w:r>
      <w:r>
        <w:rPr>
          <w:spacing w:val="20"/>
        </w:rPr>
        <w:t> </w:t>
      </w:r>
      <w:r>
        <w:rPr/>
        <w:t>Ниша</w:t>
      </w:r>
      <w:r>
        <w:rPr>
          <w:spacing w:val="19"/>
        </w:rPr>
        <w:t> </w:t>
      </w:r>
      <w:r>
        <w:rPr/>
        <w:t>(Нпр:</w:t>
      </w:r>
      <w:r>
        <w:rPr>
          <w:spacing w:val="19"/>
        </w:rPr>
        <w:t> </w:t>
      </w:r>
      <w:r>
        <w:rPr/>
        <w:t>директни</w:t>
      </w:r>
      <w:r>
        <w:rPr>
          <w:spacing w:val="20"/>
        </w:rPr>
        <w:t> </w:t>
      </w:r>
      <w:r>
        <w:rPr/>
        <w:t>корисник</w:t>
      </w:r>
      <w:r>
        <w:rPr>
          <w:spacing w:val="17"/>
        </w:rPr>
        <w:t> </w:t>
      </w:r>
      <w:r>
        <w:rPr/>
        <w:t>Скупштина</w:t>
      </w:r>
      <w:r>
        <w:rPr>
          <w:spacing w:val="18"/>
        </w:rPr>
        <w:t> </w:t>
      </w:r>
      <w:r>
        <w:rPr/>
        <w:t>града</w:t>
      </w:r>
      <w:r>
        <w:rPr>
          <w:spacing w:val="18"/>
        </w:rPr>
        <w:t> </w:t>
      </w:r>
      <w:r>
        <w:rPr/>
        <w:t>није</w:t>
      </w:r>
      <w:r>
        <w:rPr>
          <w:spacing w:val="18"/>
        </w:rPr>
        <w:t> </w:t>
      </w:r>
      <w:r>
        <w:rPr/>
        <w:t>поштовао</w:t>
      </w:r>
      <w:r>
        <w:rPr>
          <w:spacing w:val="19"/>
        </w:rPr>
        <w:t> </w:t>
      </w:r>
      <w:r>
        <w:rPr/>
        <w:t>квоте</w:t>
      </w:r>
      <w:r>
        <w:rPr>
          <w:spacing w:val="18"/>
        </w:rPr>
        <w:t> </w:t>
      </w:r>
      <w:r>
        <w:rPr/>
        <w:t>за</w:t>
      </w:r>
    </w:p>
    <w:p>
      <w:pPr>
        <w:spacing w:after="0" w:line="240" w:lineRule="auto"/>
        <w:jc w:val="both"/>
        <w:sectPr>
          <w:pgSz w:w="12240" w:h="15840"/>
          <w:pgMar w:header="740" w:footer="1274" w:top="1280" w:bottom="1460" w:left="1400" w:right="1260"/>
        </w:sectPr>
      </w:pPr>
    </w:p>
    <w:p>
      <w:pPr>
        <w:pStyle w:val="BodyText"/>
        <w:spacing w:line="240" w:lineRule="auto" w:before="122"/>
        <w:ind w:right="174"/>
        <w:jc w:val="both"/>
      </w:pPr>
      <w:r>
        <w:rPr/>
        <w:t>плате и социјалне доприносе за први и други квартал 2014. године, затим за посланички додатак за сва четири квартала 2014. године; директни корисник Градоначелник није поштовао квоте за плате и социјалне доприносе за прва три квартала 2014. године; директни корисник Управа за финансије, изворне приходе локалне самоуправе и јавне набавке није поштовао квоте</w:t>
      </w:r>
      <w:r>
        <w:rPr>
          <w:rFonts w:ascii="Times New Roman" w:hAnsi="Times New Roman"/>
        </w:rPr>
        <w:t>: </w:t>
      </w:r>
      <w:r>
        <w:rPr/>
        <w:t>за плате и социјалне доприносе за први, други и трећи квартал, за накнаде у натури за прва три квартала, за трансфере осталим нивоима власти за први, други и четврти квартал и</w:t>
      </w:r>
      <w:r>
        <w:rPr>
          <w:spacing w:val="-11"/>
        </w:rPr>
        <w:t> </w:t>
      </w:r>
      <w:r>
        <w:rPr/>
        <w:t>др.).</w:t>
      </w:r>
    </w:p>
    <w:p>
      <w:pPr>
        <w:pStyle w:val="Heading2"/>
        <w:spacing w:line="240" w:lineRule="auto"/>
        <w:ind w:right="179"/>
        <w:jc w:val="both"/>
        <w:rPr>
          <w:b w:val="0"/>
          <w:bCs w:val="0"/>
          <w:i w:val="0"/>
        </w:rPr>
      </w:pPr>
      <w:r>
        <w:rPr>
          <w:i/>
        </w:rPr>
        <w:t>Препоручује се одговорним лицима да расходе извршавају до висине коју је за тромесечни период одредио начелник Управе за финансије, изворне приходе локалне самоуправе и јавне</w:t>
      </w:r>
      <w:r>
        <w:rPr>
          <w:i/>
          <w:spacing w:val="-10"/>
        </w:rPr>
        <w:t> </w:t>
      </w:r>
      <w:r>
        <w:rPr>
          <w:i/>
        </w:rPr>
        <w:t>набавке.</w:t>
      </w:r>
      <w:r>
        <w:rPr>
          <w:b w:val="0"/>
          <w:i w:val="0"/>
        </w:rPr>
      </w:r>
    </w:p>
    <w:p>
      <w:pPr>
        <w:pStyle w:val="Heading1"/>
        <w:numPr>
          <w:ilvl w:val="3"/>
          <w:numId w:val="25"/>
        </w:numPr>
        <w:tabs>
          <w:tab w:pos="941" w:val="left" w:leader="none"/>
        </w:tabs>
        <w:spacing w:line="274" w:lineRule="exact" w:before="120" w:after="0"/>
        <w:ind w:left="940" w:right="0" w:hanging="780"/>
        <w:jc w:val="both"/>
        <w:rPr>
          <w:b w:val="0"/>
          <w:bCs w:val="0"/>
        </w:rPr>
      </w:pPr>
      <w:bookmarkStart w:name="_bookmark9" w:id="15"/>
      <w:bookmarkEnd w:id="15"/>
      <w:r>
        <w:rPr>
          <w:b w:val="0"/>
        </w:rPr>
      </w:r>
      <w:bookmarkStart w:name="_bookmark9" w:id="16"/>
      <w:bookmarkEnd w:id="16"/>
      <w:r>
        <w:rPr/>
        <w:t>Пла</w:t>
      </w:r>
      <w:r>
        <w:rPr/>
        <w:t>те</w:t>
      </w:r>
      <w:r>
        <w:rPr>
          <w:rFonts w:ascii="Times New Roman" w:hAnsi="Times New Roman"/>
        </w:rPr>
        <w:t>, </w:t>
      </w:r>
      <w:r>
        <w:rPr/>
        <w:t>додаци и накнаде запослених, група</w:t>
      </w:r>
      <w:r>
        <w:rPr>
          <w:spacing w:val="-11"/>
        </w:rPr>
        <w:t> </w:t>
      </w:r>
      <w:r>
        <w:rPr/>
        <w:t>411000</w:t>
      </w:r>
      <w:r>
        <w:rPr>
          <w:b w:val="0"/>
        </w:rPr>
      </w:r>
    </w:p>
    <w:p>
      <w:pPr>
        <w:pStyle w:val="BodyText"/>
        <w:spacing w:line="240" w:lineRule="auto"/>
        <w:ind w:right="172" w:firstLine="566"/>
        <w:jc w:val="both"/>
      </w:pPr>
      <w:r>
        <w:rPr/>
        <w:t>За плате и додатке запосленима исказано је извршење у износу од 1.763.820 хиљада динара и то на терет буџета Републике у износу од 15.732 хиљаде динара, на терет буџета Града у износу од 1.622.046 хиљада динара и из осталих извора у износу од 126.042 хиљаде</w:t>
      </w:r>
      <w:r>
        <w:rPr>
          <w:spacing w:val="-3"/>
        </w:rPr>
        <w:t> </w:t>
      </w:r>
      <w:r>
        <w:rPr/>
        <w:t>динара.</w:t>
      </w:r>
    </w:p>
    <w:p>
      <w:pPr>
        <w:spacing w:before="2" w:after="4"/>
        <w:ind w:left="0" w:right="173" w:firstLine="0"/>
        <w:jc w:val="right"/>
        <w:rPr>
          <w:rFonts w:ascii="Times New Roman" w:hAnsi="Times New Roman" w:cs="Times New Roman" w:eastAsia="Times New Roman" w:hint="default"/>
          <w:sz w:val="16"/>
          <w:szCs w:val="16"/>
        </w:rPr>
      </w:pPr>
      <w:r>
        <w:rPr>
          <w:rFonts w:ascii="Times New Roman" w:hAnsi="Times New Roman"/>
          <w:sz w:val="16"/>
        </w:rPr>
        <w:t>(у хиљадама</w:t>
      </w:r>
      <w:r>
        <w:rPr>
          <w:rFonts w:ascii="Times New Roman" w:hAnsi="Times New Roman"/>
          <w:spacing w:val="-5"/>
          <w:sz w:val="16"/>
        </w:rPr>
        <w:t> </w:t>
      </w:r>
      <w:r>
        <w:rPr>
          <w:rFonts w:ascii="Times New Roman" w:hAnsi="Times New Roman"/>
          <w:sz w:val="16"/>
        </w:rPr>
        <w:t>динара)</w:t>
      </w:r>
    </w:p>
    <w:tbl>
      <w:tblPr>
        <w:tblW w:w="0" w:type="auto"/>
        <w:jc w:val="left"/>
        <w:tblInd w:w="141" w:type="dxa"/>
        <w:tblLayout w:type="fixed"/>
        <w:tblCellMar>
          <w:top w:w="0" w:type="dxa"/>
          <w:left w:w="0" w:type="dxa"/>
          <w:bottom w:w="0" w:type="dxa"/>
          <w:right w:w="0" w:type="dxa"/>
        </w:tblCellMar>
        <w:tblLook w:val="01E0"/>
      </w:tblPr>
      <w:tblGrid>
        <w:gridCol w:w="876"/>
        <w:gridCol w:w="2401"/>
        <w:gridCol w:w="960"/>
        <w:gridCol w:w="1351"/>
        <w:gridCol w:w="1047"/>
        <w:gridCol w:w="936"/>
        <w:gridCol w:w="845"/>
        <w:gridCol w:w="847"/>
      </w:tblGrid>
      <w:tr>
        <w:trPr>
          <w:trHeight w:val="634"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5"/>
              <w:ind w:left="261" w:right="178" w:hanging="72"/>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hint="default"/>
                <w:sz w:val="18"/>
                <w:szCs w:val="18"/>
              </w:rPr>
            </w:pPr>
          </w:p>
          <w:p>
            <w:pPr>
              <w:pStyle w:val="TableParagraph"/>
              <w:spacing w:line="240" w:lineRule="auto"/>
              <w:ind w:left="393"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8"/>
                <w:sz w:val="18"/>
              </w:rPr>
              <w:t> </w:t>
            </w:r>
            <w:r>
              <w:rPr>
                <w:rFonts w:ascii="Times New Roman" w:hAnsi="Times New Roman"/>
                <w:b/>
                <w:sz w:val="18"/>
              </w:rPr>
              <w:t>корисник</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hint="default"/>
                <w:sz w:val="18"/>
                <w:szCs w:val="18"/>
              </w:rPr>
            </w:pPr>
          </w:p>
          <w:p>
            <w:pPr>
              <w:pStyle w:val="TableParagraph"/>
              <w:spacing w:line="240" w:lineRule="auto"/>
              <w:ind w:right="103"/>
              <w:jc w:val="right"/>
              <w:rPr>
                <w:rFonts w:ascii="Times New Roman" w:hAnsi="Times New Roman" w:cs="Times New Roman" w:eastAsia="Times New Roman" w:hint="default"/>
                <w:sz w:val="18"/>
                <w:szCs w:val="18"/>
              </w:rPr>
            </w:pPr>
            <w:r>
              <w:rPr>
                <w:rFonts w:ascii="Times New Roman" w:hAnsi="Times New Roman"/>
                <w:b/>
                <w:spacing w:val="-1"/>
                <w:sz w:val="18"/>
              </w:rPr>
              <w:t>Ребаланс</w:t>
            </w:r>
            <w:r>
              <w:rPr>
                <w:rFonts w:ascii="Times New Roman" w:hAns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5"/>
              <w:ind w:left="103" w:right="93" w:firstLine="88"/>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реалокацијом</w:t>
            </w:r>
            <w:r>
              <w:rPr>
                <w:rFonts w:ascii="Times New Roman" w:hAns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5"/>
              <w:ind w:left="103" w:right="95"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5"/>
              <w:ind w:left="112" w:right="107"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5"/>
              <w:ind w:left="299" w:right="110"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5"/>
              <w:ind w:left="302" w:right="109"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4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403" w:right="0"/>
              <w:jc w:val="left"/>
              <w:rPr>
                <w:rFonts w:ascii="Times New Roman" w:hAnsi="Times New Roman" w:cs="Times New Roman" w:eastAsia="Times New Roman" w:hint="default"/>
                <w:sz w:val="12"/>
                <w:szCs w:val="12"/>
              </w:rPr>
            </w:pPr>
            <w:r>
              <w:rPr>
                <w:rFonts w:ascii="Times New Roman"/>
                <w:sz w:val="12"/>
              </w:rPr>
              <w:t>1</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1"/>
              <w:jc w:val="center"/>
              <w:rPr>
                <w:rFonts w:ascii="Times New Roman" w:hAnsi="Times New Roman" w:cs="Times New Roman" w:eastAsia="Times New Roman" w:hint="default"/>
                <w:sz w:val="12"/>
                <w:szCs w:val="12"/>
              </w:rPr>
            </w:pPr>
            <w:r>
              <w:rPr>
                <w:rFonts w:ascii="Times New Roman"/>
                <w:sz w:val="12"/>
              </w:rPr>
              <w:t>2</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2"/>
              <w:jc w:val="center"/>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
              <w:jc w:val="center"/>
              <w:rPr>
                <w:rFonts w:ascii="Times New Roman" w:hAnsi="Times New Roman" w:cs="Times New Roman" w:eastAsia="Times New Roman" w:hint="default"/>
                <w:sz w:val="12"/>
                <w:szCs w:val="12"/>
              </w:rPr>
            </w:pPr>
            <w:r>
              <w:rPr>
                <w:rFonts w:ascii="Times New Roman"/>
                <w:sz w:val="12"/>
              </w:rPr>
              <w:t>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386" w:right="0"/>
              <w:jc w:val="left"/>
              <w:rPr>
                <w:rFonts w:ascii="Times New Roman" w:hAnsi="Times New Roman" w:cs="Times New Roman" w:eastAsia="Times New Roman" w:hint="default"/>
                <w:sz w:val="12"/>
                <w:szCs w:val="12"/>
              </w:rPr>
            </w:pPr>
            <w:r>
              <w:rPr>
                <w:rFonts w:ascii="Times New Roman"/>
                <w:sz w:val="12"/>
              </w:rPr>
              <w:t>7</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8</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86" w:right="0"/>
              <w:jc w:val="left"/>
              <w:rPr>
                <w:rFonts w:ascii="Times New Roman" w:hAnsi="Times New Roman" w:cs="Times New Roman" w:eastAsia="Times New Roman" w:hint="default"/>
                <w:sz w:val="18"/>
                <w:szCs w:val="18"/>
              </w:rPr>
            </w:pPr>
            <w:r>
              <w:rPr>
                <w:rFonts w:ascii="Times New Roman"/>
                <w:sz w:val="18"/>
              </w:rPr>
              <w:t>1</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Скупштина</w:t>
            </w:r>
            <w:r>
              <w:rPr>
                <w:rFonts w:ascii="Times New Roman" w:hAnsi="Times New Roman"/>
                <w:spacing w:val="-5"/>
                <w:sz w:val="18"/>
              </w:rPr>
              <w:t> </w:t>
            </w:r>
            <w:r>
              <w:rPr>
                <w:rFonts w:ascii="Times New Roman" w:hAnsi="Times New Roman"/>
                <w:sz w:val="18"/>
              </w:rPr>
              <w:t>Града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19.817</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19.686</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3"/>
              <w:jc w:val="right"/>
              <w:rPr>
                <w:rFonts w:ascii="Times New Roman" w:hAnsi="Times New Roman" w:cs="Times New Roman" w:eastAsia="Times New Roman" w:hint="default"/>
                <w:sz w:val="18"/>
                <w:szCs w:val="18"/>
              </w:rPr>
            </w:pPr>
            <w:r>
              <w:rPr>
                <w:rFonts w:ascii="Times New Roman"/>
                <w:spacing w:val="-1"/>
                <w:sz w:val="18"/>
              </w:rPr>
              <w:t>18.421</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pacing w:val="-1"/>
                <w:sz w:val="18"/>
              </w:rPr>
              <w:t>18.421</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26" w:right="0"/>
              <w:jc w:val="left"/>
              <w:rPr>
                <w:rFonts w:ascii="Times New Roman" w:hAnsi="Times New Roman" w:cs="Times New Roman" w:eastAsia="Times New Roman" w:hint="default"/>
                <w:sz w:val="18"/>
                <w:szCs w:val="18"/>
              </w:rPr>
            </w:pPr>
            <w:r>
              <w:rPr>
                <w:rFonts w:ascii="Times New Roman"/>
                <w:sz w:val="18"/>
              </w:rPr>
              <w:t>93,57</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2</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Градоначелник</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4.604</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4.570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z w:val="18"/>
              </w:rPr>
              <w:t>4.338</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4.338</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26" w:right="0"/>
              <w:jc w:val="left"/>
              <w:rPr>
                <w:rFonts w:ascii="Times New Roman" w:hAnsi="Times New Roman" w:cs="Times New Roman" w:eastAsia="Times New Roman" w:hint="default"/>
                <w:sz w:val="18"/>
                <w:szCs w:val="18"/>
              </w:rPr>
            </w:pPr>
            <w:r>
              <w:rPr>
                <w:rFonts w:ascii="Times New Roman"/>
                <w:sz w:val="18"/>
              </w:rPr>
              <w:t>94,92</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3</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Градско</w:t>
            </w:r>
            <w:r>
              <w:rPr>
                <w:rFonts w:ascii="Times New Roman" w:hAnsi="Times New Roman"/>
                <w:spacing w:val="-5"/>
                <w:sz w:val="18"/>
              </w:rPr>
              <w:t> </w:t>
            </w:r>
            <w:r>
              <w:rPr>
                <w:rFonts w:ascii="Times New Roman" w:hAnsi="Times New Roman"/>
                <w:sz w:val="18"/>
              </w:rPr>
              <w:t>веће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13.772</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13.677</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12.695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12.695</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26" w:right="0"/>
              <w:jc w:val="left"/>
              <w:rPr>
                <w:rFonts w:ascii="Times New Roman" w:hAnsi="Times New Roman" w:cs="Times New Roman" w:eastAsia="Times New Roman" w:hint="default"/>
                <w:sz w:val="18"/>
                <w:szCs w:val="18"/>
              </w:rPr>
            </w:pPr>
            <w:r>
              <w:rPr>
                <w:rFonts w:ascii="Times New Roman"/>
                <w:sz w:val="18"/>
              </w:rPr>
              <w:t>92,82</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386" w:right="0"/>
              <w:jc w:val="left"/>
              <w:rPr>
                <w:rFonts w:ascii="Times New Roman" w:hAnsi="Times New Roman" w:cs="Times New Roman" w:eastAsia="Times New Roman" w:hint="default"/>
                <w:sz w:val="18"/>
                <w:szCs w:val="18"/>
              </w:rPr>
            </w:pPr>
            <w:r>
              <w:rPr>
                <w:rFonts w:ascii="Times New Roman"/>
                <w:sz w:val="18"/>
              </w:rPr>
              <w:t>4</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8"/>
                <w:sz w:val="18"/>
              </w:rPr>
              <w:t> </w:t>
            </w:r>
            <w:r>
              <w:rPr>
                <w:rFonts w:ascii="Times New Roman" w:hAnsi="Times New Roman"/>
                <w:sz w:val="18"/>
              </w:rPr>
              <w:t>финансије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1"/>
              <w:jc w:val="right"/>
              <w:rPr>
                <w:rFonts w:ascii="Times New Roman" w:hAnsi="Times New Roman" w:cs="Times New Roman" w:eastAsia="Times New Roman" w:hint="default"/>
                <w:sz w:val="18"/>
                <w:szCs w:val="18"/>
              </w:rPr>
            </w:pPr>
            <w:r>
              <w:rPr>
                <w:rFonts w:ascii="Times New Roman"/>
                <w:spacing w:val="-1"/>
                <w:sz w:val="18"/>
              </w:rPr>
              <w:t>633.815</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pacing w:val="-1"/>
                <w:sz w:val="18"/>
              </w:rPr>
              <w:t>629.203</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3"/>
              <w:jc w:val="right"/>
              <w:rPr>
                <w:rFonts w:ascii="Times New Roman" w:hAnsi="Times New Roman" w:cs="Times New Roman" w:eastAsia="Times New Roman" w:hint="default"/>
                <w:sz w:val="18"/>
                <w:szCs w:val="18"/>
              </w:rPr>
            </w:pPr>
            <w:r>
              <w:rPr>
                <w:rFonts w:ascii="Times New Roman"/>
                <w:spacing w:val="-1"/>
                <w:sz w:val="18"/>
              </w:rPr>
              <w:t>623.024</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3"/>
              <w:jc w:val="right"/>
              <w:rPr>
                <w:rFonts w:ascii="Times New Roman" w:hAnsi="Times New Roman" w:cs="Times New Roman" w:eastAsia="Times New Roman" w:hint="default"/>
                <w:sz w:val="18"/>
                <w:szCs w:val="18"/>
              </w:rPr>
            </w:pPr>
            <w:r>
              <w:rPr>
                <w:rFonts w:ascii="Times New Roman"/>
                <w:spacing w:val="-1"/>
                <w:sz w:val="18"/>
              </w:rPr>
              <w:t>623.024</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326" w:right="0"/>
              <w:jc w:val="left"/>
              <w:rPr>
                <w:rFonts w:ascii="Times New Roman" w:hAnsi="Times New Roman" w:cs="Times New Roman" w:eastAsia="Times New Roman" w:hint="default"/>
                <w:sz w:val="18"/>
                <w:szCs w:val="18"/>
              </w:rPr>
            </w:pPr>
            <w:r>
              <w:rPr>
                <w:rFonts w:ascii="Times New Roman"/>
                <w:sz w:val="18"/>
              </w:rPr>
              <w:t>99,02</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5</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Заштитник</w:t>
            </w:r>
            <w:r>
              <w:rPr>
                <w:rFonts w:ascii="Times New Roman" w:hAnsi="Times New Roman"/>
                <w:spacing w:val="-5"/>
                <w:sz w:val="18"/>
              </w:rPr>
              <w:t> </w:t>
            </w:r>
            <w:r>
              <w:rPr>
                <w:rFonts w:ascii="Times New Roman" w:hAnsi="Times New Roman"/>
                <w:sz w:val="18"/>
              </w:rPr>
              <w:t>грађана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4.250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4.218</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z w:val="18"/>
              </w:rPr>
              <w:t>4.052</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4.052</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26" w:right="0"/>
              <w:jc w:val="left"/>
              <w:rPr>
                <w:rFonts w:ascii="Times New Roman" w:hAnsi="Times New Roman" w:cs="Times New Roman" w:eastAsia="Times New Roman" w:hint="default"/>
                <w:sz w:val="18"/>
                <w:szCs w:val="18"/>
              </w:rPr>
            </w:pPr>
            <w:r>
              <w:rPr>
                <w:rFonts w:ascii="Times New Roman"/>
                <w:sz w:val="18"/>
              </w:rPr>
              <w:t>96,06</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86" w:right="0"/>
              <w:jc w:val="left"/>
              <w:rPr>
                <w:rFonts w:ascii="Times New Roman" w:hAnsi="Times New Roman" w:cs="Times New Roman" w:eastAsia="Times New Roman" w:hint="default"/>
                <w:sz w:val="18"/>
                <w:szCs w:val="18"/>
              </w:rPr>
            </w:pPr>
            <w:r>
              <w:rPr>
                <w:rFonts w:ascii="Times New Roman"/>
                <w:sz w:val="18"/>
              </w:rPr>
              <w:t>6</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Градско јавно</w:t>
            </w:r>
            <w:r>
              <w:rPr>
                <w:rFonts w:ascii="Times New Roman" w:hAnsi="Times New Roman"/>
                <w:spacing w:val="-7"/>
                <w:sz w:val="18"/>
              </w:rPr>
              <w:t> </w:t>
            </w:r>
            <w:r>
              <w:rPr>
                <w:rFonts w:ascii="Times New Roman" w:hAnsi="Times New Roman"/>
                <w:sz w:val="18"/>
              </w:rPr>
              <w:t>правобран.</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10.392</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10.316</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3"/>
              <w:jc w:val="right"/>
              <w:rPr>
                <w:rFonts w:ascii="Times New Roman" w:hAnsi="Times New Roman" w:cs="Times New Roman" w:eastAsia="Times New Roman" w:hint="default"/>
                <w:sz w:val="18"/>
                <w:szCs w:val="18"/>
              </w:rPr>
            </w:pPr>
            <w:r>
              <w:rPr>
                <w:rFonts w:ascii="Times New Roman"/>
                <w:spacing w:val="-1"/>
                <w:sz w:val="18"/>
              </w:rPr>
              <w:t>10.226</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pacing w:val="-1"/>
                <w:sz w:val="18"/>
              </w:rPr>
              <w:t>10.226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26" w:right="0"/>
              <w:jc w:val="left"/>
              <w:rPr>
                <w:rFonts w:ascii="Times New Roman" w:hAnsi="Times New Roman" w:cs="Times New Roman" w:eastAsia="Times New Roman" w:hint="default"/>
                <w:sz w:val="18"/>
                <w:szCs w:val="18"/>
              </w:rPr>
            </w:pPr>
            <w:r>
              <w:rPr>
                <w:rFonts w:ascii="Times New Roman"/>
                <w:sz w:val="18"/>
              </w:rPr>
              <w:t>99,13</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7</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5"/>
                <w:sz w:val="18"/>
              </w:rPr>
              <w:t> </w:t>
            </w:r>
            <w:r>
              <w:rPr>
                <w:rFonts w:ascii="Times New Roman" w:hAnsi="Times New Roman"/>
                <w:sz w:val="18"/>
              </w:rPr>
              <w:t>образовање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583.370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580.824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538.955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539.376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26" w:right="0"/>
              <w:jc w:val="left"/>
              <w:rPr>
                <w:rFonts w:ascii="Times New Roman" w:hAnsi="Times New Roman" w:cs="Times New Roman" w:eastAsia="Times New Roman" w:hint="default"/>
                <w:sz w:val="18"/>
                <w:szCs w:val="18"/>
              </w:rPr>
            </w:pPr>
            <w:r>
              <w:rPr>
                <w:rFonts w:ascii="Times New Roman"/>
                <w:sz w:val="18"/>
              </w:rPr>
              <w:t>92,79</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hAnsi="Times New Roman"/>
                <w:sz w:val="18"/>
              </w:rPr>
              <w:t>7а</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ПУ</w:t>
            </w:r>
            <w:r>
              <w:rPr>
                <w:rFonts w:ascii="Times New Roman" w:hAnsi="Times New Roman"/>
                <w:spacing w:val="-5"/>
                <w:sz w:val="18"/>
              </w:rPr>
              <w:t> </w:t>
            </w:r>
            <w:r>
              <w:rPr>
                <w:rFonts w:ascii="Times New Roman" w:hAnsi="Times New Roman"/>
                <w:sz w:val="18"/>
              </w:rPr>
              <w:t>Пчелица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541.539</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539.040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499.294</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499.294</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26" w:right="0"/>
              <w:jc w:val="left"/>
              <w:rPr>
                <w:rFonts w:ascii="Times New Roman" w:hAnsi="Times New Roman" w:cs="Times New Roman" w:eastAsia="Times New Roman" w:hint="default"/>
                <w:sz w:val="18"/>
                <w:szCs w:val="18"/>
              </w:rPr>
            </w:pPr>
            <w:r>
              <w:rPr>
                <w:rFonts w:ascii="Times New Roman"/>
                <w:sz w:val="18"/>
              </w:rPr>
              <w:t>92,63</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hAnsi="Times New Roman"/>
                <w:sz w:val="18"/>
              </w:rPr>
              <w:t>7б</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Дечији</w:t>
            </w:r>
            <w:r>
              <w:rPr>
                <w:rFonts w:ascii="Times New Roman" w:hAnsi="Times New Roman"/>
                <w:spacing w:val="-5"/>
                <w:sz w:val="18"/>
              </w:rPr>
              <w:t> </w:t>
            </w:r>
            <w:r>
              <w:rPr>
                <w:rFonts w:ascii="Times New Roman" w:hAnsi="Times New Roman"/>
                <w:sz w:val="18"/>
              </w:rPr>
              <w:t>центар</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29.321</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29.321</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28.625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29.046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26" w:right="0"/>
              <w:jc w:val="left"/>
              <w:rPr>
                <w:rFonts w:ascii="Times New Roman" w:hAnsi="Times New Roman" w:cs="Times New Roman" w:eastAsia="Times New Roman" w:hint="default"/>
                <w:sz w:val="18"/>
                <w:szCs w:val="18"/>
              </w:rPr>
            </w:pPr>
            <w:r>
              <w:rPr>
                <w:rFonts w:ascii="Times New Roman"/>
                <w:sz w:val="18"/>
              </w:rPr>
              <w:t>99,06</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101,47</w:t>
            </w:r>
          </w:p>
        </w:tc>
      </w:tr>
      <w:tr>
        <w:trPr>
          <w:trHeight w:val="264"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386" w:right="0"/>
              <w:jc w:val="left"/>
              <w:rPr>
                <w:rFonts w:ascii="Times New Roman" w:hAnsi="Times New Roman" w:cs="Times New Roman" w:eastAsia="Times New Roman" w:hint="default"/>
                <w:sz w:val="18"/>
                <w:szCs w:val="18"/>
              </w:rPr>
            </w:pPr>
            <w:r>
              <w:rPr>
                <w:rFonts w:ascii="Times New Roman"/>
                <w:sz w:val="18"/>
              </w:rPr>
              <w:t>8</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комун.</w:t>
            </w:r>
            <w:r>
              <w:rPr>
                <w:rFonts w:ascii="Times New Roman" w:hAnsi="Times New Roman"/>
                <w:spacing w:val="-9"/>
                <w:sz w:val="18"/>
              </w:rPr>
              <w:t> </w:t>
            </w:r>
            <w:r>
              <w:rPr>
                <w:rFonts w:ascii="Times New Roman" w:hAnsi="Times New Roman"/>
                <w:sz w:val="18"/>
              </w:rPr>
              <w:t>делат</w:t>
            </w:r>
            <w:r>
              <w:rPr>
                <w:rFonts w:ascii="Times New Roman" w:hAnsi="Times New Roman"/>
                <w:sz w:val="18"/>
              </w:rPr>
              <w:t>.</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1"/>
              <w:jc w:val="right"/>
              <w:rPr>
                <w:rFonts w:ascii="Times New Roman" w:hAnsi="Times New Roman" w:cs="Times New Roman" w:eastAsia="Times New Roman" w:hint="default"/>
                <w:sz w:val="18"/>
                <w:szCs w:val="18"/>
              </w:rPr>
            </w:pPr>
            <w:r>
              <w:rPr>
                <w:rFonts w:ascii="Times New Roman"/>
                <w:spacing w:val="-1"/>
                <w:sz w:val="18"/>
              </w:rPr>
              <w:t>113.741</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pacing w:val="-1"/>
                <w:sz w:val="18"/>
              </w:rPr>
              <w:t>112.844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3"/>
              <w:jc w:val="right"/>
              <w:rPr>
                <w:rFonts w:ascii="Times New Roman" w:hAnsi="Times New Roman" w:cs="Times New Roman" w:eastAsia="Times New Roman" w:hint="default"/>
                <w:sz w:val="18"/>
                <w:szCs w:val="18"/>
              </w:rPr>
            </w:pPr>
            <w:r>
              <w:rPr>
                <w:rFonts w:ascii="Times New Roman"/>
                <w:spacing w:val="-1"/>
                <w:sz w:val="18"/>
              </w:rPr>
              <w:t>111.707</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3"/>
              <w:jc w:val="right"/>
              <w:rPr>
                <w:rFonts w:ascii="Times New Roman" w:hAnsi="Times New Roman" w:cs="Times New Roman" w:eastAsia="Times New Roman" w:hint="default"/>
                <w:sz w:val="18"/>
                <w:szCs w:val="18"/>
              </w:rPr>
            </w:pPr>
            <w:r>
              <w:rPr>
                <w:rFonts w:ascii="Times New Roman"/>
                <w:spacing w:val="-1"/>
                <w:sz w:val="18"/>
              </w:rPr>
              <w:t>111.993</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326" w:right="0"/>
              <w:jc w:val="left"/>
              <w:rPr>
                <w:rFonts w:ascii="Times New Roman" w:hAnsi="Times New Roman" w:cs="Times New Roman" w:eastAsia="Times New Roman" w:hint="default"/>
                <w:sz w:val="18"/>
                <w:szCs w:val="18"/>
              </w:rPr>
            </w:pPr>
            <w:r>
              <w:rPr>
                <w:rFonts w:ascii="Times New Roman"/>
                <w:sz w:val="18"/>
              </w:rPr>
              <w:t>99,25</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pacing w:val="-1"/>
                <w:sz w:val="18"/>
              </w:rPr>
              <w:t>100,26</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9"/>
              <w:jc w:val="right"/>
              <w:rPr>
                <w:rFonts w:ascii="Times New Roman" w:hAnsi="Times New Roman" w:cs="Times New Roman" w:eastAsia="Times New Roman" w:hint="default"/>
                <w:sz w:val="18"/>
                <w:szCs w:val="18"/>
              </w:rPr>
            </w:pPr>
            <w:r>
              <w:rPr>
                <w:rFonts w:ascii="Times New Roman" w:hAnsi="Times New Roman"/>
                <w:sz w:val="18"/>
              </w:rPr>
              <w:t>8а</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ЈП</w:t>
            </w:r>
            <w:r>
              <w:rPr>
                <w:rFonts w:ascii="Times New Roman" w:hAnsi="Times New Roman"/>
                <w:spacing w:val="-6"/>
                <w:sz w:val="18"/>
              </w:rPr>
              <w:t> </w:t>
            </w:r>
            <w:r>
              <w:rPr>
                <w:rFonts w:ascii="Times New Roman" w:hAnsi="Times New Roman"/>
                <w:sz w:val="18"/>
              </w:rPr>
              <w:t>Дирекција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pacing w:val="-1"/>
                <w:sz w:val="18"/>
              </w:rPr>
              <w:t>113.741</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112.844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3"/>
              <w:jc w:val="right"/>
              <w:rPr>
                <w:rFonts w:ascii="Times New Roman" w:hAnsi="Times New Roman" w:cs="Times New Roman" w:eastAsia="Times New Roman" w:hint="default"/>
                <w:sz w:val="18"/>
                <w:szCs w:val="18"/>
              </w:rPr>
            </w:pPr>
            <w:r>
              <w:rPr>
                <w:rFonts w:ascii="Times New Roman"/>
                <w:spacing w:val="-1"/>
                <w:sz w:val="18"/>
              </w:rPr>
              <w:t>111.707</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3"/>
              <w:jc w:val="right"/>
              <w:rPr>
                <w:rFonts w:ascii="Times New Roman" w:hAnsi="Times New Roman" w:cs="Times New Roman" w:eastAsia="Times New Roman" w:hint="default"/>
                <w:sz w:val="18"/>
                <w:szCs w:val="18"/>
              </w:rPr>
            </w:pPr>
            <w:r>
              <w:rPr>
                <w:rFonts w:ascii="Times New Roman"/>
                <w:spacing w:val="-1"/>
                <w:sz w:val="18"/>
              </w:rPr>
              <w:t>111.993</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26" w:right="0"/>
              <w:jc w:val="left"/>
              <w:rPr>
                <w:rFonts w:ascii="Times New Roman" w:hAnsi="Times New Roman" w:cs="Times New Roman" w:eastAsia="Times New Roman" w:hint="default"/>
                <w:sz w:val="18"/>
                <w:szCs w:val="18"/>
              </w:rPr>
            </w:pPr>
            <w:r>
              <w:rPr>
                <w:rFonts w:ascii="Times New Roman"/>
                <w:sz w:val="18"/>
              </w:rPr>
              <w:t>99,25</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100,26</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9</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6"/>
                <w:sz w:val="18"/>
              </w:rPr>
              <w:t> </w:t>
            </w:r>
            <w:r>
              <w:rPr>
                <w:rFonts w:ascii="Times New Roman" w:hAnsi="Times New Roman"/>
                <w:sz w:val="18"/>
              </w:rPr>
              <w:t>културу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317.253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317.253</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308.950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308.950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26" w:right="0"/>
              <w:jc w:val="left"/>
              <w:rPr>
                <w:rFonts w:ascii="Times New Roman" w:hAnsi="Times New Roman" w:cs="Times New Roman" w:eastAsia="Times New Roman" w:hint="default"/>
                <w:sz w:val="18"/>
                <w:szCs w:val="18"/>
              </w:rPr>
            </w:pPr>
            <w:r>
              <w:rPr>
                <w:rFonts w:ascii="Times New Roman"/>
                <w:sz w:val="18"/>
              </w:rPr>
              <w:t>97,52</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100,14</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9a</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Народни</w:t>
            </w:r>
            <w:r>
              <w:rPr>
                <w:rFonts w:ascii="Times New Roman" w:hAnsi="Times New Roman"/>
                <w:spacing w:val="-5"/>
                <w:sz w:val="18"/>
              </w:rPr>
              <w:t> </w:t>
            </w:r>
            <w:r>
              <w:rPr>
                <w:rFonts w:ascii="Times New Roman" w:hAnsi="Times New Roman"/>
                <w:sz w:val="18"/>
              </w:rPr>
              <w:t>музеј</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42.893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42.893</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42.733</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42.733</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26" w:right="0"/>
              <w:jc w:val="left"/>
              <w:rPr>
                <w:rFonts w:ascii="Times New Roman" w:hAnsi="Times New Roman" w:cs="Times New Roman" w:eastAsia="Times New Roman" w:hint="default"/>
                <w:sz w:val="18"/>
                <w:szCs w:val="18"/>
              </w:rPr>
            </w:pPr>
            <w:r>
              <w:rPr>
                <w:rFonts w:ascii="Times New Roman"/>
                <w:sz w:val="18"/>
              </w:rPr>
              <w:t>99,63</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43" w:right="178"/>
              <w:jc w:val="left"/>
              <w:rPr>
                <w:rFonts w:ascii="Times New Roman" w:hAnsi="Times New Roman" w:cs="Times New Roman" w:eastAsia="Times New Roman" w:hint="default"/>
                <w:sz w:val="18"/>
                <w:szCs w:val="18"/>
              </w:rPr>
            </w:pPr>
            <w:r>
              <w:rPr>
                <w:rFonts w:ascii="Times New Roman"/>
                <w:sz w:val="18"/>
              </w:rPr>
              <w:t>10</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омладину и</w:t>
            </w:r>
            <w:r>
              <w:rPr>
                <w:rFonts w:ascii="Times New Roman" w:hAnsi="Times New Roman"/>
                <w:spacing w:val="-8"/>
                <w:sz w:val="18"/>
              </w:rPr>
              <w:t> </w:t>
            </w:r>
            <w:r>
              <w:rPr>
                <w:rFonts w:ascii="Times New Roman" w:hAnsi="Times New Roman"/>
                <w:sz w:val="18"/>
              </w:rPr>
              <w:t>спорт</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77.863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77.863</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71.931</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73.065</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26" w:right="0"/>
              <w:jc w:val="left"/>
              <w:rPr>
                <w:rFonts w:ascii="Times New Roman" w:hAnsi="Times New Roman" w:cs="Times New Roman" w:eastAsia="Times New Roman" w:hint="default"/>
                <w:sz w:val="18"/>
                <w:szCs w:val="18"/>
              </w:rPr>
            </w:pPr>
            <w:r>
              <w:rPr>
                <w:rFonts w:ascii="Times New Roman"/>
                <w:sz w:val="18"/>
              </w:rPr>
              <w:t>93,84</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101,58</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6"/>
              <w:jc w:val="right"/>
              <w:rPr>
                <w:rFonts w:ascii="Times New Roman" w:hAnsi="Times New Roman" w:cs="Times New Roman" w:eastAsia="Times New Roman" w:hint="default"/>
                <w:sz w:val="18"/>
                <w:szCs w:val="18"/>
              </w:rPr>
            </w:pPr>
            <w:r>
              <w:rPr>
                <w:rFonts w:ascii="Times New Roman" w:hAnsi="Times New Roman"/>
                <w:sz w:val="18"/>
              </w:rPr>
              <w:t>10а</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СЦ</w:t>
            </w:r>
            <w:r>
              <w:rPr>
                <w:rFonts w:ascii="Times New Roman" w:hAnsi="Times New Roman"/>
                <w:spacing w:val="-1"/>
                <w:sz w:val="18"/>
              </w:rPr>
              <w:t> </w:t>
            </w:r>
            <w:r>
              <w:rPr>
                <w:rFonts w:ascii="Times New Roman" w:hAnsi="Times New Roman"/>
                <w:sz w:val="18"/>
              </w:rPr>
              <w:t>Чаир</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77.863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77.863</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71.931</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73.065</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26" w:right="0"/>
              <w:jc w:val="left"/>
              <w:rPr>
                <w:rFonts w:ascii="Times New Roman" w:hAnsi="Times New Roman" w:cs="Times New Roman" w:eastAsia="Times New Roman" w:hint="default"/>
                <w:sz w:val="18"/>
                <w:szCs w:val="18"/>
              </w:rPr>
            </w:pPr>
            <w:r>
              <w:rPr>
                <w:rFonts w:ascii="Times New Roman"/>
                <w:sz w:val="18"/>
              </w:rPr>
              <w:t>93,84</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101,58</w:t>
            </w:r>
          </w:p>
        </w:tc>
      </w:tr>
      <w:tr>
        <w:trPr>
          <w:trHeight w:val="218"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604" w:right="0"/>
              <w:jc w:val="left"/>
              <w:rPr>
                <w:rFonts w:ascii="Times New Roman" w:hAnsi="Times New Roman" w:cs="Times New Roman" w:eastAsia="Times New Roman" w:hint="default"/>
                <w:sz w:val="18"/>
                <w:szCs w:val="18"/>
              </w:rPr>
            </w:pPr>
            <w:r>
              <w:rPr>
                <w:rFonts w:ascii="Times New Roman" w:hAnsi="Times New Roman"/>
                <w:b/>
                <w:sz w:val="18"/>
              </w:rPr>
              <w:t>Укупно корисници</w:t>
            </w:r>
            <w:r>
              <w:rPr>
                <w:rFonts w:ascii="Times New Roman" w:hAnsi="Times New Roman"/>
                <w:b/>
                <w:spacing w:val="-1"/>
                <w:sz w:val="18"/>
              </w:rPr>
              <w:t> </w:t>
            </w:r>
            <w:r>
              <w:rPr>
                <w:rFonts w:ascii="Times New Roman" w:hAnsi="Times New Roman"/>
                <w:b/>
                <w:sz w:val="18"/>
              </w:rPr>
              <w:t>(1</w:t>
            </w:r>
            <w:r>
              <w:rPr>
                <w:rFonts w:ascii="Times New Roman" w:hAnsi="Times New Roman"/>
                <w:b/>
                <w:sz w:val="18"/>
              </w:rPr>
              <w:t>-10)</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1"/>
              <w:jc w:val="right"/>
              <w:rPr>
                <w:rFonts w:ascii="Times New Roman" w:hAnsi="Times New Roman" w:cs="Times New Roman" w:eastAsia="Times New Roman" w:hint="default"/>
                <w:sz w:val="18"/>
                <w:szCs w:val="18"/>
              </w:rPr>
            </w:pPr>
            <w:r>
              <w:rPr>
                <w:rFonts w:ascii="Times New Roman"/>
                <w:b/>
                <w:spacing w:val="-1"/>
                <w:sz w:val="18"/>
              </w:rPr>
              <w:t>1.778.877</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b/>
                <w:spacing w:val="-1"/>
                <w:sz w:val="18"/>
              </w:rPr>
              <w:t>1.770.454</w:t>
            </w:r>
            <w:r>
              <w:rPr>
                <w:rFonts w:ascii="Times New Roman"/>
                <w:spacing w:val="-1"/>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3"/>
              <w:jc w:val="right"/>
              <w:rPr>
                <w:rFonts w:ascii="Times New Roman" w:hAnsi="Times New Roman" w:cs="Times New Roman" w:eastAsia="Times New Roman" w:hint="default"/>
                <w:sz w:val="18"/>
                <w:szCs w:val="18"/>
              </w:rPr>
            </w:pPr>
            <w:r>
              <w:rPr>
                <w:rFonts w:ascii="Times New Roman"/>
                <w:b/>
                <w:spacing w:val="-1"/>
                <w:sz w:val="18"/>
              </w:rPr>
              <w:t>1.704.299</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3"/>
              <w:jc w:val="right"/>
              <w:rPr>
                <w:rFonts w:ascii="Times New Roman" w:hAnsi="Times New Roman" w:cs="Times New Roman" w:eastAsia="Times New Roman" w:hint="default"/>
                <w:sz w:val="18"/>
                <w:szCs w:val="18"/>
              </w:rPr>
            </w:pPr>
            <w:r>
              <w:rPr>
                <w:rFonts w:ascii="Times New Roman"/>
                <w:b/>
                <w:spacing w:val="-1"/>
                <w:sz w:val="18"/>
              </w:rPr>
              <w:t>1.706.140</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326" w:right="0"/>
              <w:jc w:val="left"/>
              <w:rPr>
                <w:rFonts w:ascii="Times New Roman" w:hAnsi="Times New Roman" w:cs="Times New Roman" w:eastAsia="Times New Roman" w:hint="default"/>
                <w:sz w:val="18"/>
                <w:szCs w:val="18"/>
              </w:rPr>
            </w:pPr>
            <w:r>
              <w:rPr>
                <w:rFonts w:ascii="Times New Roman"/>
                <w:b/>
                <w:sz w:val="18"/>
              </w:rPr>
              <w:t>96,37</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b/>
                <w:spacing w:val="-1"/>
                <w:sz w:val="18"/>
              </w:rPr>
              <w:t>100,11</w:t>
            </w:r>
            <w:r>
              <w:rPr>
                <w:rFonts w:ascii="Times New Roman"/>
                <w:spacing w:val="-1"/>
                <w:sz w:val="18"/>
              </w:rPr>
            </w:r>
          </w:p>
        </w:tc>
      </w:tr>
      <w:tr>
        <w:trPr>
          <w:trHeight w:val="257"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477" w:right="0"/>
              <w:jc w:val="left"/>
              <w:rPr>
                <w:rFonts w:ascii="Times New Roman" w:hAnsi="Times New Roman" w:cs="Times New Roman" w:eastAsia="Times New Roman" w:hint="default"/>
                <w:sz w:val="18"/>
                <w:szCs w:val="18"/>
              </w:rPr>
            </w:pPr>
            <w:r>
              <w:rPr>
                <w:rFonts w:ascii="Times New Roman" w:hAnsi="Times New Roman"/>
                <w:b/>
                <w:sz w:val="18"/>
              </w:rPr>
              <w:t>Укупно  Град </w:t>
            </w:r>
            <w:r>
              <w:rPr>
                <w:rFonts w:ascii="Times New Roman" w:hAnsi="Times New Roman"/>
                <w:b/>
                <w:sz w:val="18"/>
              </w:rPr>
              <w:t>- </w:t>
            </w:r>
            <w:r>
              <w:rPr>
                <w:rFonts w:ascii="Times New Roman" w:hAnsi="Times New Roman"/>
                <w:b/>
                <w:sz w:val="18"/>
              </w:rPr>
              <w:t>група</w:t>
            </w:r>
            <w:r>
              <w:rPr>
                <w:rFonts w:ascii="Times New Roman" w:hAnsi="Times New Roman"/>
                <w:b/>
                <w:spacing w:val="-8"/>
                <w:sz w:val="18"/>
              </w:rPr>
              <w:t> </w:t>
            </w:r>
            <w:r>
              <w:rPr>
                <w:rFonts w:ascii="Times New Roman" w:hAnsi="Times New Roman"/>
                <w:b/>
                <w:sz w:val="18"/>
              </w:rPr>
              <w:t>411000</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1"/>
              <w:jc w:val="right"/>
              <w:rPr>
                <w:rFonts w:ascii="Times New Roman" w:hAnsi="Times New Roman" w:cs="Times New Roman" w:eastAsia="Times New Roman" w:hint="default"/>
                <w:sz w:val="18"/>
                <w:szCs w:val="18"/>
              </w:rPr>
            </w:pPr>
            <w:r>
              <w:rPr>
                <w:rFonts w:ascii="Times New Roman"/>
                <w:b/>
                <w:spacing w:val="-1"/>
                <w:sz w:val="18"/>
              </w:rPr>
              <w:t>1.845.512</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b/>
                <w:spacing w:val="-1"/>
                <w:sz w:val="18"/>
              </w:rPr>
              <w:t>1.836.677</w:t>
            </w:r>
            <w:r>
              <w:rPr>
                <w:rFonts w:ascii="Times New Roman"/>
                <w:spacing w:val="-1"/>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3"/>
              <w:jc w:val="right"/>
              <w:rPr>
                <w:rFonts w:ascii="Times New Roman" w:hAnsi="Times New Roman" w:cs="Times New Roman" w:eastAsia="Times New Roman" w:hint="default"/>
                <w:sz w:val="18"/>
                <w:szCs w:val="18"/>
              </w:rPr>
            </w:pPr>
            <w:r>
              <w:rPr>
                <w:rFonts w:ascii="Times New Roman"/>
                <w:b/>
                <w:spacing w:val="-1"/>
                <w:sz w:val="18"/>
              </w:rPr>
              <w:t>1.763.820</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3"/>
              <w:jc w:val="right"/>
              <w:rPr>
                <w:rFonts w:ascii="Times New Roman" w:hAnsi="Times New Roman" w:cs="Times New Roman" w:eastAsia="Times New Roman" w:hint="default"/>
                <w:sz w:val="18"/>
                <w:szCs w:val="18"/>
              </w:rPr>
            </w:pPr>
            <w:r>
              <w:rPr>
                <w:rFonts w:ascii="Times New Roman"/>
                <w:b/>
                <w:spacing w:val="-1"/>
                <w:sz w:val="18"/>
              </w:rPr>
              <w:t>1.765.661</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326" w:right="0"/>
              <w:jc w:val="left"/>
              <w:rPr>
                <w:rFonts w:ascii="Times New Roman" w:hAnsi="Times New Roman" w:cs="Times New Roman" w:eastAsia="Times New Roman" w:hint="default"/>
                <w:sz w:val="18"/>
                <w:szCs w:val="18"/>
              </w:rPr>
            </w:pPr>
            <w:r>
              <w:rPr>
                <w:rFonts w:ascii="Times New Roman"/>
                <w:b/>
                <w:sz w:val="18"/>
              </w:rPr>
              <w:t>96,13</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b/>
                <w:spacing w:val="-1"/>
                <w:sz w:val="18"/>
              </w:rPr>
              <w:t>100,10</w:t>
            </w:r>
            <w:r>
              <w:rPr>
                <w:rFonts w:ascii="Times New Roman"/>
                <w:spacing w:val="-1"/>
                <w:sz w:val="18"/>
              </w:rPr>
            </w:r>
          </w:p>
        </w:tc>
      </w:tr>
    </w:tbl>
    <w:p>
      <w:pPr>
        <w:pStyle w:val="BodyText"/>
        <w:spacing w:line="218" w:lineRule="auto" w:before="12"/>
        <w:ind w:right="173" w:firstLine="566"/>
        <w:jc w:val="both"/>
      </w:pPr>
      <w:r>
        <w:rPr/>
        <w:t>Права и обавезе по основу рада за запослене у јавном сектору уређују се према</w:t>
      </w:r>
      <w:r>
        <w:rPr>
          <w:rFonts w:ascii="Times New Roman" w:hAnsi="Times New Roman"/>
        </w:rPr>
        <w:t>: </w:t>
      </w:r>
      <w:r>
        <w:rPr/>
        <w:t>Закону о радним односима у државним органима</w:t>
      </w:r>
      <w:r>
        <w:rPr>
          <w:rFonts w:ascii="Times New Roman" w:hAnsi="Times New Roman"/>
          <w:position w:val="11"/>
          <w:sz w:val="16"/>
        </w:rPr>
        <w:t>48</w:t>
      </w:r>
      <w:r>
        <w:rPr/>
        <w:t>, Закону о платама у државним органима и јавним службама</w:t>
      </w:r>
      <w:r>
        <w:rPr>
          <w:rFonts w:ascii="Times New Roman" w:hAnsi="Times New Roman"/>
          <w:position w:val="11"/>
          <w:sz w:val="16"/>
        </w:rPr>
        <w:t>49</w:t>
      </w:r>
      <w:r>
        <w:rPr/>
        <w:t>, као и посебним законима којима се уређују поједине делатности (образовање, култура, здравство итд.). Закон о раду</w:t>
      </w:r>
      <w:r>
        <w:rPr>
          <w:rFonts w:ascii="Times New Roman" w:hAnsi="Times New Roman"/>
          <w:position w:val="11"/>
          <w:sz w:val="16"/>
        </w:rPr>
        <w:t>50 </w:t>
      </w:r>
      <w:r>
        <w:rPr/>
        <w:t>примењује се у оним деловима у којима права и обавезе нису, на посебан начин, уређени наведеним</w:t>
      </w:r>
      <w:r>
        <w:rPr>
          <w:spacing w:val="-27"/>
        </w:rPr>
        <w:t> </w:t>
      </w:r>
      <w:r>
        <w:rPr/>
        <w:t>законима.</w:t>
      </w:r>
    </w:p>
    <w:p>
      <w:pPr>
        <w:pStyle w:val="BodyText"/>
        <w:spacing w:line="240" w:lineRule="auto" w:before="4"/>
        <w:ind w:left="726" w:right="141"/>
        <w:jc w:val="left"/>
      </w:pPr>
      <w:r>
        <w:rPr/>
        <w:t>Град Ниш је исплату плата и накнада запосленима уредио и својим општим </w:t>
      </w:r>
      <w:r>
        <w:rPr>
          <w:spacing w:val="34"/>
        </w:rPr>
        <w:t> </w:t>
      </w:r>
      <w:r>
        <w:rPr/>
        <w:t>актима</w:t>
      </w:r>
    </w:p>
    <w:p>
      <w:pPr>
        <w:pStyle w:val="BodyText"/>
        <w:spacing w:line="240" w:lineRule="auto"/>
        <w:ind w:right="141"/>
        <w:jc w:val="left"/>
      </w:pPr>
      <w:r>
        <w:rPr/>
        <w:t>и то:</w:t>
      </w:r>
    </w:p>
    <w:p>
      <w:pPr>
        <w:pStyle w:val="ListParagraph"/>
        <w:numPr>
          <w:ilvl w:val="0"/>
          <w:numId w:val="26"/>
        </w:numPr>
        <w:tabs>
          <w:tab w:pos="917" w:val="left" w:leader="none"/>
        </w:tabs>
        <w:spacing w:line="240" w:lineRule="auto" w:before="0" w:after="0"/>
        <w:ind w:left="160" w:right="0" w:firstLine="566"/>
        <w:jc w:val="left"/>
        <w:rPr>
          <w:rFonts w:ascii="Times New Roman" w:hAnsi="Times New Roman" w:cs="Times New Roman" w:eastAsia="Times New Roman" w:hint="default"/>
          <w:sz w:val="24"/>
          <w:szCs w:val="24"/>
        </w:rPr>
      </w:pPr>
      <w:r>
        <w:rPr>
          <w:rFonts w:ascii="Times New Roman" w:hAnsi="Times New Roman"/>
          <w:sz w:val="24"/>
        </w:rPr>
        <w:t>Правилником</w:t>
      </w:r>
      <w:r>
        <w:rPr>
          <w:rFonts w:ascii="Times New Roman" w:hAnsi="Times New Roman"/>
          <w:spacing w:val="48"/>
          <w:sz w:val="24"/>
        </w:rPr>
        <w:t> </w:t>
      </w:r>
      <w:r>
        <w:rPr>
          <w:rFonts w:ascii="Times New Roman" w:hAnsi="Times New Roman"/>
          <w:sz w:val="24"/>
        </w:rPr>
        <w:t>о</w:t>
      </w:r>
      <w:r>
        <w:rPr>
          <w:rFonts w:ascii="Times New Roman" w:hAnsi="Times New Roman"/>
          <w:spacing w:val="49"/>
          <w:sz w:val="24"/>
        </w:rPr>
        <w:t> </w:t>
      </w:r>
      <w:r>
        <w:rPr>
          <w:rFonts w:ascii="Times New Roman" w:hAnsi="Times New Roman"/>
          <w:sz w:val="24"/>
        </w:rPr>
        <w:t>платама</w:t>
      </w:r>
      <w:r>
        <w:rPr>
          <w:rFonts w:ascii="Times New Roman" w:hAnsi="Times New Roman"/>
          <w:spacing w:val="50"/>
          <w:sz w:val="24"/>
        </w:rPr>
        <w:t> </w:t>
      </w:r>
      <w:r>
        <w:rPr>
          <w:rFonts w:ascii="Times New Roman" w:hAnsi="Times New Roman"/>
          <w:sz w:val="24"/>
        </w:rPr>
        <w:t>лица</w:t>
      </w:r>
      <w:r>
        <w:rPr>
          <w:rFonts w:ascii="Times New Roman" w:hAnsi="Times New Roman"/>
          <w:spacing w:val="48"/>
          <w:sz w:val="24"/>
        </w:rPr>
        <w:t> </w:t>
      </w:r>
      <w:r>
        <w:rPr>
          <w:rFonts w:ascii="Times New Roman" w:hAnsi="Times New Roman"/>
          <w:sz w:val="24"/>
        </w:rPr>
        <w:t>које</w:t>
      </w:r>
      <w:r>
        <w:rPr>
          <w:rFonts w:ascii="Times New Roman" w:hAnsi="Times New Roman"/>
          <w:spacing w:val="48"/>
          <w:sz w:val="24"/>
        </w:rPr>
        <w:t> </w:t>
      </w:r>
      <w:r>
        <w:rPr>
          <w:rFonts w:ascii="Times New Roman" w:hAnsi="Times New Roman"/>
          <w:sz w:val="24"/>
        </w:rPr>
        <w:t>бира</w:t>
      </w:r>
      <w:r>
        <w:rPr>
          <w:rFonts w:ascii="Times New Roman" w:hAnsi="Times New Roman"/>
          <w:spacing w:val="48"/>
          <w:sz w:val="24"/>
        </w:rPr>
        <w:t> </w:t>
      </w:r>
      <w:r>
        <w:rPr>
          <w:rFonts w:ascii="Times New Roman" w:hAnsi="Times New Roman"/>
          <w:sz w:val="24"/>
        </w:rPr>
        <w:t>и</w:t>
      </w:r>
      <w:r>
        <w:rPr>
          <w:rFonts w:ascii="Times New Roman" w:hAnsi="Times New Roman"/>
          <w:spacing w:val="52"/>
          <w:sz w:val="24"/>
        </w:rPr>
        <w:t> </w:t>
      </w:r>
      <w:r>
        <w:rPr>
          <w:rFonts w:ascii="Times New Roman" w:hAnsi="Times New Roman"/>
          <w:sz w:val="24"/>
        </w:rPr>
        <w:t>поставља</w:t>
      </w:r>
      <w:r>
        <w:rPr>
          <w:rFonts w:ascii="Times New Roman" w:hAnsi="Times New Roman"/>
          <w:spacing w:val="48"/>
          <w:sz w:val="24"/>
        </w:rPr>
        <w:t> </w:t>
      </w:r>
      <w:r>
        <w:rPr>
          <w:rFonts w:ascii="Times New Roman" w:hAnsi="Times New Roman"/>
          <w:sz w:val="24"/>
        </w:rPr>
        <w:t>Скупштина</w:t>
      </w:r>
      <w:r>
        <w:rPr>
          <w:rFonts w:ascii="Times New Roman" w:hAnsi="Times New Roman"/>
          <w:spacing w:val="48"/>
          <w:sz w:val="24"/>
        </w:rPr>
        <w:t> </w:t>
      </w:r>
      <w:r>
        <w:rPr>
          <w:rFonts w:ascii="Times New Roman" w:hAnsi="Times New Roman"/>
          <w:sz w:val="24"/>
        </w:rPr>
        <w:t>града</w:t>
      </w:r>
      <w:r>
        <w:rPr>
          <w:rFonts w:ascii="Times New Roman" w:hAnsi="Times New Roman"/>
          <w:spacing w:val="48"/>
          <w:sz w:val="24"/>
        </w:rPr>
        <w:t> </w:t>
      </w:r>
      <w:r>
        <w:rPr>
          <w:rFonts w:ascii="Times New Roman" w:hAnsi="Times New Roman"/>
          <w:sz w:val="24"/>
        </w:rPr>
        <w:t>Ниша</w:t>
      </w:r>
      <w:r>
        <w:rPr>
          <w:rFonts w:ascii="Times New Roman" w:hAnsi="Times New Roman"/>
          <w:spacing w:val="55"/>
          <w:sz w:val="24"/>
        </w:rPr>
        <w:t> </w:t>
      </w:r>
      <w:r>
        <w:rPr>
          <w:rFonts w:ascii="Times New Roman" w:hAnsi="Times New Roman"/>
          <w:sz w:val="24"/>
        </w:rPr>
        <w:t>у</w:t>
      </w:r>
    </w:p>
    <w:p>
      <w:pPr>
        <w:pStyle w:val="BodyText"/>
        <w:spacing w:line="240" w:lineRule="auto"/>
        <w:ind w:right="141"/>
        <w:jc w:val="left"/>
        <w:rPr>
          <w:rFonts w:ascii="Times New Roman" w:hAnsi="Times New Roman" w:cs="Times New Roman" w:eastAsia="Times New Roman" w:hint="default"/>
        </w:rPr>
      </w:pPr>
      <w:r>
        <w:rPr/>
        <w:t>органима и службама града број </w:t>
      </w:r>
      <w:r>
        <w:rPr>
          <w:rFonts w:ascii="Times New Roman" w:hAnsi="Times New Roman"/>
        </w:rPr>
        <w:t>06-258/2012-</w:t>
      </w:r>
      <w:r>
        <w:rPr/>
        <w:t>02 од 13.09.2012. године донетим од стране Одбора за административна</w:t>
      </w:r>
      <w:r>
        <w:rPr>
          <w:spacing w:val="-7"/>
        </w:rPr>
        <w:t> </w:t>
      </w:r>
      <w:r>
        <w:rPr/>
        <w:t>питања</w:t>
      </w:r>
      <w:r>
        <w:rPr>
          <w:rFonts w:ascii="Times New Roman" w:hAnsi="Times New Roman"/>
        </w:rPr>
        <w:t>;</w:t>
      </w:r>
    </w:p>
    <w:p>
      <w:pPr>
        <w:spacing w:line="240" w:lineRule="auto" w:before="0"/>
        <w:rPr>
          <w:rFonts w:ascii="Times New Roman" w:hAnsi="Times New Roman" w:cs="Times New Roman" w:eastAsia="Times New Roman" w:hint="default"/>
          <w:sz w:val="20"/>
          <w:szCs w:val="20"/>
        </w:rPr>
      </w:pPr>
    </w:p>
    <w:p>
      <w:pPr>
        <w:spacing w:line="240" w:lineRule="auto" w:before="2"/>
        <w:rPr>
          <w:rFonts w:ascii="Times New Roman" w:hAnsi="Times New Roman" w:cs="Times New Roman" w:eastAsia="Times New Roman" w:hint="default"/>
          <w:sz w:val="20"/>
          <w:szCs w:val="20"/>
        </w:rPr>
      </w:pPr>
      <w:r>
        <w:rPr/>
        <w:pict>
          <v:group style="position:absolute;margin-left:78.024002pt;margin-top:12.865283pt;width:144.050pt;height:.1pt;mso-position-horizontal-relative:page;mso-position-vertical-relative:paragraph;z-index:1600;mso-wrap-distance-left:0;mso-wrap-distance-right:0" coordorigin="1560,257" coordsize="2881,2">
            <v:shape style="position:absolute;left:1560;top:257;width:2881;height:2" coordorigin="1560,257" coordsize="2881,0" path="m1560,257l4441,257e" filled="false" stroked="true" strokeweight=".599980pt" strokecolor="#000000">
              <v:path arrowok="t"/>
            </v:shape>
            <w10:wrap type="topAndBottom"/>
          </v:group>
        </w:pict>
      </w:r>
    </w:p>
    <w:p>
      <w:pPr>
        <w:spacing w:line="191" w:lineRule="exact" w:before="5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48 </w:t>
      </w:r>
      <w:r>
        <w:rPr>
          <w:rFonts w:ascii="Times New Roman" w:hAnsi="Times New Roman" w:cs="Times New Roman" w:eastAsia="Times New Roman" w:hint="default"/>
          <w:sz w:val="16"/>
          <w:szCs w:val="16"/>
        </w:rPr>
        <w:t>„Службени гласник Републике Србије“ број 48/1991 </w:t>
      </w:r>
      <w:r>
        <w:rPr>
          <w:rFonts w:ascii="Times New Roman" w:hAnsi="Times New Roman" w:cs="Times New Roman" w:eastAsia="Times New Roman" w:hint="default"/>
          <w:sz w:val="16"/>
          <w:szCs w:val="16"/>
        </w:rPr>
        <w:t>... 83/2005 - </w:t>
      </w:r>
      <w:r>
        <w:rPr>
          <w:rFonts w:ascii="Times New Roman" w:hAnsi="Times New Roman" w:cs="Times New Roman" w:eastAsia="Times New Roman" w:hint="default"/>
          <w:sz w:val="16"/>
          <w:szCs w:val="16"/>
        </w:rPr>
        <w:t>испр. др. закона и 23/2013 – Одлука</w:t>
      </w:r>
      <w:r>
        <w:rPr>
          <w:rFonts w:ascii="Times New Roman" w:hAnsi="Times New Roman" w:cs="Times New Roman" w:eastAsia="Times New Roman" w:hint="default"/>
          <w:spacing w:val="-26"/>
          <w:sz w:val="16"/>
          <w:szCs w:val="16"/>
        </w:rPr>
        <w:t> </w:t>
      </w:r>
      <w:r>
        <w:rPr>
          <w:rFonts w:ascii="Times New Roman" w:hAnsi="Times New Roman" w:cs="Times New Roman" w:eastAsia="Times New Roman" w:hint="default"/>
          <w:sz w:val="16"/>
          <w:szCs w:val="16"/>
        </w:rPr>
        <w:t>УС</w:t>
      </w:r>
    </w:p>
    <w:p>
      <w:pPr>
        <w:spacing w:line="185" w:lineRule="exact" w:before="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49 </w:t>
      </w:r>
      <w:r>
        <w:rPr>
          <w:rFonts w:ascii="Times New Roman" w:hAnsi="Times New Roman" w:cs="Times New Roman" w:eastAsia="Times New Roman" w:hint="default"/>
          <w:sz w:val="16"/>
          <w:szCs w:val="16"/>
        </w:rPr>
        <w:t>„Службени гласник Републике Србије“ број 34/2001...55/2013 и</w:t>
      </w:r>
      <w:r>
        <w:rPr>
          <w:rFonts w:ascii="Times New Roman" w:hAnsi="Times New Roman" w:cs="Times New Roman" w:eastAsia="Times New Roman" w:hint="default"/>
          <w:spacing w:val="-16"/>
          <w:sz w:val="16"/>
          <w:szCs w:val="16"/>
        </w:rPr>
        <w:t> </w:t>
      </w:r>
      <w:r>
        <w:rPr>
          <w:rFonts w:ascii="Times New Roman" w:hAnsi="Times New Roman" w:cs="Times New Roman" w:eastAsia="Times New Roman" w:hint="default"/>
          <w:sz w:val="16"/>
          <w:szCs w:val="16"/>
        </w:rPr>
        <w:t>99/2014</w:t>
      </w:r>
    </w:p>
    <w:p>
      <w:pPr>
        <w:spacing w:line="191" w:lineRule="exact" w:before="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50 </w:t>
      </w:r>
      <w:r>
        <w:rPr>
          <w:rFonts w:ascii="Times New Roman" w:hAnsi="Times New Roman" w:cs="Times New Roman" w:eastAsia="Times New Roman" w:hint="default"/>
          <w:sz w:val="16"/>
          <w:szCs w:val="16"/>
        </w:rPr>
        <w:t>„Службени гласник Републике Србије“ број 24/2005, 32/2013 и</w:t>
      </w:r>
      <w:r>
        <w:rPr>
          <w:rFonts w:ascii="Times New Roman" w:hAnsi="Times New Roman" w:cs="Times New Roman" w:eastAsia="Times New Roman" w:hint="default"/>
          <w:spacing w:val="-16"/>
          <w:sz w:val="16"/>
          <w:szCs w:val="16"/>
        </w:rPr>
        <w:t> </w:t>
      </w:r>
      <w:r>
        <w:rPr>
          <w:rFonts w:ascii="Times New Roman" w:hAnsi="Times New Roman" w:cs="Times New Roman" w:eastAsia="Times New Roman" w:hint="default"/>
          <w:sz w:val="16"/>
          <w:szCs w:val="16"/>
        </w:rPr>
        <w:t>75/2014</w:t>
      </w:r>
    </w:p>
    <w:p>
      <w:pPr>
        <w:spacing w:after="0" w:line="191" w:lineRule="exact"/>
        <w:jc w:val="left"/>
        <w:rPr>
          <w:rFonts w:ascii="Times New Roman" w:hAnsi="Times New Roman" w:cs="Times New Roman" w:eastAsia="Times New Roman" w:hint="default"/>
          <w:sz w:val="16"/>
          <w:szCs w:val="16"/>
        </w:rPr>
        <w:sectPr>
          <w:pgSz w:w="12240" w:h="15840"/>
          <w:pgMar w:header="740" w:footer="1274" w:top="1280" w:bottom="1460" w:left="1400" w:right="1260"/>
        </w:sectPr>
      </w:pPr>
    </w:p>
    <w:p>
      <w:pPr>
        <w:pStyle w:val="ListParagraph"/>
        <w:numPr>
          <w:ilvl w:val="0"/>
          <w:numId w:val="26"/>
        </w:numPr>
        <w:tabs>
          <w:tab w:pos="914" w:val="left" w:leader="none"/>
        </w:tabs>
        <w:spacing w:line="240" w:lineRule="auto" w:before="122" w:after="0"/>
        <w:ind w:left="160" w:right="173" w:firstLine="566"/>
        <w:jc w:val="both"/>
        <w:rPr>
          <w:rFonts w:ascii="Times New Roman" w:hAnsi="Times New Roman" w:cs="Times New Roman" w:eastAsia="Times New Roman" w:hint="default"/>
          <w:sz w:val="24"/>
          <w:szCs w:val="24"/>
        </w:rPr>
      </w:pPr>
      <w:r>
        <w:rPr>
          <w:rFonts w:ascii="Times New Roman" w:hAnsi="Times New Roman"/>
          <w:sz w:val="24"/>
        </w:rPr>
        <w:t>Правилником о платама и накнадама лица која поставља Градоначелник града Ниша број 226/2009</w:t>
      </w:r>
      <w:r>
        <w:rPr>
          <w:rFonts w:ascii="Times New Roman" w:hAnsi="Times New Roman"/>
          <w:sz w:val="24"/>
        </w:rPr>
        <w:t>-</w:t>
      </w:r>
      <w:r>
        <w:rPr>
          <w:rFonts w:ascii="Times New Roman" w:hAnsi="Times New Roman"/>
          <w:sz w:val="24"/>
        </w:rPr>
        <w:t>010 од 04.02.2009. године, Изменама и допунама број 226</w:t>
      </w:r>
      <w:r>
        <w:rPr>
          <w:rFonts w:ascii="Times New Roman" w:hAnsi="Times New Roman"/>
          <w:sz w:val="24"/>
        </w:rPr>
        <w:t>-1/2009-01 </w:t>
      </w:r>
      <w:r>
        <w:rPr>
          <w:rFonts w:ascii="Times New Roman" w:hAnsi="Times New Roman"/>
          <w:sz w:val="24"/>
        </w:rPr>
        <w:t>од 22.12.2009. године, број 299/2012</w:t>
      </w:r>
      <w:r>
        <w:rPr>
          <w:rFonts w:ascii="Times New Roman" w:hAnsi="Times New Roman"/>
          <w:sz w:val="24"/>
        </w:rPr>
        <w:t>-</w:t>
      </w:r>
      <w:r>
        <w:rPr>
          <w:rFonts w:ascii="Times New Roman" w:hAnsi="Times New Roman"/>
          <w:sz w:val="24"/>
        </w:rPr>
        <w:t>01 од 03.02.2012. године, донетим од стране Градоначелника</w:t>
      </w:r>
      <w:r>
        <w:rPr>
          <w:rFonts w:ascii="Times New Roman" w:hAnsi="Times New Roman"/>
          <w:sz w:val="24"/>
        </w:rPr>
        <w:t>;</w:t>
      </w:r>
    </w:p>
    <w:p>
      <w:pPr>
        <w:pStyle w:val="ListParagraph"/>
        <w:numPr>
          <w:ilvl w:val="0"/>
          <w:numId w:val="26"/>
        </w:numPr>
        <w:tabs>
          <w:tab w:pos="946" w:val="left" w:leader="none"/>
        </w:tabs>
        <w:spacing w:line="240" w:lineRule="auto" w:before="0" w:after="0"/>
        <w:ind w:left="160" w:right="173" w:firstLine="566"/>
        <w:jc w:val="both"/>
        <w:rPr>
          <w:rFonts w:ascii="Times New Roman" w:hAnsi="Times New Roman" w:cs="Times New Roman" w:eastAsia="Times New Roman" w:hint="default"/>
          <w:sz w:val="24"/>
          <w:szCs w:val="24"/>
        </w:rPr>
      </w:pPr>
      <w:r>
        <w:rPr>
          <w:rFonts w:ascii="Times New Roman" w:hAnsi="Times New Roman"/>
          <w:sz w:val="24"/>
        </w:rPr>
        <w:t>Правилником о платама лица које поставља Градско веће града Ниша број </w:t>
      </w:r>
      <w:r>
        <w:rPr>
          <w:rFonts w:ascii="Times New Roman" w:hAnsi="Times New Roman"/>
          <w:sz w:val="24"/>
        </w:rPr>
        <w:t>507/1/2008-</w:t>
      </w:r>
      <w:r>
        <w:rPr>
          <w:rFonts w:ascii="Times New Roman" w:hAnsi="Times New Roman"/>
          <w:sz w:val="24"/>
        </w:rPr>
        <w:t>03 од 30.10.2008. године, Изменама и допунама број 1203</w:t>
      </w:r>
      <w:r>
        <w:rPr>
          <w:rFonts w:ascii="Times New Roman" w:hAnsi="Times New Roman"/>
          <w:sz w:val="24"/>
        </w:rPr>
        <w:t>-3/2009-</w:t>
      </w:r>
      <w:r>
        <w:rPr>
          <w:rFonts w:ascii="Times New Roman" w:hAnsi="Times New Roman"/>
          <w:sz w:val="24"/>
        </w:rPr>
        <w:t>03 од 27.08.2009. године, Изменама и допунама Правилника о платама лица које поставља и именује Градско веће града Ниша број 80</w:t>
      </w:r>
      <w:r>
        <w:rPr>
          <w:rFonts w:ascii="Times New Roman" w:hAnsi="Times New Roman"/>
          <w:sz w:val="24"/>
        </w:rPr>
        <w:t>-2/2012-</w:t>
      </w:r>
      <w:r>
        <w:rPr>
          <w:rFonts w:ascii="Times New Roman" w:hAnsi="Times New Roman"/>
          <w:sz w:val="24"/>
        </w:rPr>
        <w:t>03 од 03.02.2012. године и 446</w:t>
      </w:r>
      <w:r>
        <w:rPr>
          <w:rFonts w:ascii="Times New Roman" w:hAnsi="Times New Roman"/>
          <w:sz w:val="24"/>
        </w:rPr>
        <w:t>-31/2013- </w:t>
      </w:r>
      <w:r>
        <w:rPr>
          <w:rFonts w:ascii="Times New Roman" w:hAnsi="Times New Roman"/>
          <w:sz w:val="24"/>
        </w:rPr>
        <w:t>03 од 27.03.2013. године, донетим од стране Градског</w:t>
      </w:r>
      <w:r>
        <w:rPr>
          <w:rFonts w:ascii="Times New Roman" w:hAnsi="Times New Roman"/>
          <w:spacing w:val="-11"/>
          <w:sz w:val="24"/>
        </w:rPr>
        <w:t> </w:t>
      </w:r>
      <w:r>
        <w:rPr>
          <w:rFonts w:ascii="Times New Roman" w:hAnsi="Times New Roman"/>
          <w:sz w:val="24"/>
        </w:rPr>
        <w:t>већа;</w:t>
      </w:r>
    </w:p>
    <w:p>
      <w:pPr>
        <w:pStyle w:val="ListParagraph"/>
        <w:numPr>
          <w:ilvl w:val="0"/>
          <w:numId w:val="26"/>
        </w:numPr>
        <w:tabs>
          <w:tab w:pos="878" w:val="left" w:leader="none"/>
        </w:tabs>
        <w:spacing w:line="240" w:lineRule="auto" w:before="0" w:after="0"/>
        <w:ind w:left="160" w:right="176" w:firstLine="566"/>
        <w:jc w:val="both"/>
        <w:rPr>
          <w:rFonts w:ascii="Times New Roman" w:hAnsi="Times New Roman" w:cs="Times New Roman" w:eastAsia="Times New Roman" w:hint="default"/>
          <w:sz w:val="24"/>
          <w:szCs w:val="24"/>
        </w:rPr>
      </w:pPr>
      <w:r>
        <w:rPr>
          <w:rFonts w:ascii="Times New Roman" w:hAnsi="Times New Roman"/>
          <w:sz w:val="24"/>
        </w:rPr>
        <w:t>Правилником о звањима, занимањима и платама запослених у градским управама и службама, градском јавном правобранилаштву, канцеларији заштитника грађана и буџетској инспекцији града Ниша број 569/2012</w:t>
      </w:r>
      <w:r>
        <w:rPr>
          <w:rFonts w:ascii="Times New Roman" w:hAnsi="Times New Roman"/>
          <w:sz w:val="24"/>
        </w:rPr>
        <w:t>-</w:t>
      </w:r>
      <w:r>
        <w:rPr>
          <w:rFonts w:ascii="Times New Roman" w:hAnsi="Times New Roman"/>
          <w:sz w:val="24"/>
        </w:rPr>
        <w:t>08 од 27.03.2012. године, Изменама и допунама број 584/2013</w:t>
      </w:r>
      <w:r>
        <w:rPr>
          <w:rFonts w:ascii="Times New Roman" w:hAnsi="Times New Roman"/>
          <w:sz w:val="24"/>
        </w:rPr>
        <w:t>-</w:t>
      </w:r>
      <w:r>
        <w:rPr>
          <w:rFonts w:ascii="Times New Roman" w:hAnsi="Times New Roman"/>
          <w:sz w:val="24"/>
        </w:rPr>
        <w:t>08 од 13.05.2013. године и број 1633/2014</w:t>
      </w:r>
      <w:r>
        <w:rPr>
          <w:rFonts w:ascii="Times New Roman" w:hAnsi="Times New Roman"/>
          <w:sz w:val="24"/>
        </w:rPr>
        <w:t>-</w:t>
      </w:r>
      <w:r>
        <w:rPr>
          <w:rFonts w:ascii="Times New Roman" w:hAnsi="Times New Roman"/>
          <w:sz w:val="24"/>
        </w:rPr>
        <w:t>08 од 14.10.2014. године, донетим од стране начелника градских управа и служби Града, градског јавног правобраниоца, заштитника грађана и шефа буџетске</w:t>
      </w:r>
      <w:r>
        <w:rPr>
          <w:rFonts w:ascii="Times New Roman" w:hAnsi="Times New Roman"/>
          <w:spacing w:val="-23"/>
          <w:sz w:val="24"/>
        </w:rPr>
        <w:t> </w:t>
      </w:r>
      <w:r>
        <w:rPr>
          <w:rFonts w:ascii="Times New Roman" w:hAnsi="Times New Roman"/>
          <w:sz w:val="24"/>
        </w:rPr>
        <w:t>инспекције;</w:t>
      </w:r>
    </w:p>
    <w:p>
      <w:pPr>
        <w:pStyle w:val="ListParagraph"/>
        <w:numPr>
          <w:ilvl w:val="0"/>
          <w:numId w:val="26"/>
        </w:numPr>
        <w:tabs>
          <w:tab w:pos="986" w:val="left" w:leader="none"/>
        </w:tabs>
        <w:spacing w:line="240" w:lineRule="auto" w:before="0" w:after="0"/>
        <w:ind w:left="160" w:right="175" w:firstLine="566"/>
        <w:jc w:val="both"/>
        <w:rPr>
          <w:rFonts w:ascii="Times New Roman" w:hAnsi="Times New Roman" w:cs="Times New Roman" w:eastAsia="Times New Roman" w:hint="default"/>
          <w:sz w:val="24"/>
          <w:szCs w:val="24"/>
        </w:rPr>
      </w:pPr>
      <w:r>
        <w:rPr>
          <w:rFonts w:ascii="Times New Roman" w:hAnsi="Times New Roman"/>
          <w:sz w:val="24"/>
        </w:rPr>
        <w:t>Правилником о звањима, занимањима и платама запослених у буџетској инспекцији града Ниша број 39/2012</w:t>
      </w:r>
      <w:r>
        <w:rPr>
          <w:rFonts w:ascii="Times New Roman" w:hAnsi="Times New Roman"/>
          <w:sz w:val="24"/>
        </w:rPr>
        <w:t>-</w:t>
      </w:r>
      <w:r>
        <w:rPr>
          <w:rFonts w:ascii="Times New Roman" w:hAnsi="Times New Roman"/>
          <w:sz w:val="24"/>
        </w:rPr>
        <w:t>17 од 16.05.2012. године и Изменама и допунама број  72/2012</w:t>
      </w:r>
      <w:r>
        <w:rPr>
          <w:rFonts w:ascii="Times New Roman" w:hAnsi="Times New Roman"/>
          <w:sz w:val="24"/>
        </w:rPr>
        <w:t>-</w:t>
      </w:r>
      <w:r>
        <w:rPr>
          <w:rFonts w:ascii="Times New Roman" w:hAnsi="Times New Roman"/>
          <w:sz w:val="24"/>
        </w:rPr>
        <w:t>17  од  08.08.2012.  године,  донетим од  стране шефа буџетске  </w:t>
      </w:r>
      <w:r>
        <w:rPr>
          <w:rFonts w:ascii="Times New Roman" w:hAnsi="Times New Roman"/>
          <w:spacing w:val="8"/>
          <w:sz w:val="24"/>
        </w:rPr>
        <w:t> </w:t>
      </w:r>
      <w:r>
        <w:rPr>
          <w:rFonts w:ascii="Times New Roman" w:hAnsi="Times New Roman"/>
          <w:sz w:val="24"/>
        </w:rPr>
        <w:t>инспекције;</w:t>
      </w:r>
    </w:p>
    <w:p>
      <w:pPr>
        <w:pStyle w:val="ListParagraph"/>
        <w:numPr>
          <w:ilvl w:val="0"/>
          <w:numId w:val="26"/>
        </w:numPr>
        <w:tabs>
          <w:tab w:pos="943" w:val="left" w:leader="none"/>
        </w:tabs>
        <w:spacing w:line="240" w:lineRule="auto" w:before="0" w:after="0"/>
        <w:ind w:left="160" w:right="178" w:firstLine="566"/>
        <w:jc w:val="both"/>
        <w:rPr>
          <w:rFonts w:ascii="Times New Roman" w:hAnsi="Times New Roman" w:cs="Times New Roman" w:eastAsia="Times New Roman" w:hint="default"/>
          <w:sz w:val="24"/>
          <w:szCs w:val="24"/>
        </w:rPr>
      </w:pPr>
      <w:r>
        <w:rPr>
          <w:rFonts w:ascii="Times New Roman" w:hAnsi="Times New Roman"/>
          <w:sz w:val="24"/>
        </w:rPr>
        <w:t>Закључком о увећању коефицијената по основу квалитета и резултата рада, запосленима са средњом и нижим стручним спремама број 232</w:t>
      </w:r>
      <w:r>
        <w:rPr>
          <w:rFonts w:ascii="Times New Roman" w:hAnsi="Times New Roman"/>
          <w:sz w:val="24"/>
        </w:rPr>
        <w:t>-1/2012-</w:t>
      </w:r>
      <w:r>
        <w:rPr>
          <w:rFonts w:ascii="Times New Roman" w:hAnsi="Times New Roman"/>
          <w:sz w:val="24"/>
        </w:rPr>
        <w:t>03 од 22.03.2012. године, донетим од стране Градског већа града</w:t>
      </w:r>
      <w:r>
        <w:rPr>
          <w:rFonts w:ascii="Times New Roman" w:hAnsi="Times New Roman"/>
          <w:spacing w:val="-10"/>
          <w:sz w:val="24"/>
        </w:rPr>
        <w:t> </w:t>
      </w:r>
      <w:r>
        <w:rPr>
          <w:rFonts w:ascii="Times New Roman" w:hAnsi="Times New Roman"/>
          <w:sz w:val="24"/>
        </w:rPr>
        <w:t>Ниша.</w:t>
      </w:r>
    </w:p>
    <w:p>
      <w:pPr>
        <w:pStyle w:val="BodyText"/>
        <w:spacing w:line="240" w:lineRule="auto"/>
        <w:ind w:right="182" w:firstLine="539"/>
        <w:jc w:val="both"/>
      </w:pPr>
      <w:r>
        <w:rPr/>
        <w:t>Послове планирања и обрачуна трошкова за плате, додатке и накнаде запосленима обавља Управа за финансије, изворне приходе локлане самоуправе и јавне</w:t>
      </w:r>
      <w:r>
        <w:rPr>
          <w:spacing w:val="-26"/>
        </w:rPr>
        <w:t> </w:t>
      </w:r>
      <w:r>
        <w:rPr/>
        <w:t>набавке.</w:t>
      </w:r>
    </w:p>
    <w:p>
      <w:pPr>
        <w:pStyle w:val="Heading1"/>
        <w:spacing w:line="275" w:lineRule="exact"/>
        <w:ind w:right="141"/>
        <w:jc w:val="left"/>
        <w:rPr>
          <w:b w:val="0"/>
          <w:bCs w:val="0"/>
        </w:rPr>
      </w:pPr>
      <w:r>
        <w:rPr/>
        <w:t>На основу ревизије узорковане документације утврђено</w:t>
      </w:r>
      <w:r>
        <w:rPr>
          <w:spacing w:val="-18"/>
        </w:rPr>
        <w:t> </w:t>
      </w:r>
      <w:r>
        <w:rPr/>
        <w:t>је:</w:t>
      </w:r>
      <w:r>
        <w:rPr>
          <w:b w:val="0"/>
        </w:rPr>
      </w:r>
    </w:p>
    <w:p>
      <w:pPr>
        <w:pStyle w:val="ListParagraph"/>
        <w:numPr>
          <w:ilvl w:val="0"/>
          <w:numId w:val="9"/>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Према подацима Министарства финансија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Управе за трезор (Преглед броја запослених у органима локалне самоуправе), у граду Нишу, без јавних предузећа и предшколске установе, може бити запослено на неодређено време 1.302 лица и 130 лица на одређено време. На дан 31.12.2014. године код свих директних, индиректних корисника средстава буџета Града и градских општина, осим јавних предузећа и предшколске установе, према обрасцу ПЛ – 2, било је 1.591 запослен на неодређено и 118 запослених на одређено (40 на одређено време и 78 по уговору о привременим и повременим пословима и преко студентске задруге). У Граду Нишу (код директних и индиректних буџетских корисника и градских општина) је укупно </w:t>
      </w:r>
      <w:r>
        <w:rPr>
          <w:rFonts w:ascii="Times New Roman" w:hAnsi="Times New Roman" w:cs="Times New Roman" w:eastAsia="Times New Roman" w:hint="default"/>
          <w:sz w:val="24"/>
          <w:szCs w:val="24"/>
        </w:rPr>
        <w:t>289 </w:t>
      </w:r>
      <w:r>
        <w:rPr>
          <w:rFonts w:ascii="Times New Roman" w:hAnsi="Times New Roman" w:cs="Times New Roman" w:eastAsia="Times New Roman" w:hint="default"/>
          <w:sz w:val="24"/>
          <w:szCs w:val="24"/>
        </w:rPr>
        <w:t>више запослених на неодређено време од дозвољеног лимита утврђеног одредбама члана 2</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и члана 3. Закона о одређивању максималног броја запослених у локалној администрацији. У 2015. години услед природног одлива дошло је до смањења броја радника, тако да је у октобру 2015. године на неодређено време укупно </w:t>
      </w:r>
      <w:r>
        <w:rPr>
          <w:rFonts w:ascii="Times New Roman" w:hAnsi="Times New Roman" w:cs="Times New Roman" w:eastAsia="Times New Roman" w:hint="default"/>
          <w:sz w:val="24"/>
          <w:szCs w:val="24"/>
        </w:rPr>
        <w:t>256 </w:t>
      </w:r>
      <w:r>
        <w:rPr>
          <w:rFonts w:ascii="Times New Roman" w:hAnsi="Times New Roman" w:cs="Times New Roman" w:eastAsia="Times New Roman" w:hint="default"/>
          <w:sz w:val="24"/>
          <w:szCs w:val="24"/>
        </w:rPr>
        <w:t>запослених више од дозвољеног</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броја.</w:t>
      </w:r>
    </w:p>
    <w:p>
      <w:pPr>
        <w:pStyle w:val="ListParagraph"/>
        <w:numPr>
          <w:ilvl w:val="0"/>
          <w:numId w:val="9"/>
        </w:numPr>
        <w:tabs>
          <w:tab w:pos="303" w:val="left" w:leader="none"/>
        </w:tabs>
        <w:spacing w:line="237" w:lineRule="auto" w:before="4"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Евиденција присутности на раду не води се </w:t>
      </w:r>
      <w:r>
        <w:rPr>
          <w:rFonts w:ascii="Times New Roman" w:hAnsi="Times New Roman"/>
          <w:spacing w:val="3"/>
          <w:sz w:val="24"/>
        </w:rPr>
        <w:t>за </w:t>
      </w:r>
      <w:r>
        <w:rPr>
          <w:rFonts w:ascii="Times New Roman" w:hAnsi="Times New Roman"/>
          <w:sz w:val="24"/>
        </w:rPr>
        <w:t>постављена лица и запослене у Служби  </w:t>
      </w:r>
      <w:r>
        <w:rPr>
          <w:rFonts w:ascii="Times New Roman" w:hAnsi="Times New Roman"/>
          <w:sz w:val="24"/>
        </w:rPr>
        <w:t>за послове Градоначелника</w:t>
      </w:r>
      <w:r>
        <w:rPr>
          <w:rFonts w:ascii="Times New Roman" w:hAnsi="Times New Roman"/>
          <w:sz w:val="24"/>
        </w:rPr>
        <w:t>. </w:t>
      </w:r>
      <w:r>
        <w:rPr>
          <w:rFonts w:ascii="Times New Roman" w:hAnsi="Times New Roman"/>
          <w:sz w:val="24"/>
        </w:rPr>
        <w:t>Служба за послове Градоначелника у 2015. години је увела евиденцију о присутности на</w:t>
      </w:r>
      <w:r>
        <w:rPr>
          <w:rFonts w:ascii="Times New Roman" w:hAnsi="Times New Roman"/>
          <w:spacing w:val="-19"/>
          <w:sz w:val="24"/>
        </w:rPr>
        <w:t> </w:t>
      </w:r>
      <w:r>
        <w:rPr>
          <w:rFonts w:ascii="Times New Roman" w:hAnsi="Times New Roman"/>
          <w:sz w:val="24"/>
        </w:rPr>
        <w:t>раду.</w:t>
      </w:r>
    </w:p>
    <w:p>
      <w:pPr>
        <w:pStyle w:val="Heading2"/>
        <w:spacing w:line="274" w:lineRule="exact"/>
        <w:ind w:left="726" w:right="141" w:firstLine="0"/>
        <w:jc w:val="left"/>
        <w:rPr>
          <w:rFonts w:ascii="Times New Roman" w:hAnsi="Times New Roman" w:cs="Times New Roman" w:eastAsia="Times New Roman" w:hint="default"/>
          <w:b w:val="0"/>
          <w:bCs w:val="0"/>
          <w:i w:val="0"/>
        </w:rPr>
      </w:pPr>
      <w:r>
        <w:rPr>
          <w:i/>
        </w:rPr>
        <w:t>Препоручује се одговорним лицима да број запослених ускладе са</w:t>
      </w:r>
      <w:r>
        <w:rPr>
          <w:i/>
          <w:spacing w:val="-13"/>
        </w:rPr>
        <w:t> </w:t>
      </w:r>
      <w:r>
        <w:rPr>
          <w:i/>
        </w:rPr>
        <w:t>прописима</w:t>
      </w:r>
      <w:r>
        <w:rPr>
          <w:rFonts w:ascii="Times New Roman" w:hAnsi="Times New Roman"/>
          <w:i/>
        </w:rPr>
        <w:t>.</w:t>
      </w:r>
      <w:r>
        <w:rPr>
          <w:rFonts w:ascii="Times New Roman" w:hAnsi="Times New Roman"/>
          <w:b w:val="0"/>
          <w:i w:val="0"/>
        </w:rPr>
      </w:r>
    </w:p>
    <w:p>
      <w:pPr>
        <w:pStyle w:val="ListParagraph"/>
        <w:numPr>
          <w:ilvl w:val="4"/>
          <w:numId w:val="25"/>
        </w:numPr>
        <w:tabs>
          <w:tab w:pos="1010" w:val="left" w:leader="none"/>
        </w:tabs>
        <w:spacing w:line="240" w:lineRule="auto" w:before="0" w:after="0"/>
        <w:ind w:left="160" w:right="184" w:firstLine="566"/>
        <w:jc w:val="both"/>
        <w:rPr>
          <w:rFonts w:ascii="Times New Roman" w:hAnsi="Times New Roman" w:cs="Times New Roman" w:eastAsia="Times New Roman" w:hint="default"/>
          <w:sz w:val="24"/>
          <w:szCs w:val="24"/>
        </w:rPr>
      </w:pPr>
      <w:r>
        <w:rPr>
          <w:rFonts w:ascii="Times New Roman" w:hAnsi="Times New Roman"/>
          <w:b/>
          <w:sz w:val="24"/>
        </w:rPr>
        <w:t>Скупштина града </w:t>
      </w:r>
      <w:r>
        <w:rPr>
          <w:rFonts w:ascii="Times New Roman" w:hAnsi="Times New Roman"/>
          <w:b/>
          <w:sz w:val="24"/>
        </w:rPr>
        <w:t>- </w:t>
      </w:r>
      <w:r>
        <w:rPr>
          <w:rFonts w:ascii="Times New Roman" w:hAnsi="Times New Roman"/>
          <w:sz w:val="24"/>
        </w:rPr>
        <w:t>Исказани су расходи у износу од 18.421 хиљаде динара за плате, додатке и накнаде запослених (зараде) за секретара Скупштине града, заменика секретара Скупштине града, председнике комисија и председнике</w:t>
      </w:r>
      <w:r>
        <w:rPr>
          <w:rFonts w:ascii="Times New Roman" w:hAnsi="Times New Roman"/>
          <w:spacing w:val="-22"/>
          <w:sz w:val="24"/>
        </w:rPr>
        <w:t> </w:t>
      </w:r>
      <w:r>
        <w:rPr>
          <w:rFonts w:ascii="Times New Roman" w:hAnsi="Times New Roman"/>
          <w:sz w:val="24"/>
        </w:rPr>
        <w:t>одбора.</w:t>
      </w:r>
    </w:p>
    <w:p>
      <w:pPr>
        <w:spacing w:before="0"/>
        <w:ind w:left="160" w:right="173"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је изабраним лицима</w:t>
      </w:r>
      <w:r>
        <w:rPr>
          <w:rFonts w:ascii="Times New Roman" w:hAnsi="Times New Roman"/>
          <w:spacing w:val="21"/>
          <w:sz w:val="24"/>
        </w:rPr>
        <w:t> </w:t>
      </w:r>
      <w:r>
        <w:rPr>
          <w:rFonts w:ascii="Times New Roman" w:hAnsi="Times New Roman"/>
          <w:sz w:val="24"/>
        </w:rPr>
        <w:t>(председницима</w:t>
      </w:r>
      <w:r>
        <w:rPr>
          <w:rFonts w:ascii="Times New Roman" w:hAnsi="Times New Roman"/>
          <w:spacing w:val="21"/>
          <w:sz w:val="24"/>
        </w:rPr>
        <w:t> </w:t>
      </w:r>
      <w:r>
        <w:rPr>
          <w:rFonts w:ascii="Times New Roman" w:hAnsi="Times New Roman"/>
          <w:sz w:val="24"/>
        </w:rPr>
        <w:t>одбора</w:t>
      </w:r>
      <w:r>
        <w:rPr>
          <w:rFonts w:ascii="Times New Roman" w:hAnsi="Times New Roman"/>
          <w:spacing w:val="22"/>
          <w:sz w:val="24"/>
        </w:rPr>
        <w:t> </w:t>
      </w:r>
      <w:r>
        <w:rPr>
          <w:rFonts w:ascii="Times New Roman" w:hAnsi="Times New Roman"/>
          <w:sz w:val="24"/>
        </w:rPr>
        <w:t>и</w:t>
      </w:r>
      <w:r>
        <w:rPr>
          <w:rFonts w:ascii="Times New Roman" w:hAnsi="Times New Roman"/>
          <w:spacing w:val="23"/>
          <w:sz w:val="24"/>
        </w:rPr>
        <w:t> </w:t>
      </w:r>
      <w:r>
        <w:rPr>
          <w:rFonts w:ascii="Times New Roman" w:hAnsi="Times New Roman"/>
          <w:sz w:val="24"/>
        </w:rPr>
        <w:t>комисија)</w:t>
      </w:r>
      <w:r>
        <w:rPr>
          <w:rFonts w:ascii="Times New Roman" w:hAnsi="Times New Roman"/>
          <w:spacing w:val="23"/>
          <w:sz w:val="24"/>
        </w:rPr>
        <w:t> </w:t>
      </w:r>
      <w:r>
        <w:rPr>
          <w:rFonts w:ascii="Times New Roman" w:hAnsi="Times New Roman"/>
          <w:sz w:val="24"/>
        </w:rPr>
        <w:t>је</w:t>
      </w:r>
      <w:r>
        <w:rPr>
          <w:rFonts w:ascii="Times New Roman" w:hAnsi="Times New Roman"/>
          <w:spacing w:val="22"/>
          <w:sz w:val="24"/>
        </w:rPr>
        <w:t> </w:t>
      </w:r>
      <w:r>
        <w:rPr>
          <w:rFonts w:ascii="Times New Roman" w:hAnsi="Times New Roman"/>
          <w:sz w:val="24"/>
        </w:rPr>
        <w:t>исплаћена</w:t>
      </w:r>
      <w:r>
        <w:rPr>
          <w:rFonts w:ascii="Times New Roman" w:hAnsi="Times New Roman"/>
          <w:spacing w:val="21"/>
          <w:sz w:val="24"/>
        </w:rPr>
        <w:t> </w:t>
      </w:r>
      <w:r>
        <w:rPr>
          <w:rFonts w:ascii="Times New Roman" w:hAnsi="Times New Roman"/>
          <w:sz w:val="24"/>
        </w:rPr>
        <w:t>плата</w:t>
      </w:r>
      <w:r>
        <w:rPr>
          <w:rFonts w:ascii="Times New Roman" w:hAnsi="Times New Roman"/>
          <w:spacing w:val="28"/>
          <w:sz w:val="24"/>
        </w:rPr>
        <w:t> </w:t>
      </w:r>
      <w:r>
        <w:rPr>
          <w:rFonts w:ascii="Times New Roman" w:hAnsi="Times New Roman"/>
          <w:sz w:val="24"/>
        </w:rPr>
        <w:t>у</w:t>
      </w:r>
      <w:r>
        <w:rPr>
          <w:rFonts w:ascii="Times New Roman" w:hAnsi="Times New Roman"/>
          <w:spacing w:val="17"/>
          <w:sz w:val="24"/>
        </w:rPr>
        <w:t> </w:t>
      </w:r>
      <w:r>
        <w:rPr>
          <w:rFonts w:ascii="Times New Roman" w:hAnsi="Times New Roman"/>
          <w:sz w:val="24"/>
        </w:rPr>
        <w:t>већем</w:t>
      </w:r>
      <w:r>
        <w:rPr>
          <w:rFonts w:ascii="Times New Roman" w:hAnsi="Times New Roman"/>
          <w:spacing w:val="22"/>
          <w:sz w:val="24"/>
        </w:rPr>
        <w:t> </w:t>
      </w:r>
      <w:r>
        <w:rPr>
          <w:rFonts w:ascii="Times New Roman" w:hAnsi="Times New Roman"/>
          <w:sz w:val="24"/>
        </w:rPr>
        <w:t>износу</w:t>
      </w:r>
      <w:r>
        <w:rPr>
          <w:rFonts w:ascii="Times New Roman" w:hAnsi="Times New Roman"/>
          <w:spacing w:val="17"/>
          <w:sz w:val="24"/>
        </w:rPr>
        <w:t> </w:t>
      </w:r>
      <w:r>
        <w:rPr>
          <w:rFonts w:ascii="Times New Roman" w:hAnsi="Times New Roman"/>
          <w:sz w:val="24"/>
        </w:rPr>
        <w:t>за</w:t>
      </w:r>
      <w:r>
        <w:rPr>
          <w:rFonts w:ascii="Times New Roman" w:hAnsi="Times New Roman"/>
          <w:spacing w:val="23"/>
          <w:sz w:val="24"/>
        </w:rPr>
        <w:t> </w:t>
      </w:r>
      <w:r>
        <w:rPr>
          <w:rFonts w:ascii="Times New Roman" w:hAnsi="Times New Roman"/>
          <w:sz w:val="24"/>
        </w:rPr>
        <w:t>2.864</w:t>
      </w:r>
    </w:p>
    <w:p>
      <w:pPr>
        <w:spacing w:after="0"/>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3"/>
        <w:jc w:val="both"/>
      </w:pPr>
      <w:r>
        <w:rPr/>
        <w:t>хиљаде динара, по основу увећања основне плате за 30% на име вршења функције, </w:t>
      </w:r>
      <w:r>
        <w:rPr>
          <w:spacing w:val="2"/>
        </w:rPr>
        <w:t>како </w:t>
      </w:r>
      <w:r>
        <w:rPr>
          <w:spacing w:val="2"/>
        </w:rPr>
      </w:r>
      <w:r>
        <w:rPr/>
        <w:t>је утврђено Правилником о платама лица која бира и поставља Скупштина града Ниша у </w:t>
      </w:r>
      <w:r>
        <w:rPr/>
        <w:t>органима и службама града, што је супротно члану 9. Закона о платама у државним органима и јавним службама и члану 56. Закона о буџетском систему. Истовремено,  више су обрачунати и плаћени социјални доприноси на терет послодавца који се евидентирају на групи 412000 у износу од 513 хиљада динара, па је укупно више исплаћено 3.377 хиљада</w:t>
      </w:r>
      <w:r>
        <w:rPr>
          <w:spacing w:val="-9"/>
        </w:rPr>
        <w:t> </w:t>
      </w:r>
      <w:r>
        <w:rPr/>
        <w:t>динара.</w:t>
      </w:r>
    </w:p>
    <w:p>
      <w:pPr>
        <w:pStyle w:val="BodyText"/>
        <w:spacing w:line="240" w:lineRule="auto"/>
        <w:ind w:right="171" w:firstLine="719"/>
        <w:jc w:val="both"/>
      </w:pPr>
      <w:r>
        <w:rPr/>
        <w:t>У поступку ревизије Одбор за административна питања је 17.07.2015. године донео Правилник о платама која бира, поставља и именује Скупштина града Ниша у органима и службама града, који је усаглашен са важећим прописима, донета су 17.07.2015. године нова решења председницима одбора и комисија у складу са наведеним Правилником и исплата се од јула 2015. године врши у складу са интерним актом и важећим</w:t>
      </w:r>
      <w:r>
        <w:rPr>
          <w:spacing w:val="-8"/>
        </w:rPr>
        <w:t> </w:t>
      </w:r>
      <w:r>
        <w:rPr/>
        <w:t>прописима.</w:t>
      </w:r>
    </w:p>
    <w:p>
      <w:pPr>
        <w:pStyle w:val="ListParagraph"/>
        <w:numPr>
          <w:ilvl w:val="4"/>
          <w:numId w:val="25"/>
        </w:numPr>
        <w:tabs>
          <w:tab w:pos="1013" w:val="left" w:leader="none"/>
        </w:tabs>
        <w:spacing w:line="240" w:lineRule="auto" w:before="0" w:after="0"/>
        <w:ind w:left="160" w:right="175" w:firstLine="566"/>
        <w:jc w:val="both"/>
        <w:rPr>
          <w:rFonts w:ascii="Times New Roman" w:hAnsi="Times New Roman" w:cs="Times New Roman" w:eastAsia="Times New Roman" w:hint="default"/>
          <w:sz w:val="24"/>
          <w:szCs w:val="24"/>
        </w:rPr>
      </w:pPr>
      <w:r>
        <w:rPr>
          <w:rFonts w:ascii="Times New Roman" w:hAnsi="Times New Roman"/>
          <w:b/>
          <w:sz w:val="24"/>
        </w:rPr>
        <w:t>Градоначелник </w:t>
      </w:r>
      <w:r>
        <w:rPr>
          <w:rFonts w:ascii="Times New Roman" w:hAnsi="Times New Roman"/>
          <w:sz w:val="24"/>
        </w:rPr>
        <w:t>- </w:t>
      </w:r>
      <w:r>
        <w:rPr>
          <w:rFonts w:ascii="Times New Roman" w:hAnsi="Times New Roman"/>
          <w:sz w:val="24"/>
        </w:rPr>
        <w:t>Исказани су расходи у износу од 4.338 хиљада  динара  за плате, додатке и накнаде запослених (зараде) за градоначелника и заменика градоначелника. Градоначелник је на сталном раду у граду Нишу, док је Заменик градоначелника на сталном раду са пуним радним временом од 01.02.2014. године. До наведеног датума Заменик градоначелника је био на сталном раду са непуним радним временом и то од 50% пуног радног времена (20 сати</w:t>
      </w:r>
      <w:r>
        <w:rPr>
          <w:rFonts w:ascii="Times New Roman" w:hAnsi="Times New Roman"/>
          <w:spacing w:val="-13"/>
          <w:sz w:val="24"/>
        </w:rPr>
        <w:t> </w:t>
      </w:r>
      <w:r>
        <w:rPr>
          <w:rFonts w:ascii="Times New Roman" w:hAnsi="Times New Roman"/>
          <w:sz w:val="24"/>
        </w:rPr>
        <w:t>недељно).</w:t>
      </w:r>
    </w:p>
    <w:p>
      <w:pPr>
        <w:pStyle w:val="BodyText"/>
        <w:spacing w:line="240" w:lineRule="auto"/>
        <w:ind w:right="173" w:firstLine="566"/>
        <w:jc w:val="both"/>
      </w:pPr>
      <w:r>
        <w:rPr>
          <w:rFonts w:ascii="Times New Roman" w:hAnsi="Times New Roman"/>
          <w:b/>
        </w:rPr>
        <w:t>На основу ревизије узорковане документације утврђено је </w:t>
      </w:r>
      <w:r>
        <w:rPr/>
        <w:t>да је изабраним лицима (градоначелнику, заменику градоначелника) је исплаћена плата у већем износу за 935 хиљада динара, по основу увећања основне плате за 30% на име вршења функције, које је утврђено Правилником о платама лица које бира и поставља Скупштина града Ниша, што је супротно члану 9. Закона о платама у државним органима и јавним службама и члану 56. Закона о буџетском систему. Истовремено, више су обрачунати и плаћени социјални доприноси на терет послодавца који се евидентирају на групи 412000 у износу од 167 хиљада динара, па је укупно више исплаћено 1.102 хиљаде</w:t>
      </w:r>
      <w:r>
        <w:rPr>
          <w:spacing w:val="-21"/>
        </w:rPr>
        <w:t> </w:t>
      </w:r>
      <w:r>
        <w:rPr/>
        <w:t>динара.</w:t>
      </w:r>
    </w:p>
    <w:p>
      <w:pPr>
        <w:pStyle w:val="BodyText"/>
        <w:spacing w:line="240" w:lineRule="auto"/>
        <w:ind w:right="173" w:firstLine="719"/>
        <w:jc w:val="both"/>
      </w:pPr>
      <w:r>
        <w:rPr/>
        <w:t>У поступку ревизије Одбор за административна питања је 17.07.2015. године донео Правилник о платама која бира, поставља и именује Скупштина града Ниша у органима и службама града, који је усаглашен са важећим прописима, донета су 17.07.2015. године нова решења за градоначелника и заменика градоначелника у складу са наведеним Правилником и исплата се од јула 2015. године врши у складу са интерним актом и важећим</w:t>
      </w:r>
      <w:r>
        <w:rPr>
          <w:spacing w:val="-12"/>
        </w:rPr>
        <w:t> </w:t>
      </w:r>
      <w:r>
        <w:rPr/>
        <w:t>прописима.</w:t>
      </w:r>
    </w:p>
    <w:p>
      <w:pPr>
        <w:pStyle w:val="ListParagraph"/>
        <w:numPr>
          <w:ilvl w:val="4"/>
          <w:numId w:val="25"/>
        </w:numPr>
        <w:tabs>
          <w:tab w:pos="998" w:val="left" w:leader="none"/>
        </w:tabs>
        <w:spacing w:line="240" w:lineRule="auto" w:before="0" w:after="0"/>
        <w:ind w:left="160" w:right="175" w:firstLine="566"/>
        <w:jc w:val="both"/>
        <w:rPr>
          <w:rFonts w:ascii="Times New Roman" w:hAnsi="Times New Roman" w:cs="Times New Roman" w:eastAsia="Times New Roman" w:hint="default"/>
          <w:sz w:val="24"/>
          <w:szCs w:val="24"/>
        </w:rPr>
      </w:pPr>
      <w:r>
        <w:rPr>
          <w:rFonts w:ascii="Times New Roman" w:hAnsi="Times New Roman"/>
          <w:b/>
          <w:sz w:val="24"/>
        </w:rPr>
        <w:t>Градско веће </w:t>
      </w:r>
      <w:r>
        <w:rPr>
          <w:rFonts w:ascii="Times New Roman" w:hAnsi="Times New Roman"/>
          <w:b/>
          <w:sz w:val="24"/>
        </w:rPr>
        <w:t>- </w:t>
      </w:r>
      <w:r>
        <w:rPr>
          <w:rFonts w:ascii="Times New Roman" w:hAnsi="Times New Roman"/>
          <w:sz w:val="24"/>
        </w:rPr>
        <w:t>Исказани су расходи у износу од 12.695 хиљада динара за плате, додатке и накнаде запослених (зараде) градских већника који су на сталном раду, секретара Градског већа, заменика секретара Градског већа</w:t>
      </w:r>
      <w:r>
        <w:rPr>
          <w:rFonts w:ascii="Times New Roman" w:hAnsi="Times New Roman"/>
          <w:sz w:val="24"/>
        </w:rPr>
        <w:t>, </w:t>
      </w:r>
      <w:r>
        <w:rPr>
          <w:rFonts w:ascii="Times New Roman" w:hAnsi="Times New Roman"/>
          <w:sz w:val="24"/>
        </w:rPr>
        <w:t>председника Савета за људска и мањинска права (од </w:t>
      </w:r>
      <w:r>
        <w:rPr>
          <w:rFonts w:ascii="Times New Roman" w:hAnsi="Times New Roman"/>
          <w:sz w:val="24"/>
        </w:rPr>
        <w:t>25.06.</w:t>
      </w:r>
      <w:r>
        <w:rPr>
          <w:rFonts w:ascii="Times New Roman" w:hAnsi="Times New Roman"/>
          <w:sz w:val="24"/>
        </w:rPr>
        <w:t>2014. године) и председник Савета за грађанске иницијативе</w:t>
      </w:r>
      <w:r>
        <w:rPr>
          <w:rFonts w:ascii="Times New Roman" w:hAnsi="Times New Roman"/>
          <w:sz w:val="24"/>
        </w:rPr>
        <w:t>.</w:t>
      </w:r>
    </w:p>
    <w:p>
      <w:pPr>
        <w:pStyle w:val="Heading1"/>
        <w:spacing w:line="275" w:lineRule="exact"/>
        <w:ind w:right="141"/>
        <w:jc w:val="left"/>
        <w:rPr>
          <w:b w:val="0"/>
          <w:bCs w:val="0"/>
        </w:rPr>
      </w:pPr>
      <w:r>
        <w:rPr/>
        <w:t>На основу ревизије узорковане документације утврђено</w:t>
      </w:r>
      <w:r>
        <w:rPr>
          <w:spacing w:val="-15"/>
        </w:rPr>
        <w:t> </w:t>
      </w:r>
      <w:r>
        <w:rPr/>
        <w:t>је:</w:t>
      </w:r>
      <w:r>
        <w:rPr>
          <w:b w:val="0"/>
        </w:rPr>
      </w:r>
    </w:p>
    <w:p>
      <w:pPr>
        <w:pStyle w:val="ListParagraph"/>
        <w:numPr>
          <w:ilvl w:val="0"/>
          <w:numId w:val="9"/>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Изабраним лицима (члановима градског већа који су на сталном раду) је, по основу увећања основне плате за 30% на име вршења функције</w:t>
      </w:r>
      <w:r>
        <w:rPr>
          <w:rFonts w:ascii="Times New Roman" w:hAnsi="Times New Roman"/>
          <w:sz w:val="24"/>
        </w:rPr>
        <w:t>, </w:t>
      </w:r>
      <w:r>
        <w:rPr>
          <w:rFonts w:ascii="Times New Roman" w:hAnsi="Times New Roman"/>
          <w:sz w:val="24"/>
        </w:rPr>
        <w:t>исплаћена плата у већем износу за 1.895 хиљада динара, а по основу Правилника о платама лица која бира и поставља Скупштина града Ниша и решења одбора за административна питања, што је супротно члану 9. Закона о платама у државним органима и јавним службама и члану 56. Закона о буџетском систему. Истовремено, више су обрачунати и плаћени социјални доприноси  на  терет  послодавца  који  се  евидентирају  на  групи  412000  у  износу  од  339</w:t>
      </w:r>
      <w:r>
        <w:rPr>
          <w:rFonts w:ascii="Times New Roman" w:hAnsi="Times New Roman"/>
          <w:spacing w:val="43"/>
          <w:sz w:val="24"/>
        </w:rPr>
        <w:t> </w:t>
      </w:r>
      <w:r>
        <w:rPr>
          <w:rFonts w:ascii="Times New Roman" w:hAnsi="Times New Roman"/>
          <w:sz w:val="24"/>
        </w:rPr>
        <w:t>хиљада</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80"/>
        <w:jc w:val="both"/>
      </w:pPr>
      <w:r>
        <w:rPr/>
        <w:t>динара, па је укупно више исплаћено 2.234 хиљаде динара. У поступку ревизије Одбор за административна питања је 17.07.2015. године донео Правилник о платама која бира, поставља и именује Скупштина града Ниша у органима и службама града, који је усаглашен са важећим прописима, донета су 17.07.2015. године нова решења за градске већнике који су на сталном раду у Граду у складу са наведеним Правилником и исплата се од јула 2015. године врши у складу са интерним актом и важећим</w:t>
      </w:r>
      <w:r>
        <w:rPr>
          <w:spacing w:val="-24"/>
        </w:rPr>
        <w:t> </w:t>
      </w:r>
      <w:r>
        <w:rPr/>
        <w:t>прописима.</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Секретар Градског већа и Заменик секретара Градског већа, Статутом града Ниша су предвиђени као постављена лица, иако Законом о локалној самоуправи напред наведено није регулисано. Секретару Градског већа и заменику секретара Градског већа у 2014. години исплаћена је плата у износу од 2.809 хиљада динара, што је без основа који је у складу са законом, чиме је поступљено супротно Закону о локалној самоуправи  и </w:t>
      </w:r>
      <w:r>
        <w:rPr>
          <w:rFonts w:ascii="Times New Roman" w:hAnsi="Times New Roman"/>
          <w:spacing w:val="50"/>
          <w:sz w:val="24"/>
        </w:rPr>
        <w:t> </w:t>
      </w:r>
      <w:r>
        <w:rPr>
          <w:rFonts w:ascii="Times New Roman" w:hAnsi="Times New Roman"/>
          <w:sz w:val="24"/>
        </w:rPr>
        <w:t>члану</w:t>
      </w:r>
    </w:p>
    <w:p>
      <w:pPr>
        <w:pStyle w:val="BodyText"/>
        <w:spacing w:line="240" w:lineRule="auto"/>
        <w:ind w:right="173"/>
        <w:jc w:val="both"/>
      </w:pPr>
      <w:r>
        <w:rPr/>
        <w:t>56. Закона о буџетском систему. Истовремено, обрачунати су и плаћени социјални доприноси на терет послодавца који се евидентирају на групи 412000 у износу од 503 хиљаде динара, па је укупно исплаћено 3.312 хиљада динара без основа који је у складу са</w:t>
      </w:r>
      <w:r>
        <w:rPr>
          <w:spacing w:val="-4"/>
        </w:rPr>
        <w:t> </w:t>
      </w:r>
      <w:r>
        <w:rPr/>
        <w:t>законом.</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Председник Савета за људска и мањинска права и председник Савета за грађанске иницијативе су именована лица на сталном раду у Градском већу, иако Законом о локалној самоуправи наведено није регулисано. Председнику Савета за људска и мањинска права и председнику Савета за грађанске иницијативе у 2014. години исплаћена је плата у износу од </w:t>
      </w:r>
      <w:r>
        <w:rPr>
          <w:rFonts w:ascii="Times New Roman" w:hAnsi="Times New Roman"/>
          <w:sz w:val="24"/>
        </w:rPr>
        <w:t>840 </w:t>
      </w:r>
      <w:r>
        <w:rPr>
          <w:rFonts w:ascii="Times New Roman" w:hAnsi="Times New Roman"/>
          <w:sz w:val="24"/>
        </w:rPr>
        <w:t>хиљада динара, што је без основа који је у складу са законом, чиме је поступљено супротно Закону о локалној самоуправи и члану 56. Закона о буџетском систему. Истовремено, обрачунати су и плаћени социјални доприноси на терет послодавца који се евидентирају на групи 412000 у износу од </w:t>
      </w:r>
      <w:r>
        <w:rPr>
          <w:rFonts w:ascii="Times New Roman" w:hAnsi="Times New Roman"/>
          <w:sz w:val="24"/>
        </w:rPr>
        <w:t>150 </w:t>
      </w:r>
      <w:r>
        <w:rPr>
          <w:rFonts w:ascii="Times New Roman" w:hAnsi="Times New Roman"/>
          <w:sz w:val="24"/>
        </w:rPr>
        <w:t>хиљаде динара, па је укупно исплаћено </w:t>
      </w:r>
      <w:r>
        <w:rPr>
          <w:rFonts w:ascii="Times New Roman" w:hAnsi="Times New Roman"/>
          <w:sz w:val="24"/>
        </w:rPr>
        <w:t>990 </w:t>
      </w:r>
      <w:r>
        <w:rPr>
          <w:rFonts w:ascii="Times New Roman" w:hAnsi="Times New Roman"/>
          <w:sz w:val="24"/>
        </w:rPr>
        <w:t>хиљада динара без основа који је у складу са</w:t>
      </w:r>
      <w:r>
        <w:rPr>
          <w:rFonts w:ascii="Times New Roman" w:hAnsi="Times New Roman"/>
          <w:spacing w:val="-25"/>
          <w:sz w:val="24"/>
        </w:rPr>
        <w:t> </w:t>
      </w:r>
      <w:r>
        <w:rPr>
          <w:rFonts w:ascii="Times New Roman" w:hAnsi="Times New Roman"/>
          <w:sz w:val="24"/>
        </w:rPr>
        <w:t>законом.</w:t>
      </w:r>
    </w:p>
    <w:p>
      <w:pPr>
        <w:pStyle w:val="Heading2"/>
        <w:spacing w:line="240" w:lineRule="auto"/>
        <w:ind w:right="173"/>
        <w:jc w:val="both"/>
        <w:rPr>
          <w:rFonts w:ascii="Times New Roman" w:hAnsi="Times New Roman" w:cs="Times New Roman" w:eastAsia="Times New Roman" w:hint="default"/>
          <w:b w:val="0"/>
          <w:bCs w:val="0"/>
          <w:i w:val="0"/>
        </w:rPr>
      </w:pPr>
      <w:r>
        <w:rPr>
          <w:i/>
        </w:rPr>
        <w:t>Препоручује се одговорним лицима да Статут ускладе са важећим прописима</w:t>
      </w:r>
      <w:r>
        <w:rPr>
          <w:rFonts w:ascii="Times New Roman" w:hAnsi="Times New Roman"/>
          <w:i/>
        </w:rPr>
        <w:t>, </w:t>
      </w:r>
      <w:r>
        <w:rPr>
          <w:i/>
        </w:rPr>
        <w:t>како би обезбедили основ за сваки расход из</w:t>
      </w:r>
      <w:r>
        <w:rPr>
          <w:i/>
          <w:spacing w:val="-6"/>
        </w:rPr>
        <w:t> </w:t>
      </w:r>
      <w:r>
        <w:rPr>
          <w:i/>
        </w:rPr>
        <w:t>буџета</w:t>
      </w:r>
      <w:r>
        <w:rPr>
          <w:rFonts w:ascii="Times New Roman" w:hAnsi="Times New Roman"/>
          <w:i/>
        </w:rPr>
        <w:t>.</w:t>
      </w:r>
      <w:r>
        <w:rPr>
          <w:rFonts w:ascii="Times New Roman" w:hAnsi="Times New Roman"/>
          <w:b w:val="0"/>
          <w:i w:val="0"/>
        </w:rPr>
      </w:r>
    </w:p>
    <w:p>
      <w:pPr>
        <w:pStyle w:val="ListParagraph"/>
        <w:numPr>
          <w:ilvl w:val="4"/>
          <w:numId w:val="25"/>
        </w:numPr>
        <w:tabs>
          <w:tab w:pos="989" w:val="left" w:leader="none"/>
        </w:tabs>
        <w:spacing w:line="237" w:lineRule="auto" w:before="139" w:after="0"/>
        <w:ind w:left="160" w:right="177" w:firstLine="566"/>
        <w:jc w:val="both"/>
        <w:rPr>
          <w:rFonts w:ascii="Times New Roman" w:hAnsi="Times New Roman" w:cs="Times New Roman" w:eastAsia="Times New Roman" w:hint="default"/>
          <w:sz w:val="24"/>
          <w:szCs w:val="24"/>
        </w:rPr>
      </w:pPr>
      <w:r>
        <w:rPr>
          <w:rFonts w:ascii="Times New Roman" w:hAnsi="Times New Roman"/>
          <w:b/>
          <w:sz w:val="24"/>
        </w:rPr>
        <w:t>Управа за финансије, изворне приходе локалне самоуправе и јавне набавке </w:t>
      </w:r>
      <w:r>
        <w:rPr>
          <w:rFonts w:ascii="Times New Roman" w:hAnsi="Times New Roman"/>
          <w:b/>
          <w:sz w:val="24"/>
        </w:rPr>
        <w:t>- </w:t>
      </w:r>
      <w:r>
        <w:rPr>
          <w:rFonts w:ascii="Times New Roman" w:hAnsi="Times New Roman"/>
          <w:sz w:val="24"/>
        </w:rPr>
        <w:t>Исказани су расходи у износу од 623.024 хиљаде динара за плате, додатке и накнаде (зараде) запослених у управама и службама</w:t>
      </w:r>
      <w:r>
        <w:rPr>
          <w:rFonts w:ascii="Times New Roman" w:hAnsi="Times New Roman"/>
          <w:spacing w:val="-13"/>
          <w:sz w:val="24"/>
        </w:rPr>
        <w:t> </w:t>
      </w:r>
      <w:r>
        <w:rPr>
          <w:rFonts w:ascii="Times New Roman" w:hAnsi="Times New Roman"/>
          <w:sz w:val="24"/>
        </w:rPr>
        <w:t>града.</w:t>
      </w:r>
    </w:p>
    <w:p>
      <w:pPr>
        <w:pStyle w:val="Heading1"/>
        <w:spacing w:line="275" w:lineRule="exact"/>
        <w:ind w:right="141"/>
        <w:jc w:val="left"/>
        <w:rPr>
          <w:b w:val="0"/>
          <w:bCs w:val="0"/>
        </w:rPr>
      </w:pPr>
      <w:r>
        <w:rPr/>
        <w:t>На основу ревизије узорковане документације утврђено</w:t>
      </w:r>
      <w:r>
        <w:rPr>
          <w:spacing w:val="-13"/>
        </w:rPr>
        <w:t> </w:t>
      </w:r>
      <w:r>
        <w:rPr/>
        <w:t>је:</w:t>
      </w:r>
      <w:r>
        <w:rPr>
          <w:b w:val="0"/>
        </w:rPr>
      </w:r>
    </w:p>
    <w:p>
      <w:pPr>
        <w:pStyle w:val="ListParagraph"/>
        <w:numPr>
          <w:ilvl w:val="0"/>
          <w:numId w:val="9"/>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Према члану 67. став 2. Статута града Ниша, а у складу са Законом о локалној самоуправи, начелник управе може имати заменика који га замењује у случају његове одсутности и спречености да обавља своју дужност, а што се уређује актом о организацији градских управа. Заменик се поставља на исти начин и под истим</w:t>
      </w:r>
      <w:r>
        <w:rPr>
          <w:rFonts w:ascii="Times New Roman" w:hAnsi="Times New Roman"/>
          <w:spacing w:val="20"/>
          <w:sz w:val="24"/>
        </w:rPr>
        <w:t> </w:t>
      </w:r>
      <w:r>
        <w:rPr>
          <w:rFonts w:ascii="Times New Roman" w:hAnsi="Times New Roman"/>
          <w:sz w:val="24"/>
        </w:rPr>
        <w:t>условима</w:t>
      </w:r>
    </w:p>
    <w:p>
      <w:pPr>
        <w:pStyle w:val="BodyText"/>
        <w:spacing w:line="276" w:lineRule="exact" w:before="3"/>
        <w:ind w:right="173"/>
        <w:jc w:val="both"/>
      </w:pPr>
      <w:r>
        <w:rPr/>
        <w:t>као начелник. Према члану 36. Одлуке о организацији градских управа града Ниша</w:t>
      </w:r>
      <w:r>
        <w:rPr>
          <w:rFonts w:ascii="Times New Roman" w:hAnsi="Times New Roman"/>
          <w:position w:val="11"/>
          <w:sz w:val="16"/>
        </w:rPr>
        <w:t>51</w:t>
      </w:r>
      <w:r>
        <w:rPr>
          <w:rFonts w:ascii="Times New Roman" w:hAnsi="Times New Roman"/>
        </w:rPr>
        <w:t>, </w:t>
      </w:r>
      <w:r>
        <w:rPr>
          <w:rFonts w:ascii="Times New Roman" w:hAnsi="Times New Roman"/>
        </w:rPr>
      </w:r>
      <w:r>
        <w:rPr/>
        <w:t>начелник  управе може имати једног или више помоћника у зависности од   </w:t>
      </w:r>
      <w:r>
        <w:rPr>
          <w:spacing w:val="54"/>
        </w:rPr>
        <w:t> </w:t>
      </w:r>
      <w:r>
        <w:rPr/>
        <w:t>унутрашњег</w:t>
      </w:r>
    </w:p>
    <w:p>
      <w:pPr>
        <w:pStyle w:val="BodyText"/>
        <w:spacing w:line="240" w:lineRule="auto"/>
        <w:ind w:right="173"/>
        <w:jc w:val="both"/>
      </w:pPr>
      <w:r>
        <w:rPr/>
        <w:t>уређења управе, који није предвиђен Законом о локалној самоуправи. Помоћника начелника распоређује начелник управе и за свој рад одговара начелнику управе. Обавезе и одговорности помоћника начелника ближе се уређују правилником о унутрашњем уређењу и систематизацији радних места градских управа. Правилницима о унутрашњем уређењу и систематизацији радних места градских управа и служби, предвиђено је да помоћници начелника замењују начелника у случају његове одсутности и за свој рад одговарају начелнику. У 2014. години исплаћена </w:t>
      </w:r>
      <w:r>
        <w:rPr>
          <w:spacing w:val="2"/>
        </w:rPr>
        <w:t>је </w:t>
      </w:r>
      <w:r>
        <w:rPr/>
        <w:t>плата за 32 помоћника начелника </w:t>
      </w:r>
      <w:r>
        <w:rPr/>
        <w:t>управа</w:t>
      </w:r>
      <w:r>
        <w:rPr>
          <w:spacing w:val="12"/>
        </w:rPr>
        <w:t> </w:t>
      </w:r>
      <w:r>
        <w:rPr/>
        <w:t>и</w:t>
      </w:r>
      <w:r>
        <w:rPr>
          <w:spacing w:val="14"/>
        </w:rPr>
        <w:t> </w:t>
      </w:r>
      <w:r>
        <w:rPr/>
        <w:t>служби</w:t>
      </w:r>
      <w:r>
        <w:rPr>
          <w:spacing w:val="14"/>
        </w:rPr>
        <w:t> </w:t>
      </w:r>
      <w:r>
        <w:rPr/>
        <w:t>града</w:t>
      </w:r>
      <w:r>
        <w:rPr>
          <w:spacing w:val="17"/>
        </w:rPr>
        <w:t> </w:t>
      </w:r>
      <w:r>
        <w:rPr/>
        <w:t>у</w:t>
      </w:r>
      <w:r>
        <w:rPr>
          <w:spacing w:val="10"/>
        </w:rPr>
        <w:t> </w:t>
      </w:r>
      <w:r>
        <w:rPr/>
        <w:t>износу</w:t>
      </w:r>
      <w:r>
        <w:rPr>
          <w:spacing w:val="10"/>
        </w:rPr>
        <w:t> </w:t>
      </w:r>
      <w:r>
        <w:rPr/>
        <w:t>од</w:t>
      </w:r>
      <w:r>
        <w:rPr>
          <w:spacing w:val="13"/>
        </w:rPr>
        <w:t> </w:t>
      </w:r>
      <w:r>
        <w:rPr/>
        <w:t>31.734</w:t>
      </w:r>
      <w:r>
        <w:rPr>
          <w:spacing w:val="13"/>
        </w:rPr>
        <w:t> </w:t>
      </w:r>
      <w:r>
        <w:rPr/>
        <w:t>хиљаде</w:t>
      </w:r>
      <w:r>
        <w:rPr>
          <w:spacing w:val="12"/>
        </w:rPr>
        <w:t> </w:t>
      </w:r>
      <w:r>
        <w:rPr/>
        <w:t>динара,</w:t>
      </w:r>
      <w:r>
        <w:rPr>
          <w:spacing w:val="13"/>
        </w:rPr>
        <w:t> </w:t>
      </w:r>
      <w:r>
        <w:rPr/>
        <w:t>без</w:t>
      </w:r>
      <w:r>
        <w:rPr>
          <w:spacing w:val="14"/>
        </w:rPr>
        <w:t> </w:t>
      </w:r>
      <w:r>
        <w:rPr/>
        <w:t>основа</w:t>
      </w:r>
      <w:r>
        <w:rPr>
          <w:spacing w:val="14"/>
        </w:rPr>
        <w:t> </w:t>
      </w:r>
      <w:r>
        <w:rPr/>
        <w:t>који</w:t>
      </w:r>
      <w:r>
        <w:rPr>
          <w:spacing w:val="14"/>
        </w:rPr>
        <w:t> </w:t>
      </w:r>
      <w:r>
        <w:rPr/>
        <w:t>је</w:t>
      </w:r>
      <w:r>
        <w:rPr>
          <w:spacing w:val="15"/>
        </w:rPr>
        <w:t> </w:t>
      </w:r>
      <w:r>
        <w:rPr/>
        <w:t>у</w:t>
      </w:r>
      <w:r>
        <w:rPr>
          <w:spacing w:val="8"/>
        </w:rPr>
        <w:t> </w:t>
      </w:r>
      <w:r>
        <w:rPr/>
        <w:t>складу</w:t>
      </w:r>
      <w:r>
        <w:rPr>
          <w:spacing w:val="10"/>
        </w:rPr>
        <w:t> </w:t>
      </w:r>
      <w:r>
        <w:rPr/>
        <w:t>са</w:t>
      </w:r>
    </w:p>
    <w:p>
      <w:pPr>
        <w:spacing w:line="240" w:lineRule="auto" w:before="3"/>
        <w:rPr>
          <w:rFonts w:ascii="Times New Roman" w:hAnsi="Times New Roman" w:cs="Times New Roman" w:eastAsia="Times New Roman" w:hint="default"/>
          <w:sz w:val="23"/>
          <w:szCs w:val="23"/>
        </w:rPr>
      </w:pPr>
      <w:r>
        <w:rPr/>
        <w:pict>
          <v:group style="position:absolute;margin-left:78.024002pt;margin-top:14.624309pt;width:144.050pt;height:.1pt;mso-position-horizontal-relative:page;mso-position-vertical-relative:paragraph;z-index:1624;mso-wrap-distance-left:0;mso-wrap-distance-right:0" coordorigin="1560,292" coordsize="2881,2">
            <v:shape style="position:absolute;left:1560;top:292;width:2881;height:2" coordorigin="1560,292" coordsize="2881,0" path="m1560,292l4441,292e" filled="false" stroked="true" strokeweight=".599980pt" strokecolor="#000000">
              <v:path arrowok="t"/>
            </v:shape>
            <w10:wrap type="topAndBottom"/>
          </v:group>
        </w:pict>
      </w:r>
    </w:p>
    <w:p>
      <w:pPr>
        <w:spacing w:before="52"/>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51  </w:t>
      </w:r>
      <w:r>
        <w:rPr>
          <w:rFonts w:ascii="Times New Roman" w:hAnsi="Times New Roman" w:cs="Times New Roman" w:eastAsia="Times New Roman" w:hint="default"/>
          <w:sz w:val="16"/>
          <w:szCs w:val="16"/>
        </w:rPr>
        <w:t>„Службени лист града Ниша“ број</w:t>
      </w:r>
      <w:r>
        <w:rPr>
          <w:rFonts w:ascii="Times New Roman" w:hAnsi="Times New Roman" w:cs="Times New Roman" w:eastAsia="Times New Roman" w:hint="default"/>
          <w:spacing w:val="-26"/>
          <w:sz w:val="16"/>
          <w:szCs w:val="16"/>
        </w:rPr>
        <w:t> </w:t>
      </w:r>
      <w:r>
        <w:rPr>
          <w:rFonts w:ascii="Times New Roman" w:hAnsi="Times New Roman" w:cs="Times New Roman" w:eastAsia="Times New Roman" w:hint="default"/>
          <w:sz w:val="16"/>
          <w:szCs w:val="16"/>
        </w:rPr>
        <w:t>3/2014</w:t>
      </w:r>
    </w:p>
    <w:p>
      <w:pPr>
        <w:spacing w:after="0"/>
        <w:jc w:val="left"/>
        <w:rPr>
          <w:rFonts w:ascii="Times New Roman" w:hAnsi="Times New Roman" w:cs="Times New Roman" w:eastAsia="Times New Roman" w:hint="default"/>
          <w:sz w:val="16"/>
          <w:szCs w:val="16"/>
        </w:rPr>
        <w:sectPr>
          <w:footerReference w:type="default" r:id="rId56"/>
          <w:pgSz w:w="12240" w:h="15840"/>
          <w:pgMar w:footer="1274" w:header="740" w:top="1280" w:bottom="1460" w:left="1400" w:right="1260"/>
        </w:sectPr>
      </w:pPr>
    </w:p>
    <w:p>
      <w:pPr>
        <w:pStyle w:val="BodyText"/>
        <w:spacing w:line="240" w:lineRule="auto" w:before="122"/>
        <w:ind w:right="173"/>
        <w:jc w:val="both"/>
      </w:pPr>
      <w:r>
        <w:rPr/>
        <w:t>законом, што је супротно члану 56. Закона о буџетском систему. Истовремено, обрачунати су и плаћени социјални доприноси на терет послодавца који се евидентирају на групи 412000 у износу од 5.680 хиљада динара, па је укупно исплаћено 37.414 хиљада динара без основа који је у складу са законом. У поступку ревизије финансијских извештаја завршног рачуна буџета града Ниша за 2010. годину такође је утврђена неправилност у вези радног места помоћника</w:t>
      </w:r>
      <w:r>
        <w:rPr>
          <w:spacing w:val="-20"/>
        </w:rPr>
        <w:t> </w:t>
      </w:r>
      <w:r>
        <w:rPr/>
        <w:t>начелника.</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Запосленима са средњом и нижом стручном спремом је исплаћена плата у већем износу за 14.981 хиљаду динара, по основу Закључка Градског већа, који предвиђа увећање коефицијента по основу квалитета и резултата рада, што је супротно Закону о платама у државним органима и јавним службама, Уредби о коефицијентима за обрачун и исплату плата именованих и постављених лица и запослених у државним органима и члану 56. Закона о буџетском систему. Истовремено, више су обрачунати и плаћени социјални доприноси на терет послодавца који се евидентирају на групи 412000 у износу од 2.682 хиљаде динара, па је укупно више исплаћено 17.663 хиљаде динара. Управа за  финансије, изворне приходе локалне самоуправе и јавне набавке је у току поступка ревизије упутила Градском већу допис број 11</w:t>
      </w:r>
      <w:r>
        <w:rPr>
          <w:rFonts w:ascii="Times New Roman" w:hAnsi="Times New Roman"/>
          <w:sz w:val="24"/>
        </w:rPr>
        <w:t>-</w:t>
      </w:r>
      <w:r>
        <w:rPr>
          <w:rFonts w:ascii="Times New Roman" w:hAnsi="Times New Roman"/>
          <w:sz w:val="24"/>
        </w:rPr>
        <w:t>1429/15 од 10.08.2015. године са иницијативом за измену Закључка о увећању коефицијената по основу квалитета и резултата рада, запосленима са средњом и нижим стручним спремама број 232</w:t>
      </w:r>
      <w:r>
        <w:rPr>
          <w:rFonts w:ascii="Times New Roman" w:hAnsi="Times New Roman"/>
          <w:sz w:val="24"/>
        </w:rPr>
        <w:t>-1/2012-03 </w:t>
      </w:r>
      <w:r>
        <w:rPr>
          <w:rFonts w:ascii="Times New Roman" w:hAnsi="Times New Roman"/>
          <w:sz w:val="24"/>
        </w:rPr>
        <w:t>од 22.03.2012. године, чија измена није извршена до дана окончања</w:t>
      </w:r>
      <w:r>
        <w:rPr>
          <w:rFonts w:ascii="Times New Roman" w:hAnsi="Times New Roman"/>
          <w:spacing w:val="-10"/>
          <w:sz w:val="24"/>
        </w:rPr>
        <w:t> </w:t>
      </w:r>
      <w:r>
        <w:rPr>
          <w:rFonts w:ascii="Times New Roman" w:hAnsi="Times New Roman"/>
          <w:sz w:val="24"/>
        </w:rPr>
        <w:t>ревизије</w:t>
      </w:r>
      <w:r>
        <w:rPr>
          <w:rFonts w:ascii="Times New Roman" w:hAnsi="Times New Roman"/>
          <w:sz w:val="24"/>
        </w:rPr>
        <w:t>.</w:t>
      </w:r>
    </w:p>
    <w:p>
      <w:pPr>
        <w:pStyle w:val="ListParagraph"/>
        <w:numPr>
          <w:ilvl w:val="0"/>
          <w:numId w:val="9"/>
        </w:numPr>
        <w:tabs>
          <w:tab w:pos="303" w:val="left" w:leader="none"/>
        </w:tabs>
        <w:spacing w:line="292" w:lineRule="exact" w:before="2"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У 2014. години прековремени рад су</w:t>
      </w:r>
      <w:r>
        <w:rPr>
          <w:rFonts w:ascii="Times New Roman" w:hAnsi="Times New Roman"/>
          <w:spacing w:val="-11"/>
          <w:sz w:val="24"/>
        </w:rPr>
        <w:t> </w:t>
      </w:r>
      <w:r>
        <w:rPr>
          <w:rFonts w:ascii="Times New Roman" w:hAnsi="Times New Roman"/>
          <w:sz w:val="24"/>
        </w:rPr>
        <w:t>остварили</w:t>
      </w:r>
      <w:r>
        <w:rPr>
          <w:rFonts w:ascii="Times New Roman" w:hAnsi="Times New Roman"/>
          <w:sz w:val="24"/>
        </w:rPr>
        <w:t>:</w:t>
      </w:r>
    </w:p>
    <w:p>
      <w:pPr>
        <w:pStyle w:val="ListParagraph"/>
        <w:numPr>
          <w:ilvl w:val="0"/>
          <w:numId w:val="12"/>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Служби за послове Градоначелика координатор групе за административно– канцеларијске послове и запослени на радном месту административно – канцеларијски послови током целе године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Начелник Службе за послове Градоначелника донео је Решење број 59/2014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14 од 31.01.2014. године којим се налаже наведеним запосленима  да по налогу Градоначелника, односно Заменика градоначелника, у циљу несметаног обављања послова за потребе Градоначелника, односно Заменика градоначелника, остају на радном месту и након истека редовног осмочасовног радног времена. Наведено решење производи правно дејство у периоду од 01.01.2014. године до 31.12.2014. године, тј. месец дана уназад. Запослени на наведеним радним местима су сачињавали типске месечне извештаје на крају месеца о извршеном прековременом</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раду;</w:t>
      </w:r>
    </w:p>
    <w:p>
      <w:pPr>
        <w:pStyle w:val="ListParagraph"/>
        <w:numPr>
          <w:ilvl w:val="0"/>
          <w:numId w:val="12"/>
        </w:numPr>
        <w:tabs>
          <w:tab w:pos="303"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Служби за одржавање и информатичко комуникационе технологије два запослена на радном месту возача. Начелник Службе за одржавање и информатичко–комуникационе технологије донео је Решење број 16</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6563/2013 од 24.12.2013. године којим се налаже запосленима који обављају послове возача, када то потребе налажу, да раде дуже од пуног радног времена ради извршења посла у утврђеним роковима, као и да ће запослени поступати по истом налогу убудуће, дневно обавештавати, прикупљати и достављати месечно тражене податке у вези обављеног прековременог рада. Дневни извештаји, које су сачињавали запослени на радном месту возач, су типски и не садрже заводни</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број;</w:t>
      </w:r>
    </w:p>
    <w:p>
      <w:pPr>
        <w:pStyle w:val="ListParagraph"/>
        <w:numPr>
          <w:ilvl w:val="0"/>
          <w:numId w:val="12"/>
        </w:numPr>
        <w:tabs>
          <w:tab w:pos="303" w:val="left" w:leader="none"/>
        </w:tabs>
        <w:spacing w:line="240" w:lineRule="auto" w:before="0"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у Буџетској инспекцији града Ниша шеф Одсека буџетске инспекције током целе године (осим јануара, марта и августа) без налога и сачињених извештаја о извршеним конкретним пословима по основу рада дужег од пуног радног</w:t>
      </w:r>
      <w:r>
        <w:rPr>
          <w:rFonts w:ascii="Times New Roman" w:hAnsi="Times New Roman"/>
          <w:spacing w:val="-16"/>
          <w:sz w:val="24"/>
        </w:rPr>
        <w:t> </w:t>
      </w:r>
      <w:r>
        <w:rPr>
          <w:rFonts w:ascii="Times New Roman" w:hAnsi="Times New Roman"/>
          <w:sz w:val="24"/>
        </w:rPr>
        <w:t>времена</w:t>
      </w:r>
      <w:r>
        <w:rPr>
          <w:rFonts w:ascii="Times New Roman" w:hAnsi="Times New Roman"/>
          <w:sz w:val="24"/>
        </w:rPr>
        <w:t>.</w:t>
      </w:r>
    </w:p>
    <w:p>
      <w:pPr>
        <w:pStyle w:val="BodyText"/>
        <w:spacing w:line="240" w:lineRule="auto"/>
        <w:ind w:right="177"/>
        <w:jc w:val="both"/>
      </w:pPr>
      <w:r>
        <w:rPr/>
        <w:t>Исплата по основу прековременог рада извршена је по основу решења руководилаца којима се одобрава исплата накнаде за прековремени рад. Обзиром да су наведени запослени радили прековремено током целе године, поступљено је супротно члану 53. Закона о раду</w:t>
      </w:r>
      <w:r>
        <w:rPr>
          <w:rFonts w:ascii="Times New Roman" w:hAnsi="Times New Roman"/>
        </w:rPr>
        <w:t>, </w:t>
      </w:r>
      <w:r>
        <w:rPr/>
        <w:t>којим је предвиђено да је на захтев послодавца запослени дужан да ради дуже од пуног радног времена у случају више силе, изненадног повећања обима посла  </w:t>
      </w:r>
      <w:r>
        <w:rPr>
          <w:spacing w:val="15"/>
        </w:rPr>
        <w:t> </w:t>
      </w:r>
      <w:r>
        <w:rPr/>
        <w:t>и</w:t>
      </w:r>
    </w:p>
    <w:p>
      <w:pPr>
        <w:spacing w:after="0" w:line="240" w:lineRule="auto"/>
        <w:jc w:val="both"/>
        <w:sectPr>
          <w:footerReference w:type="default" r:id="rId57"/>
          <w:pgSz w:w="12240" w:h="15840"/>
          <w:pgMar w:footer="1274" w:header="740" w:top="1280" w:bottom="1460" w:left="1400" w:right="1260"/>
          <w:pgNumType w:start="71"/>
        </w:sectPr>
      </w:pPr>
    </w:p>
    <w:p>
      <w:pPr>
        <w:pStyle w:val="BodyText"/>
        <w:spacing w:line="240" w:lineRule="auto" w:before="122"/>
        <w:ind w:right="174"/>
        <w:jc w:val="both"/>
      </w:pPr>
      <w:r>
        <w:rPr/>
        <w:t>у другим случајевима када је неопходно да се у одређеном року заврши посао који није планиран.</w:t>
      </w:r>
    </w:p>
    <w:p>
      <w:pPr>
        <w:pStyle w:val="ListParagraph"/>
        <w:numPr>
          <w:ilvl w:val="0"/>
          <w:numId w:val="9"/>
        </w:numPr>
        <w:tabs>
          <w:tab w:pos="303" w:val="left" w:leader="none"/>
        </w:tabs>
        <w:spacing w:line="232" w:lineRule="auto" w:before="9"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Током 2014. године вршен је обрачун и исплата накнада зарада за време одсуствовања са рада на дан празника који је нерадни дан, годишњег одмора, плаћеног одсуства у висини просечне зараде у претходна три месеца, на основу Одлуке о накнадама,  додацима на плату и другим примањима изабраних, постављених и запослених лица у органима и службама града</w:t>
      </w:r>
      <w:r>
        <w:rPr>
          <w:rFonts w:ascii="Times New Roman" w:hAnsi="Times New Roman"/>
          <w:position w:val="11"/>
          <w:sz w:val="16"/>
        </w:rPr>
        <w:t>52</w:t>
      </w:r>
      <w:r>
        <w:rPr>
          <w:rFonts w:ascii="Times New Roman" w:hAnsi="Times New Roman"/>
          <w:sz w:val="24"/>
        </w:rPr>
        <w:t>. Законом о раду који је ступио на снагу 29.07.2014. </w:t>
      </w:r>
      <w:r>
        <w:rPr>
          <w:rFonts w:ascii="Times New Roman" w:hAnsi="Times New Roman"/>
          <w:spacing w:val="49"/>
          <w:sz w:val="24"/>
        </w:rPr>
        <w:t> </w:t>
      </w:r>
      <w:r>
        <w:rPr>
          <w:rFonts w:ascii="Times New Roman" w:hAnsi="Times New Roman"/>
          <w:sz w:val="24"/>
        </w:rPr>
        <w:t>године,</w:t>
      </w:r>
    </w:p>
    <w:p>
      <w:pPr>
        <w:pStyle w:val="BodyText"/>
        <w:spacing w:line="240" w:lineRule="auto" w:before="1"/>
        <w:ind w:right="172"/>
        <w:jc w:val="both"/>
      </w:pPr>
      <w:r>
        <w:rPr/>
        <w:t>а који се примењује од 29.08.2014. године предвиђено је да запослени има право на накнаду зараде за време одсуствовања са рада на дан празника који је нерадни дан, годишњег одмора, плаћеног одсуства у висини просечне зараде у претходних 12 месеци</w:t>
      </w:r>
      <w:r>
        <w:rPr>
          <w:rFonts w:ascii="Times New Roman" w:hAnsi="Times New Roman"/>
        </w:rPr>
        <w:t>. </w:t>
      </w:r>
      <w:r>
        <w:rPr/>
        <w:t>Накнада зараде за време одсуствовања са рада на дан празника који је нерадни дан, годишњег одмора, плаћеног одсуства обрачуната је и исплаћена од 29.08.2014. године, супротно члану </w:t>
      </w:r>
      <w:r>
        <w:rPr>
          <w:rFonts w:ascii="Times New Roman" w:hAnsi="Times New Roman"/>
        </w:rPr>
        <w:t>114. </w:t>
      </w:r>
      <w:r>
        <w:rPr/>
        <w:t>Закона о</w:t>
      </w:r>
      <w:r>
        <w:rPr>
          <w:spacing w:val="-10"/>
        </w:rPr>
        <w:t> </w:t>
      </w:r>
      <w:r>
        <w:rPr/>
        <w:t>раду.</w:t>
      </w:r>
    </w:p>
    <w:p>
      <w:pPr>
        <w:pStyle w:val="Heading2"/>
        <w:spacing w:line="240" w:lineRule="auto"/>
        <w:ind w:right="173"/>
        <w:jc w:val="both"/>
        <w:rPr>
          <w:rFonts w:ascii="Times New Roman" w:hAnsi="Times New Roman" w:cs="Times New Roman" w:eastAsia="Times New Roman" w:hint="default"/>
          <w:b w:val="0"/>
          <w:bCs w:val="0"/>
          <w:i w:val="0"/>
        </w:rPr>
      </w:pPr>
      <w:r>
        <w:rPr>
          <w:i/>
        </w:rPr>
        <w:t>Препоручује се одговорним лицима да интерна акта ускладе са важећим прописима</w:t>
      </w:r>
      <w:r>
        <w:rPr>
          <w:rFonts w:ascii="Times New Roman" w:hAnsi="Times New Roman"/>
          <w:i/>
        </w:rPr>
        <w:t>, </w:t>
      </w:r>
      <w:r>
        <w:rPr>
          <w:i/>
        </w:rPr>
        <w:t>обрачун и исплату плата и додатка за рад дужи од пуног радног времена врше у складу са прописима; онемогуће исплату додатка за рад дужи од пуног радног времена без сачињеног извештаја о извршеним пословима за време прековременог рада; уведу прековремени рад у случају више силе, изненадног повећања обима посла и у другим случајевима када је неопходно да се у одређеном року заврши посао који није планиран</w:t>
      </w:r>
      <w:r>
        <w:rPr>
          <w:rFonts w:ascii="Times New Roman" w:hAnsi="Times New Roman"/>
          <w:i/>
        </w:rPr>
        <w:t>.</w:t>
      </w:r>
      <w:r>
        <w:rPr>
          <w:rFonts w:ascii="Times New Roman" w:hAnsi="Times New Roman"/>
          <w:b w:val="0"/>
          <w:i w:val="0"/>
        </w:rPr>
      </w:r>
    </w:p>
    <w:p>
      <w:pPr>
        <w:pStyle w:val="ListParagraph"/>
        <w:numPr>
          <w:ilvl w:val="4"/>
          <w:numId w:val="25"/>
        </w:numPr>
        <w:tabs>
          <w:tab w:pos="1003" w:val="left" w:leader="none"/>
        </w:tabs>
        <w:spacing w:line="240" w:lineRule="auto" w:before="177" w:after="0"/>
        <w:ind w:left="160" w:right="182" w:firstLine="566"/>
        <w:jc w:val="both"/>
        <w:rPr>
          <w:rFonts w:ascii="Times New Roman" w:hAnsi="Times New Roman" w:cs="Times New Roman" w:eastAsia="Times New Roman" w:hint="default"/>
          <w:sz w:val="24"/>
          <w:szCs w:val="24"/>
        </w:rPr>
      </w:pPr>
      <w:r>
        <w:rPr>
          <w:rFonts w:ascii="Times New Roman" w:hAnsi="Times New Roman"/>
          <w:b/>
          <w:sz w:val="24"/>
        </w:rPr>
        <w:t>Заштитник грађана </w:t>
      </w:r>
      <w:r>
        <w:rPr>
          <w:rFonts w:ascii="Times New Roman" w:hAnsi="Times New Roman"/>
          <w:b/>
          <w:sz w:val="24"/>
        </w:rPr>
        <w:t>- </w:t>
      </w:r>
      <w:r>
        <w:rPr>
          <w:rFonts w:ascii="Times New Roman" w:hAnsi="Times New Roman"/>
          <w:sz w:val="24"/>
        </w:rPr>
        <w:t>Исказани су расходи у износу од 4.052 хиљаде динара за плате, додатке и накнаде запослених (зараде) заштитника и запослене код заштитника грађана.</w:t>
      </w:r>
    </w:p>
    <w:p>
      <w:pPr>
        <w:pStyle w:val="BodyText"/>
        <w:spacing w:line="240" w:lineRule="auto"/>
        <w:ind w:right="175" w:firstLine="566"/>
        <w:jc w:val="both"/>
      </w:pPr>
      <w:r>
        <w:rPr>
          <w:rFonts w:ascii="Times New Roman" w:hAnsi="Times New Roman"/>
          <w:b/>
        </w:rPr>
        <w:t>На основу ревизије узорковане документације утврђено је </w:t>
      </w:r>
      <w:r>
        <w:rPr/>
        <w:t>да је запосленима са средњом и нижом стручном спремом је исплаћена плата у већем износу за 34 хиљаде динара, по основу Закључка Градског већа, којим је увећан коефицијенат запосленима по основу квалитета и резултата рада, што је супротно Закону о платама у државним органима и јавним службама, Уредби о коефицијентима за обрачун и исплату плата именованих и постављених лица и запослених у државним органима и члану 56. Закона о буџетском систему. Истовремено, више су обрачунати и плаћени социјални доприноси  на терет послодавца који се евидентирају на групи 412000 у износу од шест хиљада динара, па је укупно више исплаћено 40 хиљада</w:t>
      </w:r>
      <w:r>
        <w:rPr>
          <w:spacing w:val="-16"/>
        </w:rPr>
        <w:t> </w:t>
      </w:r>
      <w:r>
        <w:rPr/>
        <w:t>динара.</w:t>
      </w:r>
    </w:p>
    <w:p>
      <w:pPr>
        <w:pStyle w:val="Heading2"/>
        <w:spacing w:line="240" w:lineRule="auto"/>
        <w:ind w:right="187"/>
        <w:jc w:val="both"/>
        <w:rPr>
          <w:b w:val="0"/>
          <w:bCs w:val="0"/>
          <w:i w:val="0"/>
        </w:rPr>
      </w:pPr>
      <w:r>
        <w:rPr>
          <w:i/>
        </w:rPr>
        <w:t>Препоручује се одговорним лицима да обрачун и исплату плата врше у складу са прописима и да интерна акта ускладе са важећим</w:t>
      </w:r>
      <w:r>
        <w:rPr>
          <w:i/>
          <w:spacing w:val="-20"/>
        </w:rPr>
        <w:t> </w:t>
      </w:r>
      <w:r>
        <w:rPr>
          <w:i/>
        </w:rPr>
        <w:t>прописима.</w:t>
      </w:r>
      <w:r>
        <w:rPr>
          <w:b w:val="0"/>
          <w:i w:val="0"/>
        </w:rPr>
      </w:r>
    </w:p>
    <w:p>
      <w:pPr>
        <w:pStyle w:val="ListParagraph"/>
        <w:numPr>
          <w:ilvl w:val="4"/>
          <w:numId w:val="25"/>
        </w:numPr>
        <w:tabs>
          <w:tab w:pos="1078" w:val="left" w:leader="none"/>
        </w:tabs>
        <w:spacing w:line="240" w:lineRule="auto" w:before="134" w:after="0"/>
        <w:ind w:left="160" w:right="174" w:firstLine="626"/>
        <w:jc w:val="both"/>
        <w:rPr>
          <w:rFonts w:ascii="Times New Roman" w:hAnsi="Times New Roman" w:cs="Times New Roman" w:eastAsia="Times New Roman" w:hint="default"/>
          <w:sz w:val="24"/>
          <w:szCs w:val="24"/>
        </w:rPr>
      </w:pPr>
      <w:r>
        <w:rPr>
          <w:rFonts w:ascii="Times New Roman" w:hAnsi="Times New Roman"/>
          <w:b/>
          <w:sz w:val="24"/>
        </w:rPr>
        <w:t>Градско јавно правобранилаштво </w:t>
      </w:r>
      <w:r>
        <w:rPr>
          <w:rFonts w:ascii="Times New Roman" w:hAnsi="Times New Roman"/>
          <w:b/>
          <w:sz w:val="24"/>
        </w:rPr>
        <w:t>- </w:t>
      </w:r>
      <w:r>
        <w:rPr>
          <w:rFonts w:ascii="Times New Roman" w:hAnsi="Times New Roman"/>
          <w:sz w:val="24"/>
        </w:rPr>
        <w:t>Исказани су расходи у износу од 10.226 хиљада динара за плате, додатке и накнаде запослених (зараде) градског јавног правобраниоца, заменика градског јавног правобраниоца и запослених код градског јавног</w:t>
      </w:r>
      <w:r>
        <w:rPr>
          <w:rFonts w:ascii="Times New Roman" w:hAnsi="Times New Roman"/>
          <w:spacing w:val="-5"/>
          <w:sz w:val="24"/>
        </w:rPr>
        <w:t> </w:t>
      </w:r>
      <w:r>
        <w:rPr>
          <w:rFonts w:ascii="Times New Roman" w:hAnsi="Times New Roman"/>
          <w:sz w:val="24"/>
        </w:rPr>
        <w:t>правобраниоца.</w:t>
      </w:r>
    </w:p>
    <w:p>
      <w:pPr>
        <w:pStyle w:val="BodyText"/>
        <w:spacing w:line="240" w:lineRule="auto"/>
        <w:ind w:right="175" w:firstLine="566"/>
        <w:jc w:val="both"/>
      </w:pPr>
      <w:r>
        <w:rPr>
          <w:rFonts w:ascii="Times New Roman" w:hAnsi="Times New Roman"/>
          <w:b/>
        </w:rPr>
        <w:t>На основу ревизије узорковане документације утврђено је </w:t>
      </w:r>
      <w:r>
        <w:rPr/>
        <w:t>да је запосленима са средњом и нижом стручном спремом је исплаћена плата у већем износу за 169 хиљада динара, по основу Закључка Градског већа, којим је увећан коефицијенат запосленима по основу квалитета и резултата рада, што је супротно Закону о платама у државним органима  и  јавним  службама,  Уредби  о  коефицијентима  за  обрачун  и  исплату</w:t>
      </w:r>
      <w:r>
        <w:rPr>
          <w:spacing w:val="-10"/>
        </w:rPr>
        <w:t> </w:t>
      </w:r>
      <w:r>
        <w:rPr/>
        <w:t>плата</w:t>
      </w:r>
    </w:p>
    <w:p>
      <w:pPr>
        <w:spacing w:line="240" w:lineRule="auto" w:before="0"/>
        <w:rPr>
          <w:rFonts w:ascii="Times New Roman" w:hAnsi="Times New Roman" w:cs="Times New Roman" w:eastAsia="Times New Roman" w:hint="default"/>
          <w:sz w:val="20"/>
          <w:szCs w:val="20"/>
        </w:rPr>
      </w:pPr>
    </w:p>
    <w:p>
      <w:pPr>
        <w:spacing w:line="240" w:lineRule="auto" w:before="1"/>
        <w:rPr>
          <w:rFonts w:ascii="Times New Roman" w:hAnsi="Times New Roman" w:cs="Times New Roman" w:eastAsia="Times New Roman" w:hint="default"/>
          <w:sz w:val="14"/>
          <w:szCs w:val="14"/>
        </w:rPr>
      </w:pPr>
      <w:r>
        <w:rPr/>
        <w:pict>
          <v:group style="position:absolute;margin-left:78.024002pt;margin-top:9.365283pt;width:144.050pt;height:.1pt;mso-position-horizontal-relative:page;mso-position-vertical-relative:paragraph;z-index:1648;mso-wrap-distance-left:0;mso-wrap-distance-right:0" coordorigin="1560,187" coordsize="2881,2">
            <v:shape style="position:absolute;left:1560;top:187;width:2881;height:2" coordorigin="1560,187" coordsize="2881,0" path="m1560,187l4441,187e" filled="false" stroked="true" strokeweight=".599980pt" strokecolor="#000000">
              <v:path arrowok="t"/>
            </v:shape>
            <w10:wrap type="topAndBottom"/>
          </v:group>
        </w:pict>
      </w:r>
    </w:p>
    <w:p>
      <w:pPr>
        <w:spacing w:before="52"/>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52  </w:t>
      </w:r>
      <w:r>
        <w:rPr>
          <w:rFonts w:ascii="Times New Roman" w:hAnsi="Times New Roman" w:cs="Times New Roman" w:eastAsia="Times New Roman" w:hint="default"/>
          <w:sz w:val="16"/>
          <w:szCs w:val="16"/>
        </w:rPr>
        <w:t>„Службени лист града Ниша“ број</w:t>
      </w:r>
      <w:r>
        <w:rPr>
          <w:rFonts w:ascii="Times New Roman" w:hAnsi="Times New Roman" w:cs="Times New Roman" w:eastAsia="Times New Roman" w:hint="default"/>
          <w:spacing w:val="-26"/>
          <w:sz w:val="16"/>
          <w:szCs w:val="16"/>
        </w:rPr>
        <w:t> </w:t>
      </w:r>
      <w:r>
        <w:rPr>
          <w:rFonts w:ascii="Times New Roman" w:hAnsi="Times New Roman" w:cs="Times New Roman" w:eastAsia="Times New Roman" w:hint="default"/>
          <w:sz w:val="16"/>
          <w:szCs w:val="16"/>
        </w:rPr>
        <w:t>3/2008</w:t>
      </w:r>
    </w:p>
    <w:p>
      <w:pPr>
        <w:spacing w:after="0"/>
        <w:jc w:val="left"/>
        <w:rPr>
          <w:rFonts w:ascii="Times New Roman" w:hAnsi="Times New Roman" w:cs="Times New Roman" w:eastAsia="Times New Roman" w:hint="default"/>
          <w:sz w:val="16"/>
          <w:szCs w:val="16"/>
        </w:rPr>
        <w:sectPr>
          <w:pgSz w:w="12240" w:h="15840"/>
          <w:pgMar w:header="740" w:footer="1274" w:top="1280" w:bottom="1460" w:left="1400" w:right="1260"/>
        </w:sectPr>
      </w:pPr>
    </w:p>
    <w:p>
      <w:pPr>
        <w:pStyle w:val="BodyText"/>
        <w:spacing w:line="240" w:lineRule="auto" w:before="122"/>
        <w:ind w:right="177"/>
        <w:jc w:val="both"/>
      </w:pPr>
      <w:r>
        <w:rPr/>
        <w:t>именованих и постављених лица и запослених у државним органима и члану 56. Закона о буџетском систему. Истовремено, више су обрачунати и плаћени социјални доприноси  на терет послодавца који се евидентирају на групи 412000 у износу од 30 хиљада динара, па је укупно више исплаћено 199 хиљада</w:t>
      </w:r>
      <w:r>
        <w:rPr>
          <w:spacing w:val="-15"/>
        </w:rPr>
        <w:t> </w:t>
      </w:r>
      <w:r>
        <w:rPr/>
        <w:t>динара.</w:t>
      </w:r>
    </w:p>
    <w:p>
      <w:pPr>
        <w:pStyle w:val="Heading2"/>
        <w:spacing w:line="240" w:lineRule="auto"/>
        <w:ind w:right="187"/>
        <w:jc w:val="both"/>
        <w:rPr>
          <w:rFonts w:ascii="Calibri" w:hAnsi="Calibri" w:cs="Calibri" w:eastAsia="Calibri" w:hint="default"/>
          <w:b w:val="0"/>
          <w:bCs w:val="0"/>
          <w:i w:val="0"/>
          <w:sz w:val="22"/>
          <w:szCs w:val="22"/>
        </w:rPr>
      </w:pPr>
      <w:r>
        <w:rPr>
          <w:i/>
        </w:rPr>
        <w:t>Препоручује се одговорним лицима да обрачун и исплату плата врше у складу са прописима и да интерна акта ускладе са важећим</w:t>
      </w:r>
      <w:r>
        <w:rPr>
          <w:i/>
          <w:spacing w:val="-15"/>
        </w:rPr>
        <w:t> </w:t>
      </w:r>
      <w:r>
        <w:rPr>
          <w:i/>
        </w:rPr>
        <w:t>прописима</w:t>
      </w:r>
      <w:r>
        <w:rPr>
          <w:rFonts w:ascii="Calibri" w:hAnsi="Calibri"/>
          <w:i/>
          <w:sz w:val="22"/>
        </w:rPr>
        <w:t>.</w:t>
      </w:r>
      <w:r>
        <w:rPr>
          <w:rFonts w:ascii="Calibri" w:hAnsi="Calibri"/>
          <w:b w:val="0"/>
          <w:i w:val="0"/>
          <w:sz w:val="22"/>
        </w:rPr>
      </w:r>
    </w:p>
    <w:p>
      <w:pPr>
        <w:pStyle w:val="ListParagraph"/>
        <w:numPr>
          <w:ilvl w:val="4"/>
          <w:numId w:val="25"/>
        </w:numPr>
        <w:tabs>
          <w:tab w:pos="1003" w:val="left" w:leader="none"/>
        </w:tabs>
        <w:spacing w:line="240" w:lineRule="auto" w:before="132" w:after="0"/>
        <w:ind w:left="160" w:right="172"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 за образовање – </w:t>
      </w:r>
      <w:r>
        <w:rPr>
          <w:rFonts w:ascii="Times New Roman" w:hAnsi="Times New Roman" w:cs="Times New Roman" w:eastAsia="Times New Roman" w:hint="default"/>
          <w:sz w:val="24"/>
          <w:szCs w:val="24"/>
        </w:rPr>
        <w:t>Исказан је расход у износу од 538.955 хиљада динара, који се односи на ПУ Пчелица у износу од </w:t>
      </w:r>
      <w:r>
        <w:rPr>
          <w:rFonts w:ascii="Times New Roman" w:hAnsi="Times New Roman" w:cs="Times New Roman" w:eastAsia="Times New Roman" w:hint="default"/>
          <w:sz w:val="24"/>
          <w:szCs w:val="24"/>
        </w:rPr>
        <w:t>499.294 </w:t>
      </w:r>
      <w:r>
        <w:rPr>
          <w:rFonts w:ascii="Times New Roman" w:hAnsi="Times New Roman" w:cs="Times New Roman" w:eastAsia="Times New Roman" w:hint="default"/>
          <w:sz w:val="24"/>
          <w:szCs w:val="24"/>
        </w:rPr>
        <w:t>хиљаде динара, Дечији центар у износу од 28.625 хиљада динара и Регионални центар за професионални развој запослених у образовању у износу од 11.036 хиљада</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динара.</w:t>
      </w:r>
    </w:p>
    <w:p>
      <w:pPr>
        <w:pStyle w:val="Heading1"/>
        <w:spacing w:line="274" w:lineRule="exact"/>
        <w:ind w:right="141"/>
        <w:jc w:val="left"/>
        <w:rPr>
          <w:rFonts w:ascii="Times New Roman" w:hAnsi="Times New Roman" w:cs="Times New Roman" w:eastAsia="Times New Roman" w:hint="default"/>
          <w:b w:val="0"/>
          <w:bCs w:val="0"/>
        </w:rPr>
      </w:pPr>
      <w:r>
        <w:rPr/>
        <w:t>7а) Предшколска установа „Пчелица“ (у даљем тексту: ПУ</w:t>
      </w:r>
      <w:r>
        <w:rPr>
          <w:spacing w:val="-13"/>
        </w:rPr>
        <w:t> </w:t>
      </w:r>
      <w:r>
        <w:rPr/>
        <w:t>Пчелица</w:t>
      </w:r>
      <w:r>
        <w:rPr>
          <w:rFonts w:ascii="Times New Roman" w:hAnsi="Times New Roman" w:cs="Times New Roman" w:eastAsia="Times New Roman" w:hint="default"/>
        </w:rPr>
        <w:t>)</w:t>
      </w:r>
      <w:r>
        <w:rPr>
          <w:rFonts w:ascii="Times New Roman" w:hAnsi="Times New Roman" w:cs="Times New Roman" w:eastAsia="Times New Roman" w:hint="default"/>
          <w:b w:val="0"/>
          <w:bCs w:val="0"/>
        </w:rPr>
      </w:r>
    </w:p>
    <w:p>
      <w:pPr>
        <w:pStyle w:val="BodyText"/>
        <w:spacing w:line="240" w:lineRule="auto"/>
        <w:ind w:right="172" w:firstLine="566"/>
        <w:jc w:val="both"/>
      </w:pPr>
      <w:r>
        <w:rPr/>
        <w:t>Исказан је расход за плате, додатке и накнаде у укупном износу од </w:t>
      </w:r>
      <w:r>
        <w:rPr>
          <w:rFonts w:ascii="Times New Roman" w:hAnsi="Times New Roman"/>
        </w:rPr>
        <w:t>499.294 </w:t>
      </w:r>
      <w:r>
        <w:rPr/>
        <w:t>хиљад</w:t>
      </w:r>
      <w:r>
        <w:rPr>
          <w:rFonts w:ascii="Times New Roman" w:hAnsi="Times New Roman"/>
        </w:rPr>
        <w:t>e </w:t>
      </w:r>
      <w:r>
        <w:rPr/>
        <w:t>динара, и то износ од </w:t>
      </w:r>
      <w:r>
        <w:rPr>
          <w:rFonts w:ascii="Times New Roman" w:hAnsi="Times New Roman"/>
        </w:rPr>
        <w:t>390.356 </w:t>
      </w:r>
      <w:r>
        <w:rPr/>
        <w:t>хиљада динара из средстава буџета Града</w:t>
      </w:r>
      <w:r>
        <w:rPr>
          <w:rFonts w:ascii="Times New Roman" w:hAnsi="Times New Roman"/>
        </w:rPr>
        <w:t>, 15.732 </w:t>
      </w:r>
      <w:r>
        <w:rPr/>
        <w:t>хиљаде динара из буџета Републике и износ од </w:t>
      </w:r>
      <w:r>
        <w:rPr>
          <w:rFonts w:ascii="Times New Roman" w:hAnsi="Times New Roman"/>
        </w:rPr>
        <w:t>93.206 </w:t>
      </w:r>
      <w:r>
        <w:rPr/>
        <w:t>хиљада динара из осталих</w:t>
      </w:r>
      <w:r>
        <w:rPr>
          <w:spacing w:val="-23"/>
        </w:rPr>
        <w:t> </w:t>
      </w:r>
      <w:r>
        <w:rPr/>
        <w:t>средстава.</w:t>
      </w:r>
    </w:p>
    <w:p>
      <w:pPr>
        <w:pStyle w:val="BodyText"/>
        <w:spacing w:line="240" w:lineRule="auto"/>
        <w:ind w:right="179" w:firstLine="566"/>
        <w:jc w:val="both"/>
      </w:pPr>
      <w:r>
        <w:rPr/>
        <w:t>У ПУ Пчелица је</w:t>
      </w:r>
      <w:r>
        <w:rPr>
          <w:rFonts w:ascii="Times New Roman" w:hAnsi="Times New Roman"/>
        </w:rPr>
        <w:t>, </w:t>
      </w:r>
      <w:r>
        <w:rPr/>
        <w:t>на дан 31.12.2014. године</w:t>
      </w:r>
      <w:r>
        <w:rPr>
          <w:rFonts w:ascii="Times New Roman" w:hAnsi="Times New Roman"/>
        </w:rPr>
        <w:t>, </w:t>
      </w:r>
      <w:r>
        <w:rPr/>
        <w:t>било запослено 939 радника, од којих 816 на неодређено време и 123 на одређено</w:t>
      </w:r>
      <w:r>
        <w:rPr>
          <w:spacing w:val="-13"/>
        </w:rPr>
        <w:t> </w:t>
      </w:r>
      <w:r>
        <w:rPr/>
        <w:t>време.</w:t>
      </w:r>
    </w:p>
    <w:p>
      <w:pPr>
        <w:pStyle w:val="BodyText"/>
        <w:spacing w:line="240" w:lineRule="auto"/>
        <w:ind w:right="178" w:firstLine="566"/>
        <w:jc w:val="both"/>
      </w:pPr>
      <w:r>
        <w:rPr/>
        <w:t>У ПУ Пчелица обрачун и исплата плата, додатака и накнада запослених уређени су</w:t>
      </w:r>
      <w:r>
        <w:rPr>
          <w:rFonts w:ascii="Times New Roman" w:hAnsi="Times New Roman"/>
        </w:rPr>
        <w:t>: </w:t>
      </w:r>
      <w:r>
        <w:rPr/>
        <w:t>Решењем о одређивању плате број 1835 од 13.03.2013. године, Правилником о раду број </w:t>
      </w:r>
      <w:r>
        <w:rPr>
          <w:rFonts w:ascii="Times New Roman" w:hAnsi="Times New Roman"/>
        </w:rPr>
        <w:t>1348</w:t>
      </w:r>
      <w:r>
        <w:rPr/>
        <w:t>9 од 23.12.2013. године и Правилник о изменама и допунама Правилника о раду број 3439 од 28.04.2014. године и Правилником о награђивању број 1860 од 14.03.2013. године.</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41" w:val="left" w:leader="none"/>
        </w:tabs>
        <w:spacing w:line="240" w:lineRule="auto" w:before="0" w:after="0"/>
        <w:ind w:left="160" w:right="183"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Решење о одређивању плате број 1835 од 13.03.2013. године и Правилник о раду број 13489 од 23.12.2013. године нису усклађени у делу коефицијената за обрачун и исплату плата (на пример, решењем је предвиђен, за санитарног техничара у сектору „Младост“ коефицијент 13,42, док је наведеним правилником предвиђен коефицијент 11,15), као ни у делу предвиђених радних места (на пример, наведеним решењем није предвиђен коефицијент за васпитача са </w:t>
      </w:r>
      <w:r>
        <w:rPr>
          <w:rFonts w:ascii="Times New Roman" w:hAnsi="Times New Roman" w:cs="Times New Roman" w:eastAsia="Times New Roman" w:hint="default"/>
          <w:sz w:val="24"/>
          <w:szCs w:val="24"/>
        </w:rPr>
        <w:t>VII </w:t>
      </w:r>
      <w:r>
        <w:rPr>
          <w:rFonts w:ascii="Times New Roman" w:hAnsi="Times New Roman" w:cs="Times New Roman" w:eastAsia="Times New Roman" w:hint="default"/>
          <w:sz w:val="24"/>
          <w:szCs w:val="24"/>
        </w:rPr>
        <w:t>степеном стручне</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спреме).</w:t>
      </w:r>
    </w:p>
    <w:p>
      <w:pPr>
        <w:pStyle w:val="ListParagraph"/>
        <w:numPr>
          <w:ilvl w:val="0"/>
          <w:numId w:val="9"/>
        </w:numPr>
        <w:tabs>
          <w:tab w:pos="341"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Извршено је увећање плате у процентима Директору ПУ </w:t>
      </w:r>
      <w:r>
        <w:rPr>
          <w:rFonts w:ascii="Times New Roman" w:hAnsi="Times New Roman" w:cs="Times New Roman" w:eastAsia="Times New Roman" w:hint="default"/>
          <w:sz w:val="24"/>
          <w:szCs w:val="24"/>
        </w:rPr>
        <w:t>3</w:t>
      </w:r>
      <w:r>
        <w:rPr>
          <w:rFonts w:ascii="Times New Roman" w:hAnsi="Times New Roman" w:cs="Times New Roman" w:eastAsia="Times New Roman" w:hint="default"/>
          <w:sz w:val="24"/>
          <w:szCs w:val="24"/>
        </w:rPr>
        <w:t>0%, помоћнику директора за економско финансијске послове 14%, помоћнику директора за сектор „Вртићи“ 14%, помоћнику директора за сектор „Младост“ 14%, секретару установе 9% и другим запосленима. Запосленим лицима је по основу увећања плата исплаћено </w:t>
      </w:r>
      <w:r>
        <w:rPr>
          <w:rFonts w:ascii="Times New Roman" w:hAnsi="Times New Roman" w:cs="Times New Roman" w:eastAsia="Times New Roman" w:hint="default"/>
          <w:sz w:val="24"/>
          <w:szCs w:val="24"/>
        </w:rPr>
        <w:t>14.690 </w:t>
      </w:r>
      <w:r>
        <w:rPr>
          <w:rFonts w:ascii="Times New Roman" w:hAnsi="Times New Roman" w:cs="Times New Roman" w:eastAsia="Times New Roman" w:hint="default"/>
          <w:sz w:val="24"/>
          <w:szCs w:val="24"/>
        </w:rPr>
        <w:t>хиљада динара из осталих средстава. Истовремено, више су обрачунати и плаћени социјални доприноси на терет послодавца који се евидентирају на групи 412000 у износу од </w:t>
      </w:r>
      <w:r>
        <w:rPr>
          <w:rFonts w:ascii="Times New Roman" w:hAnsi="Times New Roman" w:cs="Times New Roman" w:eastAsia="Times New Roman" w:hint="default"/>
          <w:sz w:val="24"/>
          <w:szCs w:val="24"/>
        </w:rPr>
        <w:t>2.630 </w:t>
      </w:r>
      <w:r>
        <w:rPr>
          <w:rFonts w:ascii="Times New Roman" w:hAnsi="Times New Roman" w:cs="Times New Roman" w:eastAsia="Times New Roman" w:hint="default"/>
          <w:sz w:val="24"/>
          <w:szCs w:val="24"/>
        </w:rPr>
        <w:t>хиљада динара из осталих средстава, па је укупно више исплаћено </w:t>
      </w:r>
      <w:r>
        <w:rPr>
          <w:rFonts w:ascii="Times New Roman" w:hAnsi="Times New Roman" w:cs="Times New Roman" w:eastAsia="Times New Roman" w:hint="default"/>
          <w:sz w:val="24"/>
          <w:szCs w:val="24"/>
        </w:rPr>
        <w:t>17.320 </w:t>
      </w:r>
      <w:r>
        <w:rPr>
          <w:rFonts w:ascii="Times New Roman" w:hAnsi="Times New Roman" w:cs="Times New Roman" w:eastAsia="Times New Roman" w:hint="default"/>
          <w:sz w:val="24"/>
          <w:szCs w:val="24"/>
        </w:rPr>
        <w:t>хиљада динара из осталих средстава, што је супротно Уредби о коефицијентима за обрачун и исплату плата запослених у јавним службама и члану 56. Закона о буџетском</w:t>
      </w:r>
      <w:r>
        <w:rPr>
          <w:rFonts w:ascii="Times New Roman" w:hAnsi="Times New Roman" w:cs="Times New Roman" w:eastAsia="Times New Roman" w:hint="default"/>
          <w:spacing w:val="-29"/>
          <w:sz w:val="24"/>
          <w:szCs w:val="24"/>
        </w:rPr>
        <w:t> </w:t>
      </w:r>
      <w:r>
        <w:rPr>
          <w:rFonts w:ascii="Times New Roman" w:hAnsi="Times New Roman" w:cs="Times New Roman" w:eastAsia="Times New Roman" w:hint="default"/>
          <w:sz w:val="24"/>
          <w:szCs w:val="24"/>
        </w:rPr>
        <w:t>систему.</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Извршено је увећање плате у процентима директору 6% на име доктората, секретару  2% на име положеног правосудног испита, технологу 4% на име магистратуре, што је супротно члану 2. став 1. тачка 6б и члану 3* став 1. тачка 4а Уредбе о коефицијентима  за обрачун и исплату плата запослених у јавним службама. По овом основу, више су исплаћене плате у укупном износу од 102 хиљаде динара, чиме је поступљено и супротно члану 56. Закона о буџетском систему. У току поступка ревизије укинуто је увећање плата на име доктората, положеног правосудног испита и магистратуре почев од обрачуна плате за октобар 2015.</w:t>
      </w:r>
      <w:r>
        <w:rPr>
          <w:rFonts w:ascii="Times New Roman" w:hAnsi="Times New Roman"/>
          <w:spacing w:val="-7"/>
          <w:sz w:val="24"/>
        </w:rPr>
        <w:t> </w:t>
      </w:r>
      <w:r>
        <w:rPr>
          <w:rFonts w:ascii="Times New Roman" w:hAnsi="Times New Roman"/>
          <w:sz w:val="24"/>
        </w:rPr>
        <w:t>године.</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ListParagraph"/>
        <w:numPr>
          <w:ilvl w:val="0"/>
          <w:numId w:val="9"/>
        </w:numPr>
        <w:tabs>
          <w:tab w:pos="303" w:val="left" w:leader="none"/>
        </w:tabs>
        <w:spacing w:line="240" w:lineRule="auto" w:before="124"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Правилником о унутрашњој организацији и систематизацији радних места број 355/2 од 25.01.2007. године, на који је Градоначелник града Ниша дао сагласност Решењем број 1067 од 28.02.2007. године, предвиђено је радно место маркетинг менаџер, које није регулисано Законом о платама у државним органима и јавним службама и Уредбом о коефицијентима за обрачун и исплату плата запослених у јавним службама. Запосленом на радном месту маркетинг менаџер је, током 2014. године, обрачуната и исплаћена  плата применом коефицијента 17,32 са </w:t>
      </w:r>
      <w:r>
        <w:rPr>
          <w:rFonts w:ascii="Times New Roman" w:hAnsi="Times New Roman" w:cs="Times New Roman" w:eastAsia="Times New Roman" w:hint="default"/>
          <w:sz w:val="24"/>
          <w:szCs w:val="24"/>
        </w:rPr>
        <w:t>VII </w:t>
      </w:r>
      <w:r>
        <w:rPr>
          <w:rFonts w:ascii="Times New Roman" w:hAnsi="Times New Roman" w:cs="Times New Roman" w:eastAsia="Times New Roman" w:hint="default"/>
          <w:sz w:val="24"/>
          <w:szCs w:val="24"/>
        </w:rPr>
        <w:t>степеном стручне спреме, док је уговором о раду број 4306 од 20.06.2007. године одређено да запослени има право на плату која се утврђује према коефицијенту 15,28. Маркетинг менаџеру је у 2014. години исплаћена плата у износу од 813 хиљада динара, што је без основа који је у складу са законом, чиме је поступљено супротно члану 8. став 1. Закона о платама у државним органима и јавним службама, члану 2. став 1. тачка 6б Уредбе о коефицијентима за обрачун и исплату плата запослених у јавним службама и члану 56. Закона о буџетском систему. Истовремено, обрачунати су и плаћени социјални доприноси на терет послодавца који се евидентирају на групи 412000 у износу од 162 хиљаде динара, па је укупно исплаћено 975 хиљада динара без основа који је у складу са законом. Директор је донео Правилник о организацији и систематизацији послова у ПУ „Пчелица“ број 7556 од 20.11.2015. године којим се укида радно место маркетинг менаџер, а на који је Управни одбор ПУ Пчелица дао сагласност Одлуком број 7622 од 23.11.2015.</w:t>
      </w:r>
      <w:r>
        <w:rPr>
          <w:rFonts w:ascii="Times New Roman" w:hAnsi="Times New Roman" w:cs="Times New Roman" w:eastAsia="Times New Roman" w:hint="default"/>
          <w:spacing w:val="-4"/>
          <w:sz w:val="24"/>
          <w:szCs w:val="24"/>
        </w:rPr>
        <w:t> </w:t>
      </w:r>
      <w:r>
        <w:rPr>
          <w:rFonts w:ascii="Times New Roman" w:hAnsi="Times New Roman" w:cs="Times New Roman" w:eastAsia="Times New Roman" w:hint="default"/>
          <w:sz w:val="24"/>
          <w:szCs w:val="24"/>
        </w:rPr>
        <w:t>године.</w:t>
      </w:r>
    </w:p>
    <w:p>
      <w:pPr>
        <w:pStyle w:val="ListParagraph"/>
        <w:numPr>
          <w:ilvl w:val="0"/>
          <w:numId w:val="9"/>
        </w:numPr>
        <w:tabs>
          <w:tab w:pos="341" w:val="left" w:leader="none"/>
        </w:tabs>
        <w:spacing w:line="240" w:lineRule="auto" w:before="0" w:after="0"/>
        <w:ind w:left="160" w:right="175" w:firstLine="0"/>
        <w:jc w:val="both"/>
        <w:rPr>
          <w:rFonts w:ascii="Times New Roman" w:hAnsi="Times New Roman" w:cs="Times New Roman" w:eastAsia="Times New Roman" w:hint="default"/>
          <w:sz w:val="22"/>
          <w:szCs w:val="22"/>
        </w:rPr>
      </w:pPr>
      <w:r>
        <w:rPr>
          <w:rFonts w:ascii="Times New Roman" w:hAnsi="Times New Roman"/>
          <w:sz w:val="24"/>
        </w:rPr>
        <w:t>Увидом у евиденцију присуства на раду утврђено је да се радно време не поштује, односно да се у ПУ не ради пуних осам часова, као и да одређени запослени не уписују време доласка и одласка са посла, што је супротно члану 13. Правилника о раду и  </w:t>
      </w:r>
      <w:r>
        <w:rPr>
          <w:rFonts w:ascii="Times New Roman" w:hAnsi="Times New Roman"/>
          <w:spacing w:val="39"/>
          <w:sz w:val="24"/>
        </w:rPr>
        <w:t> </w:t>
      </w:r>
      <w:r>
        <w:rPr>
          <w:rFonts w:ascii="Times New Roman" w:hAnsi="Times New Roman"/>
          <w:sz w:val="24"/>
        </w:rPr>
        <w:t>члану</w:t>
      </w:r>
    </w:p>
    <w:p>
      <w:pPr>
        <w:pStyle w:val="BodyText"/>
        <w:spacing w:line="240" w:lineRule="auto"/>
        <w:ind w:right="0"/>
        <w:jc w:val="both"/>
      </w:pPr>
      <w:r>
        <w:rPr/>
        <w:t>104. Закона о</w:t>
      </w:r>
      <w:r>
        <w:rPr>
          <w:spacing w:val="-7"/>
        </w:rPr>
        <w:t> </w:t>
      </w:r>
      <w:r>
        <w:rPr/>
        <w:t>раду.</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Коефицијенти из појединих уговора о раду нису усклађени са коефицијентима по којима су стварно исплаћиване зараде, на пример Уговором број 4306 од 20.06.2007. године за маркетинг менаџера утврђен је коефицијент за исплату плата 15,28, док је зарада исплаћивана по коефицијенту 17,32; Уговором број 1640 од 20.03.2007. године за руководиоца производње утврђен је коефицијент 15,28 са увећањем од 5% што је укупно 16,044, док је зарада исплаћивана по коефицијенту 18,013,</w:t>
      </w:r>
      <w:r>
        <w:rPr>
          <w:rFonts w:ascii="Times New Roman" w:hAnsi="Times New Roman"/>
          <w:spacing w:val="-12"/>
          <w:sz w:val="24"/>
        </w:rPr>
        <w:t> </w:t>
      </w:r>
      <w:r>
        <w:rPr>
          <w:rFonts w:ascii="Times New Roman" w:hAnsi="Times New Roman"/>
          <w:sz w:val="24"/>
        </w:rPr>
        <w:t>итд.</w:t>
      </w:r>
    </w:p>
    <w:p>
      <w:pPr>
        <w:pStyle w:val="ListParagraph"/>
        <w:numPr>
          <w:ilvl w:val="0"/>
          <w:numId w:val="9"/>
        </w:numPr>
        <w:tabs>
          <w:tab w:pos="341"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Накнада зараде за годишњи одмор за месец јануар обрачуната је и исплаћена као да је запослени радио, а не у висини просечне зараде у претходна три месеца, што је супротно члану 114. Закона о раду. За исплате накнаде зараде за годишњи одмор током осталих месеци обрачунавана је и исплаћивана накнада у висини просечне зараде у претходна три, односно 12</w:t>
      </w:r>
      <w:r>
        <w:rPr>
          <w:rFonts w:ascii="Times New Roman" w:hAnsi="Times New Roman"/>
          <w:spacing w:val="-6"/>
          <w:sz w:val="24"/>
        </w:rPr>
        <w:t> </w:t>
      </w:r>
      <w:r>
        <w:rPr>
          <w:rFonts w:ascii="Times New Roman" w:hAnsi="Times New Roman"/>
          <w:sz w:val="24"/>
        </w:rPr>
        <w:t>месеци.</w:t>
      </w:r>
    </w:p>
    <w:p>
      <w:pPr>
        <w:pStyle w:val="ListParagraph"/>
        <w:numPr>
          <w:ilvl w:val="0"/>
          <w:numId w:val="9"/>
        </w:numPr>
        <w:tabs>
          <w:tab w:pos="303" w:val="left" w:leader="none"/>
        </w:tabs>
        <w:spacing w:line="275" w:lineRule="exact" w:before="2"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ПУ Пчелица Ниш нема запослене особе са инвалидитетом, што је супротно члану 24. </w:t>
      </w:r>
      <w:r>
        <w:rPr>
          <w:rFonts w:ascii="Times New Roman" w:hAnsi="Times New Roman"/>
          <w:spacing w:val="46"/>
          <w:sz w:val="24"/>
        </w:rPr>
        <w:t> </w:t>
      </w:r>
      <w:r>
        <w:rPr>
          <w:rFonts w:ascii="Times New Roman" w:hAnsi="Times New Roman"/>
          <w:sz w:val="24"/>
        </w:rPr>
        <w:t>и</w:t>
      </w:r>
    </w:p>
    <w:p>
      <w:pPr>
        <w:pStyle w:val="BodyText"/>
        <w:spacing w:line="292" w:lineRule="exact"/>
        <w:ind w:right="0"/>
        <w:jc w:val="both"/>
        <w:rPr>
          <w:rFonts w:ascii="Times New Roman" w:hAnsi="Times New Roman" w:cs="Times New Roman" w:eastAsia="Times New Roman" w:hint="default"/>
        </w:rPr>
      </w:pPr>
      <w:r>
        <w:rPr>
          <w:rFonts w:ascii="Times New Roman" w:hAnsi="Times New Roman"/>
        </w:rPr>
        <w:t>26. </w:t>
      </w:r>
      <w:r>
        <w:rPr/>
        <w:t>Закона о професионалној рехабилитацији и запошљавању особа са</w:t>
      </w:r>
      <w:r>
        <w:rPr>
          <w:spacing w:val="-17"/>
        </w:rPr>
        <w:t> </w:t>
      </w:r>
      <w:r>
        <w:rPr/>
        <w:t>инвалидитетом</w:t>
      </w:r>
      <w:r>
        <w:rPr>
          <w:rFonts w:ascii="Times New Roman" w:hAnsi="Times New Roman"/>
          <w:position w:val="11"/>
          <w:sz w:val="16"/>
        </w:rPr>
        <w:t>53</w:t>
      </w:r>
      <w:r>
        <w:rPr>
          <w:rFonts w:ascii="Times New Roman" w:hAnsi="Times New Roman"/>
        </w:rPr>
        <w:t>.</w:t>
      </w:r>
    </w:p>
    <w:p>
      <w:pPr>
        <w:pStyle w:val="Heading2"/>
        <w:spacing w:line="240" w:lineRule="auto"/>
        <w:ind w:right="174"/>
        <w:jc w:val="both"/>
        <w:rPr>
          <w:rFonts w:ascii="Times New Roman" w:hAnsi="Times New Roman" w:cs="Times New Roman" w:eastAsia="Times New Roman" w:hint="default"/>
          <w:b w:val="0"/>
          <w:bCs w:val="0"/>
          <w:i w:val="0"/>
        </w:rPr>
      </w:pPr>
      <w:r>
        <w:rPr>
          <w:i/>
        </w:rPr>
        <w:t>Препоручује се одговорним лицима да обрачун и исплату плата и социјалних доприноса врше у складу са важећим прописима; ускладе интерна акта за плате; поштују радно време; ускладе коефицијенте из уговора о раду са коефицијентима по којима су стварно исплаћиване плате; заснивају радни однос за радна места предвиђена законом и примењују одредбе Закона о професионалној рехабилитацији и запошљавању особа са</w:t>
      </w:r>
      <w:r>
        <w:rPr>
          <w:i/>
          <w:spacing w:val="-6"/>
        </w:rPr>
        <w:t> </w:t>
      </w:r>
      <w:r>
        <w:rPr>
          <w:i/>
        </w:rPr>
        <w:t>инвалидитетом</w:t>
      </w:r>
      <w:r>
        <w:rPr>
          <w:rFonts w:ascii="Times New Roman" w:hAnsi="Times New Roman"/>
          <w:i/>
        </w:rPr>
        <w:t>.</w:t>
      </w:r>
      <w:r>
        <w:rPr>
          <w:rFonts w:ascii="Times New Roman" w:hAnsi="Times New Roman"/>
          <w:b w:val="0"/>
          <w:i w:val="0"/>
        </w:rPr>
      </w:r>
    </w:p>
    <w:p>
      <w:pPr>
        <w:pStyle w:val="ListParagraph"/>
        <w:numPr>
          <w:ilvl w:val="4"/>
          <w:numId w:val="25"/>
        </w:numPr>
        <w:tabs>
          <w:tab w:pos="986" w:val="left" w:leader="none"/>
        </w:tabs>
        <w:spacing w:line="240" w:lineRule="auto" w:before="135" w:after="0"/>
        <w:ind w:left="160" w:right="208"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 за комуналну делатност, енергетику и саобраћај – </w:t>
      </w:r>
      <w:r>
        <w:rPr>
          <w:rFonts w:ascii="Times New Roman" w:hAnsi="Times New Roman" w:cs="Times New Roman" w:eastAsia="Times New Roman" w:hint="default"/>
          <w:sz w:val="24"/>
          <w:szCs w:val="24"/>
        </w:rPr>
        <w:t>Исказан је расход у износу од 111.707 хиљада динара који се у целости односи на индиректног</w:t>
      </w:r>
      <w:r>
        <w:rPr>
          <w:rFonts w:ascii="Times New Roman" w:hAnsi="Times New Roman" w:cs="Times New Roman" w:eastAsia="Times New Roman" w:hint="default"/>
          <w:spacing w:val="-33"/>
          <w:sz w:val="24"/>
          <w:szCs w:val="24"/>
        </w:rPr>
        <w:t> </w:t>
      </w:r>
      <w:r>
        <w:rPr>
          <w:rFonts w:ascii="Times New Roman" w:hAnsi="Times New Roman" w:cs="Times New Roman" w:eastAsia="Times New Roman" w:hint="default"/>
          <w:sz w:val="24"/>
          <w:szCs w:val="24"/>
        </w:rPr>
        <w:t>корисника.</w:t>
      </w:r>
    </w:p>
    <w:p>
      <w:pPr>
        <w:spacing w:line="240" w:lineRule="auto" w:before="7"/>
        <w:rPr>
          <w:rFonts w:ascii="Times New Roman" w:hAnsi="Times New Roman" w:cs="Times New Roman" w:eastAsia="Times New Roman" w:hint="default"/>
          <w:sz w:val="21"/>
          <w:szCs w:val="21"/>
        </w:rPr>
      </w:pPr>
      <w:r>
        <w:rPr/>
        <w:pict>
          <v:group style="position:absolute;margin-left:78.024002pt;margin-top:13.66431pt;width:144.050pt;height:.1pt;mso-position-horizontal-relative:page;mso-position-vertical-relative:paragraph;z-index:1672;mso-wrap-distance-left:0;mso-wrap-distance-right:0" coordorigin="1560,273" coordsize="2881,2">
            <v:shape style="position:absolute;left:1560;top:273;width:2881;height:2" coordorigin="1560,273" coordsize="2881,0" path="m1560,273l4441,273e" filled="false" stroked="true" strokeweight=".599980pt" strokecolor="#000000">
              <v:path arrowok="t"/>
            </v:shape>
            <w10:wrap type="topAndBottom"/>
          </v:group>
        </w:pict>
      </w:r>
    </w:p>
    <w:p>
      <w:pPr>
        <w:spacing w:before="52"/>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53 </w:t>
      </w:r>
      <w:r>
        <w:rPr>
          <w:rFonts w:ascii="Times New Roman" w:hAnsi="Times New Roman" w:cs="Times New Roman" w:eastAsia="Times New Roman" w:hint="default"/>
          <w:sz w:val="16"/>
          <w:szCs w:val="16"/>
        </w:rPr>
        <w:t>„Службени гласник Републике Србије“ број 36/2009 и</w:t>
      </w:r>
      <w:r>
        <w:rPr>
          <w:rFonts w:ascii="Times New Roman" w:hAnsi="Times New Roman" w:cs="Times New Roman" w:eastAsia="Times New Roman" w:hint="default"/>
          <w:spacing w:val="-12"/>
          <w:sz w:val="16"/>
          <w:szCs w:val="16"/>
        </w:rPr>
        <w:t> </w:t>
      </w:r>
      <w:r>
        <w:rPr>
          <w:rFonts w:ascii="Times New Roman" w:hAnsi="Times New Roman" w:cs="Times New Roman" w:eastAsia="Times New Roman" w:hint="default"/>
          <w:sz w:val="16"/>
          <w:szCs w:val="16"/>
        </w:rPr>
        <w:t>32/2013</w:t>
      </w:r>
    </w:p>
    <w:p>
      <w:pPr>
        <w:spacing w:after="0"/>
        <w:jc w:val="left"/>
        <w:rPr>
          <w:rFonts w:ascii="Times New Roman" w:hAnsi="Times New Roman" w:cs="Times New Roman" w:eastAsia="Times New Roman" w:hint="default"/>
          <w:sz w:val="16"/>
          <w:szCs w:val="16"/>
        </w:rPr>
        <w:sectPr>
          <w:pgSz w:w="12240" w:h="15840"/>
          <w:pgMar w:header="740" w:footer="1274" w:top="1280" w:bottom="1460" w:left="1400" w:right="1260"/>
        </w:sectPr>
      </w:pPr>
    </w:p>
    <w:p>
      <w:pPr>
        <w:spacing w:line="237" w:lineRule="auto" w:before="129"/>
        <w:ind w:left="160" w:right="174" w:firstLine="566"/>
        <w:jc w:val="both"/>
        <w:rPr>
          <w:rFonts w:ascii="Times New Roman" w:hAnsi="Times New Roman" w:cs="Times New Roman" w:eastAsia="Times New Roman" w:hint="default"/>
          <w:sz w:val="24"/>
          <w:szCs w:val="24"/>
        </w:rPr>
      </w:pPr>
      <w:r>
        <w:rPr>
          <w:rFonts w:ascii="Times New Roman" w:hAnsi="Times New Roman"/>
          <w:b/>
          <w:sz w:val="24"/>
        </w:rPr>
        <w:t>8а) ЈП Дирекција за изградњу града Ниша (у даљем тексту: ЈП Дирекција)</w:t>
      </w:r>
      <w:r>
        <w:rPr>
          <w:rFonts w:ascii="Times New Roman" w:hAnsi="Times New Roman"/>
          <w:b/>
          <w:sz w:val="24"/>
        </w:rPr>
        <w:t>- </w:t>
      </w:r>
      <w:r>
        <w:rPr>
          <w:rFonts w:ascii="Times New Roman" w:hAnsi="Times New Roman"/>
          <w:sz w:val="24"/>
        </w:rPr>
        <w:t>Исказани су расходи за плате запослених у износу од </w:t>
      </w:r>
      <w:r>
        <w:rPr>
          <w:rFonts w:ascii="Times New Roman" w:hAnsi="Times New Roman"/>
          <w:sz w:val="24"/>
        </w:rPr>
        <w:t>111.707 </w:t>
      </w:r>
      <w:r>
        <w:rPr>
          <w:rFonts w:ascii="Times New Roman" w:hAnsi="Times New Roman"/>
          <w:sz w:val="24"/>
        </w:rPr>
        <w:t>хиљада динара на терет буџета</w:t>
      </w:r>
      <w:r>
        <w:rPr>
          <w:rFonts w:ascii="Times New Roman" w:hAnsi="Times New Roman"/>
          <w:spacing w:val="-7"/>
          <w:sz w:val="24"/>
        </w:rPr>
        <w:t> </w:t>
      </w:r>
      <w:r>
        <w:rPr>
          <w:rFonts w:ascii="Times New Roman" w:hAnsi="Times New Roman"/>
          <w:sz w:val="24"/>
        </w:rPr>
        <w:t>Града.</w:t>
      </w:r>
    </w:p>
    <w:p>
      <w:pPr>
        <w:pStyle w:val="BodyText"/>
        <w:spacing w:line="240" w:lineRule="auto"/>
        <w:ind w:right="175" w:firstLine="561"/>
        <w:jc w:val="both"/>
        <w:rPr>
          <w:rFonts w:ascii="Times New Roman" w:hAnsi="Times New Roman" w:cs="Times New Roman" w:eastAsia="Times New Roman" w:hint="default"/>
        </w:rPr>
      </w:pPr>
      <w:r>
        <w:rPr/>
        <w:t>На дан 31.12.201</w:t>
      </w:r>
      <w:r>
        <w:rPr>
          <w:rFonts w:ascii="Times New Roman" w:hAnsi="Times New Roman"/>
        </w:rPr>
        <w:t>4</w:t>
      </w:r>
      <w:r>
        <w:rPr/>
        <w:t>. године у ЈП Дирекција је било запослено </w:t>
      </w:r>
      <w:r>
        <w:rPr>
          <w:rFonts w:ascii="Times New Roman" w:hAnsi="Times New Roman"/>
        </w:rPr>
        <w:t>137 </w:t>
      </w:r>
      <w:r>
        <w:rPr/>
        <w:t>запослених  и то </w:t>
      </w:r>
      <w:r>
        <w:rPr>
          <w:rFonts w:ascii="Times New Roman" w:hAnsi="Times New Roman"/>
        </w:rPr>
        <w:t>136 </w:t>
      </w:r>
      <w:r>
        <w:rPr/>
        <w:t>запослених на неодређено време и један запослени на одређено</w:t>
      </w:r>
      <w:r>
        <w:rPr>
          <w:spacing w:val="-18"/>
        </w:rPr>
        <w:t> </w:t>
      </w:r>
      <w:r>
        <w:rPr/>
        <w:t>време</w:t>
      </w:r>
      <w:r>
        <w:rPr>
          <w:rFonts w:ascii="Times New Roman" w:hAnsi="Times New Roman"/>
        </w:rPr>
        <w:t>.</w:t>
      </w:r>
    </w:p>
    <w:p>
      <w:pPr>
        <w:pStyle w:val="BodyText"/>
        <w:spacing w:line="240" w:lineRule="auto"/>
        <w:ind w:right="174" w:firstLine="566"/>
        <w:jc w:val="both"/>
        <w:rPr>
          <w:rFonts w:ascii="Times New Roman" w:hAnsi="Times New Roman" w:cs="Times New Roman" w:eastAsia="Times New Roman" w:hint="default"/>
        </w:rPr>
      </w:pPr>
      <w:r>
        <w:rPr/>
        <w:t>Права из радног односа запослених у 2014. години била су уређена Појединачним колективним уговором ЈП Дирекција за изградњу града Ниша број 05</w:t>
      </w:r>
      <w:r>
        <w:rPr>
          <w:rFonts w:ascii="Times New Roman" w:hAnsi="Times New Roman"/>
        </w:rPr>
        <w:t>-</w:t>
      </w:r>
      <w:r>
        <w:rPr/>
        <w:t>3085 од 12.05.2011. године, који је закључен на период од три године и Посебним колективним уговором за јавна и јавна комунална предузећа чији је оснивач град Ниш закљученог дана 17.06.2014. године, са применом од 07.07.2014.</w:t>
      </w:r>
      <w:r>
        <w:rPr>
          <w:spacing w:val="-3"/>
        </w:rPr>
        <w:t> </w:t>
      </w:r>
      <w:r>
        <w:rPr/>
        <w:t>године</w:t>
      </w:r>
      <w:r>
        <w:rPr>
          <w:rFonts w:ascii="Times New Roman" w:hAnsi="Times New Roman"/>
        </w:rPr>
        <w:t>.</w:t>
      </w:r>
    </w:p>
    <w:p>
      <w:pPr>
        <w:pStyle w:val="Heading1"/>
        <w:spacing w:line="275" w:lineRule="exact"/>
        <w:ind w:right="141"/>
        <w:jc w:val="left"/>
        <w:rPr>
          <w:b w:val="0"/>
          <w:bCs w:val="0"/>
        </w:rPr>
      </w:pPr>
      <w:r>
        <w:rPr/>
        <w:t>На основу ревизије узоркованe документације утврђено</w:t>
      </w:r>
      <w:r>
        <w:rPr>
          <w:spacing w:val="-13"/>
        </w:rPr>
        <w:t> </w:t>
      </w:r>
      <w:r>
        <w:rPr/>
        <w:t>је:</w:t>
      </w:r>
      <w:r>
        <w:rPr>
          <w:b w:val="0"/>
        </w:rPr>
      </w:r>
    </w:p>
    <w:p>
      <w:pPr>
        <w:pStyle w:val="ListParagraph"/>
        <w:numPr>
          <w:ilvl w:val="0"/>
          <w:numId w:val="9"/>
        </w:numPr>
        <w:tabs>
          <w:tab w:pos="341" w:val="left" w:leader="none"/>
        </w:tabs>
        <w:spacing w:line="237" w:lineRule="auto" w:before="1"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Надзорни одбор ЈП Дирекција је закључио Уговор о раду са именованим директором, дана 15.10.2013. године, одредио му коефицијент 8, а наведени коефицијент за директора предузећа није регулисан интерним актом ЈП</w:t>
      </w:r>
      <w:r>
        <w:rPr>
          <w:rFonts w:ascii="Times New Roman" w:hAnsi="Times New Roman"/>
          <w:spacing w:val="-14"/>
          <w:sz w:val="24"/>
        </w:rPr>
        <w:t> </w:t>
      </w:r>
      <w:r>
        <w:rPr>
          <w:rFonts w:ascii="Times New Roman" w:hAnsi="Times New Roman"/>
          <w:sz w:val="24"/>
        </w:rPr>
        <w:t>Дирекција</w:t>
      </w:r>
      <w:r>
        <w:rPr>
          <w:rFonts w:ascii="Times New Roman" w:hAnsi="Times New Roman"/>
          <w:sz w:val="24"/>
        </w:rPr>
        <w:t>.</w:t>
      </w:r>
    </w:p>
    <w:p>
      <w:pPr>
        <w:pStyle w:val="ListParagraph"/>
        <w:numPr>
          <w:ilvl w:val="0"/>
          <w:numId w:val="9"/>
        </w:numPr>
        <w:tabs>
          <w:tab w:pos="341" w:val="left" w:leader="none"/>
        </w:tabs>
        <w:spacing w:line="237" w:lineRule="auto" w:before="5"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ЈП Дирекција је 31.12.2014. године запослила једно лице на одређено време, без сагласности Градоначелника, што је супротно члану </w:t>
      </w:r>
      <w:r>
        <w:rPr>
          <w:rFonts w:ascii="Times New Roman" w:hAnsi="Times New Roman"/>
          <w:sz w:val="24"/>
        </w:rPr>
        <w:t>38</w:t>
      </w:r>
      <w:r>
        <w:rPr>
          <w:rFonts w:ascii="Times New Roman" w:hAnsi="Times New Roman"/>
          <w:sz w:val="24"/>
        </w:rPr>
        <w:t>. Одлуке о буџету града Ниша за 2014.</w:t>
      </w:r>
      <w:r>
        <w:rPr>
          <w:rFonts w:ascii="Times New Roman" w:hAnsi="Times New Roman"/>
          <w:spacing w:val="-5"/>
          <w:sz w:val="24"/>
        </w:rPr>
        <w:t> </w:t>
      </w:r>
      <w:r>
        <w:rPr>
          <w:rFonts w:ascii="Times New Roman" w:hAnsi="Times New Roman"/>
          <w:sz w:val="24"/>
        </w:rPr>
        <w:t>годину.</w:t>
      </w:r>
    </w:p>
    <w:p>
      <w:pPr>
        <w:pStyle w:val="ListParagraph"/>
        <w:numPr>
          <w:ilvl w:val="0"/>
          <w:numId w:val="9"/>
        </w:numPr>
        <w:tabs>
          <w:tab w:pos="341" w:val="left" w:leader="none"/>
        </w:tabs>
        <w:spacing w:line="237" w:lineRule="auto" w:before="5"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ЈП Дирекција у 2014. години није имала запослене особе са инвалидитетом у складу са законом, што је супротно члану 24. и 2</w:t>
      </w:r>
      <w:r>
        <w:rPr>
          <w:rFonts w:ascii="Times New Roman" w:hAnsi="Times New Roman"/>
          <w:sz w:val="24"/>
        </w:rPr>
        <w:t>6</w:t>
      </w:r>
      <w:r>
        <w:rPr>
          <w:rFonts w:ascii="Times New Roman" w:hAnsi="Times New Roman"/>
          <w:sz w:val="24"/>
        </w:rPr>
        <w:t>. Закона о професионалној рехабилитацији и запошљавању особа са</w:t>
      </w:r>
      <w:r>
        <w:rPr>
          <w:rFonts w:ascii="Times New Roman" w:hAnsi="Times New Roman"/>
          <w:spacing w:val="-10"/>
          <w:sz w:val="24"/>
        </w:rPr>
        <w:t> </w:t>
      </w:r>
      <w:r>
        <w:rPr>
          <w:rFonts w:ascii="Times New Roman" w:hAnsi="Times New Roman"/>
          <w:sz w:val="24"/>
        </w:rPr>
        <w:t>инвалидитетом.</w:t>
      </w:r>
    </w:p>
    <w:p>
      <w:pPr>
        <w:pStyle w:val="ListParagraph"/>
        <w:numPr>
          <w:ilvl w:val="0"/>
          <w:numId w:val="9"/>
        </w:numPr>
        <w:tabs>
          <w:tab w:pos="341"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По основу минулог рада исплаћена је 631 хиљада динара више за плате, додатке и накнаде запослених </w:t>
      </w:r>
      <w:r>
        <w:rPr>
          <w:rFonts w:ascii="Times New Roman" w:hAnsi="Times New Roman"/>
          <w:sz w:val="24"/>
        </w:rPr>
        <w:t>- </w:t>
      </w:r>
      <w:r>
        <w:rPr>
          <w:rFonts w:ascii="Times New Roman" w:hAnsi="Times New Roman"/>
          <w:sz w:val="24"/>
        </w:rPr>
        <w:t>група 411000 и у износу од 113 хиљада динара за социјалне доприносе на терет послодавца </w:t>
      </w:r>
      <w:r>
        <w:rPr>
          <w:rFonts w:ascii="Times New Roman" w:hAnsi="Times New Roman"/>
          <w:sz w:val="24"/>
        </w:rPr>
        <w:t>- </w:t>
      </w:r>
      <w:r>
        <w:rPr>
          <w:rFonts w:ascii="Times New Roman" w:hAnsi="Times New Roman"/>
          <w:sz w:val="24"/>
        </w:rPr>
        <w:t>група 412000, јер минули рад није обрачунат у складу са законом, односно за време проведено само код послодавца, већ је признато укупно радно време код свих послодаваца од момента заснивања радног односа, што је супротно</w:t>
      </w:r>
      <w:r>
        <w:rPr>
          <w:rFonts w:ascii="Times New Roman" w:hAnsi="Times New Roman"/>
          <w:spacing w:val="27"/>
          <w:sz w:val="24"/>
        </w:rPr>
        <w:t> </w:t>
      </w:r>
      <w:r>
        <w:rPr>
          <w:rFonts w:ascii="Times New Roman" w:hAnsi="Times New Roman"/>
          <w:sz w:val="24"/>
        </w:rPr>
        <w:t>члану</w:t>
      </w:r>
    </w:p>
    <w:p>
      <w:pPr>
        <w:pStyle w:val="BodyText"/>
        <w:spacing w:line="240" w:lineRule="auto"/>
        <w:ind w:right="0"/>
        <w:jc w:val="both"/>
        <w:rPr>
          <w:rFonts w:ascii="Times New Roman" w:hAnsi="Times New Roman" w:cs="Times New Roman" w:eastAsia="Times New Roman" w:hint="default"/>
        </w:rPr>
      </w:pPr>
      <w:r>
        <w:rPr/>
        <w:t>108. Закона о раду и члану 56. Закона о буџетском</w:t>
      </w:r>
      <w:r>
        <w:rPr>
          <w:spacing w:val="-15"/>
        </w:rPr>
        <w:t> </w:t>
      </w:r>
      <w:r>
        <w:rPr/>
        <w:t>систему</w:t>
      </w:r>
      <w:r>
        <w:rPr>
          <w:rFonts w:ascii="Times New Roman" w:hAnsi="Times New Roman"/>
        </w:rPr>
        <w:t>.</w:t>
      </w:r>
    </w:p>
    <w:p>
      <w:pPr>
        <w:pStyle w:val="ListParagraph"/>
        <w:numPr>
          <w:ilvl w:val="0"/>
          <w:numId w:val="9"/>
        </w:numPr>
        <w:tabs>
          <w:tab w:pos="348"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Појединим запосленим лицима је по основу неправилно утврђених коефицијената исплаћена плата у већем износу за 67 хиљада динара, што је супротно члану 12.  Посебног колективног уговора за јавна и јавна комунална предузећа чији је оснивач град Ниш и члану 56. Закона о буџетском систему. Истовремено, више су обрачунати и плаћени социјални доприноси на терет послодавца који се евидентирају на групи 412000 у износу од 12 хиљада динара, па је укупно више исплаћено 79 хиљада</w:t>
      </w:r>
      <w:r>
        <w:rPr>
          <w:rFonts w:ascii="Times New Roman" w:hAnsi="Times New Roman"/>
          <w:spacing w:val="-23"/>
          <w:sz w:val="24"/>
        </w:rPr>
        <w:t> </w:t>
      </w:r>
      <w:r>
        <w:rPr>
          <w:rFonts w:ascii="Times New Roman" w:hAnsi="Times New Roman"/>
          <w:sz w:val="24"/>
        </w:rPr>
        <w:t>динара.</w:t>
      </w:r>
    </w:p>
    <w:p>
      <w:pPr>
        <w:pStyle w:val="ListParagraph"/>
        <w:numPr>
          <w:ilvl w:val="0"/>
          <w:numId w:val="9"/>
        </w:numPr>
        <w:tabs>
          <w:tab w:pos="303" w:val="left" w:leader="none"/>
        </w:tabs>
        <w:spacing w:line="240" w:lineRule="auto" w:before="2"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Уговор о раду не садржи новчани износ основне зараде на дан закључења уговора о раду, што је супротно члану 33. Закона о раду и члану 14. Посебног колективног уговора за јавна и јавна комунална предузећа чији је оснивач град</w:t>
      </w:r>
      <w:r>
        <w:rPr>
          <w:rFonts w:ascii="Times New Roman" w:hAnsi="Times New Roman"/>
          <w:spacing w:val="-20"/>
          <w:sz w:val="24"/>
        </w:rPr>
        <w:t> </w:t>
      </w:r>
      <w:r>
        <w:rPr>
          <w:rFonts w:ascii="Times New Roman" w:hAnsi="Times New Roman"/>
          <w:sz w:val="24"/>
        </w:rPr>
        <w:t>Ниш.</w:t>
      </w:r>
    </w:p>
    <w:p>
      <w:pPr>
        <w:pStyle w:val="ListParagraph"/>
        <w:numPr>
          <w:ilvl w:val="0"/>
          <w:numId w:val="9"/>
        </w:numPr>
        <w:tabs>
          <w:tab w:pos="303" w:val="left" w:leader="none"/>
        </w:tabs>
        <w:spacing w:line="240" w:lineRule="auto" w:before="2" w:after="0"/>
        <w:ind w:left="160" w:right="171" w:firstLine="0"/>
        <w:jc w:val="both"/>
        <w:rPr>
          <w:rFonts w:ascii="Times New Roman" w:hAnsi="Times New Roman" w:cs="Times New Roman" w:eastAsia="Times New Roman" w:hint="default"/>
          <w:sz w:val="24"/>
          <w:szCs w:val="24"/>
        </w:rPr>
      </w:pPr>
      <w:r>
        <w:rPr>
          <w:rFonts w:ascii="Times New Roman" w:hAnsi="Times New Roman"/>
          <w:sz w:val="24"/>
        </w:rPr>
        <w:t>Запосленима је, за топли оброк од јануара до јуна 2014. године, исплаћена плата у  већем износу за 1.775 хиљада динара, а мање исплаћена за регрес у износу од 350 хиљада динара, односно укупно је више исплаћена плата у износу од 1.425 хиљада динара, што је супротно члану 80. и 81. Појединачног колективног уговора ЈП Дирекција за изградњу и члану 56. Закона о буџетском систему. Истовремено, више су обрачунати и плаћени социјални доприноси на терет послодавца који се евидентирају на групи 412000 по основу топлог оброка у износу од 318 хиљада динара, а мање обрачунати и плаћени социјални доприноси на терет послодавца по основу регреса у износу од 63 хиљаде динара, односно исплаћено је више за 255 хиљада динара. Укупно је више исплаћено 1.680 хиљада</w:t>
      </w:r>
      <w:r>
        <w:rPr>
          <w:rFonts w:ascii="Times New Roman" w:hAnsi="Times New Roman"/>
          <w:spacing w:val="-3"/>
          <w:sz w:val="24"/>
        </w:rPr>
        <w:t> </w:t>
      </w:r>
      <w:r>
        <w:rPr>
          <w:rFonts w:ascii="Times New Roman" w:hAnsi="Times New Roman"/>
          <w:sz w:val="24"/>
        </w:rPr>
        <w:t>динара.</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ListParagraph"/>
        <w:numPr>
          <w:ilvl w:val="0"/>
          <w:numId w:val="9"/>
        </w:numPr>
        <w:tabs>
          <w:tab w:pos="303" w:val="left" w:leader="none"/>
        </w:tabs>
        <w:spacing w:line="240" w:lineRule="auto" w:before="124"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Посебним колективним уговором прописано је да запослени има право на накнаду зараде за време одсуствовања са посла у висини од 70% просечне зараде у претходна три месеца због болести или повреде на раду. Боловање је исплаћивано у висини од 85% просечне зараде, те је самим тим по овом основу исплаћено више у износу од 116 хиљада динара и више су обрачунати и плаћени социјални доприноси на терет послодавца који се</w:t>
      </w:r>
      <w:r>
        <w:rPr>
          <w:rFonts w:ascii="Times New Roman" w:hAnsi="Times New Roman"/>
          <w:spacing w:val="21"/>
          <w:sz w:val="24"/>
        </w:rPr>
        <w:t> </w:t>
      </w:r>
      <w:r>
        <w:rPr>
          <w:rFonts w:ascii="Times New Roman" w:hAnsi="Times New Roman"/>
          <w:sz w:val="24"/>
        </w:rPr>
        <w:t>евидентирају</w:t>
      </w:r>
      <w:r>
        <w:rPr>
          <w:rFonts w:ascii="Times New Roman" w:hAnsi="Times New Roman"/>
          <w:spacing w:val="17"/>
          <w:sz w:val="24"/>
        </w:rPr>
        <w:t> </w:t>
      </w:r>
      <w:r>
        <w:rPr>
          <w:rFonts w:ascii="Times New Roman" w:hAnsi="Times New Roman"/>
          <w:sz w:val="24"/>
        </w:rPr>
        <w:t>на</w:t>
      </w:r>
      <w:r>
        <w:rPr>
          <w:rFonts w:ascii="Times New Roman" w:hAnsi="Times New Roman"/>
          <w:spacing w:val="21"/>
          <w:sz w:val="24"/>
        </w:rPr>
        <w:t> </w:t>
      </w:r>
      <w:r>
        <w:rPr>
          <w:rFonts w:ascii="Times New Roman" w:hAnsi="Times New Roman"/>
          <w:sz w:val="24"/>
        </w:rPr>
        <w:t>групи</w:t>
      </w:r>
      <w:r>
        <w:rPr>
          <w:rFonts w:ascii="Times New Roman" w:hAnsi="Times New Roman"/>
          <w:spacing w:val="23"/>
          <w:sz w:val="24"/>
        </w:rPr>
        <w:t> </w:t>
      </w:r>
      <w:r>
        <w:rPr>
          <w:rFonts w:ascii="Times New Roman" w:hAnsi="Times New Roman"/>
          <w:sz w:val="24"/>
        </w:rPr>
        <w:t>412000</w:t>
      </w:r>
      <w:r>
        <w:rPr>
          <w:rFonts w:ascii="Times New Roman" w:hAnsi="Times New Roman"/>
          <w:spacing w:val="25"/>
          <w:sz w:val="24"/>
        </w:rPr>
        <w:t> </w:t>
      </w:r>
      <w:r>
        <w:rPr>
          <w:rFonts w:ascii="Times New Roman" w:hAnsi="Times New Roman"/>
          <w:sz w:val="24"/>
        </w:rPr>
        <w:t>у</w:t>
      </w:r>
      <w:r>
        <w:rPr>
          <w:rFonts w:ascii="Times New Roman" w:hAnsi="Times New Roman"/>
          <w:spacing w:val="15"/>
          <w:sz w:val="24"/>
        </w:rPr>
        <w:t> </w:t>
      </w:r>
      <w:r>
        <w:rPr>
          <w:rFonts w:ascii="Times New Roman" w:hAnsi="Times New Roman"/>
          <w:sz w:val="24"/>
        </w:rPr>
        <w:t>износу</w:t>
      </w:r>
      <w:r>
        <w:rPr>
          <w:rFonts w:ascii="Times New Roman" w:hAnsi="Times New Roman"/>
          <w:spacing w:val="15"/>
          <w:sz w:val="24"/>
        </w:rPr>
        <w:t> </w:t>
      </w:r>
      <w:r>
        <w:rPr>
          <w:rFonts w:ascii="Times New Roman" w:hAnsi="Times New Roman"/>
          <w:sz w:val="24"/>
        </w:rPr>
        <w:t>од</w:t>
      </w:r>
      <w:r>
        <w:rPr>
          <w:rFonts w:ascii="Times New Roman" w:hAnsi="Times New Roman"/>
          <w:spacing w:val="25"/>
          <w:sz w:val="24"/>
        </w:rPr>
        <w:t> </w:t>
      </w:r>
      <w:r>
        <w:rPr>
          <w:rFonts w:ascii="Times New Roman" w:hAnsi="Times New Roman"/>
          <w:sz w:val="24"/>
        </w:rPr>
        <w:t>21</w:t>
      </w:r>
      <w:r>
        <w:rPr>
          <w:rFonts w:ascii="Times New Roman" w:hAnsi="Times New Roman"/>
          <w:spacing w:val="22"/>
          <w:sz w:val="24"/>
        </w:rPr>
        <w:t> </w:t>
      </w:r>
      <w:r>
        <w:rPr>
          <w:rFonts w:ascii="Times New Roman" w:hAnsi="Times New Roman"/>
          <w:sz w:val="24"/>
        </w:rPr>
        <w:t>хиљаде</w:t>
      </w:r>
      <w:r>
        <w:rPr>
          <w:rFonts w:ascii="Times New Roman" w:hAnsi="Times New Roman"/>
          <w:spacing w:val="22"/>
          <w:sz w:val="24"/>
        </w:rPr>
        <w:t> </w:t>
      </w:r>
      <w:r>
        <w:rPr>
          <w:rFonts w:ascii="Times New Roman" w:hAnsi="Times New Roman"/>
          <w:sz w:val="24"/>
        </w:rPr>
        <w:t>динара,</w:t>
      </w:r>
      <w:r>
        <w:rPr>
          <w:rFonts w:ascii="Times New Roman" w:hAnsi="Times New Roman"/>
          <w:spacing w:val="22"/>
          <w:sz w:val="24"/>
        </w:rPr>
        <w:t> </w:t>
      </w:r>
      <w:r>
        <w:rPr>
          <w:rFonts w:ascii="Times New Roman" w:hAnsi="Times New Roman"/>
          <w:sz w:val="24"/>
        </w:rPr>
        <w:t>што</w:t>
      </w:r>
      <w:r>
        <w:rPr>
          <w:rFonts w:ascii="Times New Roman" w:hAnsi="Times New Roman"/>
          <w:spacing w:val="22"/>
          <w:sz w:val="24"/>
        </w:rPr>
        <w:t> </w:t>
      </w:r>
      <w:r>
        <w:rPr>
          <w:rFonts w:ascii="Times New Roman" w:hAnsi="Times New Roman"/>
          <w:sz w:val="24"/>
        </w:rPr>
        <w:t>је</w:t>
      </w:r>
      <w:r>
        <w:rPr>
          <w:rFonts w:ascii="Times New Roman" w:hAnsi="Times New Roman"/>
          <w:spacing w:val="22"/>
          <w:sz w:val="24"/>
        </w:rPr>
        <w:t> </w:t>
      </w:r>
      <w:r>
        <w:rPr>
          <w:rFonts w:ascii="Times New Roman" w:hAnsi="Times New Roman"/>
          <w:sz w:val="24"/>
        </w:rPr>
        <w:t>супротно</w:t>
      </w:r>
      <w:r>
        <w:rPr>
          <w:rFonts w:ascii="Times New Roman" w:hAnsi="Times New Roman"/>
          <w:spacing w:val="22"/>
          <w:sz w:val="24"/>
        </w:rPr>
        <w:t> </w:t>
      </w:r>
      <w:r>
        <w:rPr>
          <w:rFonts w:ascii="Times New Roman" w:hAnsi="Times New Roman"/>
          <w:sz w:val="24"/>
        </w:rPr>
        <w:t>члану</w:t>
      </w:r>
    </w:p>
    <w:p>
      <w:pPr>
        <w:pStyle w:val="BodyText"/>
        <w:spacing w:line="240" w:lineRule="auto"/>
        <w:ind w:right="182"/>
        <w:jc w:val="both"/>
      </w:pPr>
      <w:r>
        <w:rPr/>
        <w:t>115. Закона о раду и члану 23. Посебног колективног уговора за јавна и јавна комунална предузећа чији је оснивач град</w:t>
      </w:r>
      <w:r>
        <w:rPr>
          <w:spacing w:val="-12"/>
        </w:rPr>
        <w:t> </w:t>
      </w:r>
      <w:r>
        <w:rPr/>
        <w:t>Ниш.</w:t>
      </w:r>
    </w:p>
    <w:p>
      <w:pPr>
        <w:pStyle w:val="Heading2"/>
        <w:spacing w:line="240" w:lineRule="auto"/>
        <w:ind w:right="177"/>
        <w:jc w:val="both"/>
        <w:rPr>
          <w:b w:val="0"/>
          <w:bCs w:val="0"/>
          <w:i w:val="0"/>
        </w:rPr>
      </w:pPr>
      <w:r>
        <w:rPr>
          <w:i/>
        </w:rPr>
        <w:t>Препоручује се одговорним лицима да обрачун и исплату плата, додатака и накнада врше у складу са прописима, не врше пријем радника без сагласности надлежних, примењују одредбе Закона о професионалној рехабилитацији и запошљавању особа са</w:t>
      </w:r>
      <w:r>
        <w:rPr>
          <w:i/>
          <w:spacing w:val="-10"/>
        </w:rPr>
        <w:t> </w:t>
      </w:r>
      <w:r>
        <w:rPr>
          <w:i/>
        </w:rPr>
        <w:t>инвалидитетом.</w:t>
      </w:r>
      <w:r>
        <w:rPr>
          <w:b w:val="0"/>
          <w:i w:val="0"/>
        </w:rPr>
      </w:r>
    </w:p>
    <w:p>
      <w:pPr>
        <w:pStyle w:val="ListParagraph"/>
        <w:numPr>
          <w:ilvl w:val="4"/>
          <w:numId w:val="25"/>
        </w:numPr>
        <w:tabs>
          <w:tab w:pos="1006" w:val="left" w:leader="none"/>
        </w:tabs>
        <w:spacing w:line="240" w:lineRule="auto" w:before="132" w:after="0"/>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 за културу – </w:t>
      </w:r>
      <w:r>
        <w:rPr>
          <w:rFonts w:ascii="Times New Roman" w:hAnsi="Times New Roman" w:cs="Times New Roman" w:eastAsia="Times New Roman" w:hint="default"/>
          <w:sz w:val="24"/>
          <w:szCs w:val="24"/>
        </w:rPr>
        <w:t>Исказан је расход у износу од 308.950 хиљада динара од којих код Народног музеја у износу од 42.733 хиљаде</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динара</w:t>
      </w:r>
      <w:r>
        <w:rPr>
          <w:rFonts w:ascii="Times New Roman" w:hAnsi="Times New Roman" w:cs="Times New Roman" w:eastAsia="Times New Roman" w:hint="default"/>
          <w:sz w:val="24"/>
          <w:szCs w:val="24"/>
        </w:rPr>
        <w:t>.</w:t>
      </w:r>
    </w:p>
    <w:p>
      <w:pPr>
        <w:pStyle w:val="BodyText"/>
        <w:spacing w:line="240" w:lineRule="auto"/>
        <w:ind w:right="177" w:firstLine="566"/>
        <w:jc w:val="both"/>
      </w:pPr>
      <w:r>
        <w:rPr>
          <w:rFonts w:ascii="Times New Roman" w:hAnsi="Times New Roman" w:cs="Times New Roman" w:eastAsia="Times New Roman" w:hint="default"/>
          <w:b/>
          <w:bCs/>
        </w:rPr>
        <w:t>9a) </w:t>
      </w:r>
      <w:r>
        <w:rPr>
          <w:rFonts w:ascii="Times New Roman" w:hAnsi="Times New Roman" w:cs="Times New Roman" w:eastAsia="Times New Roman" w:hint="default"/>
          <w:b/>
          <w:bCs/>
        </w:rPr>
        <w:t>Народни музеј </w:t>
      </w:r>
      <w:r>
        <w:rPr/>
        <w:t>– На основу Одлуке директора број 02</w:t>
      </w:r>
      <w:r>
        <w:rPr>
          <w:rFonts w:ascii="Times New Roman" w:hAnsi="Times New Roman" w:cs="Times New Roman" w:eastAsia="Times New Roman" w:hint="default"/>
        </w:rPr>
        <w:t>-445/1-</w:t>
      </w:r>
      <w:r>
        <w:rPr/>
        <w:t>14 од </w:t>
      </w:r>
      <w:r>
        <w:rPr>
          <w:rFonts w:ascii="Times New Roman" w:hAnsi="Times New Roman" w:cs="Times New Roman" w:eastAsia="Times New Roman" w:hint="default"/>
        </w:rPr>
        <w:t>06.06.2014. </w:t>
      </w:r>
      <w:r>
        <w:rPr/>
        <w:t>године за исплату запосленима годишњих награда за божићне празнике за 2013. годину у нето износу од по четири хиљаде динара по запосленом </w:t>
      </w:r>
      <w:r>
        <w:rPr>
          <w:spacing w:val="-4"/>
        </w:rPr>
        <w:t>уз </w:t>
      </w:r>
      <w:r>
        <w:rPr/>
        <w:t>други део плате за мај 2014. </w:t>
      </w:r>
      <w:r>
        <w:rPr/>
        <w:t>године из сопствених средстава, исплаћен је износ од 417 хиљада динара и </w:t>
      </w:r>
      <w:r>
        <w:rPr>
          <w:spacing w:val="4"/>
        </w:rPr>
        <w:t>то </w:t>
      </w:r>
      <w:r>
        <w:rPr/>
        <w:t>354 хиљаде </w:t>
      </w:r>
      <w:r>
        <w:rPr/>
        <w:t>динара са групе 411000</w:t>
      </w:r>
      <w:r>
        <w:rPr>
          <w:rFonts w:ascii="Times New Roman" w:hAnsi="Times New Roman" w:cs="Times New Roman" w:eastAsia="Times New Roman" w:hint="default"/>
        </w:rPr>
        <w:t>-</w:t>
      </w:r>
      <w:r>
        <w:rPr/>
        <w:t>плате додаци и накнаде запослених и износ од 63 хиљаде динара са групе 412000 </w:t>
      </w:r>
      <w:r>
        <w:rPr>
          <w:rFonts w:ascii="Times New Roman" w:hAnsi="Times New Roman" w:cs="Times New Roman" w:eastAsia="Times New Roman" w:hint="default"/>
        </w:rPr>
        <w:t>- </w:t>
      </w:r>
      <w:r>
        <w:rPr/>
        <w:t>социјални доприноси на терет</w:t>
      </w:r>
      <w:r>
        <w:rPr>
          <w:spacing w:val="-17"/>
        </w:rPr>
        <w:t> </w:t>
      </w:r>
      <w:r>
        <w:rPr/>
        <w:t>послодавца.</w:t>
      </w:r>
    </w:p>
    <w:p>
      <w:pPr>
        <w:pStyle w:val="BodyText"/>
        <w:spacing w:line="240" w:lineRule="auto"/>
        <w:ind w:right="172" w:firstLine="566"/>
        <w:jc w:val="both"/>
      </w:pPr>
      <w:r>
        <w:rPr>
          <w:rFonts w:ascii="Times New Roman" w:hAnsi="Times New Roman"/>
          <w:b/>
        </w:rPr>
        <w:t>На основу ревизије узорковане документације утврђено је </w:t>
      </w:r>
      <w:r>
        <w:rPr/>
        <w:t>да је исплата годишњих награда запосленима за божићне празнике за 2013. годину у износу од 417 хиљада динара на основу Одлуке директора из </w:t>
      </w:r>
      <w:r>
        <w:rPr>
          <w:rFonts w:ascii="Times New Roman" w:hAnsi="Times New Roman"/>
        </w:rPr>
        <w:t>2014. </w:t>
      </w:r>
      <w:r>
        <w:rPr/>
        <w:t>године</w:t>
      </w:r>
      <w:r>
        <w:rPr>
          <w:rFonts w:ascii="Times New Roman" w:hAnsi="Times New Roman"/>
        </w:rPr>
        <w:t>, </w:t>
      </w:r>
      <w:r>
        <w:rPr/>
        <w:t>извршена је без основа који је у складу са законом</w:t>
      </w:r>
      <w:r>
        <w:rPr>
          <w:rFonts w:ascii="Times New Roman" w:hAnsi="Times New Roman"/>
        </w:rPr>
        <w:t>, </w:t>
      </w:r>
      <w:r>
        <w:rPr/>
        <w:t>што је супротно члану </w:t>
      </w:r>
      <w:r>
        <w:rPr>
          <w:rFonts w:ascii="Times New Roman" w:hAnsi="Times New Roman"/>
        </w:rPr>
        <w:t>16. </w:t>
      </w:r>
      <w:r>
        <w:rPr/>
        <w:t>Закона о буџету Републике Србије за 2014. годину и члану 56. Закона о буџетском</w:t>
      </w:r>
      <w:r>
        <w:rPr>
          <w:spacing w:val="-16"/>
        </w:rPr>
        <w:t> </w:t>
      </w:r>
      <w:r>
        <w:rPr/>
        <w:t>систему.</w:t>
      </w:r>
    </w:p>
    <w:p>
      <w:pPr>
        <w:pStyle w:val="Heading2"/>
        <w:spacing w:line="240" w:lineRule="auto"/>
        <w:ind w:right="184"/>
        <w:jc w:val="both"/>
        <w:rPr>
          <w:b w:val="0"/>
          <w:bCs w:val="0"/>
          <w:i w:val="0"/>
        </w:rPr>
      </w:pPr>
      <w:r>
        <w:rPr>
          <w:i/>
        </w:rPr>
        <w:t>Препоручује се одговорним лицима да обезбеде правни основ за сваки расход из буџета.</w:t>
      </w:r>
      <w:r>
        <w:rPr>
          <w:b w:val="0"/>
          <w:i w:val="0"/>
        </w:rPr>
      </w:r>
    </w:p>
    <w:p>
      <w:pPr>
        <w:pStyle w:val="Heading1"/>
        <w:numPr>
          <w:ilvl w:val="3"/>
          <w:numId w:val="25"/>
        </w:numPr>
        <w:tabs>
          <w:tab w:pos="929" w:val="left" w:leader="none"/>
        </w:tabs>
        <w:spacing w:line="274" w:lineRule="exact" w:before="139" w:after="0"/>
        <w:ind w:left="928" w:right="0" w:hanging="768"/>
        <w:jc w:val="both"/>
        <w:rPr>
          <w:b w:val="0"/>
          <w:bCs w:val="0"/>
        </w:rPr>
      </w:pPr>
      <w:bookmarkStart w:name="_bookmark10" w:id="17"/>
      <w:bookmarkEnd w:id="17"/>
      <w:r>
        <w:rPr>
          <w:b w:val="0"/>
        </w:rPr>
      </w:r>
      <w:bookmarkStart w:name="_bookmark10" w:id="18"/>
      <w:bookmarkEnd w:id="18"/>
      <w:r>
        <w:rPr/>
        <w:t>Соц</w:t>
      </w:r>
      <w:r>
        <w:rPr/>
        <w:t>ијални доприноси на терет послодавца, група</w:t>
      </w:r>
      <w:r>
        <w:rPr>
          <w:spacing w:val="-17"/>
        </w:rPr>
        <w:t> </w:t>
      </w:r>
      <w:r>
        <w:rPr/>
        <w:t>412000</w:t>
      </w:r>
      <w:r>
        <w:rPr>
          <w:b w:val="0"/>
        </w:rPr>
      </w:r>
    </w:p>
    <w:p>
      <w:pPr>
        <w:pStyle w:val="BodyText"/>
        <w:tabs>
          <w:tab w:pos="7587" w:val="left" w:leader="none"/>
        </w:tabs>
        <w:spacing w:line="232" w:lineRule="auto" w:before="4" w:after="7"/>
        <w:ind w:right="181" w:firstLine="566"/>
        <w:jc w:val="both"/>
        <w:rPr>
          <w:sz w:val="18"/>
          <w:szCs w:val="18"/>
        </w:rPr>
      </w:pPr>
      <w:r>
        <w:rPr/>
        <w:t>Према одредбама члана 51. Закона о доприносима за обавезно социјално осигурање</w:t>
      </w:r>
      <w:r>
        <w:rPr>
          <w:rFonts w:ascii="Times New Roman" w:hAnsi="Times New Roman"/>
          <w:position w:val="11"/>
          <w:sz w:val="16"/>
        </w:rPr>
        <w:t>54</w:t>
      </w:r>
      <w:r>
        <w:rPr/>
        <w:t>, обвезник обрачунавања и плаћања доприноса на основицу за запослене, изабрана, именована и постављена лица је послодавац. Послодавац је дужан да  доприносе обрачуна и уплати истовремено са исплатом зараде, по прописима који важе у моменту  исплате</w:t>
      </w:r>
      <w:r>
        <w:rPr>
          <w:spacing w:val="18"/>
        </w:rPr>
        <w:t> </w:t>
      </w:r>
      <w:r>
        <w:rPr/>
        <w:t>тих</w:t>
      </w:r>
      <w:r>
        <w:rPr>
          <w:spacing w:val="47"/>
        </w:rPr>
        <w:t> </w:t>
      </w:r>
      <w:r>
        <w:rPr/>
        <w:t>примања.</w:t>
        <w:tab/>
      </w:r>
      <w:r>
        <w:rPr>
          <w:sz w:val="18"/>
        </w:rPr>
        <w:t>(у хиљадама</w:t>
      </w:r>
      <w:r>
        <w:rPr>
          <w:spacing w:val="-11"/>
          <w:sz w:val="18"/>
        </w:rPr>
        <w:t> </w:t>
      </w:r>
      <w:r>
        <w:rPr>
          <w:sz w:val="18"/>
        </w:rPr>
        <w:t>динара)</w:t>
      </w:r>
    </w:p>
    <w:tbl>
      <w:tblPr>
        <w:tblW w:w="0" w:type="auto"/>
        <w:jc w:val="left"/>
        <w:tblInd w:w="138" w:type="dxa"/>
        <w:tblLayout w:type="fixed"/>
        <w:tblCellMar>
          <w:top w:w="0" w:type="dxa"/>
          <w:left w:w="0" w:type="dxa"/>
          <w:bottom w:w="0" w:type="dxa"/>
          <w:right w:w="0" w:type="dxa"/>
        </w:tblCellMar>
        <w:tblLook w:val="01E0"/>
      </w:tblPr>
      <w:tblGrid>
        <w:gridCol w:w="725"/>
        <w:gridCol w:w="2554"/>
        <w:gridCol w:w="960"/>
        <w:gridCol w:w="1351"/>
        <w:gridCol w:w="1047"/>
        <w:gridCol w:w="936"/>
        <w:gridCol w:w="845"/>
        <w:gridCol w:w="850"/>
      </w:tblGrid>
      <w:tr>
        <w:trPr>
          <w:trHeight w:val="634" w:hRule="exact"/>
        </w:trPr>
        <w:tc>
          <w:tcPr>
            <w:tcW w:w="72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left="187" w:right="104" w:hanging="75"/>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
              <w:ind w:right="0"/>
              <w:jc w:val="left"/>
              <w:rPr>
                <w:rFonts w:ascii="Times New Roman" w:hAnsi="Times New Roman" w:cs="Times New Roman" w:eastAsia="Times New Roman" w:hint="default"/>
                <w:sz w:val="17"/>
                <w:szCs w:val="17"/>
              </w:rPr>
            </w:pPr>
          </w:p>
          <w:p>
            <w:pPr>
              <w:pStyle w:val="TableParagraph"/>
              <w:spacing w:line="240" w:lineRule="auto"/>
              <w:ind w:left="467"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8"/>
                <w:sz w:val="18"/>
              </w:rPr>
              <w:t> </w:t>
            </w:r>
            <w:r>
              <w:rPr>
                <w:rFonts w:ascii="Times New Roman" w:hAnsi="Times New Roman"/>
                <w:b/>
                <w:sz w:val="18"/>
              </w:rPr>
              <w:t>корисник</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
              <w:ind w:right="0"/>
              <w:jc w:val="left"/>
              <w:rPr>
                <w:rFonts w:ascii="Times New Roman" w:hAnsi="Times New Roman" w:cs="Times New Roman" w:eastAsia="Times New Roman" w:hint="default"/>
                <w:sz w:val="17"/>
                <w:szCs w:val="17"/>
              </w:rPr>
            </w:pPr>
          </w:p>
          <w:p>
            <w:pPr>
              <w:pStyle w:val="TableParagraph"/>
              <w:spacing w:line="240" w:lineRule="auto"/>
              <w:ind w:right="103"/>
              <w:jc w:val="right"/>
              <w:rPr>
                <w:rFonts w:ascii="Times New Roman" w:hAnsi="Times New Roman" w:cs="Times New Roman" w:eastAsia="Times New Roman" w:hint="default"/>
                <w:sz w:val="18"/>
                <w:szCs w:val="18"/>
              </w:rPr>
            </w:pPr>
            <w:r>
              <w:rPr>
                <w:rFonts w:ascii="Times New Roman" w:hAnsi="Times New Roman"/>
                <w:b/>
                <w:spacing w:val="-1"/>
                <w:sz w:val="18"/>
              </w:rPr>
              <w:t>Ребаланс</w:t>
            </w:r>
            <w:r>
              <w:rPr>
                <w:rFonts w:ascii="Times New Roman" w:hAns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left="103" w:right="93" w:firstLine="88"/>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реалокацијом</w:t>
            </w:r>
            <w:r>
              <w:rPr>
                <w:rFonts w:ascii="Times New Roman" w:hAns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left="103" w:right="95"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left="112" w:right="107"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left="299" w:right="110"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left="302" w:right="112"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49" w:hRule="exact"/>
        </w:trPr>
        <w:tc>
          <w:tcPr>
            <w:tcW w:w="72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326" w:right="0"/>
              <w:jc w:val="left"/>
              <w:rPr>
                <w:rFonts w:ascii="Times New Roman" w:hAnsi="Times New Roman" w:cs="Times New Roman" w:eastAsia="Times New Roman" w:hint="default"/>
                <w:sz w:val="12"/>
                <w:szCs w:val="12"/>
              </w:rPr>
            </w:pPr>
            <w:r>
              <w:rPr>
                <w:rFonts w:ascii="Times New Roman"/>
                <w:sz w:val="12"/>
              </w:rPr>
              <w:t>1</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1"/>
              <w:jc w:val="center"/>
              <w:rPr>
                <w:rFonts w:ascii="Times New Roman" w:hAnsi="Times New Roman" w:cs="Times New Roman" w:eastAsia="Times New Roman" w:hint="default"/>
                <w:sz w:val="12"/>
                <w:szCs w:val="12"/>
              </w:rPr>
            </w:pPr>
            <w:r>
              <w:rPr>
                <w:rFonts w:ascii="Times New Roman"/>
                <w:sz w:val="12"/>
              </w:rPr>
              <w:t>2</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2"/>
              <w:jc w:val="center"/>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
              <w:jc w:val="center"/>
              <w:rPr>
                <w:rFonts w:ascii="Times New Roman" w:hAnsi="Times New Roman" w:cs="Times New Roman" w:eastAsia="Times New Roman" w:hint="default"/>
                <w:sz w:val="12"/>
                <w:szCs w:val="12"/>
              </w:rPr>
            </w:pPr>
            <w:r>
              <w:rPr>
                <w:rFonts w:ascii="Times New Roman"/>
                <w:sz w:val="12"/>
              </w:rPr>
              <w:t>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7</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8</w:t>
            </w:r>
          </w:p>
        </w:tc>
      </w:tr>
      <w:tr>
        <w:trPr>
          <w:trHeight w:val="216" w:hRule="exact"/>
        </w:trPr>
        <w:tc>
          <w:tcPr>
            <w:tcW w:w="7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11" w:right="0"/>
              <w:jc w:val="left"/>
              <w:rPr>
                <w:rFonts w:ascii="Times New Roman" w:hAnsi="Times New Roman" w:cs="Times New Roman" w:eastAsia="Times New Roman" w:hint="default"/>
                <w:sz w:val="18"/>
                <w:szCs w:val="18"/>
              </w:rPr>
            </w:pPr>
            <w:r>
              <w:rPr>
                <w:rFonts w:ascii="Times New Roman"/>
                <w:sz w:val="18"/>
              </w:rPr>
              <w:t>1</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Скупштина</w:t>
            </w:r>
            <w:r>
              <w:rPr>
                <w:rFonts w:ascii="Times New Roman" w:hAnsi="Times New Roman"/>
                <w:spacing w:val="-5"/>
                <w:sz w:val="18"/>
              </w:rPr>
              <w:t> </w:t>
            </w:r>
            <w:r>
              <w:rPr>
                <w:rFonts w:ascii="Times New Roman" w:hAnsi="Times New Roman"/>
                <w:sz w:val="18"/>
              </w:rPr>
              <w:t>Града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3.548</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3.524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z w:val="18"/>
              </w:rPr>
              <w:t>3.298</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3.298</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93,59</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7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11" w:right="0"/>
              <w:jc w:val="left"/>
              <w:rPr>
                <w:rFonts w:ascii="Times New Roman" w:hAnsi="Times New Roman" w:cs="Times New Roman" w:eastAsia="Times New Roman" w:hint="default"/>
                <w:sz w:val="18"/>
                <w:szCs w:val="18"/>
              </w:rPr>
            </w:pPr>
            <w:r>
              <w:rPr>
                <w:rFonts w:ascii="Times New Roman"/>
                <w:sz w:val="18"/>
              </w:rPr>
              <w:t>2</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Градоначелник</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824</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818</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777</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777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94,99</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8" w:hRule="exact"/>
        </w:trPr>
        <w:tc>
          <w:tcPr>
            <w:tcW w:w="72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11" w:right="0"/>
              <w:jc w:val="left"/>
              <w:rPr>
                <w:rFonts w:ascii="Times New Roman" w:hAnsi="Times New Roman" w:cs="Times New Roman" w:eastAsia="Times New Roman" w:hint="default"/>
                <w:sz w:val="18"/>
                <w:szCs w:val="18"/>
              </w:rPr>
            </w:pPr>
            <w:r>
              <w:rPr>
                <w:rFonts w:ascii="Times New Roman"/>
                <w:sz w:val="18"/>
              </w:rPr>
              <w:t>3</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Градско</w:t>
            </w:r>
            <w:r>
              <w:rPr>
                <w:rFonts w:ascii="Times New Roman" w:hAnsi="Times New Roman"/>
                <w:spacing w:val="-5"/>
                <w:sz w:val="18"/>
              </w:rPr>
              <w:t> </w:t>
            </w:r>
            <w:r>
              <w:rPr>
                <w:rFonts w:ascii="Times New Roman" w:hAnsi="Times New Roman"/>
                <w:sz w:val="18"/>
              </w:rPr>
              <w:t>веће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2.466</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2.449</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3"/>
              <w:jc w:val="right"/>
              <w:rPr>
                <w:rFonts w:ascii="Times New Roman" w:hAnsi="Times New Roman" w:cs="Times New Roman" w:eastAsia="Times New Roman" w:hint="default"/>
                <w:sz w:val="18"/>
                <w:szCs w:val="18"/>
              </w:rPr>
            </w:pPr>
            <w:r>
              <w:rPr>
                <w:rFonts w:ascii="Times New Roman"/>
                <w:sz w:val="18"/>
              </w:rPr>
              <w:t>2.275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2.275</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92,90</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3"/>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7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11" w:right="0"/>
              <w:jc w:val="left"/>
              <w:rPr>
                <w:rFonts w:ascii="Times New Roman" w:hAnsi="Times New Roman" w:cs="Times New Roman" w:eastAsia="Times New Roman" w:hint="default"/>
                <w:sz w:val="18"/>
                <w:szCs w:val="18"/>
              </w:rPr>
            </w:pPr>
            <w:r>
              <w:rPr>
                <w:rFonts w:ascii="Times New Roman"/>
                <w:sz w:val="18"/>
              </w:rPr>
              <w:t>4</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8"/>
                <w:sz w:val="18"/>
              </w:rPr>
              <w:t> </w:t>
            </w:r>
            <w:r>
              <w:rPr>
                <w:rFonts w:ascii="Times New Roman" w:hAnsi="Times New Roman"/>
                <w:sz w:val="18"/>
              </w:rPr>
              <w:t>финансије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113.446</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112.620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111.975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111.975</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99,43</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8" w:hRule="exact"/>
        </w:trPr>
        <w:tc>
          <w:tcPr>
            <w:tcW w:w="7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11" w:right="0"/>
              <w:jc w:val="left"/>
              <w:rPr>
                <w:rFonts w:ascii="Times New Roman" w:hAnsi="Times New Roman" w:cs="Times New Roman" w:eastAsia="Times New Roman" w:hint="default"/>
                <w:sz w:val="18"/>
                <w:szCs w:val="18"/>
              </w:rPr>
            </w:pPr>
            <w:r>
              <w:rPr>
                <w:rFonts w:ascii="Times New Roman"/>
                <w:sz w:val="18"/>
              </w:rPr>
              <w:t>5</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Заштитник</w:t>
            </w:r>
            <w:r>
              <w:rPr>
                <w:rFonts w:ascii="Times New Roman" w:hAnsi="Times New Roman"/>
                <w:spacing w:val="-5"/>
                <w:sz w:val="18"/>
              </w:rPr>
              <w:t> </w:t>
            </w:r>
            <w:r>
              <w:rPr>
                <w:rFonts w:ascii="Times New Roman" w:hAnsi="Times New Roman"/>
                <w:sz w:val="18"/>
              </w:rPr>
              <w:t>грађана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762</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756</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729</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729</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96,43</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7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11" w:right="0"/>
              <w:jc w:val="left"/>
              <w:rPr>
                <w:rFonts w:ascii="Times New Roman" w:hAnsi="Times New Roman" w:cs="Times New Roman" w:eastAsia="Times New Roman" w:hint="default"/>
                <w:sz w:val="18"/>
                <w:szCs w:val="18"/>
              </w:rPr>
            </w:pPr>
            <w:r>
              <w:rPr>
                <w:rFonts w:ascii="Times New Roman"/>
                <w:sz w:val="18"/>
              </w:rPr>
              <w:t>6</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Градско јавно</w:t>
            </w:r>
            <w:r>
              <w:rPr>
                <w:rFonts w:ascii="Times New Roman" w:hAnsi="Times New Roman"/>
                <w:spacing w:val="-7"/>
                <w:sz w:val="18"/>
              </w:rPr>
              <w:t> </w:t>
            </w:r>
            <w:r>
              <w:rPr>
                <w:rFonts w:ascii="Times New Roman" w:hAnsi="Times New Roman"/>
                <w:sz w:val="18"/>
              </w:rPr>
              <w:t>правобран.</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1.861</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1.847</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z w:val="18"/>
              </w:rPr>
              <w:t>1.834</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1.940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105,04</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105,78</w:t>
            </w:r>
          </w:p>
        </w:tc>
      </w:tr>
      <w:tr>
        <w:trPr>
          <w:trHeight w:val="218" w:hRule="exact"/>
        </w:trPr>
        <w:tc>
          <w:tcPr>
            <w:tcW w:w="7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11" w:right="0"/>
              <w:jc w:val="left"/>
              <w:rPr>
                <w:rFonts w:ascii="Times New Roman" w:hAnsi="Times New Roman" w:cs="Times New Roman" w:eastAsia="Times New Roman" w:hint="default"/>
                <w:sz w:val="18"/>
                <w:szCs w:val="18"/>
              </w:rPr>
            </w:pPr>
            <w:r>
              <w:rPr>
                <w:rFonts w:ascii="Times New Roman"/>
                <w:sz w:val="18"/>
              </w:rPr>
              <w:t>7</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5"/>
                <w:sz w:val="18"/>
              </w:rPr>
              <w:t> </w:t>
            </w:r>
            <w:r>
              <w:rPr>
                <w:rFonts w:ascii="Times New Roman" w:hAnsi="Times New Roman"/>
                <w:sz w:val="18"/>
              </w:rPr>
              <w:t>образовање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104.424</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103.967</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96.964</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96.964</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93,26</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7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hAnsi="Times New Roman"/>
                <w:sz w:val="18"/>
              </w:rPr>
              <w:t>7а</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ПУ</w:t>
            </w:r>
            <w:r>
              <w:rPr>
                <w:rFonts w:ascii="Times New Roman" w:hAnsi="Times New Roman"/>
                <w:spacing w:val="-5"/>
                <w:sz w:val="18"/>
              </w:rPr>
              <w:t> </w:t>
            </w:r>
            <w:r>
              <w:rPr>
                <w:rFonts w:ascii="Times New Roman" w:hAnsi="Times New Roman"/>
                <w:sz w:val="18"/>
              </w:rPr>
              <w:t>Пчелица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96.935</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96.487</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89.920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89.920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93,19</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64" w:hRule="exact"/>
        </w:trPr>
        <w:tc>
          <w:tcPr>
            <w:tcW w:w="72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311" w:right="0"/>
              <w:jc w:val="left"/>
              <w:rPr>
                <w:rFonts w:ascii="Times New Roman" w:hAnsi="Times New Roman" w:cs="Times New Roman" w:eastAsia="Times New Roman" w:hint="default"/>
                <w:sz w:val="18"/>
                <w:szCs w:val="18"/>
              </w:rPr>
            </w:pPr>
            <w:r>
              <w:rPr>
                <w:rFonts w:ascii="Times New Roman"/>
                <w:sz w:val="18"/>
              </w:rPr>
              <w:t>8</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7"/>
                <w:sz w:val="18"/>
              </w:rPr>
              <w:t> </w:t>
            </w:r>
            <w:r>
              <w:rPr>
                <w:rFonts w:ascii="Times New Roman" w:hAnsi="Times New Roman"/>
                <w:sz w:val="18"/>
              </w:rPr>
              <w:t>ком</w:t>
            </w:r>
            <w:r>
              <w:rPr>
                <w:rFonts w:ascii="Times New Roman" w:hAnsi="Times New Roman"/>
                <w:sz w:val="18"/>
              </w:rPr>
              <w:t>.</w:t>
            </w:r>
            <w:r>
              <w:rPr>
                <w:rFonts w:ascii="Times New Roman" w:hAnsi="Times New Roman"/>
                <w:sz w:val="18"/>
              </w:rPr>
              <w:t>делат</w:t>
            </w:r>
            <w:r>
              <w:rPr>
                <w:rFonts w:ascii="Times New Roman" w:hAnsi="Times New Roman"/>
                <w:sz w:val="18"/>
              </w:rPr>
              <w:t>.</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pacing w:val="-1"/>
                <w:sz w:val="18"/>
              </w:rPr>
              <w:t>20.360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pacing w:val="-1"/>
                <w:sz w:val="18"/>
              </w:rPr>
              <w:t>20.199</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8"/>
                <w:szCs w:val="18"/>
              </w:rPr>
            </w:pPr>
            <w:r>
              <w:rPr>
                <w:rFonts w:ascii="Times New Roman"/>
                <w:spacing w:val="-1"/>
                <w:sz w:val="18"/>
              </w:rPr>
              <w:t>19.995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8"/>
                <w:szCs w:val="18"/>
              </w:rPr>
            </w:pPr>
            <w:r>
              <w:rPr>
                <w:rFonts w:ascii="Times New Roman"/>
                <w:spacing w:val="-1"/>
                <w:sz w:val="18"/>
              </w:rPr>
              <w:t>19.995</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pacing w:val="-1"/>
                <w:sz w:val="18"/>
              </w:rPr>
              <w:t>9,88</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3"/>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66" w:hRule="exact"/>
        </w:trPr>
        <w:tc>
          <w:tcPr>
            <w:tcW w:w="72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right="99"/>
              <w:jc w:val="right"/>
              <w:rPr>
                <w:rFonts w:ascii="Times New Roman" w:hAnsi="Times New Roman" w:cs="Times New Roman" w:eastAsia="Times New Roman" w:hint="default"/>
                <w:sz w:val="18"/>
                <w:szCs w:val="18"/>
              </w:rPr>
            </w:pPr>
            <w:r>
              <w:rPr>
                <w:rFonts w:ascii="Times New Roman" w:hAnsi="Times New Roman"/>
                <w:sz w:val="18"/>
              </w:rPr>
              <w:t>8а</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left="103" w:right="0"/>
              <w:jc w:val="left"/>
              <w:rPr>
                <w:rFonts w:ascii="Times New Roman" w:hAnsi="Times New Roman" w:cs="Times New Roman" w:eastAsia="Times New Roman" w:hint="default"/>
                <w:sz w:val="18"/>
                <w:szCs w:val="18"/>
              </w:rPr>
            </w:pPr>
            <w:r>
              <w:rPr>
                <w:rFonts w:ascii="Times New Roman" w:hAnsi="Times New Roman"/>
                <w:sz w:val="18"/>
              </w:rPr>
              <w:t>ЈП</w:t>
            </w:r>
            <w:r>
              <w:rPr>
                <w:rFonts w:ascii="Times New Roman" w:hAnsi="Times New Roman"/>
                <w:spacing w:val="-6"/>
                <w:sz w:val="18"/>
              </w:rPr>
              <w:t> </w:t>
            </w:r>
            <w:r>
              <w:rPr>
                <w:rFonts w:ascii="Times New Roman" w:hAnsi="Times New Roman"/>
                <w:sz w:val="18"/>
              </w:rPr>
              <w:t>Дирекција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right="101"/>
              <w:jc w:val="right"/>
              <w:rPr>
                <w:rFonts w:ascii="Times New Roman" w:hAnsi="Times New Roman" w:cs="Times New Roman" w:eastAsia="Times New Roman" w:hint="default"/>
                <w:sz w:val="18"/>
                <w:szCs w:val="18"/>
              </w:rPr>
            </w:pPr>
            <w:r>
              <w:rPr>
                <w:rFonts w:ascii="Times New Roman"/>
                <w:sz w:val="18"/>
              </w:rPr>
              <w:t>20.360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right="100"/>
              <w:jc w:val="right"/>
              <w:rPr>
                <w:rFonts w:ascii="Times New Roman" w:hAnsi="Times New Roman" w:cs="Times New Roman" w:eastAsia="Times New Roman" w:hint="default"/>
                <w:sz w:val="18"/>
                <w:szCs w:val="18"/>
              </w:rPr>
            </w:pPr>
            <w:r>
              <w:rPr>
                <w:rFonts w:ascii="Times New Roman"/>
                <w:spacing w:val="-1"/>
                <w:sz w:val="18"/>
              </w:rPr>
              <w:t>20.199</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right="103"/>
              <w:jc w:val="right"/>
              <w:rPr>
                <w:rFonts w:ascii="Times New Roman" w:hAnsi="Times New Roman" w:cs="Times New Roman" w:eastAsia="Times New Roman" w:hint="default"/>
                <w:sz w:val="18"/>
                <w:szCs w:val="18"/>
              </w:rPr>
            </w:pPr>
            <w:r>
              <w:rPr>
                <w:rFonts w:ascii="Times New Roman"/>
                <w:spacing w:val="-1"/>
                <w:sz w:val="18"/>
              </w:rPr>
              <w:t>19.995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right="102"/>
              <w:jc w:val="right"/>
              <w:rPr>
                <w:rFonts w:ascii="Times New Roman" w:hAnsi="Times New Roman" w:cs="Times New Roman" w:eastAsia="Times New Roman" w:hint="default"/>
                <w:sz w:val="18"/>
                <w:szCs w:val="18"/>
              </w:rPr>
            </w:pPr>
            <w:r>
              <w:rPr>
                <w:rFonts w:ascii="Times New Roman"/>
                <w:spacing w:val="-1"/>
                <w:sz w:val="18"/>
              </w:rPr>
              <w:t>19.995</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right="100"/>
              <w:jc w:val="right"/>
              <w:rPr>
                <w:rFonts w:ascii="Times New Roman" w:hAnsi="Times New Roman" w:cs="Times New Roman" w:eastAsia="Times New Roman" w:hint="default"/>
                <w:sz w:val="18"/>
                <w:szCs w:val="18"/>
              </w:rPr>
            </w:pPr>
            <w:r>
              <w:rPr>
                <w:rFonts w:ascii="Times New Roman"/>
                <w:sz w:val="18"/>
              </w:rPr>
              <w:t>98,99</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right="103"/>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164" w:hRule="exact"/>
        </w:trPr>
        <w:tc>
          <w:tcPr>
            <w:tcW w:w="9268" w:type="dxa"/>
            <w:gridSpan w:val="8"/>
            <w:tcBorders>
              <w:top w:val="single" w:sz="4" w:space="0" w:color="000000"/>
              <w:left w:val="nil" w:sz="6" w:space="0" w:color="auto"/>
              <w:bottom w:val="nil" w:sz="6" w:space="0" w:color="auto"/>
              <w:right w:val="nil" w:sz="6" w:space="0" w:color="auto"/>
            </w:tcBorders>
          </w:tcPr>
          <w:p>
            <w:pPr/>
          </w:p>
        </w:tc>
      </w:tr>
    </w:tbl>
    <w:p>
      <w:pPr>
        <w:spacing w:before="81"/>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54 </w:t>
      </w:r>
      <w:r>
        <w:rPr>
          <w:rFonts w:ascii="Times New Roman" w:hAnsi="Times New Roman" w:cs="Times New Roman" w:eastAsia="Times New Roman" w:hint="default"/>
          <w:sz w:val="16"/>
          <w:szCs w:val="16"/>
        </w:rPr>
        <w:t>„Службени гласник Републике Србије“ број 84/2004 ...</w:t>
      </w:r>
      <w:r>
        <w:rPr>
          <w:rFonts w:ascii="Times New Roman" w:hAnsi="Times New Roman" w:cs="Times New Roman" w:eastAsia="Times New Roman" w:hint="default"/>
          <w:spacing w:val="-13"/>
          <w:sz w:val="16"/>
          <w:szCs w:val="16"/>
        </w:rPr>
        <w:t> </w:t>
      </w:r>
      <w:r>
        <w:rPr>
          <w:rFonts w:ascii="Times New Roman" w:hAnsi="Times New Roman" w:cs="Times New Roman" w:eastAsia="Times New Roman" w:hint="default"/>
          <w:sz w:val="16"/>
          <w:szCs w:val="16"/>
        </w:rPr>
        <w:t>5/2009</w:t>
      </w:r>
    </w:p>
    <w:p>
      <w:pPr>
        <w:spacing w:after="0"/>
        <w:jc w:val="left"/>
        <w:rPr>
          <w:rFonts w:ascii="Times New Roman" w:hAnsi="Times New Roman" w:cs="Times New Roman" w:eastAsia="Times New Roman" w:hint="default"/>
          <w:sz w:val="16"/>
          <w:szCs w:val="16"/>
        </w:rPr>
        <w:sectPr>
          <w:pgSz w:w="12240" w:h="15840"/>
          <w:pgMar w:header="740" w:footer="1274" w:top="1280" w:bottom="1460" w:left="1400" w:right="1260"/>
        </w:sectPr>
      </w:pPr>
    </w:p>
    <w:p>
      <w:pPr>
        <w:spacing w:line="240" w:lineRule="auto" w:before="3"/>
        <w:rPr>
          <w:rFonts w:ascii="Times New Roman" w:hAnsi="Times New Roman" w:cs="Times New Roman" w:eastAsia="Times New Roman" w:hint="default"/>
          <w:sz w:val="11"/>
          <w:szCs w:val="11"/>
        </w:rPr>
      </w:pPr>
    </w:p>
    <w:tbl>
      <w:tblPr>
        <w:tblW w:w="0" w:type="auto"/>
        <w:jc w:val="left"/>
        <w:tblInd w:w="141" w:type="dxa"/>
        <w:tblLayout w:type="fixed"/>
        <w:tblCellMar>
          <w:top w:w="0" w:type="dxa"/>
          <w:left w:w="0" w:type="dxa"/>
          <w:bottom w:w="0" w:type="dxa"/>
          <w:right w:w="0" w:type="dxa"/>
        </w:tblCellMar>
        <w:tblLook w:val="01E0"/>
      </w:tblPr>
      <w:tblGrid>
        <w:gridCol w:w="722"/>
        <w:gridCol w:w="2554"/>
        <w:gridCol w:w="960"/>
        <w:gridCol w:w="1351"/>
        <w:gridCol w:w="1047"/>
        <w:gridCol w:w="936"/>
        <w:gridCol w:w="845"/>
        <w:gridCol w:w="847"/>
      </w:tblGrid>
      <w:tr>
        <w:trPr>
          <w:trHeight w:val="21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 w:right="0"/>
              <w:jc w:val="center"/>
              <w:rPr>
                <w:rFonts w:ascii="Times New Roman" w:hAnsi="Times New Roman" w:cs="Times New Roman" w:eastAsia="Times New Roman" w:hint="default"/>
                <w:sz w:val="18"/>
                <w:szCs w:val="18"/>
              </w:rPr>
            </w:pPr>
            <w:r>
              <w:rPr>
                <w:rFonts w:ascii="Times New Roman"/>
                <w:sz w:val="18"/>
              </w:rPr>
              <w:t>9</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омладину и</w:t>
            </w:r>
            <w:r>
              <w:rPr>
                <w:rFonts w:ascii="Times New Roman" w:hAnsi="Times New Roman"/>
                <w:spacing w:val="-6"/>
                <w:sz w:val="18"/>
              </w:rPr>
              <w:t> </w:t>
            </w:r>
            <w:r>
              <w:rPr>
                <w:rFonts w:ascii="Times New Roman" w:hAnsi="Times New Roman"/>
                <w:sz w:val="18"/>
              </w:rPr>
              <w:t>спорт</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pacing w:val="-1"/>
                <w:sz w:val="18"/>
              </w:rPr>
              <w:t>14.175</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pacing w:val="-1"/>
                <w:sz w:val="18"/>
              </w:rPr>
              <w:t>14.175</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3"/>
              <w:jc w:val="right"/>
              <w:rPr>
                <w:rFonts w:ascii="Times New Roman" w:hAnsi="Times New Roman" w:cs="Times New Roman" w:eastAsia="Times New Roman" w:hint="default"/>
                <w:sz w:val="18"/>
                <w:szCs w:val="18"/>
              </w:rPr>
            </w:pPr>
            <w:r>
              <w:rPr>
                <w:rFonts w:ascii="Times New Roman"/>
                <w:spacing w:val="-1"/>
                <w:sz w:val="18"/>
              </w:rPr>
              <w:t>12.995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2"/>
              <w:jc w:val="right"/>
              <w:rPr>
                <w:rFonts w:ascii="Times New Roman" w:hAnsi="Times New Roman" w:cs="Times New Roman" w:eastAsia="Times New Roman" w:hint="default"/>
                <w:sz w:val="18"/>
                <w:szCs w:val="18"/>
              </w:rPr>
            </w:pPr>
            <w:r>
              <w:rPr>
                <w:rFonts w:ascii="Times New Roman"/>
                <w:spacing w:val="-1"/>
                <w:sz w:val="18"/>
              </w:rPr>
              <w:t>13.198</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z w:val="18"/>
              </w:rPr>
              <w:t>93,11</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pacing w:val="-1"/>
                <w:sz w:val="18"/>
              </w:rPr>
              <w:t>101,56</w:t>
            </w:r>
          </w:p>
        </w:tc>
      </w:tr>
      <w:tr>
        <w:trPr>
          <w:trHeight w:val="218"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441" w:right="0"/>
              <w:jc w:val="left"/>
              <w:rPr>
                <w:rFonts w:ascii="Times New Roman" w:hAnsi="Times New Roman" w:cs="Times New Roman" w:eastAsia="Times New Roman" w:hint="default"/>
                <w:sz w:val="18"/>
                <w:szCs w:val="18"/>
              </w:rPr>
            </w:pPr>
            <w:r>
              <w:rPr>
                <w:rFonts w:ascii="Times New Roman" w:hAnsi="Times New Roman"/>
                <w:sz w:val="18"/>
              </w:rPr>
              <w:t>9а</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СЦ</w:t>
            </w:r>
            <w:r>
              <w:rPr>
                <w:rFonts w:ascii="Times New Roman" w:hAnsi="Times New Roman"/>
                <w:spacing w:val="-1"/>
                <w:sz w:val="18"/>
              </w:rPr>
              <w:t> </w:t>
            </w:r>
            <w:r>
              <w:rPr>
                <w:rFonts w:ascii="Times New Roman" w:hAnsi="Times New Roman"/>
                <w:sz w:val="18"/>
              </w:rPr>
              <w:t>Чаир</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14.175</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14.175</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12.995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13.198</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93,11</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101,56</w:t>
            </w:r>
          </w:p>
        </w:tc>
      </w:tr>
      <w:tr>
        <w:trPr>
          <w:trHeight w:val="216"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650" w:right="0"/>
              <w:jc w:val="left"/>
              <w:rPr>
                <w:rFonts w:ascii="Times New Roman" w:hAnsi="Times New Roman" w:cs="Times New Roman" w:eastAsia="Times New Roman" w:hint="default"/>
                <w:sz w:val="18"/>
                <w:szCs w:val="18"/>
              </w:rPr>
            </w:pPr>
            <w:r>
              <w:rPr>
                <w:rFonts w:ascii="Times New Roman" w:hAnsi="Times New Roman"/>
                <w:b/>
                <w:sz w:val="18"/>
              </w:rPr>
              <w:t>Укупно корисници</w:t>
            </w:r>
            <w:r>
              <w:rPr>
                <w:rFonts w:ascii="Times New Roman" w:hAnsi="Times New Roman"/>
                <w:b/>
                <w:spacing w:val="-2"/>
                <w:sz w:val="18"/>
              </w:rPr>
              <w:t> </w:t>
            </w:r>
            <w:r>
              <w:rPr>
                <w:rFonts w:ascii="Times New Roman" w:hAnsi="Times New Roman"/>
                <w:b/>
                <w:sz w:val="18"/>
              </w:rPr>
              <w:t>(1</w:t>
            </w:r>
            <w:r>
              <w:rPr>
                <w:rFonts w:ascii="Times New Roman" w:hAnsi="Times New Roman"/>
                <w:b/>
                <w:sz w:val="18"/>
              </w:rPr>
              <w:t>-9)</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pacing w:val="-1"/>
                <w:sz w:val="18"/>
              </w:rPr>
              <w:t>261.866</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260.355</w:t>
            </w:r>
            <w:r>
              <w:rPr>
                <w:rFonts w:ascii="Times New Roman"/>
                <w:spacing w:val="-1"/>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3"/>
              <w:jc w:val="right"/>
              <w:rPr>
                <w:rFonts w:ascii="Times New Roman" w:hAnsi="Times New Roman" w:cs="Times New Roman" w:eastAsia="Times New Roman" w:hint="default"/>
                <w:sz w:val="18"/>
                <w:szCs w:val="18"/>
              </w:rPr>
            </w:pPr>
            <w:r>
              <w:rPr>
                <w:rFonts w:ascii="Times New Roman"/>
                <w:b/>
                <w:spacing w:val="-1"/>
                <w:sz w:val="18"/>
              </w:rPr>
              <w:t>250.842</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3"/>
              <w:jc w:val="right"/>
              <w:rPr>
                <w:rFonts w:ascii="Times New Roman" w:hAnsi="Times New Roman" w:cs="Times New Roman" w:eastAsia="Times New Roman" w:hint="default"/>
                <w:sz w:val="18"/>
                <w:szCs w:val="18"/>
              </w:rPr>
            </w:pPr>
            <w:r>
              <w:rPr>
                <w:rFonts w:ascii="Times New Roman"/>
                <w:b/>
                <w:spacing w:val="-1"/>
                <w:sz w:val="18"/>
              </w:rPr>
              <w:t>251.151</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96,46</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100,12</w:t>
            </w:r>
          </w:p>
        </w:tc>
      </w:tr>
      <w:tr>
        <w:trPr>
          <w:trHeight w:val="218"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477" w:right="0"/>
              <w:jc w:val="left"/>
              <w:rPr>
                <w:rFonts w:ascii="Times New Roman" w:hAnsi="Times New Roman" w:cs="Times New Roman" w:eastAsia="Times New Roman" w:hint="default"/>
                <w:sz w:val="18"/>
                <w:szCs w:val="18"/>
              </w:rPr>
            </w:pPr>
            <w:r>
              <w:rPr>
                <w:rFonts w:ascii="Times New Roman" w:hAnsi="Times New Roman"/>
                <w:b/>
                <w:sz w:val="18"/>
              </w:rPr>
              <w:t>Укупно  Град </w:t>
            </w:r>
            <w:r>
              <w:rPr>
                <w:rFonts w:ascii="Times New Roman" w:hAnsi="Times New Roman"/>
                <w:b/>
                <w:sz w:val="18"/>
              </w:rPr>
              <w:t>- </w:t>
            </w:r>
            <w:r>
              <w:rPr>
                <w:rFonts w:ascii="Times New Roman" w:hAnsi="Times New Roman"/>
                <w:b/>
                <w:sz w:val="18"/>
              </w:rPr>
              <w:t>група</w:t>
            </w:r>
            <w:r>
              <w:rPr>
                <w:rFonts w:ascii="Times New Roman" w:hAnsi="Times New Roman"/>
                <w:b/>
                <w:spacing w:val="-8"/>
                <w:sz w:val="18"/>
              </w:rPr>
              <w:t> </w:t>
            </w:r>
            <w:r>
              <w:rPr>
                <w:rFonts w:ascii="Times New Roman" w:hAnsi="Times New Roman"/>
                <w:b/>
                <w:sz w:val="18"/>
              </w:rPr>
              <w:t>412000</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pacing w:val="-1"/>
                <w:sz w:val="18"/>
              </w:rPr>
              <w:t>330.987</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329.401</w:t>
            </w:r>
            <w:r>
              <w:rPr>
                <w:rFonts w:ascii="Times New Roman"/>
                <w:spacing w:val="-1"/>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3"/>
              <w:jc w:val="right"/>
              <w:rPr>
                <w:rFonts w:ascii="Times New Roman" w:hAnsi="Times New Roman" w:cs="Times New Roman" w:eastAsia="Times New Roman" w:hint="default"/>
                <w:sz w:val="18"/>
                <w:szCs w:val="18"/>
              </w:rPr>
            </w:pPr>
            <w:r>
              <w:rPr>
                <w:rFonts w:ascii="Times New Roman"/>
                <w:b/>
                <w:spacing w:val="-1"/>
                <w:sz w:val="18"/>
              </w:rPr>
              <w:t>316.863</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3"/>
              <w:jc w:val="right"/>
              <w:rPr>
                <w:rFonts w:ascii="Times New Roman" w:hAnsi="Times New Roman" w:cs="Times New Roman" w:eastAsia="Times New Roman" w:hint="default"/>
                <w:sz w:val="18"/>
                <w:szCs w:val="18"/>
              </w:rPr>
            </w:pPr>
            <w:r>
              <w:rPr>
                <w:rFonts w:ascii="Times New Roman"/>
                <w:b/>
                <w:spacing w:val="-1"/>
                <w:sz w:val="18"/>
              </w:rPr>
              <w:t>317.172</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96,29</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100,10</w:t>
            </w:r>
          </w:p>
        </w:tc>
      </w:tr>
    </w:tbl>
    <w:p>
      <w:pPr>
        <w:pStyle w:val="BodyText"/>
        <w:spacing w:line="240" w:lineRule="auto"/>
        <w:ind w:right="179" w:firstLine="566"/>
        <w:jc w:val="both"/>
      </w:pPr>
      <w:r>
        <w:rPr>
          <w:rFonts w:ascii="Times New Roman" w:hAnsi="Times New Roman"/>
        </w:rPr>
        <w:t>1-6) </w:t>
      </w:r>
      <w:r>
        <w:rPr/>
        <w:t>За </w:t>
      </w:r>
      <w:r>
        <w:rPr>
          <w:rFonts w:ascii="Times New Roman" w:hAnsi="Times New Roman"/>
          <w:b/>
        </w:rPr>
        <w:t>директне кориснике </w:t>
      </w:r>
      <w:r>
        <w:rPr/>
        <w:t>су у 2014. години обрачунати и плаћени доприноси за социјално осигурање у износу од 120.888 хиљада динара и то допринос за пензијско и инвалидско осигурање у износу од 76.934 хиљаде динара, допринос за здравствено осигурање</w:t>
      </w:r>
      <w:r>
        <w:rPr>
          <w:spacing w:val="28"/>
        </w:rPr>
        <w:t> </w:t>
      </w:r>
      <w:r>
        <w:rPr/>
        <w:t>у</w:t>
      </w:r>
      <w:r>
        <w:rPr>
          <w:spacing w:val="20"/>
        </w:rPr>
        <w:t> </w:t>
      </w:r>
      <w:r>
        <w:rPr/>
        <w:t>износу</w:t>
      </w:r>
      <w:r>
        <w:rPr>
          <w:spacing w:val="20"/>
        </w:rPr>
        <w:t> </w:t>
      </w:r>
      <w:r>
        <w:rPr/>
        <w:t>од</w:t>
      </w:r>
      <w:r>
        <w:rPr>
          <w:spacing w:val="27"/>
        </w:rPr>
        <w:t> </w:t>
      </w:r>
      <w:r>
        <w:rPr/>
        <w:t>38.888</w:t>
      </w:r>
      <w:r>
        <w:rPr>
          <w:spacing w:val="25"/>
        </w:rPr>
        <w:t> </w:t>
      </w:r>
      <w:r>
        <w:rPr/>
        <w:t>хиљада</w:t>
      </w:r>
      <w:r>
        <w:rPr>
          <w:spacing w:val="24"/>
        </w:rPr>
        <w:t> </w:t>
      </w:r>
      <w:r>
        <w:rPr/>
        <w:t>динара</w:t>
      </w:r>
      <w:r>
        <w:rPr>
          <w:spacing w:val="24"/>
        </w:rPr>
        <w:t> </w:t>
      </w:r>
      <w:r>
        <w:rPr/>
        <w:t>и</w:t>
      </w:r>
      <w:r>
        <w:rPr>
          <w:spacing w:val="26"/>
        </w:rPr>
        <w:t> </w:t>
      </w:r>
      <w:r>
        <w:rPr/>
        <w:t>допринос</w:t>
      </w:r>
      <w:r>
        <w:rPr>
          <w:spacing w:val="24"/>
        </w:rPr>
        <w:t> </w:t>
      </w:r>
      <w:r>
        <w:rPr/>
        <w:t>за</w:t>
      </w:r>
      <w:r>
        <w:rPr>
          <w:spacing w:val="24"/>
        </w:rPr>
        <w:t> </w:t>
      </w:r>
      <w:r>
        <w:rPr/>
        <w:t>незапосленост</w:t>
      </w:r>
      <w:r>
        <w:rPr>
          <w:spacing w:val="28"/>
        </w:rPr>
        <w:t> </w:t>
      </w:r>
      <w:r>
        <w:rPr/>
        <w:t>у</w:t>
      </w:r>
      <w:r>
        <w:rPr>
          <w:spacing w:val="20"/>
        </w:rPr>
        <w:t> </w:t>
      </w:r>
      <w:r>
        <w:rPr/>
        <w:t>износу</w:t>
      </w:r>
      <w:r>
        <w:rPr>
          <w:spacing w:val="20"/>
        </w:rPr>
        <w:t> </w:t>
      </w:r>
      <w:r>
        <w:rPr/>
        <w:t>од</w:t>
      </w:r>
    </w:p>
    <w:p>
      <w:pPr>
        <w:pStyle w:val="BodyText"/>
        <w:spacing w:line="240" w:lineRule="auto"/>
        <w:ind w:right="176"/>
        <w:jc w:val="both"/>
      </w:pPr>
      <w:r>
        <w:rPr/>
        <w:t>5.066 хиљада динара. Код директних корисника утврђено је да су социјални доприноси на терет послодавца више плаћени у износу од </w:t>
      </w:r>
      <w:r>
        <w:rPr>
          <w:rFonts w:ascii="Times New Roman" w:hAnsi="Times New Roman"/>
        </w:rPr>
        <w:t>9.920 </w:t>
      </w:r>
      <w:r>
        <w:rPr/>
        <w:t>хиљада динара, што је објашњено код групе 411000. У поступку ревизије, од јула 2015. године, за изабрана лица на сталном раду у Граду, обрачунавају се и исплаћују социјални доприноси у складу са</w:t>
      </w:r>
      <w:r>
        <w:rPr>
          <w:spacing w:val="-28"/>
        </w:rPr>
        <w:t> </w:t>
      </w:r>
      <w:r>
        <w:rPr/>
        <w:t>прописима.</w:t>
      </w:r>
    </w:p>
    <w:p>
      <w:pPr>
        <w:pStyle w:val="Heading2"/>
        <w:spacing w:line="240" w:lineRule="auto"/>
        <w:ind w:right="177"/>
        <w:jc w:val="both"/>
        <w:rPr>
          <w:b w:val="0"/>
          <w:bCs w:val="0"/>
          <w:i w:val="0"/>
        </w:rPr>
      </w:pPr>
      <w:r>
        <w:rPr>
          <w:i/>
        </w:rPr>
        <w:t>Препоручује се одговорним лицима да обрачун и исплату социјалних доприноса на терет послодавца за запослене врше у складу са</w:t>
      </w:r>
      <w:r>
        <w:rPr>
          <w:i/>
          <w:spacing w:val="-13"/>
        </w:rPr>
        <w:t> </w:t>
      </w:r>
      <w:r>
        <w:rPr>
          <w:i/>
        </w:rPr>
        <w:t>прописима.</w:t>
      </w:r>
      <w:r>
        <w:rPr>
          <w:b w:val="0"/>
          <w:i w:val="0"/>
        </w:rPr>
      </w:r>
    </w:p>
    <w:p>
      <w:pPr>
        <w:pStyle w:val="ListParagraph"/>
        <w:numPr>
          <w:ilvl w:val="0"/>
          <w:numId w:val="27"/>
        </w:numPr>
        <w:tabs>
          <w:tab w:pos="1015" w:val="left" w:leader="none"/>
        </w:tabs>
        <w:spacing w:line="240" w:lineRule="auto" w:before="132" w:after="0"/>
        <w:ind w:left="160" w:right="170" w:firstLine="566"/>
        <w:jc w:val="both"/>
        <w:rPr>
          <w:rFonts w:ascii="Times New Roman" w:hAnsi="Times New Roman" w:cs="Times New Roman" w:eastAsia="Times New Roman" w:hint="default"/>
          <w:sz w:val="24"/>
          <w:szCs w:val="24"/>
        </w:rPr>
      </w:pPr>
      <w:r>
        <w:rPr>
          <w:rFonts w:ascii="Times New Roman" w:hAnsi="Times New Roman"/>
          <w:b/>
          <w:sz w:val="24"/>
        </w:rPr>
        <w:t>Управа за образовање </w:t>
      </w:r>
      <w:r>
        <w:rPr>
          <w:rFonts w:ascii="Times New Roman" w:hAnsi="Times New Roman"/>
          <w:b/>
          <w:sz w:val="24"/>
        </w:rPr>
        <w:t>- </w:t>
      </w:r>
      <w:r>
        <w:rPr>
          <w:rFonts w:ascii="Times New Roman" w:hAnsi="Times New Roman"/>
          <w:sz w:val="24"/>
        </w:rPr>
        <w:t>Исказан је расход у износу од 96.964 хиљаде динара, који се односи на ПУ Пчелица у износу од 89.920 хиљада динара, Дечији центар у износу од 5.188 хиљада динара и Регионални центар за професионални развој запослених у образовању у износу од 1.856 хиљада</w:t>
      </w:r>
      <w:r>
        <w:rPr>
          <w:rFonts w:ascii="Times New Roman" w:hAnsi="Times New Roman"/>
          <w:spacing w:val="-11"/>
          <w:sz w:val="24"/>
        </w:rPr>
        <w:t> </w:t>
      </w:r>
      <w:r>
        <w:rPr>
          <w:rFonts w:ascii="Times New Roman" w:hAnsi="Times New Roman"/>
          <w:sz w:val="24"/>
        </w:rPr>
        <w:t>динара.</w:t>
      </w:r>
    </w:p>
    <w:p>
      <w:pPr>
        <w:pStyle w:val="BodyText"/>
        <w:spacing w:line="240" w:lineRule="auto"/>
        <w:ind w:right="179" w:firstLine="566"/>
        <w:jc w:val="both"/>
      </w:pPr>
      <w:r>
        <w:rPr>
          <w:rFonts w:ascii="Times New Roman" w:hAnsi="Times New Roman"/>
          <w:b/>
        </w:rPr>
        <w:t>7а) ПУ Пчелица </w:t>
      </w:r>
      <w:r>
        <w:rPr>
          <w:rFonts w:ascii="Times New Roman" w:hAnsi="Times New Roman"/>
          <w:b/>
        </w:rPr>
        <w:t>- </w:t>
      </w:r>
      <w:r>
        <w:rPr/>
        <w:t>Исказани су социјални доприноси на терет послодавца у износу од 89.920 хиљада динара и то у износу од 69.874 хиљаде динара на терет буџета Града, 2.816 хиљада динара на терет буџета Републике и 17.230 хиљада динара из осталих извора.</w:t>
      </w:r>
    </w:p>
    <w:p>
      <w:pPr>
        <w:pStyle w:val="BodyText"/>
        <w:spacing w:line="240" w:lineRule="auto"/>
        <w:ind w:right="175" w:firstLine="566"/>
        <w:jc w:val="both"/>
      </w:pPr>
      <w:r>
        <w:rPr/>
        <w:t>На основу ревизије узорковане документације утврђено је да су социјални доприноси на терет послодавца више плаћени у укупном износу од </w:t>
      </w:r>
      <w:r>
        <w:rPr>
          <w:rFonts w:ascii="Times New Roman" w:hAnsi="Times New Roman"/>
        </w:rPr>
        <w:t>2.630 </w:t>
      </w:r>
      <w:r>
        <w:rPr/>
        <w:t>хиљада динара, што је објашњено код групе</w:t>
      </w:r>
      <w:r>
        <w:rPr>
          <w:spacing w:val="-7"/>
        </w:rPr>
        <w:t> </w:t>
      </w:r>
      <w:r>
        <w:rPr/>
        <w:t>411000.</w:t>
      </w:r>
    </w:p>
    <w:p>
      <w:pPr>
        <w:pStyle w:val="Heading2"/>
        <w:spacing w:line="240" w:lineRule="auto"/>
        <w:ind w:right="176"/>
        <w:jc w:val="both"/>
        <w:rPr>
          <w:b w:val="0"/>
          <w:bCs w:val="0"/>
          <w:i w:val="0"/>
        </w:rPr>
      </w:pPr>
      <w:r>
        <w:rPr>
          <w:i/>
        </w:rPr>
        <w:t>Препоручује се одговорним лицима да обрачун и исплату социјалних доприноса на терет послодавца врше у складу са</w:t>
      </w:r>
      <w:r>
        <w:rPr>
          <w:i/>
          <w:spacing w:val="-12"/>
        </w:rPr>
        <w:t> </w:t>
      </w:r>
      <w:r>
        <w:rPr>
          <w:i/>
        </w:rPr>
        <w:t>прописима.</w:t>
      </w:r>
      <w:r>
        <w:rPr>
          <w:b w:val="0"/>
          <w:i w:val="0"/>
        </w:rPr>
      </w:r>
    </w:p>
    <w:p>
      <w:pPr>
        <w:pStyle w:val="ListParagraph"/>
        <w:numPr>
          <w:ilvl w:val="0"/>
          <w:numId w:val="27"/>
        </w:numPr>
        <w:tabs>
          <w:tab w:pos="994" w:val="left" w:leader="none"/>
        </w:tabs>
        <w:spacing w:line="240" w:lineRule="auto" w:before="132" w:after="0"/>
        <w:ind w:left="160" w:right="177"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 за комуналне делатности, енергетику и саобраћај </w:t>
      </w:r>
      <w:r>
        <w:rPr>
          <w:rFonts w:ascii="Times New Roman" w:hAnsi="Times New Roman" w:cs="Times New Roman" w:eastAsia="Times New Roman" w:hint="default"/>
          <w:sz w:val="24"/>
          <w:szCs w:val="24"/>
        </w:rPr>
        <w:t>– Исказан је расход у износу од 19.995 хиљада динара, који се односи на индиректног</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корисника.</w:t>
      </w:r>
    </w:p>
    <w:p>
      <w:pPr>
        <w:pStyle w:val="BodyText"/>
        <w:spacing w:line="240" w:lineRule="auto"/>
        <w:ind w:right="184" w:firstLine="566"/>
        <w:jc w:val="both"/>
      </w:pPr>
      <w:r>
        <w:rPr>
          <w:rFonts w:ascii="Times New Roman" w:hAnsi="Times New Roman"/>
          <w:b/>
        </w:rPr>
        <w:t>8а) ЈП Дирекција </w:t>
      </w:r>
      <w:r>
        <w:rPr>
          <w:rFonts w:ascii="Times New Roman" w:hAnsi="Times New Roman"/>
        </w:rPr>
        <w:t>- </w:t>
      </w:r>
      <w:r>
        <w:rPr/>
        <w:t>Исказани су укупно плаћени социјални доприноси на терет послодавца у износу од </w:t>
      </w:r>
      <w:r>
        <w:rPr>
          <w:rFonts w:ascii="Times New Roman" w:hAnsi="Times New Roman"/>
        </w:rPr>
        <w:t>19.995 </w:t>
      </w:r>
      <w:r>
        <w:rPr/>
        <w:t>хиљада динара и то из буџета града</w:t>
      </w:r>
      <w:r>
        <w:rPr>
          <w:spacing w:val="-16"/>
        </w:rPr>
        <w:t> </w:t>
      </w:r>
      <w:r>
        <w:rPr/>
        <w:t>Ниша.</w:t>
      </w:r>
    </w:p>
    <w:p>
      <w:pPr>
        <w:pStyle w:val="BodyText"/>
        <w:spacing w:line="240" w:lineRule="auto"/>
        <w:ind w:right="175" w:firstLine="566"/>
        <w:jc w:val="both"/>
      </w:pPr>
      <w:r>
        <w:rPr/>
        <w:t>На основу ревизије узорковане документације утврђено је да су социјални доприноси на терет послодавца више плаћени у укупном износу од 401 хиљаде динара, што је објашњено код групе</w:t>
      </w:r>
      <w:r>
        <w:rPr>
          <w:spacing w:val="-7"/>
        </w:rPr>
        <w:t> </w:t>
      </w:r>
      <w:r>
        <w:rPr/>
        <w:t>411000.</w:t>
      </w:r>
    </w:p>
    <w:p>
      <w:pPr>
        <w:pStyle w:val="Heading2"/>
        <w:spacing w:line="240" w:lineRule="auto"/>
        <w:ind w:right="176"/>
        <w:jc w:val="both"/>
        <w:rPr>
          <w:b w:val="0"/>
          <w:bCs w:val="0"/>
          <w:i w:val="0"/>
        </w:rPr>
      </w:pPr>
      <w:r>
        <w:rPr>
          <w:i/>
        </w:rPr>
        <w:t>Препоручује се одговорним лицима да обрачун и исплату социјалних доприноса на терет послодавца врше у складу са</w:t>
      </w:r>
      <w:r>
        <w:rPr>
          <w:i/>
          <w:spacing w:val="-12"/>
        </w:rPr>
        <w:t> </w:t>
      </w:r>
      <w:r>
        <w:rPr>
          <w:i/>
        </w:rPr>
        <w:t>прописима.</w:t>
      </w:r>
      <w:r>
        <w:rPr>
          <w:b w:val="0"/>
          <w:i w:val="0"/>
        </w:rPr>
      </w:r>
    </w:p>
    <w:p>
      <w:pPr>
        <w:spacing w:line="240" w:lineRule="auto" w:before="11"/>
        <w:rPr>
          <w:rFonts w:ascii="Times New Roman" w:hAnsi="Times New Roman" w:cs="Times New Roman" w:eastAsia="Times New Roman" w:hint="default"/>
          <w:b/>
          <w:bCs/>
          <w:i/>
          <w:sz w:val="17"/>
          <w:szCs w:val="17"/>
        </w:rPr>
      </w:pPr>
    </w:p>
    <w:p>
      <w:pPr>
        <w:spacing w:after="0" w:line="240" w:lineRule="auto"/>
        <w:rPr>
          <w:rFonts w:ascii="Times New Roman" w:hAnsi="Times New Roman" w:cs="Times New Roman" w:eastAsia="Times New Roman" w:hint="default"/>
          <w:sz w:val="17"/>
          <w:szCs w:val="17"/>
        </w:rPr>
        <w:sectPr>
          <w:pgSz w:w="12240" w:h="15840"/>
          <w:pgMar w:header="740" w:footer="1274" w:top="1280" w:bottom="1460" w:left="1400" w:right="1260"/>
        </w:sectPr>
      </w:pPr>
    </w:p>
    <w:p>
      <w:pPr>
        <w:pStyle w:val="Heading1"/>
        <w:numPr>
          <w:ilvl w:val="3"/>
          <w:numId w:val="28"/>
        </w:numPr>
        <w:tabs>
          <w:tab w:pos="941" w:val="left" w:leader="none"/>
        </w:tabs>
        <w:spacing w:line="274" w:lineRule="exact" w:before="69" w:after="0"/>
        <w:ind w:left="940" w:right="0" w:hanging="780"/>
        <w:jc w:val="left"/>
        <w:rPr>
          <w:b w:val="0"/>
          <w:bCs w:val="0"/>
        </w:rPr>
      </w:pPr>
      <w:bookmarkStart w:name="_bookmark11" w:id="19"/>
      <w:bookmarkEnd w:id="19"/>
      <w:r>
        <w:rPr>
          <w:b w:val="0"/>
        </w:rPr>
      </w:r>
      <w:bookmarkStart w:name="_bookmark11" w:id="20"/>
      <w:bookmarkEnd w:id="20"/>
      <w:r>
        <w:rPr/>
        <w:t>На</w:t>
      </w:r>
      <w:r>
        <w:rPr/>
        <w:t>кнаде у натури, група</w:t>
      </w:r>
      <w:r>
        <w:rPr>
          <w:spacing w:val="-7"/>
        </w:rPr>
        <w:t> </w:t>
      </w:r>
      <w:r>
        <w:rPr/>
        <w:t>413000</w:t>
      </w:r>
      <w:r>
        <w:rPr>
          <w:b w:val="0"/>
        </w:rPr>
      </w:r>
    </w:p>
    <w:p>
      <w:pPr>
        <w:pStyle w:val="BodyText"/>
        <w:spacing w:line="274" w:lineRule="exact"/>
        <w:ind w:left="880" w:right="-2"/>
        <w:jc w:val="left"/>
      </w:pPr>
      <w:r>
        <w:rPr/>
        <w:t>Група 413000 садржи синтетички конто накнаде у</w:t>
      </w:r>
      <w:r>
        <w:rPr>
          <w:spacing w:val="-24"/>
        </w:rPr>
        <w:t> </w:t>
      </w:r>
      <w:r>
        <w:rPr/>
        <w:t>натури.</w:t>
      </w:r>
    </w:p>
    <w:p>
      <w:pPr>
        <w:spacing w:line="240" w:lineRule="auto" w:before="0"/>
        <w:rPr>
          <w:rFonts w:ascii="Times New Roman" w:hAnsi="Times New Roman" w:cs="Times New Roman" w:eastAsia="Times New Roman" w:hint="default"/>
          <w:sz w:val="18"/>
          <w:szCs w:val="18"/>
        </w:rPr>
      </w:pPr>
      <w:r>
        <w:rPr/>
        <w:br w:type="column"/>
      </w:r>
      <w:r>
        <w:rPr>
          <w:rFonts w:ascii="Times New Roman"/>
          <w:sz w:val="18"/>
        </w:rPr>
      </w:r>
    </w:p>
    <w:p>
      <w:pPr>
        <w:spacing w:line="240" w:lineRule="auto" w:before="0"/>
        <w:rPr>
          <w:rFonts w:ascii="Times New Roman" w:hAnsi="Times New Roman" w:cs="Times New Roman" w:eastAsia="Times New Roman" w:hint="default"/>
          <w:sz w:val="18"/>
          <w:szCs w:val="18"/>
        </w:rPr>
      </w:pPr>
    </w:p>
    <w:p>
      <w:pPr>
        <w:spacing w:line="240" w:lineRule="auto" w:before="10"/>
        <w:rPr>
          <w:rFonts w:ascii="Times New Roman" w:hAnsi="Times New Roman" w:cs="Times New Roman" w:eastAsia="Times New Roman" w:hint="default"/>
          <w:sz w:val="17"/>
          <w:szCs w:val="17"/>
        </w:rPr>
      </w:pPr>
    </w:p>
    <w:p>
      <w:pPr>
        <w:spacing w:before="0"/>
        <w:ind w:left="160" w:right="0" w:firstLine="0"/>
        <w:jc w:val="left"/>
        <w:rPr>
          <w:rFonts w:ascii="Times New Roman" w:hAnsi="Times New Roman" w:cs="Times New Roman" w:eastAsia="Times New Roman" w:hint="default"/>
          <w:sz w:val="18"/>
          <w:szCs w:val="18"/>
        </w:rPr>
      </w:pPr>
      <w:r>
        <w:rPr>
          <w:rFonts w:ascii="Times New Roman" w:hAnsi="Times New Roman"/>
          <w:sz w:val="18"/>
        </w:rPr>
        <w:t>(у хиљадама</w:t>
      </w:r>
      <w:r>
        <w:rPr>
          <w:rFonts w:ascii="Times New Roman" w:hAnsi="Times New Roman"/>
          <w:spacing w:val="-9"/>
          <w:sz w:val="18"/>
        </w:rPr>
        <w:t> </w:t>
      </w:r>
      <w:r>
        <w:rPr>
          <w:rFonts w:ascii="Times New Roman" w:hAnsi="Times New Roman"/>
          <w:sz w:val="18"/>
        </w:rPr>
        <w:t>динара)</w:t>
      </w:r>
    </w:p>
    <w:p>
      <w:pPr>
        <w:spacing w:after="0"/>
        <w:jc w:val="left"/>
        <w:rPr>
          <w:rFonts w:ascii="Times New Roman" w:hAnsi="Times New Roman" w:cs="Times New Roman" w:eastAsia="Times New Roman" w:hint="default"/>
          <w:sz w:val="18"/>
          <w:szCs w:val="18"/>
        </w:rPr>
        <w:sectPr>
          <w:type w:val="continuous"/>
          <w:pgSz w:w="12240" w:h="15840"/>
          <w:pgMar w:top="1500" w:bottom="280" w:left="1400" w:right="1260"/>
          <w:cols w:num="2" w:equalWidth="0">
            <w:col w:w="6845" w:space="801"/>
            <w:col w:w="1934"/>
          </w:cols>
        </w:sectPr>
      </w:pPr>
    </w:p>
    <w:tbl>
      <w:tblPr>
        <w:tblW w:w="0" w:type="auto"/>
        <w:jc w:val="left"/>
        <w:tblInd w:w="141" w:type="dxa"/>
        <w:tblLayout w:type="fixed"/>
        <w:tblCellMar>
          <w:top w:w="0" w:type="dxa"/>
          <w:left w:w="0" w:type="dxa"/>
          <w:bottom w:w="0" w:type="dxa"/>
          <w:right w:w="0" w:type="dxa"/>
        </w:tblCellMar>
        <w:tblLook w:val="01E0"/>
      </w:tblPr>
      <w:tblGrid>
        <w:gridCol w:w="876"/>
        <w:gridCol w:w="2401"/>
        <w:gridCol w:w="960"/>
        <w:gridCol w:w="1351"/>
        <w:gridCol w:w="1047"/>
        <w:gridCol w:w="936"/>
        <w:gridCol w:w="845"/>
        <w:gridCol w:w="847"/>
      </w:tblGrid>
      <w:tr>
        <w:trPr>
          <w:trHeight w:val="422"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61" w:right="178" w:hanging="72"/>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left="393"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8"/>
                <w:sz w:val="18"/>
              </w:rPr>
              <w:t> </w:t>
            </w:r>
            <w:r>
              <w:rPr>
                <w:rFonts w:ascii="Times New Roman" w:hAnsi="Times New Roman"/>
                <w:b/>
                <w:sz w:val="18"/>
              </w:rPr>
              <w:t>корисник</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right="103"/>
              <w:jc w:val="right"/>
              <w:rPr>
                <w:rFonts w:ascii="Times New Roman" w:hAnsi="Times New Roman" w:cs="Times New Roman" w:eastAsia="Times New Roman" w:hint="default"/>
                <w:sz w:val="18"/>
                <w:szCs w:val="18"/>
              </w:rPr>
            </w:pPr>
            <w:r>
              <w:rPr>
                <w:rFonts w:ascii="Times New Roman" w:hAnsi="Times New Roman"/>
                <w:b/>
                <w:spacing w:val="-1"/>
                <w:sz w:val="18"/>
              </w:rPr>
              <w:t>Ребаланс</w:t>
            </w:r>
            <w:r>
              <w:rPr>
                <w:rFonts w:ascii="Times New Roman" w:hAns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93" w:firstLine="88"/>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реалокацијом</w:t>
            </w:r>
            <w:r>
              <w:rPr>
                <w:rFonts w:ascii="Times New Roman" w:hAns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95"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12" w:right="107"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99" w:right="110"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302" w:right="109"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49"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403" w:right="0"/>
              <w:jc w:val="left"/>
              <w:rPr>
                <w:rFonts w:ascii="Times New Roman" w:hAnsi="Times New Roman" w:cs="Times New Roman" w:eastAsia="Times New Roman" w:hint="default"/>
                <w:sz w:val="12"/>
                <w:szCs w:val="12"/>
              </w:rPr>
            </w:pPr>
            <w:r>
              <w:rPr>
                <w:rFonts w:ascii="Times New Roman"/>
                <w:sz w:val="12"/>
              </w:rPr>
              <w:t>1</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1"/>
              <w:jc w:val="center"/>
              <w:rPr>
                <w:rFonts w:ascii="Times New Roman" w:hAnsi="Times New Roman" w:cs="Times New Roman" w:eastAsia="Times New Roman" w:hint="default"/>
                <w:sz w:val="12"/>
                <w:szCs w:val="12"/>
              </w:rPr>
            </w:pPr>
            <w:r>
              <w:rPr>
                <w:rFonts w:ascii="Times New Roman"/>
                <w:sz w:val="12"/>
              </w:rPr>
              <w:t>2</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2"/>
              <w:jc w:val="center"/>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
              <w:jc w:val="center"/>
              <w:rPr>
                <w:rFonts w:ascii="Times New Roman" w:hAnsi="Times New Roman" w:cs="Times New Roman" w:eastAsia="Times New Roman" w:hint="default"/>
                <w:sz w:val="12"/>
                <w:szCs w:val="12"/>
              </w:rPr>
            </w:pPr>
            <w:r>
              <w:rPr>
                <w:rFonts w:ascii="Times New Roman"/>
                <w:sz w:val="12"/>
              </w:rPr>
              <w:t>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386" w:right="0"/>
              <w:jc w:val="left"/>
              <w:rPr>
                <w:rFonts w:ascii="Times New Roman" w:hAnsi="Times New Roman" w:cs="Times New Roman" w:eastAsia="Times New Roman" w:hint="default"/>
                <w:sz w:val="12"/>
                <w:szCs w:val="12"/>
              </w:rPr>
            </w:pPr>
            <w:r>
              <w:rPr>
                <w:rFonts w:ascii="Times New Roman"/>
                <w:sz w:val="12"/>
              </w:rPr>
              <w:t>7</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8</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1</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8"/>
                <w:sz w:val="18"/>
              </w:rPr>
              <w:t> </w:t>
            </w:r>
            <w:r>
              <w:rPr>
                <w:rFonts w:ascii="Times New Roman" w:hAnsi="Times New Roman"/>
                <w:sz w:val="18"/>
              </w:rPr>
              <w:t>финансије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59.627</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59.627</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51.272</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51.272</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26" w:right="0"/>
              <w:jc w:val="left"/>
              <w:rPr>
                <w:rFonts w:ascii="Times New Roman" w:hAnsi="Times New Roman" w:cs="Times New Roman" w:eastAsia="Times New Roman" w:hint="default"/>
                <w:sz w:val="18"/>
                <w:szCs w:val="18"/>
              </w:rPr>
            </w:pPr>
            <w:r>
              <w:rPr>
                <w:rFonts w:ascii="Times New Roman"/>
                <w:sz w:val="18"/>
              </w:rPr>
              <w:t>85,99</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33"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386" w:right="0"/>
              <w:jc w:val="left"/>
              <w:rPr>
                <w:rFonts w:ascii="Times New Roman" w:hAnsi="Times New Roman" w:cs="Times New Roman" w:eastAsia="Times New Roman" w:hint="default"/>
                <w:sz w:val="18"/>
                <w:szCs w:val="18"/>
              </w:rPr>
            </w:pPr>
            <w:r>
              <w:rPr>
                <w:rFonts w:ascii="Times New Roman"/>
                <w:sz w:val="18"/>
              </w:rPr>
              <w:t>2</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5"/>
                <w:sz w:val="18"/>
              </w:rPr>
              <w:t> </w:t>
            </w:r>
            <w:r>
              <w:rPr>
                <w:rFonts w:ascii="Times New Roman" w:hAnsi="Times New Roman"/>
                <w:sz w:val="18"/>
              </w:rPr>
              <w:t>образовање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spacing w:val="-1"/>
                <w:sz w:val="18"/>
              </w:rPr>
              <w:t>44.345</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spacing w:val="-1"/>
                <w:sz w:val="18"/>
              </w:rPr>
              <w:t>44.345</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3"/>
              <w:jc w:val="right"/>
              <w:rPr>
                <w:rFonts w:ascii="Times New Roman" w:hAnsi="Times New Roman" w:cs="Times New Roman" w:eastAsia="Times New Roman" w:hint="default"/>
                <w:sz w:val="18"/>
                <w:szCs w:val="18"/>
              </w:rPr>
            </w:pPr>
            <w:r>
              <w:rPr>
                <w:rFonts w:ascii="Times New Roman"/>
                <w:spacing w:val="-1"/>
                <w:sz w:val="18"/>
              </w:rPr>
              <w:t>25.097</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2"/>
              <w:jc w:val="right"/>
              <w:rPr>
                <w:rFonts w:ascii="Times New Roman" w:hAnsi="Times New Roman" w:cs="Times New Roman" w:eastAsia="Times New Roman" w:hint="default"/>
                <w:sz w:val="18"/>
                <w:szCs w:val="18"/>
              </w:rPr>
            </w:pPr>
            <w:r>
              <w:rPr>
                <w:rFonts w:ascii="Times New Roman"/>
                <w:spacing w:val="-1"/>
                <w:sz w:val="18"/>
              </w:rPr>
              <w:t>25.097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326" w:right="0"/>
              <w:jc w:val="left"/>
              <w:rPr>
                <w:rFonts w:ascii="Times New Roman" w:hAnsi="Times New Roman" w:cs="Times New Roman" w:eastAsia="Times New Roman" w:hint="default"/>
                <w:sz w:val="18"/>
                <w:szCs w:val="18"/>
              </w:rPr>
            </w:pPr>
            <w:r>
              <w:rPr>
                <w:rFonts w:ascii="Times New Roman"/>
                <w:sz w:val="18"/>
              </w:rPr>
              <w:t>56,59</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hAnsi="Times New Roman"/>
                <w:sz w:val="18"/>
              </w:rPr>
              <w:t>2а</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ПУ</w:t>
            </w:r>
            <w:r>
              <w:rPr>
                <w:rFonts w:ascii="Times New Roman" w:hAnsi="Times New Roman"/>
                <w:spacing w:val="-5"/>
                <w:sz w:val="18"/>
              </w:rPr>
              <w:t> </w:t>
            </w:r>
            <w:r>
              <w:rPr>
                <w:rFonts w:ascii="Times New Roman" w:hAnsi="Times New Roman"/>
                <w:sz w:val="18"/>
              </w:rPr>
              <w:t>Пчелица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41.000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41.000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23.895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23.895</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26" w:right="0"/>
              <w:jc w:val="left"/>
              <w:rPr>
                <w:rFonts w:ascii="Times New Roman" w:hAnsi="Times New Roman" w:cs="Times New Roman" w:eastAsia="Times New Roman" w:hint="default"/>
                <w:sz w:val="18"/>
                <w:szCs w:val="18"/>
              </w:rPr>
            </w:pPr>
            <w:r>
              <w:rPr>
                <w:rFonts w:ascii="Times New Roman"/>
                <w:sz w:val="18"/>
              </w:rPr>
              <w:t>58,28</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3</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ком.</w:t>
            </w:r>
            <w:r>
              <w:rPr>
                <w:rFonts w:ascii="Times New Roman" w:hAnsi="Times New Roman"/>
                <w:spacing w:val="-10"/>
                <w:sz w:val="18"/>
              </w:rPr>
              <w:t> </w:t>
            </w:r>
            <w:r>
              <w:rPr>
                <w:rFonts w:ascii="Times New Roman" w:hAnsi="Times New Roman"/>
                <w:sz w:val="18"/>
              </w:rPr>
              <w:t>делат.</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2.700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2.700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700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700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26" w:right="0"/>
              <w:jc w:val="left"/>
              <w:rPr>
                <w:rFonts w:ascii="Times New Roman" w:hAnsi="Times New Roman" w:cs="Times New Roman" w:eastAsia="Times New Roman" w:hint="default"/>
                <w:sz w:val="18"/>
                <w:szCs w:val="18"/>
              </w:rPr>
            </w:pPr>
            <w:r>
              <w:rPr>
                <w:rFonts w:ascii="Times New Roman"/>
                <w:sz w:val="18"/>
              </w:rPr>
              <w:t>25,93</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9"/>
              <w:jc w:val="right"/>
              <w:rPr>
                <w:rFonts w:ascii="Times New Roman" w:hAnsi="Times New Roman" w:cs="Times New Roman" w:eastAsia="Times New Roman" w:hint="default"/>
                <w:sz w:val="18"/>
                <w:szCs w:val="18"/>
              </w:rPr>
            </w:pPr>
            <w:r>
              <w:rPr>
                <w:rFonts w:ascii="Times New Roman" w:hAnsi="Times New Roman"/>
                <w:sz w:val="18"/>
              </w:rPr>
              <w:t>3а</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ЈП</w:t>
            </w:r>
            <w:r>
              <w:rPr>
                <w:rFonts w:ascii="Times New Roman" w:hAnsi="Times New Roman"/>
                <w:spacing w:val="-6"/>
                <w:sz w:val="18"/>
              </w:rPr>
              <w:t> </w:t>
            </w:r>
            <w:r>
              <w:rPr>
                <w:rFonts w:ascii="Times New Roman" w:hAnsi="Times New Roman"/>
                <w:sz w:val="18"/>
              </w:rPr>
              <w:t>Дирекција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2.700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2.700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z w:val="18"/>
              </w:rPr>
              <w:t>700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z w:val="18"/>
              </w:rPr>
              <w:t>700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26" w:right="0"/>
              <w:jc w:val="left"/>
              <w:rPr>
                <w:rFonts w:ascii="Times New Roman" w:hAnsi="Times New Roman" w:cs="Times New Roman" w:eastAsia="Times New Roman" w:hint="default"/>
                <w:sz w:val="18"/>
                <w:szCs w:val="18"/>
              </w:rPr>
            </w:pPr>
            <w:r>
              <w:rPr>
                <w:rFonts w:ascii="Times New Roman"/>
                <w:sz w:val="18"/>
              </w:rPr>
              <w:t>25,93</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bl>
    <w:p>
      <w:pPr>
        <w:spacing w:after="0" w:line="205" w:lineRule="exact"/>
        <w:jc w:val="right"/>
        <w:rPr>
          <w:rFonts w:ascii="Times New Roman" w:hAnsi="Times New Roman" w:cs="Times New Roman" w:eastAsia="Times New Roman" w:hint="default"/>
          <w:sz w:val="18"/>
          <w:szCs w:val="18"/>
        </w:rPr>
        <w:sectPr>
          <w:type w:val="continuous"/>
          <w:pgSz w:w="12240" w:h="15840"/>
          <w:pgMar w:top="1500" w:bottom="280" w:left="1400" w:right="1260"/>
        </w:sectPr>
      </w:pPr>
    </w:p>
    <w:p>
      <w:pPr>
        <w:spacing w:line="240" w:lineRule="auto" w:before="3"/>
        <w:rPr>
          <w:rFonts w:ascii="Times New Roman" w:hAnsi="Times New Roman" w:cs="Times New Roman" w:eastAsia="Times New Roman" w:hint="default"/>
          <w:sz w:val="11"/>
          <w:szCs w:val="11"/>
        </w:rPr>
      </w:pPr>
    </w:p>
    <w:tbl>
      <w:tblPr>
        <w:tblW w:w="0" w:type="auto"/>
        <w:jc w:val="left"/>
        <w:tblInd w:w="141" w:type="dxa"/>
        <w:tblLayout w:type="fixed"/>
        <w:tblCellMar>
          <w:top w:w="0" w:type="dxa"/>
          <w:left w:w="0" w:type="dxa"/>
          <w:bottom w:w="0" w:type="dxa"/>
          <w:right w:w="0" w:type="dxa"/>
        </w:tblCellMar>
        <w:tblLook w:val="01E0"/>
      </w:tblPr>
      <w:tblGrid>
        <w:gridCol w:w="3277"/>
        <w:gridCol w:w="960"/>
        <w:gridCol w:w="1351"/>
        <w:gridCol w:w="1047"/>
        <w:gridCol w:w="936"/>
        <w:gridCol w:w="845"/>
        <w:gridCol w:w="847"/>
      </w:tblGrid>
      <w:tr>
        <w:trPr>
          <w:trHeight w:val="216" w:hRule="exact"/>
        </w:trPr>
        <w:tc>
          <w:tcPr>
            <w:tcW w:w="32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467" w:right="466"/>
              <w:jc w:val="center"/>
              <w:rPr>
                <w:rFonts w:ascii="Times New Roman" w:hAnsi="Times New Roman" w:cs="Times New Roman" w:eastAsia="Times New Roman" w:hint="default"/>
                <w:sz w:val="18"/>
                <w:szCs w:val="18"/>
              </w:rPr>
            </w:pPr>
            <w:r>
              <w:rPr>
                <w:rFonts w:ascii="Times New Roman" w:hAnsi="Times New Roman"/>
                <w:b/>
                <w:sz w:val="18"/>
              </w:rPr>
              <w:t>Укупно корисници</w:t>
            </w:r>
            <w:r>
              <w:rPr>
                <w:rFonts w:ascii="Times New Roman" w:hAnsi="Times New Roman"/>
                <w:b/>
                <w:spacing w:val="-2"/>
                <w:sz w:val="18"/>
              </w:rPr>
              <w:t> </w:t>
            </w:r>
            <w:r>
              <w:rPr>
                <w:rFonts w:ascii="Times New Roman" w:hAnsi="Times New Roman"/>
                <w:b/>
                <w:sz w:val="18"/>
              </w:rPr>
              <w:t>(1</w:t>
            </w:r>
            <w:r>
              <w:rPr>
                <w:rFonts w:ascii="Times New Roman" w:hAnsi="Times New Roman"/>
                <w:b/>
                <w:sz w:val="18"/>
              </w:rPr>
              <w:t>-3)</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pacing w:val="-1"/>
                <w:sz w:val="18"/>
              </w:rPr>
              <w:t>106.672</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106.672</w:t>
            </w:r>
            <w:r>
              <w:rPr>
                <w:rFonts w:ascii="Times New Roman"/>
                <w:spacing w:val="-1"/>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3"/>
              <w:jc w:val="right"/>
              <w:rPr>
                <w:rFonts w:ascii="Times New Roman" w:hAnsi="Times New Roman" w:cs="Times New Roman" w:eastAsia="Times New Roman" w:hint="default"/>
                <w:sz w:val="18"/>
                <w:szCs w:val="18"/>
              </w:rPr>
            </w:pPr>
            <w:r>
              <w:rPr>
                <w:rFonts w:ascii="Times New Roman"/>
                <w:b/>
                <w:spacing w:val="-1"/>
                <w:sz w:val="18"/>
              </w:rPr>
              <w:t>77.069</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2"/>
              <w:jc w:val="right"/>
              <w:rPr>
                <w:rFonts w:ascii="Times New Roman" w:hAnsi="Times New Roman" w:cs="Times New Roman" w:eastAsia="Times New Roman" w:hint="default"/>
                <w:sz w:val="18"/>
                <w:szCs w:val="18"/>
              </w:rPr>
            </w:pPr>
            <w:r>
              <w:rPr>
                <w:rFonts w:ascii="Times New Roman"/>
                <w:b/>
                <w:spacing w:val="-1"/>
                <w:sz w:val="18"/>
              </w:rPr>
              <w:t>77.069</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72,25</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100,00</w:t>
            </w:r>
            <w:r>
              <w:rPr>
                <w:rFonts w:ascii="Times New Roman"/>
                <w:spacing w:val="-1"/>
                <w:sz w:val="18"/>
              </w:rPr>
            </w:r>
          </w:p>
        </w:tc>
      </w:tr>
      <w:tr>
        <w:trPr>
          <w:trHeight w:val="266" w:hRule="exact"/>
        </w:trPr>
        <w:tc>
          <w:tcPr>
            <w:tcW w:w="32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left="467" w:right="467"/>
              <w:jc w:val="center"/>
              <w:rPr>
                <w:rFonts w:ascii="Times New Roman" w:hAnsi="Times New Roman" w:cs="Times New Roman" w:eastAsia="Times New Roman" w:hint="default"/>
                <w:sz w:val="18"/>
                <w:szCs w:val="18"/>
              </w:rPr>
            </w:pPr>
            <w:r>
              <w:rPr>
                <w:rFonts w:ascii="Times New Roman" w:hAnsi="Times New Roman"/>
                <w:b/>
                <w:sz w:val="18"/>
              </w:rPr>
              <w:t>Укупно  Град </w:t>
            </w:r>
            <w:r>
              <w:rPr>
                <w:rFonts w:ascii="Times New Roman" w:hAnsi="Times New Roman"/>
                <w:b/>
                <w:sz w:val="18"/>
              </w:rPr>
              <w:t>- </w:t>
            </w:r>
            <w:r>
              <w:rPr>
                <w:rFonts w:ascii="Times New Roman" w:hAnsi="Times New Roman"/>
                <w:b/>
                <w:sz w:val="18"/>
              </w:rPr>
              <w:t>група</w:t>
            </w:r>
            <w:r>
              <w:rPr>
                <w:rFonts w:ascii="Times New Roman" w:hAnsi="Times New Roman"/>
                <w:b/>
                <w:spacing w:val="-8"/>
                <w:sz w:val="18"/>
              </w:rPr>
              <w:t> </w:t>
            </w:r>
            <w:r>
              <w:rPr>
                <w:rFonts w:ascii="Times New Roman" w:hAnsi="Times New Roman"/>
                <w:b/>
                <w:sz w:val="18"/>
              </w:rPr>
              <w:t>413000</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1"/>
              <w:jc w:val="right"/>
              <w:rPr>
                <w:rFonts w:ascii="Times New Roman" w:hAnsi="Times New Roman" w:cs="Times New Roman" w:eastAsia="Times New Roman" w:hint="default"/>
                <w:sz w:val="18"/>
                <w:szCs w:val="18"/>
              </w:rPr>
            </w:pPr>
            <w:r>
              <w:rPr>
                <w:rFonts w:ascii="Times New Roman"/>
                <w:b/>
                <w:spacing w:val="-1"/>
                <w:sz w:val="18"/>
              </w:rPr>
              <w:t>133.510</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0"/>
              <w:jc w:val="right"/>
              <w:rPr>
                <w:rFonts w:ascii="Times New Roman" w:hAnsi="Times New Roman" w:cs="Times New Roman" w:eastAsia="Times New Roman" w:hint="default"/>
                <w:sz w:val="18"/>
                <w:szCs w:val="18"/>
              </w:rPr>
            </w:pPr>
            <w:r>
              <w:rPr>
                <w:rFonts w:ascii="Times New Roman"/>
                <w:b/>
                <w:spacing w:val="-1"/>
                <w:sz w:val="18"/>
              </w:rPr>
              <w:t>133.510</w:t>
            </w:r>
            <w:r>
              <w:rPr>
                <w:rFonts w:ascii="Times New Roman"/>
                <w:spacing w:val="-1"/>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3"/>
              <w:jc w:val="right"/>
              <w:rPr>
                <w:rFonts w:ascii="Times New Roman" w:hAnsi="Times New Roman" w:cs="Times New Roman" w:eastAsia="Times New Roman" w:hint="default"/>
                <w:sz w:val="18"/>
                <w:szCs w:val="18"/>
              </w:rPr>
            </w:pPr>
            <w:r>
              <w:rPr>
                <w:rFonts w:ascii="Times New Roman"/>
                <w:b/>
                <w:spacing w:val="-1"/>
                <w:sz w:val="18"/>
              </w:rPr>
              <w:t>98.845</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2"/>
              <w:jc w:val="right"/>
              <w:rPr>
                <w:rFonts w:ascii="Times New Roman" w:hAnsi="Times New Roman" w:cs="Times New Roman" w:eastAsia="Times New Roman" w:hint="default"/>
                <w:sz w:val="18"/>
                <w:szCs w:val="18"/>
              </w:rPr>
            </w:pPr>
            <w:r>
              <w:rPr>
                <w:rFonts w:ascii="Times New Roman"/>
                <w:b/>
                <w:spacing w:val="-1"/>
                <w:sz w:val="18"/>
              </w:rPr>
              <w:t>98.845</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0"/>
              <w:jc w:val="right"/>
              <w:rPr>
                <w:rFonts w:ascii="Times New Roman" w:hAnsi="Times New Roman" w:cs="Times New Roman" w:eastAsia="Times New Roman" w:hint="default"/>
                <w:sz w:val="18"/>
                <w:szCs w:val="18"/>
              </w:rPr>
            </w:pPr>
            <w:r>
              <w:rPr>
                <w:rFonts w:ascii="Times New Roman"/>
                <w:b/>
                <w:sz w:val="18"/>
              </w:rPr>
              <w:t>74,04</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0"/>
              <w:jc w:val="right"/>
              <w:rPr>
                <w:rFonts w:ascii="Times New Roman" w:hAnsi="Times New Roman" w:cs="Times New Roman" w:eastAsia="Times New Roman" w:hint="default"/>
                <w:sz w:val="18"/>
                <w:szCs w:val="18"/>
              </w:rPr>
            </w:pPr>
            <w:r>
              <w:rPr>
                <w:rFonts w:ascii="Times New Roman"/>
                <w:b/>
                <w:spacing w:val="-1"/>
                <w:sz w:val="18"/>
              </w:rPr>
              <w:t>100,00</w:t>
            </w:r>
            <w:r>
              <w:rPr>
                <w:rFonts w:ascii="Times New Roman"/>
                <w:spacing w:val="-1"/>
                <w:sz w:val="18"/>
              </w:rPr>
            </w:r>
          </w:p>
        </w:tc>
      </w:tr>
    </w:tbl>
    <w:p>
      <w:pPr>
        <w:pStyle w:val="Heading1"/>
        <w:numPr>
          <w:ilvl w:val="4"/>
          <w:numId w:val="28"/>
        </w:numPr>
        <w:tabs>
          <w:tab w:pos="1003" w:val="left" w:leader="none"/>
        </w:tabs>
        <w:spacing w:line="270" w:lineRule="exact" w:before="0" w:after="0"/>
        <w:ind w:left="160" w:right="0" w:firstLine="566"/>
        <w:jc w:val="left"/>
        <w:rPr>
          <w:b w:val="0"/>
          <w:bCs w:val="0"/>
        </w:rPr>
      </w:pPr>
      <w:r>
        <w:rPr/>
        <w:t>Управа за финансије, изворне приходе локалне самоуправе и јавне  </w:t>
      </w:r>
      <w:r>
        <w:rPr>
          <w:spacing w:val="19"/>
        </w:rPr>
        <w:t> </w:t>
      </w:r>
      <w:r>
        <w:rPr/>
        <w:t>набавке</w:t>
      </w:r>
      <w:r>
        <w:rPr>
          <w:b w:val="0"/>
        </w:rPr>
      </w:r>
    </w:p>
    <w:p>
      <w:pPr>
        <w:pStyle w:val="BodyText"/>
        <w:spacing w:line="240" w:lineRule="auto"/>
        <w:ind w:right="174"/>
        <w:jc w:val="both"/>
      </w:pPr>
      <w:r>
        <w:rPr/>
        <w:t>– Исказан је расход за превоз на посао и са посла (маркица) у износу од 51.272 хиљаде динара и то за запослене у управама и службама града, а на основу рачуна </w:t>
      </w:r>
      <w:r>
        <w:rPr>
          <w:spacing w:val="2"/>
        </w:rPr>
        <w:t>„Ниш</w:t>
      </w:r>
      <w:r>
        <w:rPr>
          <w:rFonts w:ascii="Times New Roman" w:hAnsi="Times New Roman" w:cs="Times New Roman" w:eastAsia="Times New Roman" w:hint="default"/>
          <w:spacing w:val="2"/>
        </w:rPr>
        <w:t>- </w:t>
      </w:r>
      <w:r>
        <w:rPr>
          <w:spacing w:val="2"/>
        </w:rPr>
      </w:r>
      <w:r>
        <w:rPr/>
        <w:t>експрес“ ад Ниш из 2013. године и 2014. године и ЈП „Дирекција за јавни превоз“ Ниш из </w:t>
      </w:r>
      <w:r>
        <w:rPr/>
        <w:t>2011. године, 2012. године, 2013. године и 2014. године и списка</w:t>
      </w:r>
      <w:r>
        <w:rPr>
          <w:spacing w:val="-17"/>
        </w:rPr>
        <w:t> </w:t>
      </w:r>
      <w:r>
        <w:rPr/>
        <w:t>радника.</w:t>
      </w:r>
    </w:p>
    <w:p>
      <w:pPr>
        <w:pStyle w:val="BodyText"/>
        <w:spacing w:line="240" w:lineRule="auto"/>
        <w:ind w:right="173" w:firstLine="566"/>
        <w:jc w:val="both"/>
      </w:pPr>
      <w:r>
        <w:rPr>
          <w:rFonts w:ascii="Times New Roman" w:hAnsi="Times New Roman"/>
          <w:b/>
        </w:rPr>
        <w:t>На основу ревизије узорковане документације утврђено је </w:t>
      </w:r>
      <w:r>
        <w:rPr/>
        <w:t>да су директни корисници буџета града Ниша, осим Управе за грађанска стања и опште послове набављали су маркице за превоз на посао и са посла и за дане одсуствовања са посла,  што је супротно члану 38(а) Посебног колективног уговора за државне органе. У току поступка ревизије, у 2015. години све градске управе, осим Управе за имовину и инспекцијске послове нису набавиле маркице за превоз запосленима за дане одсуствовања са</w:t>
      </w:r>
      <w:r>
        <w:rPr>
          <w:spacing w:val="-7"/>
        </w:rPr>
        <w:t> </w:t>
      </w:r>
      <w:r>
        <w:rPr/>
        <w:t>посла.</w:t>
      </w:r>
    </w:p>
    <w:p>
      <w:pPr>
        <w:pStyle w:val="Heading2"/>
        <w:spacing w:line="240" w:lineRule="auto"/>
        <w:ind w:right="184"/>
        <w:jc w:val="both"/>
        <w:rPr>
          <w:rFonts w:ascii="Times New Roman" w:hAnsi="Times New Roman" w:cs="Times New Roman" w:eastAsia="Times New Roman" w:hint="default"/>
          <w:b w:val="0"/>
          <w:bCs w:val="0"/>
          <w:i w:val="0"/>
        </w:rPr>
      </w:pPr>
      <w:r>
        <w:rPr>
          <w:i/>
        </w:rPr>
        <w:t>Препоручује се одговорним лицима да набавку маркица за превоз на посао и са посла за све запослене врше само за дане присуства на</w:t>
      </w:r>
      <w:r>
        <w:rPr>
          <w:i/>
          <w:spacing w:val="-13"/>
        </w:rPr>
        <w:t> </w:t>
      </w:r>
      <w:r>
        <w:rPr>
          <w:i/>
        </w:rPr>
        <w:t>послу</w:t>
      </w:r>
      <w:r>
        <w:rPr>
          <w:rFonts w:ascii="Times New Roman" w:hAnsi="Times New Roman"/>
          <w:i/>
        </w:rPr>
        <w:t>.</w:t>
      </w:r>
      <w:r>
        <w:rPr>
          <w:rFonts w:ascii="Times New Roman" w:hAnsi="Times New Roman"/>
          <w:b w:val="0"/>
          <w:i w:val="0"/>
        </w:rPr>
      </w:r>
    </w:p>
    <w:p>
      <w:pPr>
        <w:pStyle w:val="ListParagraph"/>
        <w:numPr>
          <w:ilvl w:val="4"/>
          <w:numId w:val="28"/>
        </w:numPr>
        <w:tabs>
          <w:tab w:pos="1015" w:val="left" w:leader="none"/>
        </w:tabs>
        <w:spacing w:line="240" w:lineRule="auto" w:before="132" w:after="0"/>
        <w:ind w:left="160" w:right="171" w:firstLine="566"/>
        <w:jc w:val="both"/>
        <w:rPr>
          <w:rFonts w:ascii="Times New Roman" w:hAnsi="Times New Roman" w:cs="Times New Roman" w:eastAsia="Times New Roman" w:hint="default"/>
          <w:sz w:val="24"/>
          <w:szCs w:val="24"/>
        </w:rPr>
      </w:pPr>
      <w:r>
        <w:rPr>
          <w:rFonts w:ascii="Times New Roman" w:hAnsi="Times New Roman"/>
          <w:b/>
          <w:sz w:val="24"/>
        </w:rPr>
        <w:t>Управа за образовање </w:t>
      </w:r>
      <w:r>
        <w:rPr>
          <w:rFonts w:ascii="Times New Roman" w:hAnsi="Times New Roman"/>
          <w:b/>
          <w:sz w:val="24"/>
        </w:rPr>
        <w:t>- </w:t>
      </w:r>
      <w:r>
        <w:rPr>
          <w:rFonts w:ascii="Times New Roman" w:hAnsi="Times New Roman"/>
          <w:sz w:val="24"/>
        </w:rPr>
        <w:t>Исказан је расход у износу од 25.097 хиљада динара, који се односи на ПУ Пчелица у износу од 23.895 хиљада динара, Дечији центар у износу од 901 хиљаде динара и Регионални центар за професионални развој запослених у образовању у износу од 301 хиљаде</w:t>
      </w:r>
      <w:r>
        <w:rPr>
          <w:rFonts w:ascii="Times New Roman" w:hAnsi="Times New Roman"/>
          <w:spacing w:val="-11"/>
          <w:sz w:val="24"/>
        </w:rPr>
        <w:t> </w:t>
      </w:r>
      <w:r>
        <w:rPr>
          <w:rFonts w:ascii="Times New Roman" w:hAnsi="Times New Roman"/>
          <w:sz w:val="24"/>
        </w:rPr>
        <w:t>динара.</w:t>
      </w:r>
    </w:p>
    <w:p>
      <w:pPr>
        <w:pStyle w:val="BodyText"/>
        <w:spacing w:line="240" w:lineRule="auto"/>
        <w:ind w:right="181" w:firstLine="566"/>
        <w:jc w:val="both"/>
      </w:pPr>
      <w:r>
        <w:rPr>
          <w:rFonts w:ascii="Times New Roman" w:hAnsi="Times New Roman" w:cs="Times New Roman" w:eastAsia="Times New Roman" w:hint="default"/>
          <w:b/>
          <w:bCs/>
        </w:rPr>
        <w:t>2</w:t>
      </w:r>
      <w:r>
        <w:rPr>
          <w:rFonts w:ascii="Times New Roman" w:hAnsi="Times New Roman" w:cs="Times New Roman" w:eastAsia="Times New Roman" w:hint="default"/>
          <w:b/>
          <w:bCs/>
        </w:rPr>
        <w:t>а) ПУ Пчелица </w:t>
      </w:r>
      <w:r>
        <w:rPr/>
        <w:t>– Исказан је расход у износу од 23.895 хиљада динара, од чега је износ од 18.501 хиљаде динара из средстава буџета Града, 1.378 хиљада динара из средстава буџета Републике и износ од 4.016 хиљада динара из осталих</w:t>
      </w:r>
      <w:r>
        <w:rPr>
          <w:spacing w:val="-22"/>
        </w:rPr>
        <w:t> </w:t>
      </w:r>
      <w:r>
        <w:rPr/>
        <w:t>средстава.</w:t>
      </w:r>
    </w:p>
    <w:p>
      <w:pPr>
        <w:pStyle w:val="BodyText"/>
        <w:spacing w:line="240" w:lineRule="auto"/>
        <w:ind w:left="726" w:right="141"/>
        <w:jc w:val="left"/>
      </w:pPr>
      <w:r>
        <w:rPr/>
        <w:t>На основу ревизије узорковане документације нису утврђене</w:t>
      </w:r>
      <w:r>
        <w:rPr>
          <w:spacing w:val="-24"/>
        </w:rPr>
        <w:t> </w:t>
      </w:r>
      <w:r>
        <w:rPr/>
        <w:t>неправилности.</w:t>
      </w:r>
    </w:p>
    <w:p>
      <w:pPr>
        <w:pStyle w:val="ListParagraph"/>
        <w:numPr>
          <w:ilvl w:val="4"/>
          <w:numId w:val="28"/>
        </w:numPr>
        <w:tabs>
          <w:tab w:pos="994" w:val="left" w:leader="none"/>
        </w:tabs>
        <w:spacing w:line="240" w:lineRule="auto" w:before="139" w:after="0"/>
        <w:ind w:left="160" w:right="177"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 за комуналне делатности, енергетику и саобраћај </w:t>
      </w:r>
      <w:r>
        <w:rPr>
          <w:rFonts w:ascii="Times New Roman" w:hAnsi="Times New Roman" w:cs="Times New Roman" w:eastAsia="Times New Roman" w:hint="default"/>
          <w:sz w:val="24"/>
          <w:szCs w:val="24"/>
        </w:rPr>
        <w:t>– Исказан је расход у износу од 700 хиљада динара, који се односи на индиректног</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корисника.</w:t>
      </w:r>
    </w:p>
    <w:p>
      <w:pPr>
        <w:spacing w:before="0"/>
        <w:ind w:left="160" w:right="176" w:firstLine="566"/>
        <w:jc w:val="both"/>
        <w:rPr>
          <w:rFonts w:ascii="Times New Roman" w:hAnsi="Times New Roman" w:cs="Times New Roman" w:eastAsia="Times New Roman" w:hint="default"/>
          <w:sz w:val="24"/>
          <w:szCs w:val="24"/>
        </w:rPr>
      </w:pPr>
      <w:r>
        <w:rPr>
          <w:rFonts w:ascii="Times New Roman" w:hAnsi="Times New Roman"/>
          <w:b/>
          <w:sz w:val="24"/>
        </w:rPr>
        <w:t>3а) ЈП Дирекција </w:t>
      </w:r>
      <w:r>
        <w:rPr>
          <w:rFonts w:ascii="Times New Roman" w:hAnsi="Times New Roman"/>
          <w:b/>
          <w:sz w:val="24"/>
        </w:rPr>
        <w:t>- </w:t>
      </w:r>
      <w:r>
        <w:rPr>
          <w:rFonts w:ascii="Times New Roman" w:hAnsi="Times New Roman"/>
          <w:sz w:val="24"/>
        </w:rPr>
        <w:t>Исказан је расход у износу од </w:t>
      </w:r>
      <w:r>
        <w:rPr>
          <w:rFonts w:ascii="Times New Roman" w:hAnsi="Times New Roman"/>
          <w:sz w:val="24"/>
        </w:rPr>
        <w:t>700 </w:t>
      </w:r>
      <w:r>
        <w:rPr>
          <w:rFonts w:ascii="Times New Roman" w:hAnsi="Times New Roman"/>
          <w:sz w:val="24"/>
        </w:rPr>
        <w:t>хиљада динара на терет буџета града</w:t>
      </w:r>
      <w:r>
        <w:rPr>
          <w:rFonts w:ascii="Times New Roman" w:hAnsi="Times New Roman"/>
          <w:spacing w:val="-6"/>
          <w:sz w:val="24"/>
        </w:rPr>
        <w:t> </w:t>
      </w:r>
      <w:r>
        <w:rPr>
          <w:rFonts w:ascii="Times New Roman" w:hAnsi="Times New Roman"/>
          <w:sz w:val="24"/>
        </w:rPr>
        <w:t>Ниша.</w:t>
      </w:r>
    </w:p>
    <w:p>
      <w:pPr>
        <w:spacing w:before="0"/>
        <w:ind w:left="160" w:right="174"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је ЈП Дирекција набављала маркице за превоз на посао и са посла и за дане одсуствовања са</w:t>
      </w:r>
      <w:r>
        <w:rPr>
          <w:rFonts w:ascii="Times New Roman" w:hAnsi="Times New Roman"/>
          <w:spacing w:val="-25"/>
          <w:sz w:val="24"/>
        </w:rPr>
        <w:t> </w:t>
      </w:r>
      <w:r>
        <w:rPr>
          <w:rFonts w:ascii="Times New Roman" w:hAnsi="Times New Roman"/>
          <w:sz w:val="24"/>
        </w:rPr>
        <w:t>посла.</w:t>
      </w:r>
    </w:p>
    <w:p>
      <w:pPr>
        <w:pStyle w:val="BodyText"/>
        <w:spacing w:line="240" w:lineRule="auto"/>
        <w:ind w:right="172" w:firstLine="566"/>
        <w:jc w:val="both"/>
      </w:pPr>
      <w:r>
        <w:rPr/>
        <w:t>У поступку ревизије, дана 02.06.2015. године, Директор ЈП Дирекција донео је Одлуку о начину и висини трошкова превоза за долазак и одлазак са рада, број 05</w:t>
      </w:r>
      <w:r>
        <w:rPr>
          <w:rFonts w:ascii="Times New Roman" w:hAnsi="Times New Roman"/>
        </w:rPr>
        <w:t>- 4139/201</w:t>
      </w:r>
      <w:r>
        <w:rPr/>
        <w:t>5, којом прописује висину накнаде превоза и права запосленог, за одлазак и долазак са</w:t>
      </w:r>
      <w:r>
        <w:rPr>
          <w:spacing w:val="-5"/>
        </w:rPr>
        <w:t> </w:t>
      </w:r>
      <w:r>
        <w:rPr/>
        <w:t>рада.</w:t>
      </w:r>
    </w:p>
    <w:p>
      <w:pPr>
        <w:pStyle w:val="Heading2"/>
        <w:spacing w:line="274" w:lineRule="exact" w:before="9"/>
        <w:ind w:right="184"/>
        <w:jc w:val="both"/>
        <w:rPr>
          <w:b w:val="0"/>
          <w:bCs w:val="0"/>
          <w:i w:val="0"/>
        </w:rPr>
      </w:pPr>
      <w:r>
        <w:rPr>
          <w:i/>
        </w:rPr>
        <w:t>Препоручује се одговорним лицима да набавку маркица за превоз на посао и са посла врше само за дане присуства на</w:t>
      </w:r>
      <w:r>
        <w:rPr>
          <w:i/>
          <w:spacing w:val="-13"/>
        </w:rPr>
        <w:t> </w:t>
      </w:r>
      <w:r>
        <w:rPr>
          <w:i/>
        </w:rPr>
        <w:t>послу.</w:t>
      </w:r>
      <w:r>
        <w:rPr>
          <w:b w:val="0"/>
          <w:i w:val="0"/>
        </w:rPr>
      </w:r>
    </w:p>
    <w:p>
      <w:pPr>
        <w:pStyle w:val="Heading1"/>
        <w:numPr>
          <w:ilvl w:val="3"/>
          <w:numId w:val="28"/>
        </w:numPr>
        <w:tabs>
          <w:tab w:pos="941" w:val="left" w:leader="none"/>
        </w:tabs>
        <w:spacing w:line="274" w:lineRule="exact" w:before="198" w:after="0"/>
        <w:ind w:left="940" w:right="0" w:hanging="780"/>
        <w:jc w:val="both"/>
        <w:rPr>
          <w:b w:val="0"/>
          <w:bCs w:val="0"/>
        </w:rPr>
      </w:pPr>
      <w:bookmarkStart w:name="_bookmark12" w:id="21"/>
      <w:bookmarkEnd w:id="21"/>
      <w:r>
        <w:rPr>
          <w:b w:val="0"/>
        </w:rPr>
      </w:r>
      <w:bookmarkStart w:name="_bookmark12" w:id="22"/>
      <w:bookmarkEnd w:id="22"/>
      <w:r>
        <w:rPr/>
        <w:t>Соц</w:t>
      </w:r>
      <w:r>
        <w:rPr/>
        <w:t>ијална давања запосленима, група</w:t>
      </w:r>
      <w:r>
        <w:rPr>
          <w:spacing w:val="-7"/>
        </w:rPr>
        <w:t> </w:t>
      </w:r>
      <w:r>
        <w:rPr/>
        <w:t>414000</w:t>
      </w:r>
      <w:r>
        <w:rPr>
          <w:b w:val="0"/>
        </w:rPr>
      </w:r>
    </w:p>
    <w:p>
      <w:pPr>
        <w:pStyle w:val="BodyText"/>
        <w:spacing w:line="240" w:lineRule="auto"/>
        <w:ind w:right="178" w:firstLine="719"/>
        <w:jc w:val="both"/>
      </w:pPr>
      <w:r>
        <w:rPr/>
        <w:t>Група 414000 садржи синтетичка конта исплата накнада за време одсуствовања с посла на терет фондова, расходи за образовање деце запослених, отпремнине и помоћи и помоћ у медицинском лечењу запосленог или чланова уже породице и друге помоћи запосленом.</w:t>
      </w:r>
    </w:p>
    <w:p>
      <w:pPr>
        <w:spacing w:after="0" w:line="240" w:lineRule="auto"/>
        <w:jc w:val="both"/>
        <w:sectPr>
          <w:pgSz w:w="12240" w:h="15840"/>
          <w:pgMar w:header="740" w:footer="1274" w:top="1280" w:bottom="1460" w:left="1400" w:right="1260"/>
        </w:sectPr>
      </w:pPr>
    </w:p>
    <w:p>
      <w:pPr>
        <w:spacing w:before="125" w:after="4"/>
        <w:ind w:left="0" w:right="179" w:firstLine="0"/>
        <w:jc w:val="right"/>
        <w:rPr>
          <w:rFonts w:ascii="Times New Roman" w:hAnsi="Times New Roman" w:cs="Times New Roman" w:eastAsia="Times New Roman" w:hint="default"/>
          <w:sz w:val="18"/>
          <w:szCs w:val="18"/>
        </w:rPr>
      </w:pPr>
      <w:r>
        <w:rPr>
          <w:rFonts w:ascii="Times New Roman" w:hAnsi="Times New Roman"/>
          <w:sz w:val="18"/>
        </w:rPr>
        <w:t>(у хиљадама</w:t>
      </w:r>
      <w:r>
        <w:rPr>
          <w:rFonts w:ascii="Times New Roman" w:hAnsi="Times New Roman"/>
          <w:spacing w:val="-7"/>
          <w:sz w:val="18"/>
        </w:rPr>
        <w:t> </w:t>
      </w:r>
      <w:r>
        <w:rPr>
          <w:rFonts w:ascii="Times New Roman" w:hAnsi="Times New Roman"/>
          <w:sz w:val="18"/>
        </w:rPr>
        <w:t>динара)</w:t>
      </w:r>
    </w:p>
    <w:tbl>
      <w:tblPr>
        <w:tblW w:w="0" w:type="auto"/>
        <w:jc w:val="left"/>
        <w:tblInd w:w="141" w:type="dxa"/>
        <w:tblLayout w:type="fixed"/>
        <w:tblCellMar>
          <w:top w:w="0" w:type="dxa"/>
          <w:left w:w="0" w:type="dxa"/>
          <w:bottom w:w="0" w:type="dxa"/>
          <w:right w:w="0" w:type="dxa"/>
        </w:tblCellMar>
        <w:tblLook w:val="01E0"/>
      </w:tblPr>
      <w:tblGrid>
        <w:gridCol w:w="876"/>
        <w:gridCol w:w="2401"/>
        <w:gridCol w:w="960"/>
        <w:gridCol w:w="1351"/>
        <w:gridCol w:w="1047"/>
        <w:gridCol w:w="936"/>
        <w:gridCol w:w="845"/>
        <w:gridCol w:w="847"/>
      </w:tblGrid>
      <w:tr>
        <w:trPr>
          <w:trHeight w:val="425"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61" w:right="178" w:hanging="72"/>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left="393"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8"/>
                <w:sz w:val="18"/>
              </w:rPr>
              <w:t> </w:t>
            </w:r>
            <w:r>
              <w:rPr>
                <w:rFonts w:ascii="Times New Roman" w:hAnsi="Times New Roman"/>
                <w:b/>
                <w:sz w:val="18"/>
              </w:rPr>
              <w:t>корисник</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right="103"/>
              <w:jc w:val="right"/>
              <w:rPr>
                <w:rFonts w:ascii="Times New Roman" w:hAnsi="Times New Roman" w:cs="Times New Roman" w:eastAsia="Times New Roman" w:hint="default"/>
                <w:sz w:val="18"/>
                <w:szCs w:val="18"/>
              </w:rPr>
            </w:pPr>
            <w:r>
              <w:rPr>
                <w:rFonts w:ascii="Times New Roman" w:hAnsi="Times New Roman"/>
                <w:b/>
                <w:spacing w:val="-1"/>
                <w:sz w:val="18"/>
              </w:rPr>
              <w:t>Ребаланс</w:t>
            </w:r>
            <w:r>
              <w:rPr>
                <w:rFonts w:ascii="Times New Roman" w:hAns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93" w:firstLine="88"/>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реалокацијом</w:t>
            </w:r>
            <w:r>
              <w:rPr>
                <w:rFonts w:ascii="Times New Roman" w:hAns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95"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12" w:right="107"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99" w:right="110"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302" w:right="109"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4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403" w:right="0"/>
              <w:jc w:val="left"/>
              <w:rPr>
                <w:rFonts w:ascii="Times New Roman" w:hAnsi="Times New Roman" w:cs="Times New Roman" w:eastAsia="Times New Roman" w:hint="default"/>
                <w:sz w:val="12"/>
                <w:szCs w:val="12"/>
              </w:rPr>
            </w:pPr>
            <w:r>
              <w:rPr>
                <w:rFonts w:ascii="Times New Roman"/>
                <w:sz w:val="12"/>
              </w:rPr>
              <w:t>1</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1"/>
              <w:jc w:val="center"/>
              <w:rPr>
                <w:rFonts w:ascii="Times New Roman" w:hAnsi="Times New Roman" w:cs="Times New Roman" w:eastAsia="Times New Roman" w:hint="default"/>
                <w:sz w:val="12"/>
                <w:szCs w:val="12"/>
              </w:rPr>
            </w:pPr>
            <w:r>
              <w:rPr>
                <w:rFonts w:ascii="Times New Roman"/>
                <w:sz w:val="12"/>
              </w:rPr>
              <w:t>2</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2"/>
              <w:jc w:val="center"/>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
              <w:jc w:val="center"/>
              <w:rPr>
                <w:rFonts w:ascii="Times New Roman" w:hAnsi="Times New Roman" w:cs="Times New Roman" w:eastAsia="Times New Roman" w:hint="default"/>
                <w:sz w:val="12"/>
                <w:szCs w:val="12"/>
              </w:rPr>
            </w:pPr>
            <w:r>
              <w:rPr>
                <w:rFonts w:ascii="Times New Roman"/>
                <w:sz w:val="12"/>
              </w:rPr>
              <w:t>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7</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8</w:t>
            </w:r>
          </w:p>
        </w:tc>
      </w:tr>
      <w:tr>
        <w:trPr>
          <w:trHeight w:val="26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left="386" w:right="0"/>
              <w:jc w:val="left"/>
              <w:rPr>
                <w:rFonts w:ascii="Times New Roman" w:hAnsi="Times New Roman" w:cs="Times New Roman" w:eastAsia="Times New Roman" w:hint="default"/>
                <w:sz w:val="18"/>
                <w:szCs w:val="18"/>
              </w:rPr>
            </w:pPr>
            <w:r>
              <w:rPr>
                <w:rFonts w:ascii="Times New Roman"/>
                <w:sz w:val="18"/>
              </w:rPr>
              <w:t>1</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8"/>
                <w:sz w:val="18"/>
              </w:rPr>
              <w:t> </w:t>
            </w:r>
            <w:r>
              <w:rPr>
                <w:rFonts w:ascii="Times New Roman" w:hAnsi="Times New Roman"/>
                <w:sz w:val="18"/>
              </w:rPr>
              <w:t>финансије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right="100"/>
              <w:jc w:val="right"/>
              <w:rPr>
                <w:rFonts w:ascii="Times New Roman" w:hAnsi="Times New Roman" w:cs="Times New Roman" w:eastAsia="Times New Roman" w:hint="default"/>
                <w:sz w:val="18"/>
                <w:szCs w:val="18"/>
              </w:rPr>
            </w:pPr>
            <w:r>
              <w:rPr>
                <w:rFonts w:ascii="Times New Roman"/>
                <w:spacing w:val="-1"/>
                <w:sz w:val="18"/>
              </w:rPr>
              <w:t>18.385</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right="100"/>
              <w:jc w:val="right"/>
              <w:rPr>
                <w:rFonts w:ascii="Times New Roman" w:hAnsi="Times New Roman" w:cs="Times New Roman" w:eastAsia="Times New Roman" w:hint="default"/>
                <w:sz w:val="18"/>
                <w:szCs w:val="18"/>
              </w:rPr>
            </w:pPr>
            <w:r>
              <w:rPr>
                <w:rFonts w:ascii="Times New Roman"/>
                <w:spacing w:val="-1"/>
                <w:sz w:val="18"/>
              </w:rPr>
              <w:t>22.145</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right="103"/>
              <w:jc w:val="right"/>
              <w:rPr>
                <w:rFonts w:ascii="Times New Roman" w:hAnsi="Times New Roman" w:cs="Times New Roman" w:eastAsia="Times New Roman" w:hint="default"/>
                <w:sz w:val="18"/>
                <w:szCs w:val="18"/>
              </w:rPr>
            </w:pPr>
            <w:r>
              <w:rPr>
                <w:rFonts w:ascii="Times New Roman"/>
                <w:spacing w:val="-1"/>
                <w:sz w:val="18"/>
              </w:rPr>
              <w:t>22.144</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right="102"/>
              <w:jc w:val="right"/>
              <w:rPr>
                <w:rFonts w:ascii="Times New Roman" w:hAnsi="Times New Roman" w:cs="Times New Roman" w:eastAsia="Times New Roman" w:hint="default"/>
                <w:sz w:val="18"/>
                <w:szCs w:val="18"/>
              </w:rPr>
            </w:pPr>
            <w:r>
              <w:rPr>
                <w:rFonts w:ascii="Times New Roman"/>
                <w:spacing w:val="-1"/>
                <w:sz w:val="18"/>
              </w:rPr>
              <w:t>22.144</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right="102"/>
              <w:jc w:val="right"/>
              <w:rPr>
                <w:rFonts w:ascii="Times New Roman" w:hAnsi="Times New Roman" w:cs="Times New Roman" w:eastAsia="Times New Roman" w:hint="default"/>
                <w:sz w:val="18"/>
                <w:szCs w:val="18"/>
              </w:rPr>
            </w:pPr>
            <w:r>
              <w:rPr>
                <w:rFonts w:ascii="Times New Roman"/>
                <w:spacing w:val="-1"/>
                <w:sz w:val="18"/>
              </w:rPr>
              <w:t>100,00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2</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5"/>
                <w:sz w:val="18"/>
              </w:rPr>
              <w:t> </w:t>
            </w:r>
            <w:r>
              <w:rPr>
                <w:rFonts w:ascii="Times New Roman" w:hAnsi="Times New Roman"/>
                <w:sz w:val="18"/>
              </w:rPr>
              <w:t>образовање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21.671</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14.372</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z w:val="18"/>
              </w:rPr>
              <w:t>7.385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7.385</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51,38</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hAnsi="Times New Roman"/>
                <w:sz w:val="18"/>
              </w:rPr>
              <w:t>2а</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ПУ</w:t>
            </w:r>
            <w:r>
              <w:rPr>
                <w:rFonts w:ascii="Times New Roman" w:hAnsi="Times New Roman"/>
                <w:spacing w:val="-5"/>
                <w:sz w:val="18"/>
              </w:rPr>
              <w:t> </w:t>
            </w:r>
            <w:r>
              <w:rPr>
                <w:rFonts w:ascii="Times New Roman" w:hAnsi="Times New Roman"/>
                <w:sz w:val="18"/>
              </w:rPr>
              <w:t>Пчелица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20.357</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13.058</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z w:val="18"/>
              </w:rPr>
              <w:t>5.871</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5.871</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44,96</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3</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ком.</w:t>
            </w:r>
            <w:r>
              <w:rPr>
                <w:rFonts w:ascii="Times New Roman" w:hAnsi="Times New Roman"/>
                <w:spacing w:val="-10"/>
                <w:sz w:val="18"/>
              </w:rPr>
              <w:t> </w:t>
            </w:r>
            <w:r>
              <w:rPr>
                <w:rFonts w:ascii="Times New Roman" w:hAnsi="Times New Roman"/>
                <w:sz w:val="18"/>
              </w:rPr>
              <w:t>делат.</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1.625</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1.625</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584</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1140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70,15</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195,21</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hAnsi="Times New Roman"/>
                <w:sz w:val="18"/>
              </w:rPr>
              <w:t>3а</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ЈП</w:t>
            </w:r>
            <w:r>
              <w:rPr>
                <w:rFonts w:ascii="Times New Roman" w:hAnsi="Times New Roman"/>
                <w:spacing w:val="-6"/>
                <w:sz w:val="18"/>
              </w:rPr>
              <w:t> </w:t>
            </w:r>
            <w:r>
              <w:rPr>
                <w:rFonts w:ascii="Times New Roman" w:hAnsi="Times New Roman"/>
                <w:sz w:val="18"/>
              </w:rPr>
              <w:t>Дирекција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1.625</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1.625</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584</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1140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70,15</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195,21</w:t>
            </w:r>
          </w:p>
        </w:tc>
      </w:tr>
      <w:tr>
        <w:trPr>
          <w:trHeight w:val="218"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650" w:right="0"/>
              <w:jc w:val="left"/>
              <w:rPr>
                <w:rFonts w:ascii="Times New Roman" w:hAnsi="Times New Roman" w:cs="Times New Roman" w:eastAsia="Times New Roman" w:hint="default"/>
                <w:sz w:val="18"/>
                <w:szCs w:val="18"/>
              </w:rPr>
            </w:pPr>
            <w:r>
              <w:rPr>
                <w:rFonts w:ascii="Times New Roman" w:hAnsi="Times New Roman"/>
                <w:b/>
                <w:sz w:val="18"/>
              </w:rPr>
              <w:t>Укупно корисници</w:t>
            </w:r>
            <w:r>
              <w:rPr>
                <w:rFonts w:ascii="Times New Roman" w:hAnsi="Times New Roman"/>
                <w:b/>
                <w:spacing w:val="-2"/>
                <w:sz w:val="18"/>
              </w:rPr>
              <w:t> </w:t>
            </w:r>
            <w:r>
              <w:rPr>
                <w:rFonts w:ascii="Times New Roman" w:hAnsi="Times New Roman"/>
                <w:b/>
                <w:sz w:val="18"/>
              </w:rPr>
              <w:t>(1</w:t>
            </w:r>
            <w:r>
              <w:rPr>
                <w:rFonts w:ascii="Times New Roman" w:hAnsi="Times New Roman"/>
                <w:b/>
                <w:sz w:val="18"/>
              </w:rPr>
              <w:t>-3)</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b/>
                <w:spacing w:val="-1"/>
                <w:sz w:val="18"/>
              </w:rPr>
              <w:t>41.681</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b/>
                <w:spacing w:val="-1"/>
                <w:sz w:val="18"/>
              </w:rPr>
              <w:t>38.142</w:t>
            </w:r>
            <w:r>
              <w:rPr>
                <w:rFonts w:ascii="Times New Roman"/>
                <w:spacing w:val="-1"/>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3"/>
              <w:jc w:val="right"/>
              <w:rPr>
                <w:rFonts w:ascii="Times New Roman" w:hAnsi="Times New Roman" w:cs="Times New Roman" w:eastAsia="Times New Roman" w:hint="default"/>
                <w:sz w:val="18"/>
                <w:szCs w:val="18"/>
              </w:rPr>
            </w:pPr>
            <w:r>
              <w:rPr>
                <w:rFonts w:ascii="Times New Roman"/>
                <w:b/>
                <w:spacing w:val="-1"/>
                <w:sz w:val="18"/>
              </w:rPr>
              <w:t>30.113</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2"/>
              <w:jc w:val="right"/>
              <w:rPr>
                <w:rFonts w:ascii="Times New Roman" w:hAnsi="Times New Roman" w:cs="Times New Roman" w:eastAsia="Times New Roman" w:hint="default"/>
                <w:sz w:val="18"/>
                <w:szCs w:val="18"/>
              </w:rPr>
            </w:pPr>
            <w:r>
              <w:rPr>
                <w:rFonts w:ascii="Times New Roman"/>
                <w:b/>
                <w:spacing w:val="-1"/>
                <w:sz w:val="18"/>
              </w:rPr>
              <w:t>30.669</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b/>
                <w:sz w:val="18"/>
              </w:rPr>
              <w:t>80,41</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b/>
                <w:spacing w:val="-1"/>
                <w:sz w:val="18"/>
              </w:rPr>
              <w:t>101,85</w:t>
            </w:r>
            <w:r>
              <w:rPr>
                <w:rFonts w:ascii="Times New Roman"/>
                <w:spacing w:val="-1"/>
                <w:sz w:val="18"/>
              </w:rPr>
            </w:r>
          </w:p>
        </w:tc>
      </w:tr>
      <w:tr>
        <w:trPr>
          <w:trHeight w:val="264"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left="477" w:right="0"/>
              <w:jc w:val="left"/>
              <w:rPr>
                <w:rFonts w:ascii="Times New Roman" w:hAnsi="Times New Roman" w:cs="Times New Roman" w:eastAsia="Times New Roman" w:hint="default"/>
                <w:sz w:val="18"/>
                <w:szCs w:val="18"/>
              </w:rPr>
            </w:pPr>
            <w:r>
              <w:rPr>
                <w:rFonts w:ascii="Times New Roman" w:hAnsi="Times New Roman"/>
                <w:b/>
                <w:sz w:val="18"/>
              </w:rPr>
              <w:t>Укупно  Град </w:t>
            </w:r>
            <w:r>
              <w:rPr>
                <w:rFonts w:ascii="Times New Roman" w:hAnsi="Times New Roman"/>
                <w:b/>
                <w:sz w:val="18"/>
              </w:rPr>
              <w:t>- </w:t>
            </w:r>
            <w:r>
              <w:rPr>
                <w:rFonts w:ascii="Times New Roman" w:hAnsi="Times New Roman"/>
                <w:b/>
                <w:sz w:val="18"/>
              </w:rPr>
              <w:t>група</w:t>
            </w:r>
            <w:r>
              <w:rPr>
                <w:rFonts w:ascii="Times New Roman" w:hAnsi="Times New Roman"/>
                <w:b/>
                <w:spacing w:val="-8"/>
                <w:sz w:val="18"/>
              </w:rPr>
              <w:t> </w:t>
            </w:r>
            <w:r>
              <w:rPr>
                <w:rFonts w:ascii="Times New Roman" w:hAnsi="Times New Roman"/>
                <w:b/>
                <w:sz w:val="18"/>
              </w:rPr>
              <w:t>414000</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0"/>
              <w:jc w:val="right"/>
              <w:rPr>
                <w:rFonts w:ascii="Times New Roman" w:hAnsi="Times New Roman" w:cs="Times New Roman" w:eastAsia="Times New Roman" w:hint="default"/>
                <w:sz w:val="18"/>
                <w:szCs w:val="18"/>
              </w:rPr>
            </w:pPr>
            <w:r>
              <w:rPr>
                <w:rFonts w:ascii="Times New Roman"/>
                <w:b/>
                <w:spacing w:val="-1"/>
                <w:sz w:val="18"/>
              </w:rPr>
              <w:t>53.629</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0"/>
              <w:jc w:val="right"/>
              <w:rPr>
                <w:rFonts w:ascii="Times New Roman" w:hAnsi="Times New Roman" w:cs="Times New Roman" w:eastAsia="Times New Roman" w:hint="default"/>
                <w:sz w:val="18"/>
                <w:szCs w:val="18"/>
              </w:rPr>
            </w:pPr>
            <w:r>
              <w:rPr>
                <w:rFonts w:ascii="Times New Roman"/>
                <w:b/>
                <w:spacing w:val="-1"/>
                <w:sz w:val="18"/>
              </w:rPr>
              <w:t>50.090</w:t>
            </w:r>
            <w:r>
              <w:rPr>
                <w:rFonts w:ascii="Times New Roman"/>
                <w:spacing w:val="-1"/>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3"/>
              <w:jc w:val="right"/>
              <w:rPr>
                <w:rFonts w:ascii="Times New Roman" w:hAnsi="Times New Roman" w:cs="Times New Roman" w:eastAsia="Times New Roman" w:hint="default"/>
                <w:sz w:val="18"/>
                <w:szCs w:val="18"/>
              </w:rPr>
            </w:pPr>
            <w:r>
              <w:rPr>
                <w:rFonts w:ascii="Times New Roman"/>
                <w:b/>
                <w:spacing w:val="-1"/>
                <w:sz w:val="18"/>
              </w:rPr>
              <w:t>38.889</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2"/>
              <w:jc w:val="right"/>
              <w:rPr>
                <w:rFonts w:ascii="Times New Roman" w:hAnsi="Times New Roman" w:cs="Times New Roman" w:eastAsia="Times New Roman" w:hint="default"/>
                <w:sz w:val="18"/>
                <w:szCs w:val="18"/>
              </w:rPr>
            </w:pPr>
            <w:r>
              <w:rPr>
                <w:rFonts w:ascii="Times New Roman"/>
                <w:b/>
                <w:spacing w:val="-1"/>
                <w:sz w:val="18"/>
              </w:rPr>
              <w:t>39.445</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0"/>
              <w:jc w:val="right"/>
              <w:rPr>
                <w:rFonts w:ascii="Times New Roman" w:hAnsi="Times New Roman" w:cs="Times New Roman" w:eastAsia="Times New Roman" w:hint="default"/>
                <w:sz w:val="18"/>
                <w:szCs w:val="18"/>
              </w:rPr>
            </w:pPr>
            <w:r>
              <w:rPr>
                <w:rFonts w:ascii="Times New Roman"/>
                <w:b/>
                <w:sz w:val="18"/>
              </w:rPr>
              <w:t>78,75</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0"/>
              <w:jc w:val="right"/>
              <w:rPr>
                <w:rFonts w:ascii="Times New Roman" w:hAnsi="Times New Roman" w:cs="Times New Roman" w:eastAsia="Times New Roman" w:hint="default"/>
                <w:sz w:val="18"/>
                <w:szCs w:val="18"/>
              </w:rPr>
            </w:pPr>
            <w:r>
              <w:rPr>
                <w:rFonts w:ascii="Times New Roman"/>
                <w:b/>
                <w:spacing w:val="-1"/>
                <w:sz w:val="18"/>
              </w:rPr>
              <w:t>101,43</w:t>
            </w:r>
            <w:r>
              <w:rPr>
                <w:rFonts w:ascii="Times New Roman"/>
                <w:spacing w:val="-1"/>
                <w:sz w:val="18"/>
              </w:rPr>
            </w:r>
          </w:p>
        </w:tc>
      </w:tr>
    </w:tbl>
    <w:p>
      <w:pPr>
        <w:pStyle w:val="Heading1"/>
        <w:numPr>
          <w:ilvl w:val="4"/>
          <w:numId w:val="28"/>
        </w:numPr>
        <w:tabs>
          <w:tab w:pos="1003" w:val="left" w:leader="none"/>
        </w:tabs>
        <w:spacing w:line="270" w:lineRule="exact" w:before="0" w:after="0"/>
        <w:ind w:left="160" w:right="0" w:firstLine="566"/>
        <w:jc w:val="left"/>
        <w:rPr>
          <w:b w:val="0"/>
          <w:bCs w:val="0"/>
        </w:rPr>
      </w:pPr>
      <w:r>
        <w:rPr/>
        <w:t>Управа за финансије, изворне приходе локалне самоуправе и јавне  </w:t>
      </w:r>
      <w:r>
        <w:rPr>
          <w:spacing w:val="11"/>
        </w:rPr>
        <w:t> </w:t>
      </w:r>
      <w:r>
        <w:rPr/>
        <w:t>набавке</w:t>
      </w:r>
      <w:r>
        <w:rPr>
          <w:b w:val="0"/>
        </w:rPr>
      </w:r>
    </w:p>
    <w:p>
      <w:pPr>
        <w:pStyle w:val="BodyText"/>
        <w:spacing w:line="274" w:lineRule="exact"/>
        <w:ind w:right="141"/>
        <w:jc w:val="left"/>
      </w:pPr>
      <w:r>
        <w:rPr>
          <w:rFonts w:ascii="Times New Roman" w:hAnsi="Times New Roman" w:cs="Times New Roman" w:eastAsia="Times New Roman" w:hint="default"/>
          <w:b/>
          <w:bCs/>
        </w:rPr>
        <w:t>– </w:t>
      </w:r>
      <w:r>
        <w:rPr/>
        <w:t>Исказан је расход у износу од 22.144 хиљаде</w:t>
      </w:r>
      <w:r>
        <w:rPr>
          <w:spacing w:val="-16"/>
        </w:rPr>
        <w:t> </w:t>
      </w:r>
      <w:r>
        <w:rPr/>
        <w:t>динара.</w:t>
      </w:r>
    </w:p>
    <w:p>
      <w:pPr>
        <w:pStyle w:val="BodyText"/>
        <w:spacing w:line="240" w:lineRule="auto"/>
        <w:ind w:right="176" w:firstLine="566"/>
        <w:jc w:val="both"/>
      </w:pPr>
      <w:r>
        <w:rPr>
          <w:rFonts w:ascii="Times New Roman" w:hAnsi="Times New Roman"/>
        </w:rPr>
      </w:r>
      <w:r>
        <w:rPr>
          <w:rFonts w:ascii="Times New Roman" w:hAnsi="Times New Roman"/>
          <w:spacing w:val="-60"/>
          <w:u w:val="single" w:color="000000"/>
        </w:rPr>
        <w:t> </w:t>
      </w:r>
      <w:r>
        <w:rPr>
          <w:u w:val="single" w:color="000000"/>
        </w:rPr>
        <w:t>Породиљско боловање, субаналитички конто 414111 </w:t>
      </w:r>
      <w:r>
        <w:rPr/>
      </w:r>
      <w:r>
        <w:rPr>
          <w:rFonts w:ascii="Times New Roman" w:hAnsi="Times New Roman"/>
          <w:i/>
        </w:rPr>
        <w:t>- </w:t>
      </w:r>
      <w:r>
        <w:rPr/>
        <w:t>Исказан је расход у износу  од 11.</w:t>
      </w:r>
      <w:r>
        <w:rPr>
          <w:rFonts w:ascii="Times New Roman" w:hAnsi="Times New Roman"/>
        </w:rPr>
        <w:t>3</w:t>
      </w:r>
      <w:r>
        <w:rPr/>
        <w:t>91 хиљад</w:t>
      </w:r>
      <w:r>
        <w:rPr>
          <w:rFonts w:ascii="Times New Roman" w:hAnsi="Times New Roman"/>
        </w:rPr>
        <w:t>e</w:t>
      </w:r>
      <w:r>
        <w:rPr>
          <w:rFonts w:ascii="Times New Roman" w:hAnsi="Times New Roman"/>
          <w:spacing w:val="-6"/>
        </w:rPr>
        <w:t> </w:t>
      </w:r>
      <w:r>
        <w:rPr/>
        <w:t>динара.</w:t>
      </w:r>
    </w:p>
    <w:p>
      <w:pPr>
        <w:spacing w:line="276" w:lineRule="exact" w:before="3"/>
        <w:ind w:left="160" w:right="175"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се исплата накнаде зараде за време породиљског боловања не врши истовремено са исплатом зараде, што је супротно члану 13. Закона о финансијској подршци породици са</w:t>
      </w:r>
      <w:r>
        <w:rPr>
          <w:rFonts w:ascii="Times New Roman" w:hAnsi="Times New Roman"/>
          <w:spacing w:val="-14"/>
          <w:sz w:val="24"/>
        </w:rPr>
        <w:t> </w:t>
      </w:r>
      <w:r>
        <w:rPr>
          <w:rFonts w:ascii="Times New Roman" w:hAnsi="Times New Roman"/>
          <w:sz w:val="24"/>
        </w:rPr>
        <w:t>децом</w:t>
      </w:r>
      <w:r>
        <w:rPr>
          <w:rFonts w:ascii="Times New Roman" w:hAnsi="Times New Roman"/>
          <w:position w:val="11"/>
          <w:sz w:val="16"/>
        </w:rPr>
        <w:t>55</w:t>
      </w:r>
      <w:r>
        <w:rPr>
          <w:rFonts w:ascii="Times New Roman" w:hAnsi="Times New Roman"/>
          <w:sz w:val="24"/>
        </w:rPr>
        <w:t>.</w:t>
      </w:r>
    </w:p>
    <w:p>
      <w:pPr>
        <w:pStyle w:val="Heading2"/>
        <w:spacing w:line="240" w:lineRule="auto" w:before="1"/>
        <w:ind w:right="180"/>
        <w:jc w:val="both"/>
        <w:rPr>
          <w:b w:val="0"/>
          <w:bCs w:val="0"/>
          <w:i w:val="0"/>
        </w:rPr>
      </w:pPr>
      <w:r>
        <w:rPr>
          <w:i/>
        </w:rPr>
        <w:t>Препоручује се одговорним лицима да исплату накнаде зараде за време породиљског одсуства врше истовремено са исплатом</w:t>
      </w:r>
      <w:r>
        <w:rPr>
          <w:i/>
          <w:spacing w:val="-18"/>
        </w:rPr>
        <w:t> </w:t>
      </w:r>
      <w:r>
        <w:rPr>
          <w:i/>
        </w:rPr>
        <w:t>зараде.</w:t>
      </w:r>
      <w:r>
        <w:rPr>
          <w:b w:val="0"/>
          <w:i w:val="0"/>
        </w:rPr>
      </w:r>
    </w:p>
    <w:p>
      <w:pPr>
        <w:pStyle w:val="BodyText"/>
        <w:spacing w:line="240" w:lineRule="auto"/>
        <w:ind w:right="176"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Боловање преко 30 дана, субаналитички конто 414121 </w:t>
      </w:r>
      <w:r>
        <w:rPr/>
      </w:r>
      <w:r>
        <w:rPr>
          <w:rFonts w:ascii="Times New Roman" w:hAnsi="Times New Roman" w:cs="Times New Roman" w:eastAsia="Times New Roman" w:hint="default"/>
          <w:i/>
        </w:rPr>
        <w:t>– </w:t>
      </w:r>
      <w:r>
        <w:rPr/>
        <w:t>Исказан је расход у износу од 4.545  хиљада</w:t>
      </w:r>
      <w:r>
        <w:rPr>
          <w:spacing w:val="-6"/>
        </w:rPr>
        <w:t> </w:t>
      </w:r>
      <w:r>
        <w:rPr/>
        <w:t>динара.</w:t>
      </w:r>
    </w:p>
    <w:p>
      <w:pPr>
        <w:spacing w:before="0"/>
        <w:ind w:left="726" w:right="141" w:firstLine="0"/>
        <w:jc w:val="left"/>
        <w:rPr>
          <w:rFonts w:ascii="Times New Roman" w:hAnsi="Times New Roman" w:cs="Times New Roman" w:eastAsia="Times New Roman" w:hint="default"/>
          <w:sz w:val="24"/>
          <w:szCs w:val="24"/>
        </w:rPr>
      </w:pPr>
      <w:r>
        <w:rPr>
          <w:rFonts w:ascii="Times New Roman" w:hAnsi="Times New Roman"/>
          <w:i/>
          <w:sz w:val="24"/>
        </w:rPr>
        <w:t>На основу ревизије узорковане документације нису утврђене</w:t>
      </w:r>
      <w:r>
        <w:rPr>
          <w:rFonts w:ascii="Times New Roman" w:hAnsi="Times New Roman"/>
          <w:i/>
          <w:spacing w:val="-7"/>
          <w:sz w:val="24"/>
        </w:rPr>
        <w:t> </w:t>
      </w:r>
      <w:r>
        <w:rPr>
          <w:rFonts w:ascii="Times New Roman" w:hAnsi="Times New Roman"/>
          <w:i/>
          <w:sz w:val="24"/>
        </w:rPr>
        <w:t>неправилности</w:t>
      </w:r>
      <w:r>
        <w:rPr>
          <w:rFonts w:ascii="Times New Roman" w:hAnsi="Times New Roman"/>
          <w:b/>
          <w:i/>
          <w:sz w:val="24"/>
        </w:rPr>
        <w:t>.</w:t>
      </w:r>
      <w:r>
        <w:rPr>
          <w:rFonts w:ascii="Times New Roman" w:hAnsi="Times New Roman"/>
          <w:sz w:val="24"/>
        </w:rPr>
      </w:r>
    </w:p>
    <w:p>
      <w:pPr>
        <w:pStyle w:val="BodyText"/>
        <w:spacing w:line="230" w:lineRule="auto" w:before="9"/>
        <w:ind w:right="176" w:firstLine="566"/>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Отпремнина приликом одласка у пензију, субаналитички конто </w:t>
      </w:r>
      <w:r>
        <w:rPr>
          <w:rFonts w:ascii="Times New Roman" w:hAnsi="Times New Roman"/>
          <w:u w:val="single" w:color="000000"/>
        </w:rPr>
        <w:t>414311 </w:t>
      </w:r>
      <w:r>
        <w:rPr>
          <w:rFonts w:ascii="Times New Roman" w:hAnsi="Times New Roman"/>
        </w:rPr>
      </w:r>
      <w:r>
        <w:rPr>
          <w:rFonts w:ascii="Times New Roman" w:hAnsi="Times New Roman"/>
          <w:b/>
          <w:i/>
        </w:rPr>
        <w:t>- </w:t>
      </w:r>
      <w:r>
        <w:rPr/>
        <w:t>Исказан је расход у износу од </w:t>
      </w:r>
      <w:r>
        <w:rPr>
          <w:rFonts w:ascii="Times New Roman" w:hAnsi="Times New Roman"/>
        </w:rPr>
        <w:t>3.316 </w:t>
      </w:r>
      <w:r>
        <w:rPr/>
        <w:t>хиљад</w:t>
      </w:r>
      <w:r>
        <w:rPr>
          <w:rFonts w:ascii="Times New Roman" w:hAnsi="Times New Roman"/>
        </w:rPr>
        <w:t>a </w:t>
      </w:r>
      <w:r>
        <w:rPr/>
        <w:t>динара. Отпремнина због одласка у пензију регулисана је Одлуком о накнадама, додацима на плату и другим примањима изабраних, постављених и запослених лица у органима и службама</w:t>
      </w:r>
      <w:r>
        <w:rPr>
          <w:spacing w:val="-12"/>
        </w:rPr>
        <w:t> </w:t>
      </w:r>
      <w:r>
        <w:rPr/>
        <w:t>Града</w:t>
      </w:r>
      <w:r>
        <w:rPr>
          <w:rFonts w:ascii="Times New Roman" w:hAnsi="Times New Roman"/>
          <w:position w:val="11"/>
          <w:sz w:val="16"/>
        </w:rPr>
        <w:t>56</w:t>
      </w:r>
      <w:r>
        <w:rPr>
          <w:rFonts w:ascii="Times New Roman" w:hAnsi="Times New Roman"/>
        </w:rPr>
        <w:t>.</w:t>
      </w:r>
    </w:p>
    <w:p>
      <w:pPr>
        <w:pStyle w:val="BodyText"/>
        <w:spacing w:line="240" w:lineRule="auto" w:before="2"/>
        <w:ind w:right="174" w:firstLine="566"/>
        <w:jc w:val="both"/>
        <w:rPr>
          <w:rFonts w:ascii="Times New Roman" w:hAnsi="Times New Roman" w:cs="Times New Roman" w:eastAsia="Times New Roman" w:hint="default"/>
        </w:rPr>
      </w:pPr>
      <w:r>
        <w:rPr>
          <w:rFonts w:ascii="Times New Roman" w:hAnsi="Times New Roman"/>
          <w:b/>
        </w:rPr>
        <w:t>На основу ревизије узорковане документације утврђено је </w:t>
      </w:r>
      <w:r>
        <w:rPr/>
        <w:t>да Управа за финансије, изворне приходе локалне самоуправе и јавне набавке није извршила исплату отпремнина у року од 30 дана од дана престанка радног односа у износу од 570 хиљада динара, што је супротно члану 186. Закона о раду. Исплата отпремнине по решењу од 08.10.2013. године извршена је 19.02.2014. године</w:t>
      </w:r>
      <w:r>
        <w:rPr>
          <w:rFonts w:ascii="Times New Roman" w:hAnsi="Times New Roman"/>
        </w:rPr>
        <w:t>, </w:t>
      </w:r>
      <w:r>
        <w:rPr/>
        <w:t>по решењу од 05.12.2013. године извршена је 19.02.2014. године и по решењу од 27.12.2013. године извршена је 17.07.2014.</w:t>
      </w:r>
      <w:r>
        <w:rPr>
          <w:spacing w:val="1"/>
        </w:rPr>
        <w:t> </w:t>
      </w:r>
      <w:r>
        <w:rPr/>
        <w:t>године</w:t>
      </w:r>
      <w:r>
        <w:rPr>
          <w:rFonts w:ascii="Times New Roman" w:hAnsi="Times New Roman"/>
        </w:rPr>
        <w:t>.</w:t>
      </w:r>
    </w:p>
    <w:p>
      <w:pPr>
        <w:pStyle w:val="Heading2"/>
        <w:spacing w:line="240" w:lineRule="auto"/>
        <w:ind w:right="174"/>
        <w:jc w:val="both"/>
        <w:rPr>
          <w:b w:val="0"/>
          <w:bCs w:val="0"/>
          <w:i w:val="0"/>
        </w:rPr>
      </w:pPr>
      <w:r>
        <w:rPr>
          <w:i/>
        </w:rPr>
        <w:t>Препоручује се одговорним лицима да исплату оптремнина приликом одласка у пензију врше у роковима прописаним</w:t>
      </w:r>
      <w:r>
        <w:rPr>
          <w:i/>
          <w:spacing w:val="-14"/>
        </w:rPr>
        <w:t> </w:t>
      </w:r>
      <w:r>
        <w:rPr>
          <w:i/>
        </w:rPr>
        <w:t>законом.</w:t>
      </w:r>
      <w:r>
        <w:rPr>
          <w:b w:val="0"/>
          <w:i w:val="0"/>
        </w:rPr>
      </w:r>
    </w:p>
    <w:p>
      <w:pPr>
        <w:pStyle w:val="BodyText"/>
        <w:spacing w:line="240" w:lineRule="auto"/>
        <w:ind w:right="175" w:firstLine="566"/>
        <w:jc w:val="both"/>
      </w:pPr>
      <w:r>
        <w:rPr>
          <w:rFonts w:ascii="Times New Roman" w:hAnsi="Times New Roman"/>
        </w:rPr>
      </w:r>
      <w:r>
        <w:rPr>
          <w:rFonts w:ascii="Times New Roman" w:hAnsi="Times New Roman"/>
          <w:spacing w:val="-60"/>
          <w:u w:val="single" w:color="000000"/>
        </w:rPr>
        <w:t> </w:t>
      </w:r>
      <w:r>
        <w:rPr>
          <w:u w:val="single" w:color="000000"/>
        </w:rPr>
        <w:t>Помоћ у случају смрти запосленог или члана уже породице, субаналитички конто </w:t>
      </w:r>
      <w:r>
        <w:rPr/>
      </w:r>
      <w:r>
        <w:rPr/>
      </w:r>
      <w:r>
        <w:rPr>
          <w:rFonts w:ascii="Times New Roman" w:hAnsi="Times New Roman"/>
        </w:rPr>
      </w:r>
      <w:r>
        <w:rPr>
          <w:rFonts w:ascii="Times New Roman" w:hAnsi="Times New Roman"/>
          <w:u w:val="single" w:color="000000"/>
        </w:rPr>
        <w:t>414314 </w:t>
      </w:r>
      <w:r>
        <w:rPr>
          <w:rFonts w:ascii="Times New Roman" w:hAnsi="Times New Roman"/>
        </w:rPr>
      </w:r>
      <w:r>
        <w:rPr>
          <w:rFonts w:ascii="Times New Roman" w:hAnsi="Times New Roman"/>
          <w:b/>
          <w:i/>
        </w:rPr>
        <w:t>- </w:t>
      </w:r>
      <w:r>
        <w:rPr/>
        <w:t>Исказан је расход у износу од </w:t>
      </w:r>
      <w:r>
        <w:rPr>
          <w:rFonts w:ascii="Times New Roman" w:hAnsi="Times New Roman"/>
        </w:rPr>
        <w:t>967  </w:t>
      </w:r>
      <w:r>
        <w:rPr/>
        <w:t>хиљада</w:t>
      </w:r>
      <w:r>
        <w:rPr>
          <w:spacing w:val="-15"/>
        </w:rPr>
        <w:t> </w:t>
      </w:r>
      <w:r>
        <w:rPr/>
        <w:t>динара.</w:t>
      </w:r>
    </w:p>
    <w:p>
      <w:pPr>
        <w:pStyle w:val="BodyText"/>
        <w:spacing w:line="240" w:lineRule="auto"/>
        <w:ind w:right="173" w:firstLine="566"/>
        <w:jc w:val="both"/>
      </w:pPr>
      <w:r>
        <w:rPr/>
        <w:t>Одлуком о накнадама, додацима на плату и другим примањима изабраних, постављених и запослених лица у органима и службама града предвиђено је да породица запосленог има право на солидарну помоћ у случају смрти запосленог, као и запослени у случају смрти члана уже породице, у висини трошкова сахране и погребне опреме по званичном ценовнику ЈКП „Медијана“ за нужне трошкове</w:t>
      </w:r>
      <w:r>
        <w:rPr>
          <w:spacing w:val="-23"/>
        </w:rPr>
        <w:t> </w:t>
      </w:r>
      <w:r>
        <w:rPr/>
        <w:t>сахране.</w:t>
      </w:r>
    </w:p>
    <w:p>
      <w:pPr>
        <w:spacing w:before="0"/>
        <w:ind w:left="726" w:right="141" w:firstLine="0"/>
        <w:jc w:val="left"/>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захтеви за</w:t>
      </w:r>
      <w:r>
        <w:rPr>
          <w:rFonts w:ascii="Times New Roman" w:hAnsi="Times New Roman"/>
          <w:spacing w:val="3"/>
          <w:sz w:val="24"/>
        </w:rPr>
        <w:t> </w:t>
      </w:r>
      <w:r>
        <w:rPr>
          <w:rFonts w:ascii="Times New Roman" w:hAnsi="Times New Roman"/>
          <w:sz w:val="24"/>
        </w:rPr>
        <w:t>плаћање</w:t>
      </w:r>
    </w:p>
    <w:p>
      <w:pPr>
        <w:pStyle w:val="BodyText"/>
        <w:spacing w:line="240" w:lineRule="auto"/>
        <w:ind w:right="178"/>
        <w:jc w:val="left"/>
      </w:pPr>
      <w:r>
        <w:rPr/>
        <w:t>– трансфер средстава без преузимања обавеза Управе за привреду, одрживи развој и заштиту  животне  средине  број  702  од  28.08.2014.  године  и  број  1019  од</w:t>
      </w:r>
      <w:r>
        <w:rPr>
          <w:spacing w:val="17"/>
        </w:rPr>
        <w:t> </w:t>
      </w:r>
      <w:r>
        <w:rPr/>
        <w:t>15.12.2014.</w:t>
      </w:r>
    </w:p>
    <w:p>
      <w:pPr>
        <w:spacing w:line="240" w:lineRule="auto" w:before="0"/>
        <w:rPr>
          <w:rFonts w:ascii="Times New Roman" w:hAnsi="Times New Roman" w:cs="Times New Roman" w:eastAsia="Times New Roman" w:hint="default"/>
          <w:sz w:val="20"/>
          <w:szCs w:val="20"/>
        </w:rPr>
      </w:pPr>
    </w:p>
    <w:p>
      <w:pPr>
        <w:spacing w:line="240" w:lineRule="auto" w:before="9"/>
        <w:rPr>
          <w:rFonts w:ascii="Times New Roman" w:hAnsi="Times New Roman" w:cs="Times New Roman" w:eastAsia="Times New Roman" w:hint="default"/>
          <w:sz w:val="10"/>
          <w:szCs w:val="10"/>
        </w:rPr>
      </w:pPr>
      <w:r>
        <w:rPr/>
        <w:pict>
          <v:group style="position:absolute;margin-left:78.024002pt;margin-top:7.44528pt;width:144.050pt;height:.1pt;mso-position-horizontal-relative:page;mso-position-vertical-relative:paragraph;z-index:1696;mso-wrap-distance-left:0;mso-wrap-distance-right:0" coordorigin="1560,149" coordsize="2881,2">
            <v:shape style="position:absolute;left:1560;top:149;width:2881;height:2" coordorigin="1560,149" coordsize="2881,0" path="m1560,149l4441,149e" filled="false" stroked="true" strokeweight=".599980pt" strokecolor="#000000">
              <v:path arrowok="t"/>
            </v:shape>
            <w10:wrap type="topAndBottom"/>
          </v:group>
        </w:pict>
      </w:r>
    </w:p>
    <w:p>
      <w:pPr>
        <w:spacing w:line="191" w:lineRule="exact" w:before="5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55 </w:t>
      </w:r>
      <w:r>
        <w:rPr>
          <w:rFonts w:ascii="Times New Roman" w:hAnsi="Times New Roman" w:cs="Times New Roman" w:eastAsia="Times New Roman" w:hint="default"/>
          <w:sz w:val="16"/>
          <w:szCs w:val="16"/>
        </w:rPr>
        <w:t>„Службени гласник Републике Србије“ број</w:t>
      </w:r>
      <w:r>
        <w:rPr>
          <w:rFonts w:ascii="Times New Roman" w:hAnsi="Times New Roman" w:cs="Times New Roman" w:eastAsia="Times New Roman" w:hint="default"/>
          <w:spacing w:val="-13"/>
          <w:sz w:val="16"/>
          <w:szCs w:val="16"/>
        </w:rPr>
        <w:t> </w:t>
      </w:r>
      <w:r>
        <w:rPr>
          <w:rFonts w:ascii="Times New Roman" w:hAnsi="Times New Roman" w:cs="Times New Roman" w:eastAsia="Times New Roman" w:hint="default"/>
          <w:sz w:val="16"/>
          <w:szCs w:val="16"/>
        </w:rPr>
        <w:t>16/2002...17/2009</w:t>
      </w:r>
    </w:p>
    <w:p>
      <w:pPr>
        <w:spacing w:line="191" w:lineRule="exact" w:before="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56  </w:t>
      </w:r>
      <w:r>
        <w:rPr>
          <w:rFonts w:ascii="Times New Roman" w:hAnsi="Times New Roman" w:cs="Times New Roman" w:eastAsia="Times New Roman" w:hint="default"/>
          <w:sz w:val="16"/>
          <w:szCs w:val="16"/>
        </w:rPr>
        <w:t>„Службени лист града Ниша“ број</w:t>
      </w:r>
      <w:r>
        <w:rPr>
          <w:rFonts w:ascii="Times New Roman" w:hAnsi="Times New Roman" w:cs="Times New Roman" w:eastAsia="Times New Roman" w:hint="default"/>
          <w:spacing w:val="-26"/>
          <w:sz w:val="16"/>
          <w:szCs w:val="16"/>
        </w:rPr>
        <w:t> </w:t>
      </w:r>
      <w:r>
        <w:rPr>
          <w:rFonts w:ascii="Times New Roman" w:hAnsi="Times New Roman" w:cs="Times New Roman" w:eastAsia="Times New Roman" w:hint="default"/>
          <w:sz w:val="16"/>
          <w:szCs w:val="16"/>
        </w:rPr>
        <w:t>3/2008</w:t>
      </w:r>
    </w:p>
    <w:p>
      <w:pPr>
        <w:spacing w:after="0" w:line="191" w:lineRule="exact"/>
        <w:jc w:val="left"/>
        <w:rPr>
          <w:rFonts w:ascii="Times New Roman" w:hAnsi="Times New Roman" w:cs="Times New Roman" w:eastAsia="Times New Roman" w:hint="default"/>
          <w:sz w:val="16"/>
          <w:szCs w:val="16"/>
        </w:rPr>
        <w:sectPr>
          <w:pgSz w:w="12240" w:h="15840"/>
          <w:pgMar w:header="740" w:footer="1274" w:top="1280" w:bottom="1460" w:left="1400" w:right="1260"/>
        </w:sectPr>
      </w:pPr>
    </w:p>
    <w:p>
      <w:pPr>
        <w:pStyle w:val="BodyText"/>
        <w:spacing w:line="240" w:lineRule="auto" w:before="122"/>
        <w:ind w:right="182"/>
        <w:jc w:val="both"/>
      </w:pPr>
      <w:r>
        <w:rPr/>
        <w:t>године у укупном износу од 56 хиљада динара нису потписани од стране лица која одобравају плаћање из Управе за финансије, изворне приходе локалне самоуправе и јавне набавке, што је супротно члану 58. Закона о буџетском систему и члану 16. Уредбе о буџетском</w:t>
      </w:r>
      <w:r>
        <w:rPr>
          <w:spacing w:val="-13"/>
        </w:rPr>
        <w:t> </w:t>
      </w:r>
      <w:r>
        <w:rPr/>
        <w:t>рачуноводству.</w:t>
      </w:r>
    </w:p>
    <w:p>
      <w:pPr>
        <w:pStyle w:val="Heading2"/>
        <w:spacing w:line="240" w:lineRule="auto"/>
        <w:ind w:right="178"/>
        <w:jc w:val="both"/>
        <w:rPr>
          <w:rFonts w:ascii="Times New Roman" w:hAnsi="Times New Roman" w:cs="Times New Roman" w:eastAsia="Times New Roman" w:hint="default"/>
          <w:b w:val="0"/>
          <w:bCs w:val="0"/>
          <w:i w:val="0"/>
        </w:rPr>
      </w:pPr>
      <w:r>
        <w:rPr>
          <w:i/>
        </w:rPr>
        <w:t>Препоручује се одговорним лицима да обезбеде валидну документацију за сваки расход из</w:t>
      </w:r>
      <w:r>
        <w:rPr>
          <w:i/>
          <w:spacing w:val="1"/>
        </w:rPr>
        <w:t> </w:t>
      </w:r>
      <w:r>
        <w:rPr>
          <w:i/>
        </w:rPr>
        <w:t>буџета</w:t>
      </w:r>
      <w:r>
        <w:rPr>
          <w:rFonts w:ascii="Times New Roman" w:hAnsi="Times New Roman"/>
          <w:i/>
        </w:rPr>
        <w:t>.</w:t>
      </w:r>
      <w:r>
        <w:rPr>
          <w:rFonts w:ascii="Times New Roman" w:hAnsi="Times New Roman"/>
          <w:b w:val="0"/>
          <w:i w:val="0"/>
        </w:rPr>
      </w:r>
    </w:p>
    <w:p>
      <w:pPr>
        <w:pStyle w:val="BodyText"/>
        <w:spacing w:line="240" w:lineRule="auto"/>
        <w:ind w:right="172" w:firstLine="566"/>
        <w:jc w:val="both"/>
      </w:pPr>
      <w:r>
        <w:rPr>
          <w:rFonts w:ascii="Times New Roman" w:hAnsi="Times New Roman"/>
        </w:rPr>
      </w:r>
      <w:r>
        <w:rPr>
          <w:rFonts w:ascii="Times New Roman" w:hAnsi="Times New Roman"/>
          <w:spacing w:val="-60"/>
          <w:u w:val="single" w:color="000000"/>
        </w:rPr>
        <w:t> </w:t>
      </w:r>
      <w:r>
        <w:rPr>
          <w:u w:val="single" w:color="000000"/>
        </w:rPr>
        <w:t>Остале помоћи запосленима, субаналитички конто 414419 </w:t>
      </w:r>
      <w:r>
        <w:rPr/>
      </w:r>
      <w:r>
        <w:rPr>
          <w:rFonts w:ascii="Times New Roman" w:hAnsi="Times New Roman"/>
          <w:b/>
          <w:i/>
        </w:rPr>
        <w:t>- </w:t>
      </w:r>
      <w:r>
        <w:rPr/>
        <w:t>Исказан је расход у износу од 2.371 хиљаде</w:t>
      </w:r>
      <w:r>
        <w:rPr>
          <w:spacing w:val="-8"/>
        </w:rPr>
        <w:t> </w:t>
      </w:r>
      <w:r>
        <w:rPr/>
        <w:t>динара.</w:t>
      </w:r>
    </w:p>
    <w:p>
      <w:pPr>
        <w:pStyle w:val="BodyText"/>
        <w:spacing w:line="240" w:lineRule="auto"/>
        <w:ind w:right="173" w:firstLine="566"/>
        <w:jc w:val="both"/>
      </w:pPr>
      <w:r>
        <w:rPr>
          <w:rFonts w:ascii="Times New Roman" w:hAnsi="Times New Roman"/>
          <w:b/>
        </w:rPr>
        <w:t>На основу ревизије узорковане документације утврђено је </w:t>
      </w:r>
      <w:r>
        <w:rPr/>
        <w:t>да су исплате вршене у висини једне и по просечне зараде, односно за новорођено треће дете у висини од три просечне зараде по запосленом у Републици Србији према последњем објављеном податку републичког органа за статистику, што је супротно члану 43. Одлуке о накнадама, додацима на плату и другим примањима изабраних, постављених и запослених лица у органима и службама града, којим је предвиђено да запослени има право на помоћ за новорођено дете у висини једне и по просечне зараде у привреди Републике према задњем објављеном податку републичког органа надлежног за послове статистике и да запослени има право на помоћ за новорођено треће дете у висини од три просечне зараде у привреди Републике, према задњем објављеном податку републичког органа надлежног за послове статистике. На тај начин је више исплаћен износ од </w:t>
      </w:r>
      <w:r>
        <w:rPr>
          <w:rFonts w:ascii="Times New Roman" w:hAnsi="Times New Roman"/>
        </w:rPr>
        <w:t>125 </w:t>
      </w:r>
      <w:r>
        <w:rPr/>
        <w:t>хиљада</w:t>
      </w:r>
      <w:r>
        <w:rPr>
          <w:spacing w:val="-3"/>
        </w:rPr>
        <w:t> </w:t>
      </w:r>
      <w:r>
        <w:rPr/>
        <w:t>динара.</w:t>
      </w:r>
    </w:p>
    <w:p>
      <w:pPr>
        <w:pStyle w:val="BodyText"/>
        <w:spacing w:line="240" w:lineRule="auto"/>
        <w:ind w:right="182" w:firstLine="566"/>
        <w:jc w:val="both"/>
        <w:rPr>
          <w:rFonts w:ascii="Times New Roman" w:hAnsi="Times New Roman" w:cs="Times New Roman" w:eastAsia="Times New Roman" w:hint="default"/>
        </w:rPr>
      </w:pPr>
      <w:r>
        <w:rPr/>
        <w:t>У другој половини 2014. године исплате су вршене у складу са Одлуком о накнадама, додацима на плату и другим примањима изабраних, постављених и запослених лица у органима и службама</w:t>
      </w:r>
      <w:r>
        <w:rPr>
          <w:spacing w:val="-13"/>
        </w:rPr>
        <w:t> </w:t>
      </w:r>
      <w:r>
        <w:rPr/>
        <w:t>града</w:t>
      </w:r>
      <w:r>
        <w:rPr>
          <w:rFonts w:ascii="Times New Roman" w:hAnsi="Times New Roman"/>
        </w:rPr>
        <w:t>.</w:t>
      </w:r>
    </w:p>
    <w:p>
      <w:pPr>
        <w:pStyle w:val="ListParagraph"/>
        <w:numPr>
          <w:ilvl w:val="4"/>
          <w:numId w:val="28"/>
        </w:numPr>
        <w:tabs>
          <w:tab w:pos="1025" w:val="left" w:leader="none"/>
        </w:tabs>
        <w:spacing w:line="240" w:lineRule="auto" w:before="137" w:after="0"/>
        <w:ind w:left="160" w:right="178" w:firstLine="566"/>
        <w:jc w:val="both"/>
        <w:rPr>
          <w:rFonts w:ascii="Times New Roman" w:hAnsi="Times New Roman" w:cs="Times New Roman" w:eastAsia="Times New Roman" w:hint="default"/>
          <w:sz w:val="24"/>
          <w:szCs w:val="24"/>
        </w:rPr>
      </w:pPr>
      <w:r>
        <w:rPr>
          <w:rFonts w:ascii="Times New Roman" w:hAnsi="Times New Roman"/>
          <w:b/>
          <w:sz w:val="24"/>
        </w:rPr>
        <w:t>Управа за образовање </w:t>
      </w:r>
      <w:r>
        <w:rPr>
          <w:rFonts w:ascii="Times New Roman" w:hAnsi="Times New Roman"/>
          <w:b/>
          <w:sz w:val="24"/>
        </w:rPr>
        <w:t>- </w:t>
      </w:r>
      <w:r>
        <w:rPr>
          <w:rFonts w:ascii="Times New Roman" w:hAnsi="Times New Roman"/>
          <w:sz w:val="24"/>
        </w:rPr>
        <w:t>Исказан је расход у износу од 7.385 хиљада динара,  који се односи на ПУ Пчелица у износу од 5.871 хиљаде динара и Дечији центар у износу од 1.514 хиљада</w:t>
      </w:r>
      <w:r>
        <w:rPr>
          <w:rFonts w:ascii="Times New Roman" w:hAnsi="Times New Roman"/>
          <w:spacing w:val="-2"/>
          <w:sz w:val="24"/>
        </w:rPr>
        <w:t> </w:t>
      </w:r>
      <w:r>
        <w:rPr>
          <w:rFonts w:ascii="Times New Roman" w:hAnsi="Times New Roman"/>
          <w:sz w:val="24"/>
        </w:rPr>
        <w:t>динара.</w:t>
      </w:r>
    </w:p>
    <w:p>
      <w:pPr>
        <w:pStyle w:val="BodyText"/>
        <w:spacing w:line="240" w:lineRule="auto"/>
        <w:ind w:right="176" w:firstLine="566"/>
        <w:jc w:val="both"/>
      </w:pPr>
      <w:r>
        <w:rPr>
          <w:rFonts w:ascii="Times New Roman" w:hAnsi="Times New Roman"/>
          <w:b/>
        </w:rPr>
        <w:t>2а) ПУ Пчелица </w:t>
      </w:r>
      <w:r>
        <w:rPr>
          <w:rFonts w:ascii="Times New Roman" w:hAnsi="Times New Roman"/>
          <w:b/>
        </w:rPr>
        <w:t>- </w:t>
      </w:r>
      <w:r>
        <w:rPr/>
        <w:t>Исказан је расход у износу од 5.871 хиљаде динара и то на терет буџета Града у износу од 660 хиљада динара, на терет буџета Републике 1.584 хиљаде динара, а из осталих извора у износу од 3.627 хиљада</w:t>
      </w:r>
      <w:r>
        <w:rPr>
          <w:spacing w:val="-16"/>
        </w:rPr>
        <w:t> </w:t>
      </w:r>
      <w:r>
        <w:rPr/>
        <w:t>динара.</w:t>
      </w:r>
    </w:p>
    <w:p>
      <w:pPr>
        <w:pStyle w:val="BodyText"/>
        <w:spacing w:line="240" w:lineRule="auto"/>
        <w:ind w:right="179" w:firstLine="566"/>
        <w:jc w:val="both"/>
      </w:pPr>
      <w:r>
        <w:rPr>
          <w:rFonts w:ascii="Times New Roman" w:hAnsi="Times New Roman"/>
        </w:rPr>
      </w:r>
      <w:r>
        <w:rPr>
          <w:rFonts w:ascii="Times New Roman" w:hAnsi="Times New Roman"/>
          <w:spacing w:val="-60"/>
          <w:u w:val="single" w:color="000000"/>
        </w:rPr>
        <w:t> </w:t>
      </w:r>
      <w:r>
        <w:rPr>
          <w:u w:val="single" w:color="000000"/>
        </w:rPr>
        <w:t>Породиљско боловање, субаналитички конто </w:t>
      </w:r>
      <w:r>
        <w:rPr>
          <w:rFonts w:ascii="Times New Roman" w:hAnsi="Times New Roman"/>
          <w:u w:val="single" w:color="000000"/>
        </w:rPr>
        <w:t>414111 </w:t>
      </w:r>
      <w:r>
        <w:rPr>
          <w:rFonts w:ascii="Times New Roman" w:hAnsi="Times New Roman"/>
        </w:rPr>
      </w:r>
      <w:r>
        <w:rPr>
          <w:rFonts w:ascii="Times New Roman" w:hAnsi="Times New Roman"/>
          <w:b/>
          <w:i/>
        </w:rPr>
        <w:t>- </w:t>
      </w:r>
      <w:r>
        <w:rPr/>
        <w:t>На овом конту није евидентиран расход, обзиром да при рефундацији се књижење врши сторнирањем расхода. Укупно је исплаћен за породиљско боловање износ од 23.726 хиљада</w:t>
      </w:r>
      <w:r>
        <w:rPr>
          <w:spacing w:val="-19"/>
        </w:rPr>
        <w:t> </w:t>
      </w:r>
      <w:r>
        <w:rPr/>
        <w:t>динара.</w:t>
      </w:r>
    </w:p>
    <w:p>
      <w:pPr>
        <w:pStyle w:val="ListParagraph"/>
        <w:numPr>
          <w:ilvl w:val="0"/>
          <w:numId w:val="9"/>
        </w:numPr>
        <w:tabs>
          <w:tab w:pos="303" w:val="left" w:leader="none"/>
        </w:tabs>
        <w:spacing w:line="232" w:lineRule="auto" w:before="10" w:after="0"/>
        <w:ind w:left="160" w:right="171" w:firstLine="0"/>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ПУ Пчелица исплату накнаде зараде за време породиљског одсуства не врши истовремено са исплатом зараде, што је супротно члану 13. Закона о финансијској подршци породици са децом</w:t>
      </w:r>
      <w:r>
        <w:rPr>
          <w:rFonts w:ascii="Times New Roman" w:hAnsi="Times New Roman"/>
          <w:position w:val="11"/>
          <w:sz w:val="16"/>
        </w:rPr>
        <w:t>57</w:t>
      </w:r>
      <w:r>
        <w:rPr>
          <w:rFonts w:ascii="Times New Roman" w:hAnsi="Times New Roman"/>
          <w:sz w:val="24"/>
        </w:rPr>
        <w:t>. </w:t>
      </w:r>
      <w:r>
        <w:rPr>
          <w:rFonts w:ascii="Times New Roman" w:hAnsi="Times New Roman"/>
          <w:sz w:val="24"/>
        </w:rPr>
        <w:t>У поступку ревизије, почевши од септембра 2015. године, ПУ је исплату накнаде за породиљско   одсуство   извршила   истовремено   са   исплатом   коначног   дела    </w:t>
      </w:r>
      <w:r>
        <w:rPr>
          <w:rFonts w:ascii="Times New Roman" w:hAnsi="Times New Roman"/>
          <w:spacing w:val="46"/>
          <w:sz w:val="24"/>
        </w:rPr>
        <w:t> </w:t>
      </w:r>
      <w:r>
        <w:rPr>
          <w:rFonts w:ascii="Times New Roman" w:hAnsi="Times New Roman"/>
          <w:sz w:val="24"/>
        </w:rPr>
        <w:t>плате</w:t>
      </w:r>
    </w:p>
    <w:p>
      <w:pPr>
        <w:pStyle w:val="BodyText"/>
        <w:spacing w:line="240" w:lineRule="auto" w:before="1"/>
        <w:ind w:right="0"/>
        <w:jc w:val="both"/>
      </w:pPr>
      <w:r>
        <w:rPr/>
        <w:t>запосленима.</w:t>
      </w:r>
    </w:p>
    <w:p>
      <w:pPr>
        <w:pStyle w:val="BodyText"/>
        <w:spacing w:line="240" w:lineRule="auto"/>
        <w:ind w:right="174"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Отпремнина приликом одласка у пензију, субаналитички  конто </w:t>
      </w:r>
      <w:r>
        <w:rPr>
          <w:rFonts w:ascii="Times New Roman" w:hAnsi="Times New Roman" w:cs="Times New Roman" w:eastAsia="Times New Roman" w:hint="default"/>
          <w:u w:val="single" w:color="000000"/>
        </w:rPr>
        <w:t>414311 </w:t>
      </w:r>
      <w:r>
        <w:rPr>
          <w:rFonts w:ascii="Times New Roman" w:hAnsi="Times New Roman" w:cs="Times New Roman" w:eastAsia="Times New Roman" w:hint="default"/>
        </w:rPr>
      </w:r>
      <w:r>
        <w:rPr>
          <w:rFonts w:ascii="Times New Roman" w:hAnsi="Times New Roman" w:cs="Times New Roman" w:eastAsia="Times New Roman" w:hint="default"/>
          <w:i/>
        </w:rPr>
        <w:t>– </w:t>
      </w:r>
      <w:r>
        <w:rPr/>
        <w:t>Исказан  је расход у износу од 5.751 хиљаде</w:t>
      </w:r>
      <w:r>
        <w:rPr>
          <w:spacing w:val="-9"/>
        </w:rPr>
        <w:t> </w:t>
      </w:r>
      <w:r>
        <w:rPr/>
        <w:t>динара.</w:t>
      </w:r>
    </w:p>
    <w:p>
      <w:pPr>
        <w:pStyle w:val="BodyText"/>
        <w:spacing w:line="240" w:lineRule="auto"/>
        <w:ind w:right="175" w:firstLine="566"/>
        <w:jc w:val="both"/>
        <w:rPr>
          <w:rFonts w:ascii="Times New Roman" w:hAnsi="Times New Roman" w:cs="Times New Roman" w:eastAsia="Times New Roman" w:hint="default"/>
        </w:rPr>
      </w:pPr>
      <w:r>
        <w:rPr>
          <w:rFonts w:ascii="Times New Roman" w:hAnsi="Times New Roman"/>
          <w:b/>
        </w:rPr>
        <w:t>На основу ревизије узорковане докуменације утврђено је </w:t>
      </w:r>
      <w:r>
        <w:rPr/>
        <w:t>да ПУ Пчелица није вршила исплату отпремнине приликом одласка у пензију у року од 30 дана од дана престанка радног односа, што је супротно члану 1</w:t>
      </w:r>
      <w:r>
        <w:rPr>
          <w:rFonts w:ascii="Times New Roman" w:hAnsi="Times New Roman"/>
        </w:rPr>
        <w:t>86</w:t>
      </w:r>
      <w:r>
        <w:rPr/>
        <w:t>. Закона о раду и члану 69. Правилника о раду број 13489 од 23.12.2013.</w:t>
      </w:r>
      <w:r>
        <w:rPr>
          <w:spacing w:val="-4"/>
        </w:rPr>
        <w:t> </w:t>
      </w:r>
      <w:r>
        <w:rPr/>
        <w:t>године</w:t>
      </w:r>
      <w:r>
        <w:rPr>
          <w:rFonts w:ascii="Times New Roman" w:hAnsi="Times New Roman"/>
        </w:rPr>
        <w:t>.</w:t>
      </w:r>
    </w:p>
    <w:p>
      <w:pPr>
        <w:spacing w:line="240" w:lineRule="auto" w:before="2"/>
        <w:rPr>
          <w:rFonts w:ascii="Times New Roman" w:hAnsi="Times New Roman" w:cs="Times New Roman" w:eastAsia="Times New Roman" w:hint="default"/>
          <w:sz w:val="26"/>
          <w:szCs w:val="26"/>
        </w:rPr>
      </w:pPr>
      <w:r>
        <w:rPr/>
        <w:pict>
          <v:group style="position:absolute;margin-left:78.024002pt;margin-top:16.304308pt;width:144.050pt;height:.1pt;mso-position-horizontal-relative:page;mso-position-vertical-relative:paragraph;z-index:1720;mso-wrap-distance-left:0;mso-wrap-distance-right:0" coordorigin="1560,326" coordsize="2881,2">
            <v:shape style="position:absolute;left:1560;top:326;width:2881;height:2" coordorigin="1560,326" coordsize="2881,0" path="m1560,326l4441,326e" filled="false" stroked="true" strokeweight=".599980pt" strokecolor="#000000">
              <v:path arrowok="t"/>
            </v:shape>
            <w10:wrap type="topAndBottom"/>
          </v:group>
        </w:pict>
      </w:r>
    </w:p>
    <w:p>
      <w:pPr>
        <w:spacing w:before="52"/>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57 </w:t>
      </w:r>
      <w:r>
        <w:rPr>
          <w:rFonts w:ascii="Times New Roman" w:hAnsi="Times New Roman" w:cs="Times New Roman" w:eastAsia="Times New Roman" w:hint="default"/>
          <w:sz w:val="16"/>
          <w:szCs w:val="16"/>
        </w:rPr>
        <w:t>„Службени гласник Републике Србије“ број</w:t>
      </w:r>
      <w:r>
        <w:rPr>
          <w:rFonts w:ascii="Times New Roman" w:hAnsi="Times New Roman" w:cs="Times New Roman" w:eastAsia="Times New Roman" w:hint="default"/>
          <w:spacing w:val="-13"/>
          <w:sz w:val="16"/>
          <w:szCs w:val="16"/>
        </w:rPr>
        <w:t> </w:t>
      </w:r>
      <w:r>
        <w:rPr>
          <w:rFonts w:ascii="Times New Roman" w:hAnsi="Times New Roman" w:cs="Times New Roman" w:eastAsia="Times New Roman" w:hint="default"/>
          <w:sz w:val="16"/>
          <w:szCs w:val="16"/>
        </w:rPr>
        <w:t>16/2002...17/2009</w:t>
      </w:r>
    </w:p>
    <w:p>
      <w:pPr>
        <w:spacing w:after="0"/>
        <w:jc w:val="left"/>
        <w:rPr>
          <w:rFonts w:ascii="Times New Roman" w:hAnsi="Times New Roman" w:cs="Times New Roman" w:eastAsia="Times New Roman" w:hint="default"/>
          <w:sz w:val="16"/>
          <w:szCs w:val="16"/>
        </w:rPr>
        <w:sectPr>
          <w:footerReference w:type="default" r:id="rId58"/>
          <w:pgSz w:w="12240" w:h="15840"/>
          <w:pgMar w:footer="1274" w:header="740" w:top="1280" w:bottom="1460" w:left="1400" w:right="1260"/>
        </w:sectPr>
      </w:pPr>
    </w:p>
    <w:p>
      <w:pPr>
        <w:pStyle w:val="Heading2"/>
        <w:spacing w:line="240" w:lineRule="auto" w:before="126"/>
        <w:ind w:right="255"/>
        <w:jc w:val="both"/>
        <w:rPr>
          <w:rFonts w:ascii="Times New Roman" w:hAnsi="Times New Roman" w:cs="Times New Roman" w:eastAsia="Times New Roman" w:hint="default"/>
          <w:b w:val="0"/>
          <w:bCs w:val="0"/>
          <w:i w:val="0"/>
        </w:rPr>
      </w:pPr>
      <w:r>
        <w:rPr>
          <w:i/>
        </w:rPr>
        <w:t>Препоручује се одговорним лицима да исплату отпремнине приликом одласка у пензију врше у складу са законом и општим</w:t>
      </w:r>
      <w:r>
        <w:rPr>
          <w:i/>
          <w:spacing w:val="-6"/>
        </w:rPr>
        <w:t> </w:t>
      </w:r>
      <w:r>
        <w:rPr>
          <w:i/>
        </w:rPr>
        <w:t>актом</w:t>
      </w:r>
      <w:r>
        <w:rPr>
          <w:rFonts w:ascii="Times New Roman" w:hAnsi="Times New Roman"/>
          <w:i/>
        </w:rPr>
        <w:t>.</w:t>
      </w:r>
      <w:r>
        <w:rPr>
          <w:rFonts w:ascii="Times New Roman" w:hAnsi="Times New Roman"/>
          <w:b w:val="0"/>
          <w:i w:val="0"/>
        </w:rPr>
      </w:r>
    </w:p>
    <w:p>
      <w:pPr>
        <w:spacing w:before="132"/>
        <w:ind w:left="160" w:right="257"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3)</w:t>
      </w:r>
      <w:r>
        <w:rPr>
          <w:rFonts w:ascii="Times New Roman" w:hAnsi="Times New Roman" w:cs="Times New Roman" w:eastAsia="Times New Roman" w:hint="default"/>
          <w:b/>
          <w:bCs/>
          <w:sz w:val="24"/>
          <w:szCs w:val="24"/>
        </w:rPr>
        <w:t>Управа за комуналне делатности, енергетику и саобраћај </w:t>
      </w:r>
      <w:r>
        <w:rPr>
          <w:rFonts w:ascii="Times New Roman" w:hAnsi="Times New Roman" w:cs="Times New Roman" w:eastAsia="Times New Roman" w:hint="default"/>
          <w:sz w:val="24"/>
          <w:szCs w:val="24"/>
        </w:rPr>
        <w:t>– Исказан је расход  у износу од 584 хиљаде динара, који се односи на индиректног</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корисника.</w:t>
      </w:r>
    </w:p>
    <w:p>
      <w:pPr>
        <w:pStyle w:val="BodyText"/>
        <w:spacing w:line="240" w:lineRule="auto"/>
        <w:ind w:right="254" w:firstLine="566"/>
        <w:jc w:val="both"/>
      </w:pPr>
      <w:r>
        <w:rPr>
          <w:rFonts w:ascii="Times New Roman" w:hAnsi="Times New Roman"/>
          <w:b/>
        </w:rPr>
        <w:t>3</w:t>
      </w:r>
      <w:r>
        <w:rPr>
          <w:rFonts w:ascii="Times New Roman" w:hAnsi="Times New Roman"/>
          <w:b/>
        </w:rPr>
        <w:t>а) ЈП Дирекција </w:t>
      </w:r>
      <w:r>
        <w:rPr>
          <w:rFonts w:ascii="Times New Roman" w:hAnsi="Times New Roman"/>
          <w:b/>
        </w:rPr>
        <w:t>- </w:t>
      </w:r>
      <w:r>
        <w:rPr/>
        <w:t>Исказан је расход у износу од </w:t>
      </w:r>
      <w:r>
        <w:rPr>
          <w:rFonts w:ascii="Times New Roman" w:hAnsi="Times New Roman"/>
        </w:rPr>
        <w:t>584 </w:t>
      </w:r>
      <w:r>
        <w:rPr/>
        <w:t>хиљаде динара и то из средстава буџета града Ниша у износу од </w:t>
      </w:r>
      <w:r>
        <w:rPr>
          <w:rFonts w:ascii="Times New Roman" w:hAnsi="Times New Roman"/>
        </w:rPr>
        <w:t>371 </w:t>
      </w:r>
      <w:r>
        <w:rPr/>
        <w:t>хиљаде динара, а из средстава ООСО у износу од </w:t>
      </w:r>
      <w:r>
        <w:rPr>
          <w:rFonts w:ascii="Times New Roman" w:hAnsi="Times New Roman"/>
        </w:rPr>
        <w:t>213 </w:t>
      </w:r>
      <w:r>
        <w:rPr/>
        <w:t>хиљада</w:t>
      </w:r>
      <w:r>
        <w:rPr>
          <w:spacing w:val="-6"/>
        </w:rPr>
        <w:t> </w:t>
      </w:r>
      <w:r>
        <w:rPr/>
        <w:t>динара.</w:t>
      </w:r>
    </w:p>
    <w:p>
      <w:pPr>
        <w:pStyle w:val="BodyText"/>
        <w:spacing w:line="240" w:lineRule="auto"/>
        <w:ind w:right="265" w:firstLine="566"/>
        <w:jc w:val="both"/>
      </w:pPr>
      <w:r>
        <w:rPr/>
        <w:t>Ревизијом је утврђено да узорковане рачуноводствене исправе не садрже неправилности.</w:t>
      </w:r>
    </w:p>
    <w:p>
      <w:pPr>
        <w:pStyle w:val="Heading1"/>
        <w:numPr>
          <w:ilvl w:val="3"/>
          <w:numId w:val="28"/>
        </w:numPr>
        <w:tabs>
          <w:tab w:pos="941" w:val="left" w:leader="none"/>
        </w:tabs>
        <w:spacing w:line="274" w:lineRule="exact" w:before="125" w:after="0"/>
        <w:ind w:left="940" w:right="0" w:hanging="780"/>
        <w:jc w:val="left"/>
        <w:rPr>
          <w:b w:val="0"/>
          <w:bCs w:val="0"/>
        </w:rPr>
      </w:pPr>
      <w:bookmarkStart w:name="_bookmark13" w:id="23"/>
      <w:bookmarkEnd w:id="23"/>
      <w:r>
        <w:rPr>
          <w:b w:val="0"/>
        </w:rPr>
      </w:r>
      <w:bookmarkStart w:name="_bookmark13" w:id="24"/>
      <w:bookmarkEnd w:id="24"/>
      <w:r>
        <w:rPr/>
        <w:t>На</w:t>
      </w:r>
      <w:r>
        <w:rPr/>
        <w:t>кнаде трошкова за запослене, група</w:t>
      </w:r>
      <w:r>
        <w:rPr>
          <w:spacing w:val="-11"/>
        </w:rPr>
        <w:t> </w:t>
      </w:r>
      <w:r>
        <w:rPr/>
        <w:t>415000</w:t>
      </w:r>
      <w:r>
        <w:rPr>
          <w:b w:val="0"/>
        </w:rPr>
      </w:r>
    </w:p>
    <w:p>
      <w:pPr>
        <w:pStyle w:val="BodyText"/>
        <w:tabs>
          <w:tab w:pos="7981" w:val="left" w:leader="none"/>
        </w:tabs>
        <w:spacing w:line="240" w:lineRule="auto" w:after="8"/>
        <w:ind w:right="256" w:firstLine="566"/>
        <w:jc w:val="both"/>
        <w:rPr>
          <w:sz w:val="16"/>
          <w:szCs w:val="16"/>
        </w:rPr>
      </w:pPr>
      <w:r>
        <w:rPr/>
        <w:t>На овој економској класификацији евидентирају се исплате накнада трошкова запосленима.</w:t>
        <w:tab/>
      </w:r>
      <w:r>
        <w:rPr>
          <w:sz w:val="16"/>
        </w:rPr>
        <w:t>(у хиљадама</w:t>
      </w:r>
      <w:r>
        <w:rPr>
          <w:spacing w:val="-5"/>
          <w:sz w:val="16"/>
        </w:rPr>
        <w:t> </w:t>
      </w:r>
      <w:r>
        <w:rPr>
          <w:sz w:val="16"/>
        </w:rPr>
        <w:t>динара)</w:t>
      </w:r>
    </w:p>
    <w:tbl>
      <w:tblPr>
        <w:tblW w:w="0" w:type="auto"/>
        <w:jc w:val="left"/>
        <w:tblInd w:w="141" w:type="dxa"/>
        <w:tblLayout w:type="fixed"/>
        <w:tblCellMar>
          <w:top w:w="0" w:type="dxa"/>
          <w:left w:w="0" w:type="dxa"/>
          <w:bottom w:w="0" w:type="dxa"/>
          <w:right w:w="0" w:type="dxa"/>
        </w:tblCellMar>
        <w:tblLook w:val="01E0"/>
      </w:tblPr>
      <w:tblGrid>
        <w:gridCol w:w="876"/>
        <w:gridCol w:w="2542"/>
        <w:gridCol w:w="960"/>
        <w:gridCol w:w="1351"/>
        <w:gridCol w:w="1045"/>
        <w:gridCol w:w="936"/>
        <w:gridCol w:w="848"/>
        <w:gridCol w:w="845"/>
      </w:tblGrid>
      <w:tr>
        <w:trPr>
          <w:trHeight w:val="50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261" w:right="178" w:hanging="72"/>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4"/>
              <w:ind w:left="463"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8"/>
                <w:sz w:val="18"/>
              </w:rPr>
              <w:t> </w:t>
            </w:r>
            <w:r>
              <w:rPr>
                <w:rFonts w:ascii="Times New Roman" w:hAnsi="Times New Roman"/>
                <w:b/>
                <w:sz w:val="18"/>
              </w:rPr>
              <w:t>корисник</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4"/>
              <w:ind w:right="103"/>
              <w:jc w:val="right"/>
              <w:rPr>
                <w:rFonts w:ascii="Times New Roman" w:hAnsi="Times New Roman" w:cs="Times New Roman" w:eastAsia="Times New Roman" w:hint="default"/>
                <w:sz w:val="18"/>
                <w:szCs w:val="18"/>
              </w:rPr>
            </w:pPr>
            <w:r>
              <w:rPr>
                <w:rFonts w:ascii="Times New Roman" w:hAnsi="Times New Roman"/>
                <w:b/>
                <w:spacing w:val="-1"/>
                <w:sz w:val="18"/>
              </w:rPr>
              <w:t>Ребаланс</w:t>
            </w:r>
            <w:r>
              <w:rPr>
                <w:rFonts w:ascii="Times New Roman" w:hAns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03" w:right="93" w:firstLine="88"/>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реалокацијом</w:t>
            </w:r>
            <w:r>
              <w:rPr>
                <w:rFonts w:ascii="Times New Roman" w:hAnsi="Times New Roman"/>
                <w:sz w:val="18"/>
              </w:rPr>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03" w:right="93"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15" w:right="104"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02" w:right="110"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02" w:right="107"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4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403" w:right="0"/>
              <w:jc w:val="left"/>
              <w:rPr>
                <w:rFonts w:ascii="Times New Roman" w:hAnsi="Times New Roman" w:cs="Times New Roman" w:eastAsia="Times New Roman" w:hint="default"/>
                <w:sz w:val="12"/>
                <w:szCs w:val="12"/>
              </w:rPr>
            </w:pPr>
            <w:r>
              <w:rPr>
                <w:rFonts w:ascii="Times New Roman"/>
                <w:sz w:val="12"/>
              </w:rPr>
              <w:t>1</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2"/>
              <w:jc w:val="center"/>
              <w:rPr>
                <w:rFonts w:ascii="Times New Roman" w:hAnsi="Times New Roman" w:cs="Times New Roman" w:eastAsia="Times New Roman" w:hint="default"/>
                <w:sz w:val="12"/>
                <w:szCs w:val="12"/>
              </w:rPr>
            </w:pPr>
            <w:r>
              <w:rPr>
                <w:rFonts w:ascii="Times New Roman"/>
                <w:sz w:val="12"/>
              </w:rPr>
              <w:t>2</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4</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6</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2" w:right="0"/>
              <w:jc w:val="center"/>
              <w:rPr>
                <w:rFonts w:ascii="Times New Roman" w:hAnsi="Times New Roman" w:cs="Times New Roman" w:eastAsia="Times New Roman" w:hint="default"/>
                <w:sz w:val="12"/>
                <w:szCs w:val="12"/>
              </w:rPr>
            </w:pPr>
            <w:r>
              <w:rPr>
                <w:rFonts w:ascii="Times New Roman"/>
                <w:sz w:val="12"/>
              </w:rPr>
              <w:t>8</w:t>
            </w:r>
          </w:p>
        </w:tc>
      </w:tr>
      <w:tr>
        <w:trPr>
          <w:trHeight w:val="26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386" w:right="0"/>
              <w:jc w:val="left"/>
              <w:rPr>
                <w:rFonts w:ascii="Times New Roman" w:hAnsi="Times New Roman" w:cs="Times New Roman" w:eastAsia="Times New Roman" w:hint="default"/>
                <w:sz w:val="18"/>
                <w:szCs w:val="18"/>
              </w:rPr>
            </w:pPr>
            <w:r>
              <w:rPr>
                <w:rFonts w:ascii="Times New Roman"/>
                <w:sz w:val="18"/>
              </w:rPr>
              <w:t>1</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ком.</w:t>
            </w:r>
            <w:r>
              <w:rPr>
                <w:rFonts w:ascii="Times New Roman" w:hAnsi="Times New Roman"/>
                <w:spacing w:val="-10"/>
                <w:sz w:val="18"/>
              </w:rPr>
              <w:t> </w:t>
            </w:r>
            <w:r>
              <w:rPr>
                <w:rFonts w:ascii="Times New Roman" w:hAnsi="Times New Roman"/>
                <w:sz w:val="18"/>
              </w:rPr>
              <w:t>делат.</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1.020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1.020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8"/>
              <w:jc w:val="right"/>
              <w:rPr>
                <w:rFonts w:ascii="Times New Roman" w:hAnsi="Times New Roman" w:cs="Times New Roman" w:eastAsia="Times New Roman" w:hint="default"/>
                <w:sz w:val="18"/>
                <w:szCs w:val="18"/>
              </w:rPr>
            </w:pPr>
            <w:r>
              <w:rPr>
                <w:rFonts w:ascii="Times New Roman"/>
                <w:sz w:val="18"/>
              </w:rPr>
              <w:t>960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8"/>
              <w:jc w:val="right"/>
              <w:rPr>
                <w:rFonts w:ascii="Times New Roman" w:hAnsi="Times New Roman" w:cs="Times New Roman" w:eastAsia="Times New Roman" w:hint="default"/>
                <w:sz w:val="18"/>
                <w:szCs w:val="18"/>
              </w:rPr>
            </w:pPr>
            <w:r>
              <w:rPr>
                <w:rFonts w:ascii="Times New Roman"/>
                <w:sz w:val="18"/>
              </w:rPr>
              <w:t>960</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201" w:right="201"/>
              <w:jc w:val="center"/>
              <w:rPr>
                <w:rFonts w:ascii="Times New Roman" w:hAnsi="Times New Roman" w:cs="Times New Roman" w:eastAsia="Times New Roman" w:hint="default"/>
                <w:sz w:val="18"/>
                <w:szCs w:val="18"/>
              </w:rPr>
            </w:pPr>
            <w:r>
              <w:rPr>
                <w:rFonts w:ascii="Times New Roman"/>
                <w:sz w:val="18"/>
              </w:rPr>
              <w:t>94,12</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53" w:right="149"/>
              <w:jc w:val="center"/>
              <w:rPr>
                <w:rFonts w:ascii="Times New Roman" w:hAnsi="Times New Roman" w:cs="Times New Roman" w:eastAsia="Times New Roman" w:hint="default"/>
                <w:sz w:val="18"/>
                <w:szCs w:val="18"/>
              </w:rPr>
            </w:pPr>
            <w:r>
              <w:rPr>
                <w:rFonts w:ascii="Times New Roman"/>
                <w:sz w:val="18"/>
              </w:rPr>
              <w:t>100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hAnsi="Times New Roman"/>
                <w:sz w:val="18"/>
              </w:rPr>
              <w:t>1а</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ЈП</w:t>
            </w:r>
            <w:r>
              <w:rPr>
                <w:rFonts w:ascii="Times New Roman" w:hAnsi="Times New Roman"/>
                <w:spacing w:val="-6"/>
                <w:sz w:val="18"/>
              </w:rPr>
              <w:t> </w:t>
            </w:r>
            <w:r>
              <w:rPr>
                <w:rFonts w:ascii="Times New Roman" w:hAnsi="Times New Roman"/>
                <w:sz w:val="18"/>
              </w:rPr>
              <w:t>Дирекција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1.020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1.020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960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960</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201" w:right="201"/>
              <w:jc w:val="center"/>
              <w:rPr>
                <w:rFonts w:ascii="Times New Roman" w:hAnsi="Times New Roman" w:cs="Times New Roman" w:eastAsia="Times New Roman" w:hint="default"/>
                <w:sz w:val="18"/>
                <w:szCs w:val="18"/>
              </w:rPr>
            </w:pPr>
            <w:r>
              <w:rPr>
                <w:rFonts w:ascii="Times New Roman"/>
                <w:sz w:val="18"/>
              </w:rPr>
              <w:t>94,12</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53" w:right="149"/>
              <w:jc w:val="center"/>
              <w:rPr>
                <w:rFonts w:ascii="Times New Roman" w:hAnsi="Times New Roman" w:cs="Times New Roman" w:eastAsia="Times New Roman" w:hint="default"/>
                <w:sz w:val="18"/>
                <w:szCs w:val="18"/>
              </w:rPr>
            </w:pPr>
            <w:r>
              <w:rPr>
                <w:rFonts w:ascii="Times New Roman"/>
                <w:sz w:val="18"/>
              </w:rPr>
              <w:t>100</w:t>
            </w:r>
          </w:p>
        </w:tc>
      </w:tr>
      <w:tr>
        <w:trPr>
          <w:trHeight w:val="26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386" w:right="0"/>
              <w:jc w:val="left"/>
              <w:rPr>
                <w:rFonts w:ascii="Times New Roman" w:hAnsi="Times New Roman" w:cs="Times New Roman" w:eastAsia="Times New Roman" w:hint="default"/>
                <w:sz w:val="18"/>
                <w:szCs w:val="18"/>
              </w:rPr>
            </w:pPr>
            <w:r>
              <w:rPr>
                <w:rFonts w:ascii="Times New Roman"/>
                <w:sz w:val="18"/>
              </w:rPr>
              <w:t>2</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омладину и</w:t>
            </w:r>
            <w:r>
              <w:rPr>
                <w:rFonts w:ascii="Times New Roman" w:hAnsi="Times New Roman"/>
                <w:spacing w:val="-8"/>
                <w:sz w:val="18"/>
              </w:rPr>
              <w:t> </w:t>
            </w:r>
            <w:r>
              <w:rPr>
                <w:rFonts w:ascii="Times New Roman" w:hAnsi="Times New Roman"/>
                <w:sz w:val="18"/>
              </w:rPr>
              <w:t>спорт</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4.556</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4.556</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4.418</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4.418</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201" w:right="201"/>
              <w:jc w:val="center"/>
              <w:rPr>
                <w:rFonts w:ascii="Times New Roman" w:hAnsi="Times New Roman" w:cs="Times New Roman" w:eastAsia="Times New Roman" w:hint="default"/>
                <w:sz w:val="18"/>
                <w:szCs w:val="18"/>
              </w:rPr>
            </w:pPr>
            <w:r>
              <w:rPr>
                <w:rFonts w:ascii="Times New Roman"/>
                <w:sz w:val="18"/>
              </w:rPr>
              <w:t>96,97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53" w:right="149"/>
              <w:jc w:val="center"/>
              <w:rPr>
                <w:rFonts w:ascii="Times New Roman" w:hAnsi="Times New Roman" w:cs="Times New Roman" w:eastAsia="Times New Roman" w:hint="default"/>
                <w:sz w:val="18"/>
                <w:szCs w:val="18"/>
              </w:rPr>
            </w:pPr>
            <w:r>
              <w:rPr>
                <w:rFonts w:ascii="Times New Roman"/>
                <w:sz w:val="18"/>
              </w:rPr>
              <w:t>100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hAnsi="Times New Roman"/>
                <w:sz w:val="18"/>
              </w:rPr>
              <w:t>2а</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СЦ</w:t>
            </w:r>
            <w:r>
              <w:rPr>
                <w:rFonts w:ascii="Times New Roman" w:hAnsi="Times New Roman"/>
                <w:spacing w:val="-1"/>
                <w:sz w:val="18"/>
              </w:rPr>
              <w:t> </w:t>
            </w:r>
            <w:r>
              <w:rPr>
                <w:rFonts w:ascii="Times New Roman" w:hAnsi="Times New Roman"/>
                <w:sz w:val="18"/>
              </w:rPr>
              <w:t>Чаир</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4.556</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4.556</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4.418</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4.418</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201" w:right="201"/>
              <w:jc w:val="center"/>
              <w:rPr>
                <w:rFonts w:ascii="Times New Roman" w:hAnsi="Times New Roman" w:cs="Times New Roman" w:eastAsia="Times New Roman" w:hint="default"/>
                <w:sz w:val="18"/>
                <w:szCs w:val="18"/>
              </w:rPr>
            </w:pPr>
            <w:r>
              <w:rPr>
                <w:rFonts w:ascii="Times New Roman"/>
                <w:sz w:val="18"/>
              </w:rPr>
              <w:t>96,97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53" w:right="149"/>
              <w:jc w:val="center"/>
              <w:rPr>
                <w:rFonts w:ascii="Times New Roman" w:hAnsi="Times New Roman" w:cs="Times New Roman" w:eastAsia="Times New Roman" w:hint="default"/>
                <w:sz w:val="18"/>
                <w:szCs w:val="18"/>
              </w:rPr>
            </w:pPr>
            <w:r>
              <w:rPr>
                <w:rFonts w:ascii="Times New Roman"/>
                <w:sz w:val="18"/>
              </w:rPr>
              <w:t>100</w:t>
            </w:r>
          </w:p>
        </w:tc>
      </w:tr>
      <w:tr>
        <w:trPr>
          <w:trHeight w:val="216" w:hRule="exact"/>
        </w:trPr>
        <w:tc>
          <w:tcPr>
            <w:tcW w:w="3418"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698" w:right="0"/>
              <w:jc w:val="left"/>
              <w:rPr>
                <w:rFonts w:ascii="Times New Roman" w:hAnsi="Times New Roman" w:cs="Times New Roman" w:eastAsia="Times New Roman" w:hint="default"/>
                <w:sz w:val="18"/>
                <w:szCs w:val="18"/>
              </w:rPr>
            </w:pPr>
            <w:r>
              <w:rPr>
                <w:rFonts w:ascii="Times New Roman" w:hAnsi="Times New Roman"/>
                <w:b/>
                <w:sz w:val="18"/>
              </w:rPr>
              <w:t>Укупно  корисници</w:t>
            </w:r>
            <w:r>
              <w:rPr>
                <w:rFonts w:ascii="Times New Roman" w:hAnsi="Times New Roman"/>
                <w:b/>
                <w:spacing w:val="-3"/>
                <w:sz w:val="18"/>
              </w:rPr>
              <w:t> </w:t>
            </w:r>
            <w:r>
              <w:rPr>
                <w:rFonts w:ascii="Times New Roman" w:hAnsi="Times New Roman"/>
                <w:b/>
                <w:sz w:val="18"/>
              </w:rPr>
              <w:t>(1</w:t>
            </w:r>
            <w:r>
              <w:rPr>
                <w:rFonts w:ascii="Times New Roman" w:hAnsi="Times New Roman"/>
                <w:b/>
                <w:sz w:val="18"/>
              </w:rPr>
              <w:t>-2)</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5.576</w:t>
            </w:r>
            <w:r>
              <w:rPr>
                <w:rFonts w:ascii="Times New Roman"/>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5.576</w:t>
            </w:r>
            <w:r>
              <w:rPr>
                <w:rFonts w:ascii="Times New Roman"/>
                <w:sz w:val="18"/>
              </w:rPr>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5.378</w:t>
            </w:r>
            <w:r>
              <w:rPr>
                <w:rFonts w:asci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5.378</w:t>
            </w:r>
            <w:r>
              <w:rPr>
                <w:rFonts w:ascii="Times New Roman"/>
                <w:sz w:val="18"/>
              </w:rPr>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01" w:right="201"/>
              <w:jc w:val="center"/>
              <w:rPr>
                <w:rFonts w:ascii="Times New Roman" w:hAnsi="Times New Roman" w:cs="Times New Roman" w:eastAsia="Times New Roman" w:hint="default"/>
                <w:sz w:val="18"/>
                <w:szCs w:val="18"/>
              </w:rPr>
            </w:pPr>
            <w:r>
              <w:rPr>
                <w:rFonts w:ascii="Times New Roman"/>
                <w:b/>
                <w:sz w:val="18"/>
              </w:rPr>
              <w:t>96,45</w:t>
            </w:r>
            <w:r>
              <w:rPr>
                <w:rFonts w:asci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53" w:right="149"/>
              <w:jc w:val="center"/>
              <w:rPr>
                <w:rFonts w:ascii="Times New Roman" w:hAnsi="Times New Roman" w:cs="Times New Roman" w:eastAsia="Times New Roman" w:hint="default"/>
                <w:sz w:val="18"/>
                <w:szCs w:val="18"/>
              </w:rPr>
            </w:pPr>
            <w:r>
              <w:rPr>
                <w:rFonts w:ascii="Times New Roman"/>
                <w:b/>
                <w:sz w:val="18"/>
              </w:rPr>
              <w:t>100</w:t>
            </w:r>
            <w:r>
              <w:rPr>
                <w:rFonts w:ascii="Times New Roman"/>
                <w:sz w:val="18"/>
              </w:rPr>
            </w:r>
          </w:p>
        </w:tc>
      </w:tr>
      <w:tr>
        <w:trPr>
          <w:trHeight w:val="218" w:hRule="exact"/>
        </w:trPr>
        <w:tc>
          <w:tcPr>
            <w:tcW w:w="3418"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571" w:right="0"/>
              <w:jc w:val="left"/>
              <w:rPr>
                <w:rFonts w:ascii="Times New Roman" w:hAnsi="Times New Roman" w:cs="Times New Roman" w:eastAsia="Times New Roman" w:hint="default"/>
                <w:sz w:val="18"/>
                <w:szCs w:val="18"/>
              </w:rPr>
            </w:pPr>
            <w:r>
              <w:rPr>
                <w:rFonts w:ascii="Times New Roman" w:hAnsi="Times New Roman"/>
                <w:b/>
                <w:sz w:val="18"/>
              </w:rPr>
              <w:t>Укупно Град </w:t>
            </w:r>
            <w:r>
              <w:rPr>
                <w:rFonts w:ascii="Times New Roman" w:hAnsi="Times New Roman"/>
                <w:b/>
                <w:sz w:val="18"/>
              </w:rPr>
              <w:t>- </w:t>
            </w:r>
            <w:r>
              <w:rPr>
                <w:rFonts w:ascii="Times New Roman" w:hAnsi="Times New Roman"/>
                <w:b/>
                <w:sz w:val="18"/>
              </w:rPr>
              <w:t>група</w:t>
            </w:r>
            <w:r>
              <w:rPr>
                <w:rFonts w:ascii="Times New Roman" w:hAnsi="Times New Roman"/>
                <w:b/>
                <w:spacing w:val="-4"/>
                <w:sz w:val="18"/>
              </w:rPr>
              <w:t> </w:t>
            </w:r>
            <w:r>
              <w:rPr>
                <w:rFonts w:ascii="Times New Roman" w:hAnsi="Times New Roman"/>
                <w:b/>
                <w:sz w:val="18"/>
              </w:rPr>
              <w:t>415000</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b/>
                <w:sz w:val="18"/>
              </w:rPr>
              <w:t>6.417</w:t>
            </w:r>
            <w:r>
              <w:rPr>
                <w:rFonts w:ascii="Times New Roman"/>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b/>
                <w:sz w:val="18"/>
              </w:rPr>
              <w:t>6.417</w:t>
            </w:r>
            <w:r>
              <w:rPr>
                <w:rFonts w:ascii="Times New Roman"/>
                <w:sz w:val="18"/>
              </w:rPr>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b/>
                <w:sz w:val="18"/>
              </w:rPr>
              <w:t>6.011</w:t>
            </w:r>
            <w:r>
              <w:rPr>
                <w:rFonts w:asci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b/>
                <w:sz w:val="18"/>
              </w:rPr>
              <w:t>6.011</w:t>
            </w:r>
            <w:r>
              <w:rPr>
                <w:rFonts w:ascii="Times New Roman"/>
                <w:sz w:val="18"/>
              </w:rPr>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201" w:right="201"/>
              <w:jc w:val="center"/>
              <w:rPr>
                <w:rFonts w:ascii="Times New Roman" w:hAnsi="Times New Roman" w:cs="Times New Roman" w:eastAsia="Times New Roman" w:hint="default"/>
                <w:sz w:val="18"/>
                <w:szCs w:val="18"/>
              </w:rPr>
            </w:pPr>
            <w:r>
              <w:rPr>
                <w:rFonts w:ascii="Times New Roman"/>
                <w:b/>
                <w:sz w:val="18"/>
              </w:rPr>
              <w:t>93,67</w:t>
            </w:r>
            <w:r>
              <w:rPr>
                <w:rFonts w:asci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53" w:right="149"/>
              <w:jc w:val="center"/>
              <w:rPr>
                <w:rFonts w:ascii="Times New Roman" w:hAnsi="Times New Roman" w:cs="Times New Roman" w:eastAsia="Times New Roman" w:hint="default"/>
                <w:sz w:val="18"/>
                <w:szCs w:val="18"/>
              </w:rPr>
            </w:pPr>
            <w:r>
              <w:rPr>
                <w:rFonts w:ascii="Times New Roman"/>
                <w:b/>
                <w:sz w:val="18"/>
              </w:rPr>
              <w:t>100</w:t>
            </w:r>
            <w:r>
              <w:rPr>
                <w:rFonts w:ascii="Times New Roman"/>
                <w:sz w:val="18"/>
              </w:rPr>
            </w:r>
          </w:p>
        </w:tc>
      </w:tr>
    </w:tbl>
    <w:p>
      <w:pPr>
        <w:pStyle w:val="BodyText"/>
        <w:spacing w:line="240" w:lineRule="auto"/>
        <w:ind w:right="254" w:firstLine="566"/>
        <w:jc w:val="both"/>
        <w:rPr>
          <w:rFonts w:ascii="Times New Roman" w:hAnsi="Times New Roman" w:cs="Times New Roman" w:eastAsia="Times New Roman" w:hint="default"/>
        </w:rPr>
      </w:pPr>
      <w:r>
        <w:rPr/>
        <w:t>На овој позицији исказани су расходи у износу од </w:t>
      </w:r>
      <w:r>
        <w:rPr>
          <w:rFonts w:ascii="Times New Roman" w:hAnsi="Times New Roman"/>
        </w:rPr>
        <w:t>6.011 </w:t>
      </w:r>
      <w:r>
        <w:rPr/>
        <w:t>хиљада динара, и то из средстава буџета града Ниша у износу од 960 хиљада динара и из осталих извора  у износу од 5.051 хиљаде</w:t>
      </w:r>
      <w:r>
        <w:rPr>
          <w:spacing w:val="-6"/>
        </w:rPr>
        <w:t> </w:t>
      </w:r>
      <w:r>
        <w:rPr/>
        <w:t>динара</w:t>
      </w:r>
      <w:r>
        <w:rPr>
          <w:rFonts w:ascii="Times New Roman" w:hAnsi="Times New Roman"/>
        </w:rPr>
        <w:t>.</w:t>
      </w:r>
    </w:p>
    <w:p>
      <w:pPr>
        <w:pStyle w:val="ListParagraph"/>
        <w:numPr>
          <w:ilvl w:val="4"/>
          <w:numId w:val="28"/>
        </w:numPr>
        <w:tabs>
          <w:tab w:pos="994" w:val="left" w:leader="none"/>
        </w:tabs>
        <w:spacing w:line="240" w:lineRule="auto" w:before="137" w:after="0"/>
        <w:ind w:left="160" w:right="257"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 за комуналне делатности, енергетику и саобраћај </w:t>
      </w:r>
      <w:r>
        <w:rPr>
          <w:rFonts w:ascii="Times New Roman" w:hAnsi="Times New Roman" w:cs="Times New Roman" w:eastAsia="Times New Roman" w:hint="default"/>
          <w:sz w:val="24"/>
          <w:szCs w:val="24"/>
        </w:rPr>
        <w:t>– Исказан је расход у износу од 960 хиљада динара, који се односи на индиректног</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корисника.</w:t>
      </w:r>
    </w:p>
    <w:p>
      <w:pPr>
        <w:pStyle w:val="BodyText"/>
        <w:spacing w:line="240" w:lineRule="auto"/>
        <w:ind w:right="260" w:firstLine="566"/>
        <w:jc w:val="both"/>
      </w:pPr>
      <w:r>
        <w:rPr>
          <w:rFonts w:ascii="Times New Roman" w:hAnsi="Times New Roman" w:cs="Times New Roman" w:eastAsia="Times New Roman" w:hint="default"/>
          <w:b/>
          <w:bCs/>
        </w:rPr>
        <w:t>1а) ЈП Дирекција </w:t>
      </w:r>
      <w:r>
        <w:rPr/>
        <w:t>– Исказан је расход за накнаде трошкова за превоз на посао и са посла у износу од </w:t>
      </w:r>
      <w:r>
        <w:rPr>
          <w:rFonts w:ascii="Times New Roman" w:hAnsi="Times New Roman" w:cs="Times New Roman" w:eastAsia="Times New Roman" w:hint="default"/>
        </w:rPr>
        <w:t>960 </w:t>
      </w:r>
      <w:r>
        <w:rPr/>
        <w:t>хиљада динара из буџетских</w:t>
      </w:r>
      <w:r>
        <w:rPr>
          <w:spacing w:val="-20"/>
        </w:rPr>
        <w:t> </w:t>
      </w:r>
      <w:r>
        <w:rPr/>
        <w:t>средстава.</w:t>
      </w:r>
    </w:p>
    <w:p>
      <w:pPr>
        <w:pStyle w:val="BodyText"/>
        <w:spacing w:line="240" w:lineRule="auto"/>
        <w:ind w:right="259" w:firstLine="566"/>
        <w:jc w:val="both"/>
      </w:pPr>
      <w:r>
        <w:rPr>
          <w:rFonts w:ascii="Times New Roman" w:hAnsi="Times New Roman"/>
          <w:b/>
        </w:rPr>
        <w:t>На основу ревизије узорковане документације утврђено је </w:t>
      </w:r>
      <w:r>
        <w:rPr/>
        <w:t>да запосленима</w:t>
      </w:r>
      <w:r>
        <w:rPr>
          <w:rFonts w:ascii="Times New Roman" w:hAnsi="Times New Roman"/>
        </w:rPr>
        <w:t>, </w:t>
      </w:r>
      <w:r>
        <w:rPr/>
        <w:t>накнада зараде за долазак и одлазак са посла није исплаћивана у висини цене превозне карте, што је супротно члану 118. Закона о раду и члану 25. Посебног колективног уговора за јавна и јавна комунална предузећа чији је оснивач град</w:t>
      </w:r>
      <w:r>
        <w:rPr>
          <w:spacing w:val="-21"/>
        </w:rPr>
        <w:t> </w:t>
      </w:r>
      <w:r>
        <w:rPr/>
        <w:t>Ниш.</w:t>
      </w:r>
    </w:p>
    <w:p>
      <w:pPr>
        <w:pStyle w:val="Heading2"/>
        <w:spacing w:line="240" w:lineRule="auto"/>
        <w:ind w:right="258" w:firstLine="631"/>
        <w:jc w:val="both"/>
        <w:rPr>
          <w:b w:val="0"/>
          <w:bCs w:val="0"/>
          <w:i w:val="0"/>
        </w:rPr>
      </w:pPr>
      <w:r>
        <w:rPr>
          <w:i/>
        </w:rPr>
        <w:t>Препоручује се одговорним лицима да обезбеде правилну примену одредби Закона о раду и општих</w:t>
      </w:r>
      <w:r>
        <w:rPr>
          <w:i/>
          <w:spacing w:val="-7"/>
        </w:rPr>
        <w:t> </w:t>
      </w:r>
      <w:r>
        <w:rPr>
          <w:i/>
        </w:rPr>
        <w:t>аката.</w:t>
      </w:r>
      <w:r>
        <w:rPr>
          <w:b w:val="0"/>
          <w:i w:val="0"/>
        </w:rPr>
      </w:r>
    </w:p>
    <w:p>
      <w:pPr>
        <w:pStyle w:val="ListParagraph"/>
        <w:numPr>
          <w:ilvl w:val="4"/>
          <w:numId w:val="28"/>
        </w:numPr>
        <w:tabs>
          <w:tab w:pos="1037" w:val="left" w:leader="none"/>
        </w:tabs>
        <w:spacing w:line="240" w:lineRule="auto" w:before="134" w:after="0"/>
        <w:ind w:left="160" w:right="258"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 за омладину и спорт – </w:t>
      </w:r>
      <w:r>
        <w:rPr>
          <w:rFonts w:ascii="Times New Roman" w:hAnsi="Times New Roman" w:cs="Times New Roman" w:eastAsia="Times New Roman" w:hint="default"/>
          <w:sz w:val="24"/>
          <w:szCs w:val="24"/>
        </w:rPr>
        <w:t>Исказан је расход уизносу од 4.418 хиљада динара, који се у целости односи на индиректног</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корисника.</w:t>
      </w:r>
    </w:p>
    <w:p>
      <w:pPr>
        <w:pStyle w:val="BodyText"/>
        <w:spacing w:line="240" w:lineRule="auto"/>
        <w:ind w:right="258" w:firstLine="566"/>
        <w:jc w:val="both"/>
      </w:pPr>
      <w:r>
        <w:rPr>
          <w:rFonts w:ascii="Times New Roman" w:hAnsi="Times New Roman"/>
          <w:b/>
        </w:rPr>
        <w:t>2а) СЦ Чаир </w:t>
      </w:r>
      <w:r>
        <w:rPr>
          <w:rFonts w:ascii="Times New Roman" w:hAnsi="Times New Roman"/>
        </w:rPr>
        <w:t>- </w:t>
      </w:r>
      <w:r>
        <w:rPr/>
        <w:t>Исказан је расход у износу од 4.418 хиљада динара из осталих извора.</w:t>
      </w:r>
    </w:p>
    <w:p>
      <w:pPr>
        <w:pStyle w:val="BodyText"/>
        <w:spacing w:line="240" w:lineRule="auto"/>
        <w:ind w:right="254" w:firstLine="566"/>
        <w:jc w:val="both"/>
        <w:rPr>
          <w:rFonts w:ascii="Times New Roman" w:hAnsi="Times New Roman" w:cs="Times New Roman" w:eastAsia="Times New Roman" w:hint="default"/>
        </w:rPr>
      </w:pPr>
      <w:r>
        <w:rPr>
          <w:rFonts w:ascii="Times New Roman" w:hAnsi="Times New Roman"/>
          <w:b/>
        </w:rPr>
        <w:t>На основу ревизије узорковане документације утврђено је да </w:t>
      </w:r>
      <w:r>
        <w:rPr/>
        <w:t>је накнада трошкова превоза на посао и са посла исплаћена запосленима у износу од по три хиљаде динара месечно на основу Одлуке директора о висини накнаде трошкова превоза за долазак и одлазак са рада број 01</w:t>
      </w:r>
      <w:r>
        <w:rPr>
          <w:rFonts w:ascii="Times New Roman" w:hAnsi="Times New Roman"/>
        </w:rPr>
        <w:t>-</w:t>
      </w:r>
      <w:r>
        <w:rPr/>
        <w:t>213/2 од 25.02.2014. године, те је на тај начин више исплаћен износ од 1.095 хиљада динара, што је супротно члану 118. Закона о раду и члану 56. Закона о буџетском</w:t>
      </w:r>
      <w:r>
        <w:rPr>
          <w:spacing w:val="-11"/>
        </w:rPr>
        <w:t> </w:t>
      </w:r>
      <w:r>
        <w:rPr/>
        <w:t>систему</w:t>
      </w:r>
      <w:r>
        <w:rPr>
          <w:rFonts w:ascii="Times New Roman" w:hAnsi="Times New Roman"/>
        </w:rPr>
        <w:t>.</w:t>
      </w:r>
    </w:p>
    <w:p>
      <w:pPr>
        <w:spacing w:after="0" w:line="240" w:lineRule="auto"/>
        <w:jc w:val="both"/>
        <w:rPr>
          <w:rFonts w:ascii="Times New Roman" w:hAnsi="Times New Roman" w:cs="Times New Roman" w:eastAsia="Times New Roman" w:hint="default"/>
        </w:rPr>
        <w:sectPr>
          <w:footerReference w:type="default" r:id="rId59"/>
          <w:pgSz w:w="12240" w:h="15840"/>
          <w:pgMar w:footer="1274" w:header="740" w:top="1280" w:bottom="1460" w:left="1400" w:right="1180"/>
          <w:pgNumType w:start="81"/>
        </w:sectPr>
      </w:pPr>
    </w:p>
    <w:p>
      <w:pPr>
        <w:pStyle w:val="BodyText"/>
        <w:spacing w:line="240" w:lineRule="auto" w:before="122"/>
        <w:ind w:right="175" w:firstLine="566"/>
        <w:jc w:val="both"/>
      </w:pPr>
      <w:r>
        <w:rPr/>
        <w:t>Директор СЦ Чаир је донео 19.10.2015. године ставио ван снаге Одлуку број </w:t>
      </w:r>
      <w:r>
        <w:rPr>
          <w:spacing w:val="2"/>
        </w:rPr>
        <w:t>01</w:t>
      </w:r>
      <w:r>
        <w:rPr>
          <w:rFonts w:ascii="Times New Roman" w:hAnsi="Times New Roman"/>
          <w:spacing w:val="2"/>
        </w:rPr>
        <w:t>- </w:t>
      </w:r>
      <w:r>
        <w:rPr/>
        <w:t>213/2 од 25.02.2014. године и донео Одлуку број 01</w:t>
      </w:r>
      <w:r>
        <w:rPr>
          <w:rFonts w:ascii="Times New Roman" w:hAnsi="Times New Roman"/>
        </w:rPr>
        <w:t>-</w:t>
      </w:r>
      <w:r>
        <w:rPr/>
        <w:t>1907/1 од 19.10.2015. године којом је ускладио висину накнаде трошкова превоза радника са</w:t>
      </w:r>
      <w:r>
        <w:rPr>
          <w:spacing w:val="-17"/>
        </w:rPr>
        <w:t> </w:t>
      </w:r>
      <w:r>
        <w:rPr/>
        <w:t>прописима.</w:t>
      </w:r>
    </w:p>
    <w:p>
      <w:pPr>
        <w:pStyle w:val="Heading1"/>
        <w:numPr>
          <w:ilvl w:val="3"/>
          <w:numId w:val="28"/>
        </w:numPr>
        <w:tabs>
          <w:tab w:pos="1013" w:val="left" w:leader="none"/>
        </w:tabs>
        <w:spacing w:line="272" w:lineRule="exact" w:before="206" w:after="0"/>
        <w:ind w:left="1012" w:right="0" w:hanging="852"/>
        <w:jc w:val="left"/>
        <w:rPr>
          <w:b w:val="0"/>
          <w:bCs w:val="0"/>
        </w:rPr>
      </w:pPr>
      <w:bookmarkStart w:name="_bookmark14" w:id="25"/>
      <w:bookmarkEnd w:id="25"/>
      <w:r>
        <w:rPr>
          <w:b w:val="0"/>
        </w:rPr>
      </w:r>
      <w:bookmarkStart w:name="_bookmark14" w:id="26"/>
      <w:bookmarkEnd w:id="26"/>
      <w:r>
        <w:rPr/>
        <w:t>Награ</w:t>
      </w:r>
      <w:r>
        <w:rPr/>
        <w:t>де запосленима и остали посебни расходи, група</w:t>
      </w:r>
      <w:r>
        <w:rPr>
          <w:spacing w:val="-9"/>
        </w:rPr>
        <w:t> </w:t>
      </w:r>
      <w:r>
        <w:rPr/>
        <w:t>416000</w:t>
      </w:r>
      <w:r>
        <w:rPr>
          <w:b w:val="0"/>
        </w:rPr>
      </w:r>
    </w:p>
    <w:p>
      <w:pPr>
        <w:pStyle w:val="BodyText"/>
        <w:spacing w:line="240" w:lineRule="auto"/>
        <w:ind w:right="184" w:firstLine="566"/>
        <w:jc w:val="both"/>
      </w:pPr>
      <w:r>
        <w:rPr/>
        <w:t>Група 416000 садржи синтетички конто награде запосленима и остали посебни расходи.</w:t>
      </w:r>
    </w:p>
    <w:p>
      <w:pPr>
        <w:spacing w:before="3" w:after="4"/>
        <w:ind w:left="0" w:right="503" w:firstLine="0"/>
        <w:jc w:val="right"/>
        <w:rPr>
          <w:rFonts w:ascii="Times New Roman" w:hAnsi="Times New Roman" w:cs="Times New Roman" w:eastAsia="Times New Roman" w:hint="default"/>
          <w:sz w:val="18"/>
          <w:szCs w:val="18"/>
        </w:rPr>
      </w:pPr>
      <w:r>
        <w:rPr>
          <w:rFonts w:ascii="Times New Roman" w:hAnsi="Times New Roman"/>
          <w:sz w:val="18"/>
        </w:rPr>
        <w:t>(</w:t>
      </w:r>
      <w:r>
        <w:rPr>
          <w:rFonts w:ascii="Times New Roman" w:hAnsi="Times New Roman"/>
          <w:sz w:val="18"/>
        </w:rPr>
        <w:t>у хиљадама</w:t>
      </w:r>
      <w:r>
        <w:rPr>
          <w:rFonts w:ascii="Times New Roman" w:hAnsi="Times New Roman"/>
          <w:spacing w:val="-9"/>
          <w:sz w:val="18"/>
        </w:rPr>
        <w:t> </w:t>
      </w:r>
      <w:r>
        <w:rPr>
          <w:rFonts w:ascii="Times New Roman" w:hAnsi="Times New Roman"/>
          <w:sz w:val="18"/>
        </w:rPr>
        <w:t>динара)</w:t>
      </w:r>
    </w:p>
    <w:tbl>
      <w:tblPr>
        <w:tblW w:w="0" w:type="auto"/>
        <w:jc w:val="left"/>
        <w:tblInd w:w="141" w:type="dxa"/>
        <w:tblLayout w:type="fixed"/>
        <w:tblCellMar>
          <w:top w:w="0" w:type="dxa"/>
          <w:left w:w="0" w:type="dxa"/>
          <w:bottom w:w="0" w:type="dxa"/>
          <w:right w:w="0" w:type="dxa"/>
        </w:tblCellMar>
        <w:tblLook w:val="01E0"/>
      </w:tblPr>
      <w:tblGrid>
        <w:gridCol w:w="876"/>
        <w:gridCol w:w="2401"/>
        <w:gridCol w:w="960"/>
        <w:gridCol w:w="1351"/>
        <w:gridCol w:w="1047"/>
        <w:gridCol w:w="936"/>
        <w:gridCol w:w="845"/>
        <w:gridCol w:w="847"/>
      </w:tblGrid>
      <w:tr>
        <w:trPr>
          <w:trHeight w:val="50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261" w:right="178" w:hanging="72"/>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6"/>
              <w:ind w:left="393"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8"/>
                <w:sz w:val="18"/>
              </w:rPr>
              <w:t> </w:t>
            </w:r>
            <w:r>
              <w:rPr>
                <w:rFonts w:ascii="Times New Roman" w:hAnsi="Times New Roman"/>
                <w:b/>
                <w:sz w:val="18"/>
              </w:rPr>
              <w:t>корисник</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6"/>
              <w:ind w:right="103"/>
              <w:jc w:val="right"/>
              <w:rPr>
                <w:rFonts w:ascii="Times New Roman" w:hAnsi="Times New Roman" w:cs="Times New Roman" w:eastAsia="Times New Roman" w:hint="default"/>
                <w:sz w:val="18"/>
                <w:szCs w:val="18"/>
              </w:rPr>
            </w:pPr>
            <w:r>
              <w:rPr>
                <w:rFonts w:ascii="Times New Roman" w:hAnsi="Times New Roman"/>
                <w:b/>
                <w:spacing w:val="-1"/>
                <w:sz w:val="18"/>
              </w:rPr>
              <w:t>Ребаланс</w:t>
            </w:r>
            <w:r>
              <w:rPr>
                <w:rFonts w:ascii="Times New Roman" w:hAns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03" w:right="93" w:firstLine="88"/>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реалокацијом</w:t>
            </w:r>
            <w:r>
              <w:rPr>
                <w:rFonts w:ascii="Times New Roman" w:hAns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03" w:right="95"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12" w:right="107"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299" w:right="110"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02" w:right="109"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4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403" w:right="0"/>
              <w:jc w:val="left"/>
              <w:rPr>
                <w:rFonts w:ascii="Times New Roman" w:hAnsi="Times New Roman" w:cs="Times New Roman" w:eastAsia="Times New Roman" w:hint="default"/>
                <w:sz w:val="12"/>
                <w:szCs w:val="12"/>
              </w:rPr>
            </w:pPr>
            <w:r>
              <w:rPr>
                <w:rFonts w:ascii="Times New Roman"/>
                <w:sz w:val="12"/>
              </w:rPr>
              <w:t>1</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1"/>
              <w:jc w:val="center"/>
              <w:rPr>
                <w:rFonts w:ascii="Times New Roman" w:hAnsi="Times New Roman" w:cs="Times New Roman" w:eastAsia="Times New Roman" w:hint="default"/>
                <w:sz w:val="12"/>
                <w:szCs w:val="12"/>
              </w:rPr>
            </w:pPr>
            <w:r>
              <w:rPr>
                <w:rFonts w:ascii="Times New Roman"/>
                <w:sz w:val="12"/>
              </w:rPr>
              <w:t>2</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2"/>
              <w:jc w:val="center"/>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
              <w:jc w:val="center"/>
              <w:rPr>
                <w:rFonts w:ascii="Times New Roman" w:hAnsi="Times New Roman" w:cs="Times New Roman" w:eastAsia="Times New Roman" w:hint="default"/>
                <w:sz w:val="12"/>
                <w:szCs w:val="12"/>
              </w:rPr>
            </w:pPr>
            <w:r>
              <w:rPr>
                <w:rFonts w:ascii="Times New Roman"/>
                <w:sz w:val="12"/>
              </w:rPr>
              <w:t>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7</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8</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86" w:right="0"/>
              <w:jc w:val="left"/>
              <w:rPr>
                <w:rFonts w:ascii="Times New Roman" w:hAnsi="Times New Roman" w:cs="Times New Roman" w:eastAsia="Times New Roman" w:hint="default"/>
                <w:sz w:val="18"/>
                <w:szCs w:val="18"/>
              </w:rPr>
            </w:pPr>
            <w:r>
              <w:rPr>
                <w:rFonts w:ascii="Times New Roman"/>
                <w:sz w:val="18"/>
              </w:rPr>
              <w:t>1</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Скупштина</w:t>
            </w:r>
            <w:r>
              <w:rPr>
                <w:rFonts w:ascii="Times New Roman" w:hAnsi="Times New Roman"/>
                <w:spacing w:val="-5"/>
                <w:sz w:val="18"/>
              </w:rPr>
              <w:t> </w:t>
            </w:r>
            <w:r>
              <w:rPr>
                <w:rFonts w:ascii="Times New Roman" w:hAnsi="Times New Roman"/>
                <w:sz w:val="18"/>
              </w:rPr>
              <w:t>Града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9"/>
              <w:jc w:val="right"/>
              <w:rPr>
                <w:rFonts w:ascii="Times New Roman" w:hAnsi="Times New Roman" w:cs="Times New Roman" w:eastAsia="Times New Roman" w:hint="default"/>
                <w:sz w:val="18"/>
                <w:szCs w:val="18"/>
              </w:rPr>
            </w:pPr>
            <w:r>
              <w:rPr>
                <w:rFonts w:ascii="Times New Roman"/>
                <w:sz w:val="18"/>
              </w:rPr>
              <w:t>501</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529</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z w:val="18"/>
              </w:rPr>
              <w:t>528</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z w:val="18"/>
              </w:rPr>
              <w:t>28</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5,29</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5,30</w:t>
            </w:r>
          </w:p>
        </w:tc>
      </w:tr>
      <w:tr>
        <w:trPr>
          <w:trHeight w:val="217"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386" w:right="0"/>
              <w:jc w:val="left"/>
              <w:rPr>
                <w:rFonts w:ascii="Times New Roman" w:hAnsi="Times New Roman" w:cs="Times New Roman" w:eastAsia="Times New Roman" w:hint="default"/>
                <w:sz w:val="18"/>
                <w:szCs w:val="18"/>
              </w:rPr>
            </w:pPr>
            <w:r>
              <w:rPr>
                <w:rFonts w:ascii="Times New Roman"/>
                <w:sz w:val="18"/>
              </w:rPr>
              <w:t>2</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7"/>
                <w:sz w:val="18"/>
              </w:rPr>
              <w:t> </w:t>
            </w:r>
            <w:r>
              <w:rPr>
                <w:rFonts w:ascii="Times New Roman" w:hAnsi="Times New Roman"/>
                <w:sz w:val="18"/>
              </w:rPr>
              <w:t>финансије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z w:val="18"/>
              </w:rPr>
              <w:t>3.504</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z w:val="18"/>
              </w:rPr>
              <w:t>3.504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3"/>
              <w:jc w:val="right"/>
              <w:rPr>
                <w:rFonts w:ascii="Times New Roman" w:hAnsi="Times New Roman" w:cs="Times New Roman" w:eastAsia="Times New Roman" w:hint="default"/>
                <w:sz w:val="18"/>
                <w:szCs w:val="18"/>
              </w:rPr>
            </w:pPr>
            <w:r>
              <w:rPr>
                <w:rFonts w:ascii="Times New Roman"/>
                <w:sz w:val="18"/>
              </w:rPr>
              <w:t>3.310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2"/>
              <w:jc w:val="right"/>
              <w:rPr>
                <w:rFonts w:ascii="Times New Roman" w:hAnsi="Times New Roman" w:cs="Times New Roman" w:eastAsia="Times New Roman" w:hint="default"/>
                <w:sz w:val="18"/>
                <w:szCs w:val="18"/>
              </w:rPr>
            </w:pPr>
            <w:r>
              <w:rPr>
                <w:rFonts w:ascii="Times New Roman"/>
                <w:sz w:val="18"/>
              </w:rPr>
              <w:t>3.310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z w:val="18"/>
              </w:rPr>
              <w:t>94,46</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2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386" w:right="0"/>
              <w:jc w:val="left"/>
              <w:rPr>
                <w:rFonts w:ascii="Times New Roman" w:hAnsi="Times New Roman" w:cs="Times New Roman" w:eastAsia="Times New Roman" w:hint="default"/>
                <w:sz w:val="18"/>
                <w:szCs w:val="18"/>
              </w:rPr>
            </w:pPr>
            <w:r>
              <w:rPr>
                <w:rFonts w:ascii="Times New Roman"/>
                <w:sz w:val="18"/>
              </w:rPr>
              <w:t>3</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5"/>
                <w:sz w:val="18"/>
              </w:rPr>
              <w:t> </w:t>
            </w:r>
            <w:r>
              <w:rPr>
                <w:rFonts w:ascii="Times New Roman" w:hAnsi="Times New Roman"/>
                <w:sz w:val="18"/>
              </w:rPr>
              <w:t>образовање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spacing w:val="-1"/>
                <w:sz w:val="18"/>
              </w:rPr>
              <w:t>12.200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spacing w:val="-1"/>
                <w:sz w:val="18"/>
              </w:rPr>
              <w:t>12.200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3"/>
              <w:jc w:val="right"/>
              <w:rPr>
                <w:rFonts w:ascii="Times New Roman" w:hAnsi="Times New Roman" w:cs="Times New Roman" w:eastAsia="Times New Roman" w:hint="default"/>
                <w:sz w:val="18"/>
                <w:szCs w:val="18"/>
              </w:rPr>
            </w:pPr>
            <w:r>
              <w:rPr>
                <w:rFonts w:ascii="Times New Roman"/>
                <w:spacing w:val="-1"/>
                <w:sz w:val="18"/>
              </w:rPr>
              <w:t>10.296</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2"/>
              <w:jc w:val="right"/>
              <w:rPr>
                <w:rFonts w:ascii="Times New Roman" w:hAnsi="Times New Roman" w:cs="Times New Roman" w:eastAsia="Times New Roman" w:hint="default"/>
                <w:sz w:val="18"/>
                <w:szCs w:val="18"/>
              </w:rPr>
            </w:pPr>
            <w:r>
              <w:rPr>
                <w:rFonts w:ascii="Times New Roman"/>
                <w:spacing w:val="-1"/>
                <w:sz w:val="18"/>
              </w:rPr>
              <w:t>10.641</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sz w:val="18"/>
              </w:rPr>
              <w:t>87,22</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spacing w:val="-1"/>
                <w:sz w:val="18"/>
              </w:rPr>
              <w:t>103,35</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3a</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ПУ</w:t>
            </w:r>
            <w:r>
              <w:rPr>
                <w:rFonts w:ascii="Times New Roman" w:hAnsi="Times New Roman"/>
                <w:spacing w:val="-5"/>
                <w:sz w:val="18"/>
              </w:rPr>
              <w:t> </w:t>
            </w:r>
            <w:r>
              <w:rPr>
                <w:rFonts w:ascii="Times New Roman" w:hAnsi="Times New Roman"/>
                <w:sz w:val="18"/>
              </w:rPr>
              <w:t>Пчелица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12.000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12.000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10.260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10.605</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88,38</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103,36</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86" w:right="0"/>
              <w:jc w:val="left"/>
              <w:rPr>
                <w:rFonts w:ascii="Times New Roman" w:hAnsi="Times New Roman" w:cs="Times New Roman" w:eastAsia="Times New Roman" w:hint="default"/>
                <w:sz w:val="18"/>
                <w:szCs w:val="18"/>
              </w:rPr>
            </w:pPr>
            <w:r>
              <w:rPr>
                <w:rFonts w:ascii="Times New Roman"/>
                <w:sz w:val="18"/>
              </w:rPr>
              <w:t>4</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6"/>
                <w:sz w:val="18"/>
              </w:rPr>
              <w:t> </w:t>
            </w:r>
            <w:r>
              <w:rPr>
                <w:rFonts w:ascii="Times New Roman" w:hAnsi="Times New Roman"/>
                <w:sz w:val="18"/>
              </w:rPr>
              <w:t>културу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4.265</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4.265</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3"/>
              <w:jc w:val="right"/>
              <w:rPr>
                <w:rFonts w:ascii="Times New Roman" w:hAnsi="Times New Roman" w:cs="Times New Roman" w:eastAsia="Times New Roman" w:hint="default"/>
                <w:sz w:val="18"/>
                <w:szCs w:val="18"/>
              </w:rPr>
            </w:pPr>
            <w:r>
              <w:rPr>
                <w:rFonts w:ascii="Times New Roman"/>
                <w:sz w:val="18"/>
              </w:rPr>
              <w:t>3.046</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3.046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71,42</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hAnsi="Times New Roman"/>
                <w:sz w:val="18"/>
              </w:rPr>
              <w:t>4а</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Позориште</w:t>
            </w:r>
            <w:r>
              <w:rPr>
                <w:rFonts w:ascii="Times New Roman" w:hAnsi="Times New Roman"/>
                <w:spacing w:val="-8"/>
                <w:sz w:val="18"/>
              </w:rPr>
              <w:t> </w:t>
            </w:r>
            <w:r>
              <w:rPr>
                <w:rFonts w:ascii="Times New Roman" w:hAnsi="Times New Roman"/>
                <w:sz w:val="18"/>
              </w:rPr>
              <w:t>лутака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845</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845</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425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425</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50,30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6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9"/>
              <w:jc w:val="right"/>
              <w:rPr>
                <w:rFonts w:ascii="Times New Roman" w:hAnsi="Times New Roman" w:cs="Times New Roman" w:eastAsia="Times New Roman" w:hint="default"/>
                <w:sz w:val="18"/>
                <w:szCs w:val="18"/>
              </w:rPr>
            </w:pPr>
            <w:r>
              <w:rPr>
                <w:rFonts w:ascii="Times New Roman" w:hAnsi="Times New Roman"/>
                <w:sz w:val="18"/>
              </w:rPr>
              <w:t>4б</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03" w:right="0"/>
              <w:jc w:val="left"/>
              <w:rPr>
                <w:rFonts w:ascii="Times New Roman" w:hAnsi="Times New Roman" w:cs="Times New Roman" w:eastAsia="Times New Roman" w:hint="default"/>
                <w:sz w:val="18"/>
                <w:szCs w:val="18"/>
              </w:rPr>
            </w:pPr>
            <w:r>
              <w:rPr>
                <w:rFonts w:ascii="Times New Roman" w:hAnsi="Times New Roman"/>
                <w:sz w:val="18"/>
              </w:rPr>
              <w:t>Завод за заштиту</w:t>
            </w:r>
            <w:r>
              <w:rPr>
                <w:rFonts w:ascii="Times New Roman" w:hAnsi="Times New Roman"/>
                <w:spacing w:val="-11"/>
                <w:sz w:val="18"/>
              </w:rPr>
              <w:t> </w:t>
            </w:r>
            <w:r>
              <w:rPr>
                <w:rFonts w:ascii="Times New Roman" w:hAnsi="Times New Roman"/>
                <w:sz w:val="18"/>
              </w:rPr>
              <w:t>споменика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9"/>
              <w:jc w:val="right"/>
              <w:rPr>
                <w:rFonts w:ascii="Times New Roman" w:hAnsi="Times New Roman" w:cs="Times New Roman" w:eastAsia="Times New Roman" w:hint="default"/>
                <w:sz w:val="18"/>
                <w:szCs w:val="18"/>
              </w:rPr>
            </w:pPr>
            <w:r>
              <w:rPr>
                <w:rFonts w:ascii="Times New Roman"/>
                <w:sz w:val="18"/>
              </w:rPr>
              <w:t>383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8"/>
              <w:jc w:val="right"/>
              <w:rPr>
                <w:rFonts w:ascii="Times New Roman" w:hAnsi="Times New Roman" w:cs="Times New Roman" w:eastAsia="Times New Roman" w:hint="default"/>
                <w:sz w:val="18"/>
                <w:szCs w:val="18"/>
              </w:rPr>
            </w:pPr>
            <w:r>
              <w:rPr>
                <w:rFonts w:ascii="Times New Roman"/>
                <w:sz w:val="18"/>
              </w:rPr>
              <w:t>383</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1"/>
              <w:jc w:val="right"/>
              <w:rPr>
                <w:rFonts w:ascii="Times New Roman" w:hAnsi="Times New Roman" w:cs="Times New Roman" w:eastAsia="Times New Roman" w:hint="default"/>
                <w:sz w:val="18"/>
                <w:szCs w:val="18"/>
              </w:rPr>
            </w:pPr>
            <w:r>
              <w:rPr>
                <w:rFonts w:ascii="Times New Roman"/>
                <w:sz w:val="18"/>
              </w:rPr>
              <w:t>364</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1"/>
              <w:jc w:val="right"/>
              <w:rPr>
                <w:rFonts w:ascii="Times New Roman" w:hAnsi="Times New Roman" w:cs="Times New Roman" w:eastAsia="Times New Roman" w:hint="default"/>
                <w:sz w:val="18"/>
                <w:szCs w:val="18"/>
              </w:rPr>
            </w:pPr>
            <w:r>
              <w:rPr>
                <w:rFonts w:ascii="Times New Roman"/>
                <w:sz w:val="18"/>
              </w:rPr>
              <w:t>364</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95,04</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hAnsi="Times New Roman"/>
                <w:sz w:val="18"/>
              </w:rPr>
              <w:t>4в</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Народна</w:t>
            </w:r>
            <w:r>
              <w:rPr>
                <w:rFonts w:ascii="Times New Roman" w:hAnsi="Times New Roman"/>
                <w:spacing w:val="-7"/>
                <w:sz w:val="18"/>
              </w:rPr>
              <w:t> </w:t>
            </w:r>
            <w:r>
              <w:rPr>
                <w:rFonts w:ascii="Times New Roman" w:hAnsi="Times New Roman"/>
                <w:sz w:val="18"/>
              </w:rPr>
              <w:t>библиотека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567</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678</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444</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1.611</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237,61</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362,84</w:t>
            </w:r>
          </w:p>
        </w:tc>
      </w:tr>
      <w:tr>
        <w:trPr>
          <w:trHeight w:val="233"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98"/>
              <w:jc w:val="right"/>
              <w:rPr>
                <w:rFonts w:ascii="Times New Roman" w:hAnsi="Times New Roman" w:cs="Times New Roman" w:eastAsia="Times New Roman" w:hint="default"/>
                <w:sz w:val="18"/>
                <w:szCs w:val="18"/>
              </w:rPr>
            </w:pPr>
            <w:r>
              <w:rPr>
                <w:rFonts w:ascii="Times New Roman" w:hAnsi="Times New Roman"/>
                <w:sz w:val="18"/>
              </w:rPr>
              <w:t>4г</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03" w:right="0"/>
              <w:jc w:val="left"/>
              <w:rPr>
                <w:rFonts w:ascii="Times New Roman" w:hAnsi="Times New Roman" w:cs="Times New Roman" w:eastAsia="Times New Roman" w:hint="default"/>
                <w:sz w:val="18"/>
                <w:szCs w:val="18"/>
              </w:rPr>
            </w:pPr>
            <w:r>
              <w:rPr>
                <w:rFonts w:ascii="Times New Roman" w:hAnsi="Times New Roman"/>
                <w:sz w:val="18"/>
              </w:rPr>
              <w:t>Галерија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99"/>
              <w:jc w:val="right"/>
              <w:rPr>
                <w:rFonts w:ascii="Times New Roman" w:hAnsi="Times New Roman" w:cs="Times New Roman" w:eastAsia="Times New Roman" w:hint="default"/>
                <w:sz w:val="18"/>
                <w:szCs w:val="18"/>
              </w:rPr>
            </w:pPr>
            <w:r>
              <w:rPr>
                <w:rFonts w:ascii="Times New Roman"/>
                <w:sz w:val="18"/>
              </w:rPr>
              <w:t>550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98"/>
              <w:jc w:val="right"/>
              <w:rPr>
                <w:rFonts w:ascii="Times New Roman" w:hAnsi="Times New Roman" w:cs="Times New Roman" w:eastAsia="Times New Roman" w:hint="default"/>
                <w:sz w:val="18"/>
                <w:szCs w:val="18"/>
              </w:rPr>
            </w:pPr>
            <w:r>
              <w:rPr>
                <w:rFonts w:ascii="Times New Roman"/>
                <w:sz w:val="18"/>
              </w:rPr>
              <w:t>550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1"/>
              <w:jc w:val="right"/>
              <w:rPr>
                <w:rFonts w:ascii="Times New Roman" w:hAnsi="Times New Roman" w:cs="Times New Roman" w:eastAsia="Times New Roman" w:hint="default"/>
                <w:sz w:val="18"/>
                <w:szCs w:val="18"/>
              </w:rPr>
            </w:pPr>
            <w:r>
              <w:rPr>
                <w:rFonts w:ascii="Times New Roman"/>
                <w:sz w:val="18"/>
              </w:rPr>
              <w:t>483</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1"/>
              <w:jc w:val="right"/>
              <w:rPr>
                <w:rFonts w:ascii="Times New Roman" w:hAnsi="Times New Roman" w:cs="Times New Roman" w:eastAsia="Times New Roman" w:hint="default"/>
                <w:sz w:val="18"/>
                <w:szCs w:val="18"/>
              </w:rPr>
            </w:pPr>
            <w:r>
              <w:rPr>
                <w:rFonts w:ascii="Times New Roman"/>
                <w:sz w:val="18"/>
              </w:rPr>
              <w:t>922</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2"/>
              <w:jc w:val="right"/>
              <w:rPr>
                <w:rFonts w:ascii="Times New Roman" w:hAnsi="Times New Roman" w:cs="Times New Roman" w:eastAsia="Times New Roman" w:hint="default"/>
                <w:sz w:val="18"/>
                <w:szCs w:val="18"/>
              </w:rPr>
            </w:pPr>
            <w:r>
              <w:rPr>
                <w:rFonts w:ascii="Times New Roman"/>
                <w:spacing w:val="-1"/>
                <w:sz w:val="18"/>
              </w:rPr>
              <w:t>167,64</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spacing w:val="-1"/>
                <w:sz w:val="18"/>
              </w:rPr>
              <w:t>190,89</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hAnsi="Times New Roman"/>
                <w:sz w:val="18"/>
              </w:rPr>
              <w:t>4ђ</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Народно</w:t>
            </w:r>
            <w:r>
              <w:rPr>
                <w:rFonts w:ascii="Times New Roman" w:hAnsi="Times New Roman"/>
                <w:spacing w:val="-4"/>
                <w:sz w:val="18"/>
              </w:rPr>
              <w:t> </w:t>
            </w:r>
            <w:r>
              <w:rPr>
                <w:rFonts w:ascii="Times New Roman" w:hAnsi="Times New Roman"/>
                <w:sz w:val="18"/>
              </w:rPr>
              <w:t>позориште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800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800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576</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1.184</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148,00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205,56</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hAnsi="Times New Roman"/>
                <w:sz w:val="18"/>
              </w:rPr>
              <w:t>4д</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Народни</w:t>
            </w:r>
            <w:r>
              <w:rPr>
                <w:rFonts w:ascii="Times New Roman" w:hAnsi="Times New Roman"/>
                <w:spacing w:val="-5"/>
                <w:sz w:val="18"/>
              </w:rPr>
              <w:t> </w:t>
            </w:r>
            <w:r>
              <w:rPr>
                <w:rFonts w:ascii="Times New Roman" w:hAnsi="Times New Roman"/>
                <w:sz w:val="18"/>
              </w:rPr>
              <w:t>музеј</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250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250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176</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1.121</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448,40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636,93</w:t>
            </w:r>
          </w:p>
        </w:tc>
      </w:tr>
      <w:tr>
        <w:trPr>
          <w:trHeight w:val="22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386" w:right="0"/>
              <w:jc w:val="left"/>
              <w:rPr>
                <w:rFonts w:ascii="Times New Roman" w:hAnsi="Times New Roman" w:cs="Times New Roman" w:eastAsia="Times New Roman" w:hint="default"/>
                <w:sz w:val="18"/>
                <w:szCs w:val="18"/>
              </w:rPr>
            </w:pPr>
            <w:r>
              <w:rPr>
                <w:rFonts w:ascii="Times New Roman"/>
                <w:sz w:val="18"/>
              </w:rPr>
              <w:t>5</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ком.</w:t>
            </w:r>
            <w:r>
              <w:rPr>
                <w:rFonts w:ascii="Times New Roman" w:hAnsi="Times New Roman"/>
                <w:spacing w:val="-10"/>
                <w:sz w:val="18"/>
              </w:rPr>
              <w:t> </w:t>
            </w:r>
            <w:r>
              <w:rPr>
                <w:rFonts w:ascii="Times New Roman" w:hAnsi="Times New Roman"/>
                <w:sz w:val="18"/>
              </w:rPr>
              <w:t>делат.</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99"/>
              <w:jc w:val="right"/>
              <w:rPr>
                <w:rFonts w:ascii="Times New Roman" w:hAnsi="Times New Roman" w:cs="Times New Roman" w:eastAsia="Times New Roman" w:hint="default"/>
                <w:sz w:val="18"/>
                <w:szCs w:val="18"/>
              </w:rPr>
            </w:pPr>
            <w:r>
              <w:rPr>
                <w:rFonts w:ascii="Times New Roman"/>
                <w:sz w:val="18"/>
              </w:rPr>
              <w:t>709</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98"/>
              <w:jc w:val="right"/>
              <w:rPr>
                <w:rFonts w:ascii="Times New Roman" w:hAnsi="Times New Roman" w:cs="Times New Roman" w:eastAsia="Times New Roman" w:hint="default"/>
                <w:sz w:val="18"/>
                <w:szCs w:val="18"/>
              </w:rPr>
            </w:pPr>
            <w:r>
              <w:rPr>
                <w:rFonts w:ascii="Times New Roman"/>
                <w:sz w:val="18"/>
              </w:rPr>
              <w:t>709</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sz w:val="18"/>
              </w:rPr>
              <w:t>249</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sz w:val="18"/>
              </w:rPr>
              <w:t>249</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sz w:val="18"/>
              </w:rPr>
              <w:t>35,12</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hAnsi="Times New Roman"/>
                <w:sz w:val="18"/>
              </w:rPr>
              <w:t>5а</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ЈП</w:t>
            </w:r>
            <w:r>
              <w:rPr>
                <w:rFonts w:ascii="Times New Roman" w:hAnsi="Times New Roman"/>
                <w:spacing w:val="-6"/>
                <w:sz w:val="18"/>
              </w:rPr>
              <w:t> </w:t>
            </w:r>
            <w:r>
              <w:rPr>
                <w:rFonts w:ascii="Times New Roman" w:hAnsi="Times New Roman"/>
                <w:sz w:val="18"/>
              </w:rPr>
              <w:t>Дирекција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600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600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141</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2.771</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461,83</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1.965,25</w:t>
            </w:r>
          </w:p>
        </w:tc>
      </w:tr>
      <w:tr>
        <w:trPr>
          <w:trHeight w:val="216"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650" w:right="0"/>
              <w:jc w:val="left"/>
              <w:rPr>
                <w:rFonts w:ascii="Times New Roman" w:hAnsi="Times New Roman" w:cs="Times New Roman" w:eastAsia="Times New Roman" w:hint="default"/>
                <w:sz w:val="18"/>
                <w:szCs w:val="18"/>
              </w:rPr>
            </w:pPr>
            <w:r>
              <w:rPr>
                <w:rFonts w:ascii="Times New Roman" w:hAnsi="Times New Roman"/>
                <w:b/>
                <w:sz w:val="18"/>
              </w:rPr>
              <w:t>Укупно корисници</w:t>
            </w:r>
            <w:r>
              <w:rPr>
                <w:rFonts w:ascii="Times New Roman" w:hAnsi="Times New Roman"/>
                <w:b/>
                <w:spacing w:val="-2"/>
                <w:sz w:val="18"/>
              </w:rPr>
              <w:t> </w:t>
            </w:r>
            <w:r>
              <w:rPr>
                <w:rFonts w:ascii="Times New Roman" w:hAnsi="Times New Roman"/>
                <w:b/>
                <w:sz w:val="18"/>
              </w:rPr>
              <w:t>(1</w:t>
            </w:r>
            <w:r>
              <w:rPr>
                <w:rFonts w:ascii="Times New Roman" w:hAnsi="Times New Roman"/>
                <w:b/>
                <w:sz w:val="18"/>
              </w:rPr>
              <w:t>-5)</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21.179</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21.207</w:t>
            </w:r>
            <w:r>
              <w:rPr>
                <w:rFonts w:ascii="Times New Roman"/>
                <w:spacing w:val="-1"/>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3"/>
              <w:jc w:val="right"/>
              <w:rPr>
                <w:rFonts w:ascii="Times New Roman" w:hAnsi="Times New Roman" w:cs="Times New Roman" w:eastAsia="Times New Roman" w:hint="default"/>
                <w:sz w:val="18"/>
                <w:szCs w:val="18"/>
              </w:rPr>
            </w:pPr>
            <w:r>
              <w:rPr>
                <w:rFonts w:ascii="Times New Roman"/>
                <w:b/>
                <w:spacing w:val="-1"/>
                <w:sz w:val="18"/>
              </w:rPr>
              <w:t>17.429</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2"/>
              <w:jc w:val="right"/>
              <w:rPr>
                <w:rFonts w:ascii="Times New Roman" w:hAnsi="Times New Roman" w:cs="Times New Roman" w:eastAsia="Times New Roman" w:hint="default"/>
                <w:sz w:val="18"/>
                <w:szCs w:val="18"/>
              </w:rPr>
            </w:pPr>
            <w:r>
              <w:rPr>
                <w:rFonts w:ascii="Times New Roman"/>
                <w:b/>
                <w:spacing w:val="-1"/>
                <w:sz w:val="18"/>
              </w:rPr>
              <w:t>17.274</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81,45</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99,11</w:t>
            </w:r>
            <w:r>
              <w:rPr>
                <w:rFonts w:ascii="Times New Roman"/>
                <w:sz w:val="18"/>
              </w:rPr>
            </w:r>
          </w:p>
        </w:tc>
      </w:tr>
      <w:tr>
        <w:trPr>
          <w:trHeight w:val="219"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477" w:right="0"/>
              <w:jc w:val="left"/>
              <w:rPr>
                <w:rFonts w:ascii="Times New Roman" w:hAnsi="Times New Roman" w:cs="Times New Roman" w:eastAsia="Times New Roman" w:hint="default"/>
                <w:sz w:val="18"/>
                <w:szCs w:val="18"/>
              </w:rPr>
            </w:pPr>
            <w:r>
              <w:rPr>
                <w:rFonts w:ascii="Times New Roman" w:hAnsi="Times New Roman"/>
                <w:b/>
                <w:sz w:val="18"/>
              </w:rPr>
              <w:t>Укупно  Град </w:t>
            </w:r>
            <w:r>
              <w:rPr>
                <w:rFonts w:ascii="Times New Roman" w:hAnsi="Times New Roman"/>
                <w:b/>
                <w:sz w:val="18"/>
              </w:rPr>
              <w:t>- </w:t>
            </w:r>
            <w:r>
              <w:rPr>
                <w:rFonts w:ascii="Times New Roman" w:hAnsi="Times New Roman"/>
                <w:b/>
                <w:sz w:val="18"/>
              </w:rPr>
              <w:t>група</w:t>
            </w:r>
            <w:r>
              <w:rPr>
                <w:rFonts w:ascii="Times New Roman" w:hAnsi="Times New Roman"/>
                <w:b/>
                <w:spacing w:val="-8"/>
                <w:sz w:val="18"/>
              </w:rPr>
              <w:t> </w:t>
            </w:r>
            <w:r>
              <w:rPr>
                <w:rFonts w:ascii="Times New Roman" w:hAnsi="Times New Roman"/>
                <w:b/>
                <w:sz w:val="18"/>
              </w:rPr>
              <w:t>416000</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b/>
                <w:spacing w:val="-1"/>
                <w:sz w:val="18"/>
              </w:rPr>
              <w:t>22.217</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b/>
                <w:spacing w:val="-1"/>
                <w:sz w:val="18"/>
              </w:rPr>
              <w:t>22.245</w:t>
            </w:r>
            <w:r>
              <w:rPr>
                <w:rFonts w:ascii="Times New Roman"/>
                <w:spacing w:val="-1"/>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3"/>
              <w:jc w:val="right"/>
              <w:rPr>
                <w:rFonts w:ascii="Times New Roman" w:hAnsi="Times New Roman" w:cs="Times New Roman" w:eastAsia="Times New Roman" w:hint="default"/>
                <w:sz w:val="18"/>
                <w:szCs w:val="18"/>
              </w:rPr>
            </w:pPr>
            <w:r>
              <w:rPr>
                <w:rFonts w:ascii="Times New Roman"/>
                <w:b/>
                <w:spacing w:val="-1"/>
                <w:sz w:val="18"/>
              </w:rPr>
              <w:t>17.706</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2"/>
              <w:jc w:val="right"/>
              <w:rPr>
                <w:rFonts w:ascii="Times New Roman" w:hAnsi="Times New Roman" w:cs="Times New Roman" w:eastAsia="Times New Roman" w:hint="default"/>
                <w:sz w:val="18"/>
                <w:szCs w:val="18"/>
              </w:rPr>
            </w:pPr>
            <w:r>
              <w:rPr>
                <w:rFonts w:ascii="Times New Roman"/>
                <w:b/>
                <w:spacing w:val="-1"/>
                <w:sz w:val="18"/>
              </w:rPr>
              <w:t>23.340</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2"/>
              <w:jc w:val="right"/>
              <w:rPr>
                <w:rFonts w:ascii="Times New Roman" w:hAnsi="Times New Roman" w:cs="Times New Roman" w:eastAsia="Times New Roman" w:hint="default"/>
                <w:sz w:val="18"/>
                <w:szCs w:val="18"/>
              </w:rPr>
            </w:pPr>
            <w:r>
              <w:rPr>
                <w:rFonts w:ascii="Times New Roman"/>
                <w:b/>
                <w:spacing w:val="-1"/>
                <w:sz w:val="18"/>
              </w:rPr>
              <w:t>104,92</w:t>
            </w:r>
            <w:r>
              <w:rPr>
                <w:rFonts w:ascii="Times New Roman"/>
                <w:spacing w:val="-1"/>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b/>
                <w:spacing w:val="-1"/>
                <w:sz w:val="18"/>
              </w:rPr>
              <w:t>131,82</w:t>
            </w:r>
            <w:r>
              <w:rPr>
                <w:rFonts w:ascii="Times New Roman"/>
                <w:spacing w:val="-1"/>
                <w:sz w:val="18"/>
              </w:rPr>
            </w:r>
          </w:p>
        </w:tc>
      </w:tr>
    </w:tbl>
    <w:p>
      <w:pPr>
        <w:pStyle w:val="BodyText"/>
        <w:spacing w:line="240" w:lineRule="auto"/>
        <w:ind w:right="181" w:firstLine="566"/>
        <w:jc w:val="both"/>
      </w:pPr>
      <w:r>
        <w:rPr/>
        <w:t>Исказан је расход у износу од </w:t>
      </w:r>
      <w:r>
        <w:rPr>
          <w:rFonts w:ascii="Times New Roman" w:hAnsi="Times New Roman"/>
        </w:rPr>
        <w:t>17.706 </w:t>
      </w:r>
      <w:r>
        <w:rPr/>
        <w:t>хиљада динара и то 6.129 хиљада динара на терет буџета града, 3.457 хиљада динара на терет буџета Републике и 8.120 хиљада динара из осталих</w:t>
      </w:r>
      <w:r>
        <w:rPr>
          <w:spacing w:val="-9"/>
        </w:rPr>
        <w:t> </w:t>
      </w:r>
      <w:r>
        <w:rPr/>
        <w:t>извора.</w:t>
      </w:r>
    </w:p>
    <w:p>
      <w:pPr>
        <w:pStyle w:val="ListParagraph"/>
        <w:numPr>
          <w:ilvl w:val="4"/>
          <w:numId w:val="28"/>
        </w:numPr>
        <w:tabs>
          <w:tab w:pos="1006" w:val="left" w:leader="none"/>
        </w:tabs>
        <w:spacing w:line="240" w:lineRule="auto" w:before="137" w:after="0"/>
        <w:ind w:left="160" w:right="176"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Скупштина града </w:t>
      </w:r>
      <w:r>
        <w:rPr>
          <w:rFonts w:ascii="Times New Roman" w:hAnsi="Times New Roman" w:cs="Times New Roman" w:eastAsia="Times New Roman" w:hint="default"/>
          <w:b/>
          <w:bCs/>
          <w:i/>
          <w:sz w:val="24"/>
          <w:szCs w:val="24"/>
        </w:rPr>
        <w:t>- </w:t>
      </w:r>
      <w:r>
        <w:rPr>
          <w:rFonts w:ascii="Times New Roman" w:hAnsi="Times New Roman" w:cs="Times New Roman" w:eastAsia="Times New Roman" w:hint="default"/>
          <w:sz w:val="24"/>
          <w:szCs w:val="24"/>
        </w:rPr>
        <w:t>Исказан је расход у износу од </w:t>
      </w:r>
      <w:r>
        <w:rPr>
          <w:rFonts w:ascii="Times New Roman" w:hAnsi="Times New Roman" w:cs="Times New Roman" w:eastAsia="Times New Roman" w:hint="default"/>
          <w:sz w:val="24"/>
          <w:szCs w:val="24"/>
        </w:rPr>
        <w:t>528 </w:t>
      </w:r>
      <w:r>
        <w:rPr>
          <w:rFonts w:ascii="Times New Roman" w:hAnsi="Times New Roman" w:cs="Times New Roman" w:eastAsia="Times New Roman" w:hint="default"/>
          <w:sz w:val="24"/>
          <w:szCs w:val="24"/>
        </w:rPr>
        <w:t>хиљада динара од којих 500 хиљада динара за награде „11. јануар“ и 28 хиљада динара за накнаде члановима Комисије за  именовање директора јавних</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предузећа.</w:t>
      </w:r>
    </w:p>
    <w:p>
      <w:pPr>
        <w:pStyle w:val="BodyText"/>
        <w:spacing w:line="240" w:lineRule="auto"/>
        <w:ind w:right="172" w:firstLine="566"/>
        <w:jc w:val="both"/>
      </w:pPr>
      <w:r>
        <w:rPr>
          <w:rFonts w:ascii="Times New Roman" w:hAnsi="Times New Roman" w:cs="Times New Roman" w:eastAsia="Times New Roman" w:hint="default"/>
          <w:b/>
          <w:bCs/>
        </w:rPr>
        <w:t>На основу ревизије узроковане документације утврђено је </w:t>
      </w:r>
      <w:r>
        <w:rPr/>
        <w:t>да је неправилно на овој групи евидентиран расход у износу од 500 хиљада динара за годишње награде града Ниша „11. јануар“, уместо на групи 423000 – услуге по уговору, што је супротно члану 9. Уредбе о буџетском рачуноводству и Правилнику о стандардном класификационом оквиру и контном плану за буџетски</w:t>
      </w:r>
      <w:r>
        <w:rPr>
          <w:spacing w:val="-22"/>
        </w:rPr>
        <w:t> </w:t>
      </w:r>
      <w:r>
        <w:rPr/>
        <w:t>систем.</w:t>
      </w:r>
    </w:p>
    <w:p>
      <w:pPr>
        <w:pStyle w:val="Heading2"/>
        <w:spacing w:line="240" w:lineRule="auto"/>
        <w:ind w:right="174"/>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ListParagraph"/>
        <w:numPr>
          <w:ilvl w:val="4"/>
          <w:numId w:val="28"/>
        </w:numPr>
        <w:tabs>
          <w:tab w:pos="1003" w:val="left" w:leader="none"/>
        </w:tabs>
        <w:spacing w:line="274" w:lineRule="exact" w:before="139" w:after="0"/>
        <w:ind w:left="1002" w:right="0" w:hanging="276"/>
        <w:jc w:val="left"/>
        <w:rPr>
          <w:rFonts w:ascii="Times New Roman" w:hAnsi="Times New Roman" w:cs="Times New Roman" w:eastAsia="Times New Roman" w:hint="default"/>
          <w:sz w:val="24"/>
          <w:szCs w:val="24"/>
        </w:rPr>
      </w:pPr>
      <w:r>
        <w:rPr>
          <w:rFonts w:ascii="Times New Roman" w:hAnsi="Times New Roman"/>
          <w:b/>
          <w:sz w:val="24"/>
        </w:rPr>
        <w:t>Управа за финансије</w:t>
      </w:r>
      <w:r>
        <w:rPr>
          <w:rFonts w:ascii="Times New Roman" w:hAnsi="Times New Roman"/>
          <w:b/>
          <w:sz w:val="24"/>
        </w:rPr>
        <w:t>, </w:t>
      </w:r>
      <w:r>
        <w:rPr>
          <w:rFonts w:ascii="Times New Roman" w:hAnsi="Times New Roman"/>
          <w:b/>
          <w:sz w:val="24"/>
        </w:rPr>
        <w:t>изворне приходе локалне самоуправе и јавне  </w:t>
      </w:r>
      <w:r>
        <w:rPr>
          <w:rFonts w:ascii="Times New Roman" w:hAnsi="Times New Roman"/>
          <w:b/>
          <w:spacing w:val="13"/>
          <w:sz w:val="24"/>
        </w:rPr>
        <w:t> </w:t>
      </w:r>
      <w:r>
        <w:rPr>
          <w:rFonts w:ascii="Times New Roman" w:hAnsi="Times New Roman"/>
          <w:b/>
          <w:sz w:val="24"/>
        </w:rPr>
        <w:t>набавке</w:t>
      </w:r>
      <w:r>
        <w:rPr>
          <w:rFonts w:ascii="Times New Roman" w:hAnsi="Times New Roman"/>
          <w:sz w:val="24"/>
        </w:rPr>
      </w:r>
    </w:p>
    <w:p>
      <w:pPr>
        <w:pStyle w:val="BodyText"/>
        <w:spacing w:line="240" w:lineRule="auto"/>
        <w:ind w:right="173"/>
        <w:jc w:val="both"/>
      </w:pPr>
      <w:r>
        <w:rPr>
          <w:rFonts w:ascii="Times New Roman" w:hAnsi="Times New Roman" w:cs="Times New Roman" w:eastAsia="Times New Roman" w:hint="default"/>
          <w:b/>
          <w:bCs/>
          <w:i/>
        </w:rPr>
        <w:t>– </w:t>
      </w:r>
      <w:r>
        <w:rPr/>
        <w:t>Исказан је расход у износу од 3.310 хиљада динара за јубиларне награде. Јубиларне награде у граду Нишу исплаћиване су у складу са Анексом Посебног колективног  уговора за државне</w:t>
      </w:r>
      <w:r>
        <w:rPr>
          <w:spacing w:val="-6"/>
        </w:rPr>
        <w:t> </w:t>
      </w:r>
      <w:r>
        <w:rPr/>
        <w:t>органе.</w:t>
      </w:r>
    </w:p>
    <w:p>
      <w:pPr>
        <w:pStyle w:val="ListParagraph"/>
        <w:numPr>
          <w:ilvl w:val="4"/>
          <w:numId w:val="28"/>
        </w:numPr>
        <w:tabs>
          <w:tab w:pos="1015" w:val="left" w:leader="none"/>
        </w:tabs>
        <w:spacing w:line="240" w:lineRule="auto" w:before="137" w:after="0"/>
        <w:ind w:left="160" w:right="175" w:firstLine="566"/>
        <w:jc w:val="both"/>
        <w:rPr>
          <w:rFonts w:ascii="Times New Roman" w:hAnsi="Times New Roman" w:cs="Times New Roman" w:eastAsia="Times New Roman" w:hint="default"/>
          <w:sz w:val="24"/>
          <w:szCs w:val="24"/>
        </w:rPr>
      </w:pPr>
      <w:r>
        <w:rPr>
          <w:rFonts w:ascii="Times New Roman" w:hAnsi="Times New Roman"/>
          <w:b/>
          <w:sz w:val="24"/>
        </w:rPr>
        <w:t>Управа за образовање </w:t>
      </w:r>
      <w:r>
        <w:rPr>
          <w:rFonts w:ascii="Times New Roman" w:hAnsi="Times New Roman"/>
          <w:b/>
          <w:sz w:val="24"/>
        </w:rPr>
        <w:t>- </w:t>
      </w:r>
      <w:r>
        <w:rPr>
          <w:rFonts w:ascii="Times New Roman" w:hAnsi="Times New Roman"/>
          <w:sz w:val="24"/>
        </w:rPr>
        <w:t>Исказан је расход у износу од </w:t>
      </w:r>
      <w:r>
        <w:rPr>
          <w:rFonts w:ascii="Times New Roman" w:hAnsi="Times New Roman"/>
          <w:sz w:val="24"/>
        </w:rPr>
        <w:t>10.296 </w:t>
      </w:r>
      <w:r>
        <w:rPr>
          <w:rFonts w:ascii="Times New Roman" w:hAnsi="Times New Roman"/>
          <w:sz w:val="24"/>
        </w:rPr>
        <w:t>хиљада динара, који се односи на ПУ Пчелица у износу од </w:t>
      </w:r>
      <w:r>
        <w:rPr>
          <w:rFonts w:ascii="Times New Roman" w:hAnsi="Times New Roman"/>
          <w:sz w:val="24"/>
        </w:rPr>
        <w:t>10.260 </w:t>
      </w:r>
      <w:r>
        <w:rPr>
          <w:rFonts w:ascii="Times New Roman" w:hAnsi="Times New Roman"/>
          <w:sz w:val="24"/>
        </w:rPr>
        <w:t>хиљада динара и Регионални центар за професионални развој запослених у образовању у  износу од 36 хиљада</w:t>
      </w:r>
      <w:r>
        <w:rPr>
          <w:rFonts w:ascii="Times New Roman" w:hAnsi="Times New Roman"/>
          <w:spacing w:val="-21"/>
          <w:sz w:val="24"/>
        </w:rPr>
        <w:t> </w:t>
      </w:r>
      <w:r>
        <w:rPr>
          <w:rFonts w:ascii="Times New Roman" w:hAnsi="Times New Roman"/>
          <w:sz w:val="24"/>
        </w:rPr>
        <w:t>динара</w:t>
      </w:r>
      <w:r>
        <w:rPr>
          <w:rFonts w:ascii="Times New Roman" w:hAnsi="Times New Roman"/>
          <w:sz w:val="24"/>
        </w:rPr>
        <w:t>.</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Heading1"/>
        <w:spacing w:line="274" w:lineRule="exact" w:before="126"/>
        <w:ind w:right="141"/>
        <w:jc w:val="left"/>
        <w:rPr>
          <w:b w:val="0"/>
          <w:bCs w:val="0"/>
        </w:rPr>
      </w:pPr>
      <w:r>
        <w:rPr/>
        <w:t>3а) ПУ</w:t>
      </w:r>
      <w:r>
        <w:rPr>
          <w:spacing w:val="-3"/>
        </w:rPr>
        <w:t> </w:t>
      </w:r>
      <w:r>
        <w:rPr/>
        <w:t>Пчелица</w:t>
      </w:r>
      <w:r>
        <w:rPr>
          <w:b w:val="0"/>
        </w:rPr>
      </w:r>
    </w:p>
    <w:p>
      <w:pPr>
        <w:pStyle w:val="BodyText"/>
        <w:spacing w:line="240" w:lineRule="auto"/>
        <w:ind w:right="180"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Јубиларне награде, субаналитички конто 416111 </w:t>
      </w:r>
      <w:r>
        <w:rPr/>
      </w:r>
      <w:r>
        <w:rPr>
          <w:rFonts w:ascii="Times New Roman" w:hAnsi="Times New Roman" w:cs="Times New Roman" w:eastAsia="Times New Roman" w:hint="default"/>
          <w:b/>
          <w:bCs/>
          <w:i/>
        </w:rPr>
        <w:t>– </w:t>
      </w:r>
      <w:r>
        <w:rPr/>
        <w:t>Исказан је расход у укупном износу од 10.260 хиљада динара и то у износу од 3.457 хиљада динара из средстава буџета Републике и </w:t>
      </w:r>
      <w:r>
        <w:rPr>
          <w:rFonts w:ascii="Times New Roman" w:hAnsi="Times New Roman" w:cs="Times New Roman" w:eastAsia="Times New Roman" w:hint="default"/>
        </w:rPr>
        <w:t>6.803 </w:t>
      </w:r>
      <w:r>
        <w:rPr/>
        <w:t>хиљаде динара из осталих средстава, а по основу принудне наплате неисплаћених јубиларних награда од 2009. године до 2014.</w:t>
      </w:r>
      <w:r>
        <w:rPr>
          <w:spacing w:val="-19"/>
        </w:rPr>
        <w:t> </w:t>
      </w:r>
      <w:r>
        <w:rPr/>
        <w:t>године.</w:t>
      </w:r>
    </w:p>
    <w:p>
      <w:pPr>
        <w:pStyle w:val="BodyText"/>
        <w:spacing w:line="240" w:lineRule="auto"/>
        <w:ind w:right="178" w:firstLine="566"/>
        <w:jc w:val="both"/>
      </w:pPr>
      <w:r>
        <w:rPr/>
        <w:t>Финансијским планом ПУ „Пчелица“ и Одлуком о буџету града Ниша за 2014. годину нису планирана средства из буџета за јубиларне награде и нису доношена решења за исплату. Стога су запослени почели да остварују своје право судским путем и принудном</w:t>
      </w:r>
      <w:r>
        <w:rPr>
          <w:spacing w:val="-9"/>
        </w:rPr>
        <w:t> </w:t>
      </w:r>
      <w:r>
        <w:rPr/>
        <w:t>наплатом.</w:t>
      </w:r>
    </w:p>
    <w:p>
      <w:pPr>
        <w:pStyle w:val="ListParagraph"/>
        <w:numPr>
          <w:ilvl w:val="4"/>
          <w:numId w:val="28"/>
        </w:numPr>
        <w:tabs>
          <w:tab w:pos="1010" w:val="left" w:leader="none"/>
        </w:tabs>
        <w:spacing w:line="240" w:lineRule="auto" w:before="137" w:after="0"/>
        <w:ind w:left="160" w:right="175" w:firstLine="566"/>
        <w:jc w:val="both"/>
        <w:rPr>
          <w:rFonts w:ascii="Times New Roman" w:hAnsi="Times New Roman" w:cs="Times New Roman" w:eastAsia="Times New Roman" w:hint="default"/>
          <w:sz w:val="24"/>
          <w:szCs w:val="24"/>
        </w:rPr>
      </w:pPr>
      <w:r>
        <w:rPr>
          <w:rFonts w:ascii="Times New Roman" w:hAnsi="Times New Roman"/>
          <w:b/>
          <w:sz w:val="24"/>
        </w:rPr>
        <w:t>Управа за културу </w:t>
      </w:r>
      <w:r>
        <w:rPr>
          <w:rFonts w:ascii="Times New Roman" w:hAnsi="Times New Roman"/>
          <w:b/>
          <w:sz w:val="24"/>
        </w:rPr>
        <w:t>- </w:t>
      </w:r>
      <w:r>
        <w:rPr>
          <w:rFonts w:ascii="Times New Roman" w:hAnsi="Times New Roman"/>
          <w:sz w:val="24"/>
        </w:rPr>
        <w:t>Исказан је расход у износу од 3.046 хиљада динара и то код: Позоришта лутака у износу од 425 хиљада динара, Завода за заштиту споменика културе у износу од 364 хиљаде динара, Народне библиотеке у износу од 444 хиљаде динара, Галерије савремене ликовне уметности у износу од 483 хиљаде динара, Народног музеја у износу од 176 хиљада динара</w:t>
      </w:r>
      <w:r>
        <w:rPr>
          <w:rFonts w:ascii="Times New Roman" w:hAnsi="Times New Roman"/>
          <w:sz w:val="24"/>
        </w:rPr>
        <w:t>, </w:t>
      </w:r>
      <w:r>
        <w:rPr>
          <w:rFonts w:ascii="Times New Roman" w:hAnsi="Times New Roman"/>
          <w:sz w:val="24"/>
        </w:rPr>
        <w:t>Нишког симфонијског оркестра у износу од 256 хиљада динара, Народног позоришта у износу од 576 хиљада динара</w:t>
      </w:r>
      <w:r>
        <w:rPr>
          <w:rFonts w:ascii="Times New Roman" w:hAnsi="Times New Roman"/>
          <w:sz w:val="24"/>
        </w:rPr>
        <w:t>, </w:t>
      </w:r>
      <w:r>
        <w:rPr>
          <w:rFonts w:ascii="Times New Roman" w:hAnsi="Times New Roman"/>
          <w:sz w:val="24"/>
        </w:rPr>
        <w:t>Нишког културног центра у износу од 188 хиљада динара и Историјског архива у износу од 134 хиљаде динара.</w:t>
      </w:r>
    </w:p>
    <w:p>
      <w:pPr>
        <w:pStyle w:val="BodyText"/>
        <w:spacing w:line="240" w:lineRule="auto"/>
        <w:ind w:right="174" w:firstLine="566"/>
        <w:jc w:val="both"/>
      </w:pPr>
      <w:r>
        <w:rPr>
          <w:rFonts w:ascii="Times New Roman" w:hAnsi="Times New Roman"/>
          <w:b/>
        </w:rPr>
        <w:t>4</w:t>
      </w:r>
      <w:r>
        <w:rPr>
          <w:rFonts w:ascii="Times New Roman" w:hAnsi="Times New Roman"/>
          <w:b/>
        </w:rPr>
        <w:t>а) Позориште лутака </w:t>
      </w:r>
      <w:r>
        <w:rPr>
          <w:rFonts w:ascii="Times New Roman" w:hAnsi="Times New Roman"/>
        </w:rPr>
        <w:t>- </w:t>
      </w:r>
      <w:r>
        <w:rPr/>
        <w:t>Извршена је исплата у износу од 161 хиљаде динара из осталих извора за божићне награде у износу од по четири хиљаде динара нето на основу Закона о буџету Републике Србије за 2013. годину за 24 запослена, који нису тужили Позориште, а заједно са исплатом плате за септембар 2014. године, а на основу Одлуке директора број 1363/14</w:t>
      </w:r>
      <w:r>
        <w:rPr>
          <w:rFonts w:ascii="Times New Roman" w:hAnsi="Times New Roman"/>
        </w:rPr>
        <w:t>-</w:t>
      </w:r>
      <w:r>
        <w:rPr/>
        <w:t>01 од 22.10.2014.</w:t>
      </w:r>
      <w:r>
        <w:rPr>
          <w:spacing w:val="-2"/>
        </w:rPr>
        <w:t> </w:t>
      </w:r>
      <w:r>
        <w:rPr/>
        <w:t>године</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Исплата божићних награда за 2013. годину, на основу Одлуке директора из 2014. године, у укупном износу од 161 хиљаде динара извршена је без основа који је у складу са законом, што је супротно члану 16. Закона о буџету Републике Србије за 2014. годину и члану 56. Закона о буџетском</w:t>
      </w:r>
      <w:r>
        <w:rPr>
          <w:rFonts w:ascii="Times New Roman" w:hAnsi="Times New Roman"/>
          <w:spacing w:val="-14"/>
          <w:sz w:val="24"/>
        </w:rPr>
        <w:t> </w:t>
      </w:r>
      <w:r>
        <w:rPr>
          <w:rFonts w:ascii="Times New Roman" w:hAnsi="Times New Roman"/>
          <w:sz w:val="24"/>
        </w:rPr>
        <w:t>систему.</w:t>
      </w:r>
    </w:p>
    <w:p>
      <w:pPr>
        <w:pStyle w:val="Heading2"/>
        <w:spacing w:line="240" w:lineRule="auto"/>
        <w:ind w:right="178"/>
        <w:jc w:val="both"/>
        <w:rPr>
          <w:b w:val="0"/>
          <w:bCs w:val="0"/>
          <w:i w:val="0"/>
        </w:rPr>
      </w:pPr>
      <w:r>
        <w:rPr>
          <w:i/>
        </w:rPr>
        <w:t>Препоручује се одговорним лицима да обезбеде правни основ за сваки расход из буџета.</w:t>
      </w:r>
      <w:r>
        <w:rPr>
          <w:b w:val="0"/>
          <w:i w:val="0"/>
        </w:rPr>
      </w:r>
    </w:p>
    <w:p>
      <w:pPr>
        <w:pStyle w:val="BodyText"/>
        <w:spacing w:line="240" w:lineRule="auto"/>
        <w:ind w:right="170" w:firstLine="566"/>
        <w:jc w:val="both"/>
      </w:pPr>
      <w:r>
        <w:rPr>
          <w:rFonts w:ascii="Times New Roman" w:hAnsi="Times New Roman"/>
          <w:b/>
        </w:rPr>
        <w:t>4</w:t>
      </w:r>
      <w:r>
        <w:rPr>
          <w:rFonts w:ascii="Times New Roman" w:hAnsi="Times New Roman"/>
          <w:b/>
        </w:rPr>
        <w:t>б) Завод за заштиту споменика културе </w:t>
      </w:r>
      <w:r>
        <w:rPr>
          <w:rFonts w:ascii="Times New Roman" w:hAnsi="Times New Roman"/>
        </w:rPr>
        <w:t>- </w:t>
      </w:r>
      <w:r>
        <w:rPr/>
        <w:t>На основу Одлуке вд директора број 1051/1 од 30.07.2014. године исплаћена је дана 05.08.2014. године из осталих извора у укупном износу од 153 хиљаде динара божићна награда предвиђена Законом о буџету Републике Србије за 2013. годину, у износу од по четири хиљаде динара нето по запосленом.</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Исплата божићних награда за 2013. годину</w:t>
      </w:r>
      <w:r>
        <w:rPr>
          <w:rFonts w:ascii="Times New Roman" w:hAnsi="Times New Roman"/>
          <w:sz w:val="24"/>
        </w:rPr>
        <w:t>, </w:t>
      </w:r>
      <w:r>
        <w:rPr>
          <w:rFonts w:ascii="Times New Roman" w:hAnsi="Times New Roman"/>
          <w:sz w:val="24"/>
        </w:rPr>
        <w:t>на основу Одлуке вд директора из 2014. године, у укупном износу од 153 хиљаде динара извршена је без основа који је у складу са законом, што је супротно члану 16. Закона о буџету Републике Србије за 2014. годину и члану 56. Закона о буџетском</w:t>
      </w:r>
      <w:r>
        <w:rPr>
          <w:rFonts w:ascii="Times New Roman" w:hAnsi="Times New Roman"/>
          <w:spacing w:val="-14"/>
          <w:sz w:val="24"/>
        </w:rPr>
        <w:t> </w:t>
      </w:r>
      <w:r>
        <w:rPr>
          <w:rFonts w:ascii="Times New Roman" w:hAnsi="Times New Roman"/>
          <w:sz w:val="24"/>
        </w:rPr>
        <w:t>систему.</w:t>
      </w:r>
    </w:p>
    <w:p>
      <w:pPr>
        <w:pStyle w:val="Heading2"/>
        <w:spacing w:line="240" w:lineRule="auto"/>
        <w:ind w:right="182"/>
        <w:jc w:val="both"/>
        <w:rPr>
          <w:b w:val="0"/>
          <w:bCs w:val="0"/>
          <w:i w:val="0"/>
        </w:rPr>
      </w:pPr>
      <w:r>
        <w:rPr>
          <w:i/>
        </w:rPr>
        <w:t>Препоручује се одговорним лицима да обезбеде правни основ за сваки расход из буџета.</w:t>
      </w:r>
      <w:r>
        <w:rPr>
          <w:b w:val="0"/>
          <w:i w:val="0"/>
        </w:rPr>
      </w:r>
    </w:p>
    <w:p>
      <w:pPr>
        <w:pStyle w:val="BodyText"/>
        <w:spacing w:line="240" w:lineRule="auto"/>
        <w:ind w:right="176" w:firstLine="566"/>
        <w:jc w:val="both"/>
      </w:pPr>
      <w:r>
        <w:rPr>
          <w:rFonts w:ascii="Times New Roman" w:hAnsi="Times New Roman"/>
          <w:b/>
        </w:rPr>
        <w:t>4</w:t>
      </w:r>
      <w:r>
        <w:rPr>
          <w:rFonts w:ascii="Times New Roman" w:hAnsi="Times New Roman"/>
          <w:b/>
        </w:rPr>
        <w:t>в) Народна библиотека </w:t>
      </w:r>
      <w:r>
        <w:rPr>
          <w:rFonts w:ascii="Times New Roman" w:hAnsi="Times New Roman"/>
        </w:rPr>
        <w:t>- </w:t>
      </w:r>
      <w:r>
        <w:rPr/>
        <w:t>На основу Одлуке директора број 01</w:t>
      </w:r>
      <w:r>
        <w:rPr>
          <w:rFonts w:ascii="Times New Roman" w:hAnsi="Times New Roman"/>
        </w:rPr>
        <w:t>-</w:t>
      </w:r>
      <w:r>
        <w:rPr/>
        <w:t>1007/14 од 17.10.2014. године исплаћена је запосленима у Народној библиотеци годишња награда за божићне празнике за 2013. годину у укупном износу од 353 хиљаде динара, односно по запосленом у нето износу од 3.500,00</w:t>
      </w:r>
      <w:r>
        <w:rPr>
          <w:spacing w:val="-12"/>
        </w:rPr>
        <w:t> </w:t>
      </w:r>
      <w:r>
        <w:rPr/>
        <w:t>динара.</w:t>
      </w:r>
    </w:p>
    <w:p>
      <w:pPr>
        <w:spacing w:after="0" w:line="240" w:lineRule="auto"/>
        <w:jc w:val="both"/>
        <w:sectPr>
          <w:footerReference w:type="default" r:id="rId60"/>
          <w:pgSz w:w="12240" w:h="15840"/>
          <w:pgMar w:footer="1601" w:header="740" w:top="1280" w:bottom="1800" w:left="1400" w:right="1260"/>
        </w:sectPr>
      </w:pPr>
    </w:p>
    <w:p>
      <w:pPr>
        <w:pStyle w:val="ListParagraph"/>
        <w:numPr>
          <w:ilvl w:val="0"/>
          <w:numId w:val="9"/>
        </w:numPr>
        <w:tabs>
          <w:tab w:pos="303" w:val="left" w:leader="none"/>
        </w:tabs>
        <w:spacing w:line="240" w:lineRule="auto" w:before="124"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Исплата божићних награда за 2013. годину на основу Одлуке из 2014. године извршена је без правног основа у укупном износу од 353 хиљаде динара, што је супротно члану 16. Закона о буџету Републике Србије за 2014. годину и члану 56. Закона о буџетском систему.</w:t>
      </w:r>
    </w:p>
    <w:p>
      <w:pPr>
        <w:pStyle w:val="Heading2"/>
        <w:spacing w:line="240" w:lineRule="auto"/>
        <w:ind w:right="184"/>
        <w:jc w:val="both"/>
        <w:rPr>
          <w:b w:val="0"/>
          <w:bCs w:val="0"/>
          <w:i w:val="0"/>
        </w:rPr>
      </w:pPr>
      <w:r>
        <w:rPr>
          <w:i/>
        </w:rPr>
        <w:t>Препоручује се одговорним лицима да обезбеде правни основ за сваки расход из буџета.</w:t>
      </w:r>
      <w:r>
        <w:rPr>
          <w:b w:val="0"/>
          <w:i w:val="0"/>
        </w:rPr>
      </w:r>
    </w:p>
    <w:p>
      <w:pPr>
        <w:pStyle w:val="BodyText"/>
        <w:spacing w:line="240" w:lineRule="auto"/>
        <w:ind w:right="172" w:firstLine="566"/>
        <w:jc w:val="both"/>
      </w:pPr>
      <w:r>
        <w:rPr>
          <w:rFonts w:ascii="Times New Roman" w:hAnsi="Times New Roman"/>
          <w:b/>
        </w:rPr>
        <w:t>4</w:t>
      </w:r>
      <w:r>
        <w:rPr>
          <w:rFonts w:ascii="Times New Roman" w:hAnsi="Times New Roman"/>
          <w:b/>
        </w:rPr>
        <w:t>г) Галерија савремене ликовне уметности </w:t>
      </w:r>
      <w:r>
        <w:rPr>
          <w:rFonts w:ascii="Times New Roman" w:hAnsi="Times New Roman"/>
        </w:rPr>
        <w:t>- </w:t>
      </w:r>
      <w:r>
        <w:rPr/>
        <w:t>На основу Одлуке директора о исплати новчаног поклона за запослене жене број 178 од 11.03.2014. године извршен је расход 30.04.2014. године из осталих извора у износу од 50 хиљада динара</w:t>
      </w:r>
      <w:r>
        <w:rPr>
          <w:rFonts w:ascii="Times New Roman" w:hAnsi="Times New Roman"/>
        </w:rPr>
        <w:t>, </w:t>
      </w:r>
      <w:r>
        <w:rPr/>
        <w:t>за исплату поклона женама за 8. март 2014. године  по запосленој три хиљаде</w:t>
      </w:r>
      <w:r>
        <w:rPr>
          <w:spacing w:val="-19"/>
        </w:rPr>
        <w:t> </w:t>
      </w:r>
      <w:r>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37" w:lineRule="auto" w:before="1"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Исплата новчаног поклона за запослене у износу од 50 хиљада динара извршена је без основа који је у складу са законом, што је супротно члану 16. Закона о буџету Републике Србије за 2014. годину и члану 56. Закона о буџетском</w:t>
      </w:r>
      <w:r>
        <w:rPr>
          <w:rFonts w:ascii="Times New Roman" w:hAnsi="Times New Roman"/>
          <w:spacing w:val="-16"/>
          <w:sz w:val="24"/>
        </w:rPr>
        <w:t> </w:t>
      </w:r>
      <w:r>
        <w:rPr>
          <w:rFonts w:ascii="Times New Roman" w:hAnsi="Times New Roman"/>
          <w:sz w:val="24"/>
        </w:rPr>
        <w:t>систему.</w:t>
      </w:r>
    </w:p>
    <w:p>
      <w:pPr>
        <w:pStyle w:val="Heading2"/>
        <w:spacing w:line="240" w:lineRule="auto"/>
        <w:ind w:right="184"/>
        <w:jc w:val="both"/>
        <w:rPr>
          <w:b w:val="0"/>
          <w:bCs w:val="0"/>
          <w:i w:val="0"/>
        </w:rPr>
      </w:pPr>
      <w:r>
        <w:rPr>
          <w:i/>
        </w:rPr>
        <w:t>Препоручује се одговорним лицима да обезбеде правни основ за сваки расход из буџета.</w:t>
      </w:r>
      <w:r>
        <w:rPr>
          <w:b w:val="0"/>
          <w:i w:val="0"/>
        </w:rPr>
      </w:r>
    </w:p>
    <w:p>
      <w:pPr>
        <w:pStyle w:val="ListParagraph"/>
        <w:numPr>
          <w:ilvl w:val="4"/>
          <w:numId w:val="28"/>
        </w:numPr>
        <w:tabs>
          <w:tab w:pos="994" w:val="left" w:leader="none"/>
        </w:tabs>
        <w:spacing w:line="240" w:lineRule="auto" w:before="134" w:after="0"/>
        <w:ind w:left="160" w:right="177"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 за комуналне делатности, енергетику и саобраћај </w:t>
      </w:r>
      <w:r>
        <w:rPr>
          <w:rFonts w:ascii="Times New Roman" w:hAnsi="Times New Roman" w:cs="Times New Roman" w:eastAsia="Times New Roman" w:hint="default"/>
          <w:sz w:val="24"/>
          <w:szCs w:val="24"/>
        </w:rPr>
        <w:t>– Исказан је расход у износу од 249 хиљада динара, од ког износа се 108 хиљада динара односи на Управу, а на индиректног корисника ЈП Дирекција износ од 141 хиљаде</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динара</w:t>
      </w:r>
      <w:r>
        <w:rPr>
          <w:rFonts w:ascii="Times New Roman" w:hAnsi="Times New Roman" w:cs="Times New Roman" w:eastAsia="Times New Roman" w:hint="default"/>
          <w:sz w:val="24"/>
          <w:szCs w:val="24"/>
        </w:rPr>
        <w:t>.</w:t>
      </w:r>
    </w:p>
    <w:p>
      <w:pPr>
        <w:pStyle w:val="BodyText"/>
        <w:spacing w:line="240" w:lineRule="auto"/>
        <w:ind w:right="172" w:firstLine="566"/>
        <w:jc w:val="both"/>
      </w:pPr>
      <w:r>
        <w:rPr>
          <w:rFonts w:ascii="Times New Roman" w:hAnsi="Times New Roman" w:cs="Times New Roman" w:eastAsia="Times New Roman" w:hint="default"/>
          <w:b/>
          <w:bCs/>
        </w:rPr>
        <w:t>5</w:t>
      </w:r>
      <w:r>
        <w:rPr>
          <w:rFonts w:ascii="Times New Roman" w:hAnsi="Times New Roman" w:cs="Times New Roman" w:eastAsia="Times New Roman" w:hint="default"/>
          <w:b/>
          <w:bCs/>
        </w:rPr>
        <w:t>а) ЈП Дирекција </w:t>
      </w:r>
      <w:r>
        <w:rPr>
          <w:rFonts w:ascii="Times New Roman" w:hAnsi="Times New Roman" w:cs="Times New Roman" w:eastAsia="Times New Roman" w:hint="default"/>
        </w:rPr>
        <w:t>- </w:t>
      </w:r>
      <w:r>
        <w:rPr/>
        <w:t>У поступку ревизије утврђено је да су неправилно  евидентиране награде запосленима и остали посебни расходи на групи 483000 – новчане казне и пенали по решењу судова за износ од 2.630 хиљада динара, што је ближе објашњено у тачки 4.1.4.23.</w:t>
      </w:r>
      <w:r>
        <w:rPr>
          <w:spacing w:val="-8"/>
        </w:rPr>
        <w:t> </w:t>
      </w:r>
      <w:r>
        <w:rPr/>
        <w:t>Напомена.</w:t>
      </w:r>
    </w:p>
    <w:p>
      <w:pPr>
        <w:spacing w:line="240" w:lineRule="auto" w:before="11"/>
        <w:rPr>
          <w:rFonts w:ascii="Times New Roman" w:hAnsi="Times New Roman" w:cs="Times New Roman" w:eastAsia="Times New Roman" w:hint="default"/>
          <w:sz w:val="11"/>
          <w:szCs w:val="11"/>
        </w:rPr>
      </w:pPr>
    </w:p>
    <w:p>
      <w:pPr>
        <w:spacing w:after="0" w:line="240" w:lineRule="auto"/>
        <w:rPr>
          <w:rFonts w:ascii="Times New Roman" w:hAnsi="Times New Roman" w:cs="Times New Roman" w:eastAsia="Times New Roman" w:hint="default"/>
          <w:sz w:val="11"/>
          <w:szCs w:val="11"/>
        </w:rPr>
        <w:sectPr>
          <w:footerReference w:type="default" r:id="rId61"/>
          <w:pgSz w:w="12240" w:h="15840"/>
          <w:pgMar w:footer="1791" w:header="740" w:top="1280" w:bottom="1980" w:left="1400" w:right="1260"/>
        </w:sectPr>
      </w:pPr>
    </w:p>
    <w:p>
      <w:pPr>
        <w:pStyle w:val="Heading1"/>
        <w:numPr>
          <w:ilvl w:val="3"/>
          <w:numId w:val="28"/>
        </w:numPr>
        <w:tabs>
          <w:tab w:pos="941" w:val="left" w:leader="none"/>
        </w:tabs>
        <w:spacing w:line="274" w:lineRule="exact" w:before="69" w:after="0"/>
        <w:ind w:left="940" w:right="0" w:hanging="780"/>
        <w:jc w:val="left"/>
        <w:rPr>
          <w:b w:val="0"/>
          <w:bCs w:val="0"/>
        </w:rPr>
      </w:pPr>
      <w:bookmarkStart w:name="_bookmark15" w:id="27"/>
      <w:bookmarkEnd w:id="27"/>
      <w:r>
        <w:rPr>
          <w:b w:val="0"/>
        </w:rPr>
      </w:r>
      <w:bookmarkStart w:name="_bookmark15" w:id="28"/>
      <w:bookmarkEnd w:id="28"/>
      <w:r>
        <w:rPr/>
        <w:t>Пос</w:t>
      </w:r>
      <w:r>
        <w:rPr/>
        <w:t>ланички додатак, група</w:t>
      </w:r>
      <w:r>
        <w:rPr>
          <w:spacing w:val="-9"/>
        </w:rPr>
        <w:t> </w:t>
      </w:r>
      <w:r>
        <w:rPr/>
        <w:t>417000</w:t>
      </w:r>
      <w:r>
        <w:rPr>
          <w:b w:val="0"/>
        </w:rPr>
      </w:r>
    </w:p>
    <w:p>
      <w:pPr>
        <w:pStyle w:val="BodyText"/>
        <w:spacing w:line="274" w:lineRule="exact"/>
        <w:ind w:left="726" w:right="-2"/>
        <w:jc w:val="left"/>
      </w:pPr>
      <w:r>
        <w:rPr/>
        <w:t>Група 417000 садржи синтетички конто посланички</w:t>
      </w:r>
      <w:r>
        <w:rPr>
          <w:spacing w:val="-18"/>
        </w:rPr>
        <w:t> </w:t>
      </w:r>
      <w:r>
        <w:rPr/>
        <w:t>додатак.</w:t>
      </w:r>
    </w:p>
    <w:p>
      <w:pPr>
        <w:spacing w:line="240" w:lineRule="auto" w:before="0"/>
        <w:rPr>
          <w:rFonts w:ascii="Times New Roman" w:hAnsi="Times New Roman" w:cs="Times New Roman" w:eastAsia="Times New Roman" w:hint="default"/>
          <w:sz w:val="18"/>
          <w:szCs w:val="18"/>
        </w:rPr>
      </w:pPr>
      <w:r>
        <w:rPr/>
        <w:br w:type="column"/>
      </w:r>
      <w:r>
        <w:rPr>
          <w:rFonts w:ascii="Times New Roman"/>
          <w:sz w:val="18"/>
        </w:rPr>
      </w:r>
    </w:p>
    <w:p>
      <w:pPr>
        <w:spacing w:line="240" w:lineRule="auto" w:before="0"/>
        <w:rPr>
          <w:rFonts w:ascii="Times New Roman" w:hAnsi="Times New Roman" w:cs="Times New Roman" w:eastAsia="Times New Roman" w:hint="default"/>
          <w:sz w:val="18"/>
          <w:szCs w:val="18"/>
        </w:rPr>
      </w:pPr>
    </w:p>
    <w:p>
      <w:pPr>
        <w:spacing w:line="240" w:lineRule="auto" w:before="10"/>
        <w:rPr>
          <w:rFonts w:ascii="Times New Roman" w:hAnsi="Times New Roman" w:cs="Times New Roman" w:eastAsia="Times New Roman" w:hint="default"/>
          <w:sz w:val="17"/>
          <w:szCs w:val="17"/>
        </w:rPr>
      </w:pPr>
    </w:p>
    <w:p>
      <w:pPr>
        <w:spacing w:before="0"/>
        <w:ind w:left="160" w:right="0" w:firstLine="0"/>
        <w:jc w:val="left"/>
        <w:rPr>
          <w:rFonts w:ascii="Times New Roman" w:hAnsi="Times New Roman" w:cs="Times New Roman" w:eastAsia="Times New Roman" w:hint="default"/>
          <w:sz w:val="18"/>
          <w:szCs w:val="18"/>
        </w:rPr>
      </w:pPr>
      <w:r>
        <w:rPr>
          <w:rFonts w:ascii="Times New Roman" w:hAnsi="Times New Roman"/>
          <w:sz w:val="18"/>
        </w:rPr>
        <w:t>(у хиљадама</w:t>
      </w:r>
      <w:r>
        <w:rPr>
          <w:rFonts w:ascii="Times New Roman" w:hAnsi="Times New Roman"/>
          <w:spacing w:val="-9"/>
          <w:sz w:val="18"/>
        </w:rPr>
        <w:t> </w:t>
      </w:r>
      <w:r>
        <w:rPr>
          <w:rFonts w:ascii="Times New Roman" w:hAnsi="Times New Roman"/>
          <w:sz w:val="18"/>
        </w:rPr>
        <w:t>динара)</w:t>
      </w:r>
    </w:p>
    <w:p>
      <w:pPr>
        <w:spacing w:after="0"/>
        <w:jc w:val="left"/>
        <w:rPr>
          <w:rFonts w:ascii="Times New Roman" w:hAnsi="Times New Roman" w:cs="Times New Roman" w:eastAsia="Times New Roman" w:hint="default"/>
          <w:sz w:val="18"/>
          <w:szCs w:val="18"/>
        </w:rPr>
        <w:sectPr>
          <w:type w:val="continuous"/>
          <w:pgSz w:w="12240" w:h="15840"/>
          <w:pgMar w:top="1500" w:bottom="280" w:left="1400" w:right="1260"/>
          <w:cols w:num="2" w:equalWidth="0">
            <w:col w:w="6996" w:space="649"/>
            <w:col w:w="1935"/>
          </w:cols>
        </w:sectPr>
      </w:pPr>
    </w:p>
    <w:tbl>
      <w:tblPr>
        <w:tblW w:w="0" w:type="auto"/>
        <w:jc w:val="left"/>
        <w:tblInd w:w="141" w:type="dxa"/>
        <w:tblLayout w:type="fixed"/>
        <w:tblCellMar>
          <w:top w:w="0" w:type="dxa"/>
          <w:left w:w="0" w:type="dxa"/>
          <w:bottom w:w="0" w:type="dxa"/>
          <w:right w:w="0" w:type="dxa"/>
        </w:tblCellMar>
        <w:tblLook w:val="01E0"/>
      </w:tblPr>
      <w:tblGrid>
        <w:gridCol w:w="876"/>
        <w:gridCol w:w="2401"/>
        <w:gridCol w:w="960"/>
        <w:gridCol w:w="1351"/>
        <w:gridCol w:w="1047"/>
        <w:gridCol w:w="936"/>
        <w:gridCol w:w="845"/>
        <w:gridCol w:w="847"/>
      </w:tblGrid>
      <w:tr>
        <w:trPr>
          <w:trHeight w:val="504"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261" w:right="178" w:hanging="72"/>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4"/>
              <w:ind w:left="393"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8"/>
                <w:sz w:val="18"/>
              </w:rPr>
              <w:t> </w:t>
            </w:r>
            <w:r>
              <w:rPr>
                <w:rFonts w:ascii="Times New Roman" w:hAnsi="Times New Roman"/>
                <w:b/>
                <w:sz w:val="18"/>
              </w:rPr>
              <w:t>корисник</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4"/>
              <w:ind w:right="103"/>
              <w:jc w:val="right"/>
              <w:rPr>
                <w:rFonts w:ascii="Times New Roman" w:hAnsi="Times New Roman" w:cs="Times New Roman" w:eastAsia="Times New Roman" w:hint="default"/>
                <w:sz w:val="18"/>
                <w:szCs w:val="18"/>
              </w:rPr>
            </w:pPr>
            <w:r>
              <w:rPr>
                <w:rFonts w:ascii="Times New Roman" w:hAnsi="Times New Roman"/>
                <w:b/>
                <w:spacing w:val="-1"/>
                <w:sz w:val="18"/>
              </w:rPr>
              <w:t>Ребаланс</w:t>
            </w:r>
            <w:r>
              <w:rPr>
                <w:rFonts w:ascii="Times New Roman" w:hAns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03" w:right="93" w:firstLine="88"/>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реалокацијом</w:t>
            </w:r>
            <w:r>
              <w:rPr>
                <w:rFonts w:ascii="Times New Roman" w:hAns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03" w:right="95"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12" w:right="107"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299" w:right="110"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02" w:right="109"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49"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0"/>
              <w:jc w:val="center"/>
              <w:rPr>
                <w:rFonts w:ascii="Times New Roman" w:hAnsi="Times New Roman" w:cs="Times New Roman" w:eastAsia="Times New Roman" w:hint="default"/>
                <w:sz w:val="12"/>
                <w:szCs w:val="12"/>
              </w:rPr>
            </w:pPr>
            <w:r>
              <w:rPr>
                <w:rFonts w:ascii="Times New Roman"/>
                <w:sz w:val="12"/>
              </w:rPr>
              <w:t>1</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1"/>
              <w:jc w:val="center"/>
              <w:rPr>
                <w:rFonts w:ascii="Times New Roman" w:hAnsi="Times New Roman" w:cs="Times New Roman" w:eastAsia="Times New Roman" w:hint="default"/>
                <w:sz w:val="12"/>
                <w:szCs w:val="12"/>
              </w:rPr>
            </w:pPr>
            <w:r>
              <w:rPr>
                <w:rFonts w:ascii="Times New Roman"/>
                <w:sz w:val="12"/>
              </w:rPr>
              <w:t>2</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0"/>
              <w:jc w:val="center"/>
              <w:rPr>
                <w:rFonts w:ascii="Times New Roman" w:hAnsi="Times New Roman" w:cs="Times New Roman" w:eastAsia="Times New Roman" w:hint="default"/>
                <w:sz w:val="12"/>
                <w:szCs w:val="12"/>
              </w:rPr>
            </w:pPr>
            <w:r>
              <w:rPr>
                <w:rFonts w:ascii="Times New Roman"/>
                <w:sz w:val="12"/>
              </w:rPr>
              <w:t>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0"/>
              <w:jc w:val="center"/>
              <w:rPr>
                <w:rFonts w:ascii="Times New Roman" w:hAnsi="Times New Roman" w:cs="Times New Roman" w:eastAsia="Times New Roman" w:hint="default"/>
                <w:sz w:val="12"/>
                <w:szCs w:val="12"/>
              </w:rPr>
            </w:pPr>
            <w:r>
              <w:rPr>
                <w:rFonts w:ascii="Times New Roman"/>
                <w:sz w:val="12"/>
              </w:rPr>
              <w:t>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left="487" w:right="0"/>
              <w:jc w:val="left"/>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5"/>
              <w:jc w:val="center"/>
              <w:rPr>
                <w:rFonts w:ascii="Times New Roman" w:hAnsi="Times New Roman" w:cs="Times New Roman" w:eastAsia="Times New Roman" w:hint="default"/>
                <w:sz w:val="12"/>
                <w:szCs w:val="12"/>
              </w:rPr>
            </w:pPr>
            <w:r>
              <w:rPr>
                <w:rFonts w:ascii="Times New Roman"/>
                <w:sz w:val="12"/>
              </w:rPr>
              <w:t>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left="386" w:right="0"/>
              <w:jc w:val="left"/>
              <w:rPr>
                <w:rFonts w:ascii="Times New Roman" w:hAnsi="Times New Roman" w:cs="Times New Roman" w:eastAsia="Times New Roman" w:hint="default"/>
                <w:sz w:val="12"/>
                <w:szCs w:val="12"/>
              </w:rPr>
            </w:pPr>
            <w:r>
              <w:rPr>
                <w:rFonts w:ascii="Times New Roman"/>
                <w:sz w:val="12"/>
              </w:rPr>
              <w:t>7</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0"/>
              <w:jc w:val="center"/>
              <w:rPr>
                <w:rFonts w:ascii="Times New Roman" w:hAnsi="Times New Roman" w:cs="Times New Roman" w:eastAsia="Times New Roman" w:hint="default"/>
                <w:sz w:val="12"/>
                <w:szCs w:val="12"/>
              </w:rPr>
            </w:pPr>
            <w:r>
              <w:rPr>
                <w:rFonts w:ascii="Times New Roman"/>
                <w:sz w:val="12"/>
              </w:rPr>
              <w:t>8</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
              <w:jc w:val="center"/>
              <w:rPr>
                <w:rFonts w:ascii="Times New Roman" w:hAnsi="Times New Roman" w:cs="Times New Roman" w:eastAsia="Times New Roman" w:hint="default"/>
                <w:sz w:val="18"/>
                <w:szCs w:val="18"/>
              </w:rPr>
            </w:pPr>
            <w:r>
              <w:rPr>
                <w:rFonts w:ascii="Times New Roman"/>
                <w:sz w:val="18"/>
              </w:rPr>
              <w:t>1</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Скупштина</w:t>
            </w:r>
            <w:r>
              <w:rPr>
                <w:rFonts w:ascii="Times New Roman" w:hAnsi="Times New Roman"/>
                <w:spacing w:val="-5"/>
                <w:sz w:val="18"/>
              </w:rPr>
              <w:t> </w:t>
            </w:r>
            <w:r>
              <w:rPr>
                <w:rFonts w:ascii="Times New Roman" w:hAnsi="Times New Roman"/>
                <w:sz w:val="18"/>
              </w:rPr>
              <w:t>Града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15.900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16.400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436" w:right="0"/>
              <w:jc w:val="left"/>
              <w:rPr>
                <w:rFonts w:ascii="Times New Roman" w:hAnsi="Times New Roman" w:cs="Times New Roman" w:eastAsia="Times New Roman" w:hint="default"/>
                <w:sz w:val="18"/>
                <w:szCs w:val="18"/>
              </w:rPr>
            </w:pPr>
            <w:r>
              <w:rPr>
                <w:rFonts w:ascii="Times New Roman"/>
                <w:sz w:val="18"/>
              </w:rPr>
              <w:t>16.399</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16.399</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26" w:right="0"/>
              <w:jc w:val="left"/>
              <w:rPr>
                <w:rFonts w:ascii="Times New Roman" w:hAnsi="Times New Roman" w:cs="Times New Roman" w:eastAsia="Times New Roman" w:hint="default"/>
                <w:sz w:val="18"/>
                <w:szCs w:val="18"/>
              </w:rPr>
            </w:pPr>
            <w:r>
              <w:rPr>
                <w:rFonts w:ascii="Times New Roman"/>
                <w:sz w:val="18"/>
              </w:rPr>
              <w:t>99,99</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
              <w:jc w:val="center"/>
              <w:rPr>
                <w:rFonts w:ascii="Times New Roman" w:hAnsi="Times New Roman" w:cs="Times New Roman" w:eastAsia="Times New Roman" w:hint="default"/>
                <w:sz w:val="18"/>
                <w:szCs w:val="18"/>
              </w:rPr>
            </w:pPr>
            <w:r>
              <w:rPr>
                <w:rFonts w:ascii="Times New Roman"/>
                <w:sz w:val="18"/>
              </w:rPr>
              <w:t>2</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Градоначелник</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4.469</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4.469</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525" w:right="0"/>
              <w:jc w:val="left"/>
              <w:rPr>
                <w:rFonts w:ascii="Times New Roman" w:hAnsi="Times New Roman" w:cs="Times New Roman" w:eastAsia="Times New Roman" w:hint="default"/>
                <w:sz w:val="18"/>
                <w:szCs w:val="18"/>
              </w:rPr>
            </w:pPr>
            <w:r>
              <w:rPr>
                <w:rFonts w:ascii="Times New Roman"/>
                <w:sz w:val="18"/>
              </w:rPr>
              <w:t>3.625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3.625</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26" w:right="0"/>
              <w:jc w:val="left"/>
              <w:rPr>
                <w:rFonts w:ascii="Times New Roman" w:hAnsi="Times New Roman" w:cs="Times New Roman" w:eastAsia="Times New Roman" w:hint="default"/>
                <w:sz w:val="18"/>
                <w:szCs w:val="18"/>
              </w:rPr>
            </w:pPr>
            <w:r>
              <w:rPr>
                <w:rFonts w:ascii="Times New Roman"/>
                <w:sz w:val="18"/>
              </w:rPr>
              <w:t>81,11</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
              <w:jc w:val="center"/>
              <w:rPr>
                <w:rFonts w:ascii="Times New Roman" w:hAnsi="Times New Roman" w:cs="Times New Roman" w:eastAsia="Times New Roman" w:hint="default"/>
                <w:sz w:val="18"/>
                <w:szCs w:val="18"/>
              </w:rPr>
            </w:pPr>
            <w:r>
              <w:rPr>
                <w:rFonts w:ascii="Times New Roman"/>
                <w:sz w:val="18"/>
              </w:rPr>
              <w:t>3</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Градско</w:t>
            </w:r>
            <w:r>
              <w:rPr>
                <w:rFonts w:ascii="Times New Roman" w:hAnsi="Times New Roman"/>
                <w:spacing w:val="-5"/>
                <w:sz w:val="18"/>
              </w:rPr>
              <w:t> </w:t>
            </w:r>
            <w:r>
              <w:rPr>
                <w:rFonts w:ascii="Times New Roman" w:hAnsi="Times New Roman"/>
                <w:sz w:val="18"/>
              </w:rPr>
              <w:t>веће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7.000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7.000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525" w:right="0"/>
              <w:jc w:val="left"/>
              <w:rPr>
                <w:rFonts w:ascii="Times New Roman" w:hAnsi="Times New Roman" w:cs="Times New Roman" w:eastAsia="Times New Roman" w:hint="default"/>
                <w:sz w:val="18"/>
                <w:szCs w:val="18"/>
              </w:rPr>
            </w:pPr>
            <w:r>
              <w:rPr>
                <w:rFonts w:ascii="Times New Roman"/>
                <w:sz w:val="18"/>
              </w:rPr>
              <w:t>6.502</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6.502</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26" w:right="0"/>
              <w:jc w:val="left"/>
              <w:rPr>
                <w:rFonts w:ascii="Times New Roman" w:hAnsi="Times New Roman" w:cs="Times New Roman" w:eastAsia="Times New Roman" w:hint="default"/>
                <w:sz w:val="18"/>
                <w:szCs w:val="18"/>
              </w:rPr>
            </w:pPr>
            <w:r>
              <w:rPr>
                <w:rFonts w:ascii="Times New Roman"/>
                <w:sz w:val="18"/>
              </w:rPr>
              <w:t>92,89</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9"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650" w:right="0"/>
              <w:jc w:val="left"/>
              <w:rPr>
                <w:rFonts w:ascii="Times New Roman" w:hAnsi="Times New Roman" w:cs="Times New Roman" w:eastAsia="Times New Roman" w:hint="default"/>
                <w:sz w:val="18"/>
                <w:szCs w:val="18"/>
              </w:rPr>
            </w:pPr>
            <w:r>
              <w:rPr>
                <w:rFonts w:ascii="Times New Roman" w:hAnsi="Times New Roman"/>
                <w:b/>
                <w:sz w:val="18"/>
              </w:rPr>
              <w:t>Укупно корисници</w:t>
            </w:r>
            <w:r>
              <w:rPr>
                <w:rFonts w:ascii="Times New Roman" w:hAnsi="Times New Roman"/>
                <w:b/>
                <w:spacing w:val="-2"/>
                <w:sz w:val="18"/>
              </w:rPr>
              <w:t> </w:t>
            </w:r>
            <w:r>
              <w:rPr>
                <w:rFonts w:ascii="Times New Roman" w:hAnsi="Times New Roman"/>
                <w:b/>
                <w:sz w:val="18"/>
              </w:rPr>
              <w:t>(1</w:t>
            </w:r>
            <w:r>
              <w:rPr>
                <w:rFonts w:ascii="Times New Roman" w:hAnsi="Times New Roman"/>
                <w:b/>
                <w:sz w:val="18"/>
              </w:rPr>
              <w:t>-3)</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27.369</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27.869</w:t>
            </w:r>
            <w:r>
              <w:rPr>
                <w:rFonts w:ascii="Times New Roman"/>
                <w:spacing w:val="-1"/>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436" w:right="0"/>
              <w:jc w:val="left"/>
              <w:rPr>
                <w:rFonts w:ascii="Times New Roman" w:hAnsi="Times New Roman" w:cs="Times New Roman" w:eastAsia="Times New Roman" w:hint="default"/>
                <w:sz w:val="18"/>
                <w:szCs w:val="18"/>
              </w:rPr>
            </w:pPr>
            <w:r>
              <w:rPr>
                <w:rFonts w:ascii="Times New Roman"/>
                <w:b/>
                <w:sz w:val="18"/>
              </w:rPr>
              <w:t>26.526</w:t>
            </w:r>
            <w:r>
              <w:rPr>
                <w:rFonts w:asci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2"/>
              <w:jc w:val="right"/>
              <w:rPr>
                <w:rFonts w:ascii="Times New Roman" w:hAnsi="Times New Roman" w:cs="Times New Roman" w:eastAsia="Times New Roman" w:hint="default"/>
                <w:sz w:val="18"/>
                <w:szCs w:val="18"/>
              </w:rPr>
            </w:pPr>
            <w:r>
              <w:rPr>
                <w:rFonts w:ascii="Times New Roman"/>
                <w:b/>
                <w:spacing w:val="-1"/>
                <w:sz w:val="18"/>
              </w:rPr>
              <w:t>26.526</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326" w:right="0"/>
              <w:jc w:val="left"/>
              <w:rPr>
                <w:rFonts w:ascii="Times New Roman" w:hAnsi="Times New Roman" w:cs="Times New Roman" w:eastAsia="Times New Roman" w:hint="default"/>
                <w:sz w:val="18"/>
                <w:szCs w:val="18"/>
              </w:rPr>
            </w:pPr>
            <w:r>
              <w:rPr>
                <w:rFonts w:ascii="Times New Roman"/>
                <w:b/>
                <w:sz w:val="18"/>
              </w:rPr>
              <w:t>95,18</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100,00</w:t>
            </w:r>
            <w:r>
              <w:rPr>
                <w:rFonts w:ascii="Times New Roman"/>
                <w:spacing w:val="-1"/>
                <w:sz w:val="18"/>
              </w:rPr>
            </w:r>
          </w:p>
        </w:tc>
      </w:tr>
      <w:tr>
        <w:trPr>
          <w:trHeight w:val="216"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477" w:right="0"/>
              <w:jc w:val="left"/>
              <w:rPr>
                <w:rFonts w:ascii="Times New Roman" w:hAnsi="Times New Roman" w:cs="Times New Roman" w:eastAsia="Times New Roman" w:hint="default"/>
                <w:sz w:val="18"/>
                <w:szCs w:val="18"/>
              </w:rPr>
            </w:pPr>
            <w:r>
              <w:rPr>
                <w:rFonts w:ascii="Times New Roman" w:hAnsi="Times New Roman"/>
                <w:b/>
                <w:sz w:val="18"/>
              </w:rPr>
              <w:t>Укупно  Град </w:t>
            </w:r>
            <w:r>
              <w:rPr>
                <w:rFonts w:ascii="Times New Roman" w:hAnsi="Times New Roman"/>
                <w:b/>
                <w:sz w:val="18"/>
              </w:rPr>
              <w:t>- </w:t>
            </w:r>
            <w:r>
              <w:rPr>
                <w:rFonts w:ascii="Times New Roman" w:hAnsi="Times New Roman"/>
                <w:b/>
                <w:sz w:val="18"/>
              </w:rPr>
              <w:t>група</w:t>
            </w:r>
            <w:r>
              <w:rPr>
                <w:rFonts w:ascii="Times New Roman" w:hAnsi="Times New Roman"/>
                <w:b/>
                <w:spacing w:val="-7"/>
                <w:sz w:val="18"/>
              </w:rPr>
              <w:t> </w:t>
            </w:r>
            <w:r>
              <w:rPr>
                <w:rFonts w:ascii="Times New Roman" w:hAnsi="Times New Roman"/>
                <w:b/>
                <w:sz w:val="18"/>
              </w:rPr>
              <w:t>417000</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27.369</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27.869</w:t>
            </w:r>
            <w:r>
              <w:rPr>
                <w:rFonts w:ascii="Times New Roman"/>
                <w:spacing w:val="-1"/>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436" w:right="0"/>
              <w:jc w:val="left"/>
              <w:rPr>
                <w:rFonts w:ascii="Times New Roman" w:hAnsi="Times New Roman" w:cs="Times New Roman" w:eastAsia="Times New Roman" w:hint="default"/>
                <w:sz w:val="18"/>
                <w:szCs w:val="18"/>
              </w:rPr>
            </w:pPr>
            <w:r>
              <w:rPr>
                <w:rFonts w:ascii="Times New Roman"/>
                <w:b/>
                <w:sz w:val="18"/>
              </w:rPr>
              <w:t>26.526</w:t>
            </w:r>
            <w:r>
              <w:rPr>
                <w:rFonts w:asci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2"/>
              <w:jc w:val="right"/>
              <w:rPr>
                <w:rFonts w:ascii="Times New Roman" w:hAnsi="Times New Roman" w:cs="Times New Roman" w:eastAsia="Times New Roman" w:hint="default"/>
                <w:sz w:val="18"/>
                <w:szCs w:val="18"/>
              </w:rPr>
            </w:pPr>
            <w:r>
              <w:rPr>
                <w:rFonts w:ascii="Times New Roman"/>
                <w:b/>
                <w:spacing w:val="-1"/>
                <w:sz w:val="18"/>
              </w:rPr>
              <w:t>26.526</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326" w:right="0"/>
              <w:jc w:val="left"/>
              <w:rPr>
                <w:rFonts w:ascii="Times New Roman" w:hAnsi="Times New Roman" w:cs="Times New Roman" w:eastAsia="Times New Roman" w:hint="default"/>
                <w:sz w:val="18"/>
                <w:szCs w:val="18"/>
              </w:rPr>
            </w:pPr>
            <w:r>
              <w:rPr>
                <w:rFonts w:ascii="Times New Roman"/>
                <w:b/>
                <w:sz w:val="18"/>
              </w:rPr>
              <w:t>95,18</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100,00</w:t>
            </w:r>
            <w:r>
              <w:rPr>
                <w:rFonts w:ascii="Times New Roman"/>
                <w:spacing w:val="-1"/>
                <w:sz w:val="18"/>
              </w:rPr>
            </w:r>
          </w:p>
        </w:tc>
      </w:tr>
    </w:tbl>
    <w:p>
      <w:pPr>
        <w:pStyle w:val="BodyText"/>
        <w:spacing w:line="240" w:lineRule="auto"/>
        <w:ind w:right="173" w:firstLine="566"/>
        <w:jc w:val="both"/>
      </w:pPr>
      <w:r>
        <w:rPr/>
        <w:t>Расход за посланички додатак исказан је у укупном износу од 26.526 хиљада динара на терет буџета</w:t>
      </w:r>
      <w:r>
        <w:rPr>
          <w:spacing w:val="-10"/>
        </w:rPr>
        <w:t> </w:t>
      </w:r>
      <w:r>
        <w:rPr/>
        <w:t>Града.</w:t>
      </w:r>
    </w:p>
    <w:p>
      <w:pPr>
        <w:pStyle w:val="ListParagraph"/>
        <w:numPr>
          <w:ilvl w:val="4"/>
          <w:numId w:val="28"/>
        </w:numPr>
        <w:tabs>
          <w:tab w:pos="986" w:val="left" w:leader="none"/>
        </w:tabs>
        <w:spacing w:line="240" w:lineRule="auto" w:before="139" w:after="0"/>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Скупштина Града </w:t>
      </w:r>
      <w:r>
        <w:rPr>
          <w:rFonts w:ascii="Times New Roman" w:hAnsi="Times New Roman" w:cs="Times New Roman" w:eastAsia="Times New Roman" w:hint="default"/>
          <w:sz w:val="24"/>
          <w:szCs w:val="24"/>
        </w:rPr>
        <w:t>– Исказан је расход у износу од 16.399 хиљада динара и то за: паушал одборника у износу од </w:t>
      </w:r>
      <w:r>
        <w:rPr>
          <w:rFonts w:ascii="Times New Roman" w:hAnsi="Times New Roman" w:cs="Times New Roman" w:eastAsia="Times New Roman" w:hint="default"/>
          <w:sz w:val="24"/>
          <w:szCs w:val="24"/>
        </w:rPr>
        <w:t>6.760 </w:t>
      </w:r>
      <w:r>
        <w:rPr>
          <w:rFonts w:ascii="Times New Roman" w:hAnsi="Times New Roman" w:cs="Times New Roman" w:eastAsia="Times New Roman" w:hint="default"/>
          <w:sz w:val="24"/>
          <w:szCs w:val="24"/>
        </w:rPr>
        <w:t>хиљада динара, превоз одборника у износу од </w:t>
      </w:r>
      <w:r>
        <w:rPr>
          <w:rFonts w:ascii="Times New Roman" w:hAnsi="Times New Roman" w:cs="Times New Roman" w:eastAsia="Times New Roman" w:hint="default"/>
          <w:sz w:val="24"/>
          <w:szCs w:val="24"/>
        </w:rPr>
        <w:t>3.771 </w:t>
      </w:r>
      <w:r>
        <w:rPr>
          <w:rFonts w:ascii="Times New Roman" w:hAnsi="Times New Roman" w:cs="Times New Roman" w:eastAsia="Times New Roman" w:hint="default"/>
          <w:sz w:val="24"/>
          <w:szCs w:val="24"/>
        </w:rPr>
        <w:t>хиљаде динара, дневнице одборника у износу од </w:t>
      </w:r>
      <w:r>
        <w:rPr>
          <w:rFonts w:ascii="Times New Roman" w:hAnsi="Times New Roman" w:cs="Times New Roman" w:eastAsia="Times New Roman" w:hint="default"/>
          <w:sz w:val="24"/>
          <w:szCs w:val="24"/>
        </w:rPr>
        <w:t>1.973 </w:t>
      </w:r>
      <w:r>
        <w:rPr>
          <w:rFonts w:ascii="Times New Roman" w:hAnsi="Times New Roman" w:cs="Times New Roman" w:eastAsia="Times New Roman" w:hint="default"/>
          <w:sz w:val="24"/>
          <w:szCs w:val="24"/>
        </w:rPr>
        <w:t>хиљаде динара, накнаду председнику Скупштине, заменику председника Скупштине и председнику Корисничког савета јавних служби који нису на сталном раду у износу од 3.895 хиљада динара. Паушал, превоз и дневнице одборника су регулисани Одлуком о накнадама одборника и чланова радних тела и одборничких група у Скупштини града, а накнада Правилником Одбора за административна питања о платама лица која бира и поставља Скупштина града Ниша у органима и службама</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града</w:t>
      </w:r>
    </w:p>
    <w:p>
      <w:pPr>
        <w:spacing w:after="0" w:line="240" w:lineRule="auto"/>
        <w:jc w:val="both"/>
        <w:rPr>
          <w:rFonts w:ascii="Times New Roman" w:hAnsi="Times New Roman" w:cs="Times New Roman" w:eastAsia="Times New Roman" w:hint="default"/>
          <w:sz w:val="24"/>
          <w:szCs w:val="24"/>
        </w:rPr>
        <w:sectPr>
          <w:type w:val="continuous"/>
          <w:pgSz w:w="12240" w:h="15840"/>
          <w:pgMar w:top="1500" w:bottom="280" w:left="1400" w:right="1260"/>
        </w:sectPr>
      </w:pPr>
    </w:p>
    <w:p>
      <w:pPr>
        <w:pStyle w:val="ListParagraph"/>
        <w:numPr>
          <w:ilvl w:val="0"/>
          <w:numId w:val="9"/>
        </w:numPr>
        <w:tabs>
          <w:tab w:pos="303" w:val="left" w:leader="none"/>
        </w:tabs>
        <w:spacing w:line="240" w:lineRule="auto" w:before="124"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Накнаде председнику скупштине града Ниша, заменику председника скупштине града Ниша и председнику Корисничког савета јавних служби, више су обрачунате и исплаћене у износу од 1.</w:t>
      </w:r>
      <w:r>
        <w:rPr>
          <w:rFonts w:ascii="Times New Roman" w:hAnsi="Times New Roman"/>
          <w:sz w:val="24"/>
        </w:rPr>
        <w:t>633 </w:t>
      </w:r>
      <w:r>
        <w:rPr>
          <w:rFonts w:ascii="Times New Roman" w:hAnsi="Times New Roman"/>
          <w:sz w:val="24"/>
        </w:rPr>
        <w:t>хиљад</w:t>
      </w:r>
      <w:r>
        <w:rPr>
          <w:rFonts w:ascii="Times New Roman" w:hAnsi="Times New Roman"/>
          <w:sz w:val="24"/>
        </w:rPr>
        <w:t>e </w:t>
      </w:r>
      <w:r>
        <w:rPr>
          <w:rFonts w:ascii="Times New Roman" w:hAnsi="Times New Roman"/>
          <w:sz w:val="24"/>
        </w:rPr>
        <w:t>динара, по основу увећања основне плате за 30% на име вршења функције одређеног Правилником Одбора за административна питања о платама лица која бира и поставља Скупштина града Ниша у органима и службама града</w:t>
      </w:r>
      <w:r>
        <w:rPr>
          <w:rFonts w:ascii="Times New Roman" w:hAnsi="Times New Roman"/>
          <w:sz w:val="24"/>
        </w:rPr>
        <w:t>, </w:t>
      </w:r>
      <w:r>
        <w:rPr>
          <w:rFonts w:ascii="Times New Roman" w:hAnsi="Times New Roman"/>
          <w:sz w:val="24"/>
        </w:rPr>
        <w:t>што је супротно члану 9. Закона о платама у државним органима и јавним службама и члану 56. Закона о буџетском</w:t>
      </w:r>
      <w:r>
        <w:rPr>
          <w:rFonts w:ascii="Times New Roman" w:hAnsi="Times New Roman"/>
          <w:spacing w:val="-14"/>
          <w:sz w:val="24"/>
        </w:rPr>
        <w:t> </w:t>
      </w:r>
      <w:r>
        <w:rPr>
          <w:rFonts w:ascii="Times New Roman" w:hAnsi="Times New Roman"/>
          <w:sz w:val="24"/>
        </w:rPr>
        <w:t>систему.</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Исплата накнаде председнику скупштине града Ниша, заменику председника скупштине града Ниша и председнику Корисничког савета јавних служби у износу од 50% од укупног износа плате коју би примали за функцију коју врше да су на сталном раду у органима и службама Града, што износи </w:t>
      </w:r>
      <w:r>
        <w:rPr>
          <w:rFonts w:ascii="Times New Roman" w:hAnsi="Times New Roman"/>
          <w:sz w:val="24"/>
        </w:rPr>
        <w:t>2.859 </w:t>
      </w:r>
      <w:r>
        <w:rPr>
          <w:rFonts w:ascii="Times New Roman" w:hAnsi="Times New Roman"/>
          <w:sz w:val="24"/>
        </w:rPr>
        <w:t>хиљада динара и у висини разлике између зараде коју остварује у другом предузећу, установи или самостално обавља делатност и плате коју би примао за функцију коју врши да је на сталном раду у  органима и службама Града, што износи 1.036 хиљада динара</w:t>
      </w:r>
      <w:r>
        <w:rPr>
          <w:rFonts w:ascii="Times New Roman" w:hAnsi="Times New Roman"/>
          <w:sz w:val="24"/>
        </w:rPr>
        <w:t>, </w:t>
      </w:r>
      <w:r>
        <w:rPr>
          <w:rFonts w:ascii="Times New Roman" w:hAnsi="Times New Roman"/>
          <w:sz w:val="24"/>
        </w:rPr>
        <w:t>није у складу са Законом о платама у државним органима и јавним службама и чланом 56. Закона о буџетском систему.</w:t>
      </w:r>
    </w:p>
    <w:p>
      <w:pPr>
        <w:pStyle w:val="BodyText"/>
        <w:spacing w:line="240" w:lineRule="auto"/>
        <w:ind w:right="175" w:firstLine="566"/>
        <w:jc w:val="both"/>
      </w:pPr>
      <w:r>
        <w:rPr/>
        <w:t>У поступку ревизије, дана 19.11.2015. године Одбор за административна питања донео је Правилник о измени Правилника о платама лица која бира и поставља Скупштина града Ниша у органима и службама Града, којим је одређено да се  изабраном, постављеном и именованом лицу које остварује зараду у другом предузећу, установи или самостално обавља делатност, може утврдити накнада за вршење функције у износу од 30% од укупног износа плате коју би примало за функцију коју </w:t>
      </w:r>
      <w:r>
        <w:rPr>
          <w:spacing w:val="2"/>
        </w:rPr>
        <w:t>врши </w:t>
      </w:r>
      <w:r>
        <w:rPr/>
        <w:t>да је на </w:t>
      </w:r>
      <w:r>
        <w:rPr/>
        <w:t>сталном раду у органима и службама Града, осим лицу коме је утврђено право на  месечну накнаду из става 1 </w:t>
      </w:r>
      <w:r>
        <w:rPr>
          <w:rFonts w:ascii="Times New Roman" w:hAnsi="Times New Roman"/>
        </w:rPr>
        <w:t>- </w:t>
      </w:r>
      <w:r>
        <w:rPr/>
        <w:t>у висини разлике између зараде коју остварује и плате коју би примало за функцију коју врши да је на сталном раду у органима и службама Града. Исплата по основу Правилника о измени Правилника, није извршена до дана окончања ревизије.</w:t>
      </w:r>
    </w:p>
    <w:p>
      <w:pPr>
        <w:pStyle w:val="ListParagraph"/>
        <w:numPr>
          <w:ilvl w:val="0"/>
          <w:numId w:val="9"/>
        </w:numPr>
        <w:tabs>
          <w:tab w:pos="303" w:val="left" w:leader="none"/>
        </w:tabs>
        <w:spacing w:line="240" w:lineRule="auto" w:before="2"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Накнада одборницима за присуство и рад у дане одржавања седница Скупштине исплаћивана је до 08.04.2014. године у износу од 5% од просечне месечне зараде по запосленом у Републици Србији, према последњем објављеном податку републичког органа надлежног за послове статистике и на тај начин је више исплаћена у износу од 273 хиљаде динара, што је супротно члану 8. Одлуке о накнадама одборника, члановима радних тела и одборничких група у Скупштини града и члану 56. Закона о буџетском систему. Од 08.04.2014. године исплата накнада одборницима за присуство и рад у дане одржавања седница Скупштине исплаћивана је у износу од 5% од просечне месечне зараде по запосленом у привреди Републике Србије, према последњем објављеном податку републичког органа надлежног за послове</w:t>
      </w:r>
      <w:r>
        <w:rPr>
          <w:rFonts w:ascii="Times New Roman" w:hAnsi="Times New Roman"/>
          <w:spacing w:val="-19"/>
          <w:sz w:val="24"/>
        </w:rPr>
        <w:t> </w:t>
      </w:r>
      <w:r>
        <w:rPr>
          <w:rFonts w:ascii="Times New Roman" w:hAnsi="Times New Roman"/>
          <w:sz w:val="24"/>
        </w:rPr>
        <w:t>статистике.</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Одборницима у Скупштини града Ниша исплаћена је накнада за превоз у висини цене месечне карте за превоз у градском и приградском саобраћају на територији града, тј. у износу од 3.600,00 динара, колико износи цена месечне картице за четврту зону, без обзира на место</w:t>
      </w:r>
      <w:r>
        <w:rPr>
          <w:rFonts w:ascii="Times New Roman" w:hAnsi="Times New Roman"/>
          <w:spacing w:val="-6"/>
          <w:sz w:val="24"/>
        </w:rPr>
        <w:t> </w:t>
      </w:r>
      <w:r>
        <w:rPr>
          <w:rFonts w:ascii="Times New Roman" w:hAnsi="Times New Roman"/>
          <w:sz w:val="24"/>
        </w:rPr>
        <w:t>пребивалишта.</w:t>
      </w:r>
    </w:p>
    <w:p>
      <w:pPr>
        <w:pStyle w:val="Heading2"/>
        <w:spacing w:line="240" w:lineRule="auto"/>
        <w:ind w:right="175"/>
        <w:jc w:val="both"/>
        <w:rPr>
          <w:rFonts w:ascii="Times New Roman" w:hAnsi="Times New Roman" w:cs="Times New Roman" w:eastAsia="Times New Roman" w:hint="default"/>
          <w:b w:val="0"/>
          <w:bCs w:val="0"/>
          <w:i w:val="0"/>
        </w:rPr>
      </w:pPr>
      <w:r>
        <w:rPr>
          <w:i/>
        </w:rPr>
        <w:t>Препоручује се одговорним лицима да обрачун и исплату накнада изабраним лицима који нису на сталном раду, врше у складу са прописима и да интерна акта ускладе са важећим</w:t>
      </w:r>
      <w:r>
        <w:rPr>
          <w:i/>
          <w:spacing w:val="-6"/>
        </w:rPr>
        <w:t> </w:t>
      </w:r>
      <w:r>
        <w:rPr>
          <w:i/>
        </w:rPr>
        <w:t>прописима</w:t>
      </w:r>
      <w:r>
        <w:rPr>
          <w:rFonts w:ascii="Times New Roman" w:hAnsi="Times New Roman"/>
          <w:i/>
        </w:rPr>
        <w:t>.</w:t>
      </w:r>
      <w:r>
        <w:rPr>
          <w:rFonts w:ascii="Times New Roman" w:hAnsi="Times New Roman"/>
          <w:b w:val="0"/>
          <w:i w:val="0"/>
        </w:rPr>
      </w:r>
    </w:p>
    <w:p>
      <w:pPr>
        <w:pStyle w:val="ListParagraph"/>
        <w:numPr>
          <w:ilvl w:val="4"/>
          <w:numId w:val="28"/>
        </w:numPr>
        <w:tabs>
          <w:tab w:pos="1025" w:val="left" w:leader="none"/>
        </w:tabs>
        <w:spacing w:line="240" w:lineRule="auto" w:before="134" w:after="0"/>
        <w:ind w:left="160" w:right="175" w:firstLine="566"/>
        <w:jc w:val="both"/>
        <w:rPr>
          <w:rFonts w:ascii="Times New Roman" w:hAnsi="Times New Roman" w:cs="Times New Roman" w:eastAsia="Times New Roman" w:hint="default"/>
          <w:sz w:val="24"/>
          <w:szCs w:val="24"/>
        </w:rPr>
      </w:pPr>
      <w:r>
        <w:rPr>
          <w:rFonts w:ascii="Times New Roman" w:hAnsi="Times New Roman"/>
          <w:b/>
          <w:sz w:val="24"/>
        </w:rPr>
        <w:t>Градоначелник </w:t>
      </w:r>
      <w:r>
        <w:rPr>
          <w:rFonts w:ascii="Times New Roman" w:hAnsi="Times New Roman"/>
          <w:sz w:val="24"/>
        </w:rPr>
        <w:t>- </w:t>
      </w:r>
      <w:r>
        <w:rPr>
          <w:rFonts w:ascii="Times New Roman" w:hAnsi="Times New Roman"/>
          <w:sz w:val="24"/>
        </w:rPr>
        <w:t>Исказан је расход у износу од 3.625 хиљада динара и то за помоћнике  градоначелника  који  нису на  сталном  раду по  основу  накнаде  за </w:t>
      </w:r>
      <w:r>
        <w:rPr>
          <w:rFonts w:ascii="Times New Roman" w:hAnsi="Times New Roman"/>
          <w:spacing w:val="29"/>
          <w:sz w:val="24"/>
        </w:rPr>
        <w:t> </w:t>
      </w:r>
      <w:r>
        <w:rPr>
          <w:rFonts w:ascii="Times New Roman" w:hAnsi="Times New Roman"/>
          <w:sz w:val="24"/>
        </w:rPr>
        <w:t>вршење</w:t>
      </w:r>
    </w:p>
    <w:p>
      <w:pPr>
        <w:spacing w:after="0" w:line="240" w:lineRule="auto"/>
        <w:jc w:val="both"/>
        <w:rPr>
          <w:rFonts w:ascii="Times New Roman" w:hAnsi="Times New Roman" w:cs="Times New Roman" w:eastAsia="Times New Roman" w:hint="default"/>
          <w:sz w:val="24"/>
          <w:szCs w:val="24"/>
        </w:rPr>
        <w:sectPr>
          <w:footerReference w:type="default" r:id="rId62"/>
          <w:pgSz w:w="12240" w:h="15840"/>
          <w:pgMar w:footer="1274" w:header="740" w:top="1280" w:bottom="1460" w:left="1400" w:right="1260"/>
          <w:pgNumType w:start="85"/>
        </w:sectPr>
      </w:pPr>
    </w:p>
    <w:p>
      <w:pPr>
        <w:pStyle w:val="BodyText"/>
        <w:spacing w:line="240" w:lineRule="auto" w:before="122"/>
        <w:ind w:right="141"/>
        <w:jc w:val="left"/>
      </w:pPr>
      <w:r>
        <w:rPr/>
        <w:t>функције у износу од 60% плате коју би примао за функцију коју врши да је на сталном раду.</w:t>
      </w:r>
    </w:p>
    <w:p>
      <w:pPr>
        <w:pStyle w:val="BodyText"/>
        <w:spacing w:line="240" w:lineRule="auto"/>
        <w:ind w:right="171" w:firstLine="719"/>
        <w:jc w:val="both"/>
        <w:rPr>
          <w:rFonts w:ascii="Times New Roman" w:hAnsi="Times New Roman" w:cs="Times New Roman" w:eastAsia="Times New Roman" w:hint="default"/>
        </w:rPr>
      </w:pPr>
      <w:r>
        <w:rPr>
          <w:rFonts w:ascii="Times New Roman" w:hAnsi="Times New Roman"/>
          <w:b/>
        </w:rPr>
        <w:t>На основу ревизије узорковане документације утврђено је </w:t>
      </w:r>
      <w:r>
        <w:rPr/>
        <w:t>да је Статутом града Ниша предвиђено да помоћнике Градоначелника поставља и разрешава Градоначелник. Чланом 66. Закона о локалној самоуправи предвиђено је да у градској управи може бити постављено највише пет помоћника градоначелника. Помоћници Градоначелника нису постављени у оквиру градских управа, што је супротно Закону о локалној самоуправи. С обзиром да помоћници градоначелника нису на сталном раду у градској управи, то је расход у износу од 3.625 хиљада динара настао без основа који је у складу са чланом 66. Закона о локалној самоуправи и чланом 56. Закона о буџетском систему. Законом о локалној самоуправи прописано је да је помоћник градоначелника постављено лице у градској управи, иако градоначелник поставља и разрешава помоћнике градоначелника и улога помоћника је саветодавна и од значаја за рад градоначелника, који је изабран за период од четири</w:t>
      </w:r>
      <w:r>
        <w:rPr>
          <w:spacing w:val="-8"/>
        </w:rPr>
        <w:t> </w:t>
      </w:r>
      <w:r>
        <w:rPr/>
        <w:t>године</w:t>
      </w:r>
      <w:r>
        <w:rPr>
          <w:rFonts w:ascii="Times New Roman" w:hAnsi="Times New Roman"/>
        </w:rPr>
        <w:t>.</w:t>
      </w:r>
    </w:p>
    <w:p>
      <w:pPr>
        <w:pStyle w:val="Heading2"/>
        <w:spacing w:line="240" w:lineRule="auto"/>
        <w:ind w:right="175"/>
        <w:jc w:val="both"/>
        <w:rPr>
          <w:b w:val="0"/>
          <w:bCs w:val="0"/>
          <w:i w:val="0"/>
        </w:rPr>
      </w:pPr>
      <w:r>
        <w:rPr>
          <w:i/>
        </w:rPr>
        <w:t>Препоручује се одговорним лицима да акта ускладе са прописима и да за сваки расход из буџета обезбеде правни</w:t>
      </w:r>
      <w:r>
        <w:rPr>
          <w:i/>
          <w:spacing w:val="-10"/>
        </w:rPr>
        <w:t> </w:t>
      </w:r>
      <w:r>
        <w:rPr>
          <w:i/>
        </w:rPr>
        <w:t>основ.</w:t>
      </w:r>
      <w:r>
        <w:rPr>
          <w:b w:val="0"/>
          <w:i w:val="0"/>
        </w:rPr>
      </w:r>
    </w:p>
    <w:p>
      <w:pPr>
        <w:pStyle w:val="ListParagraph"/>
        <w:numPr>
          <w:ilvl w:val="4"/>
          <w:numId w:val="28"/>
        </w:numPr>
        <w:tabs>
          <w:tab w:pos="1039" w:val="left" w:leader="none"/>
        </w:tabs>
        <w:spacing w:line="240" w:lineRule="auto" w:before="132" w:after="0"/>
        <w:ind w:left="160" w:right="174" w:firstLine="566"/>
        <w:jc w:val="both"/>
        <w:rPr>
          <w:rFonts w:ascii="Times New Roman" w:hAnsi="Times New Roman" w:cs="Times New Roman" w:eastAsia="Times New Roman" w:hint="default"/>
          <w:sz w:val="24"/>
          <w:szCs w:val="24"/>
        </w:rPr>
      </w:pPr>
      <w:r>
        <w:rPr>
          <w:rFonts w:ascii="Times New Roman" w:hAnsi="Times New Roman"/>
          <w:b/>
          <w:sz w:val="24"/>
        </w:rPr>
        <w:t>Градско веће </w:t>
      </w:r>
      <w:r>
        <w:rPr>
          <w:rFonts w:ascii="Times New Roman" w:hAnsi="Times New Roman"/>
          <w:sz w:val="24"/>
        </w:rPr>
        <w:t>- </w:t>
      </w:r>
      <w:r>
        <w:rPr>
          <w:rFonts w:ascii="Times New Roman" w:hAnsi="Times New Roman"/>
          <w:sz w:val="24"/>
        </w:rPr>
        <w:t>Исказан је расход у износу од 6.502 хиљаде динара и то за накнаде градским већницима који нису на сталном раду и накнаду председнику Савета за људска и мањинска права. Исплата накнаде је регулисана Правилником Одбора за административна питања о платама лица која бира и поставља Скупштина града Ниша у органима и службама</w:t>
      </w:r>
      <w:r>
        <w:rPr>
          <w:rFonts w:ascii="Times New Roman" w:hAnsi="Times New Roman"/>
          <w:spacing w:val="-7"/>
          <w:sz w:val="24"/>
        </w:rPr>
        <w:t> </w:t>
      </w:r>
      <w:r>
        <w:rPr>
          <w:rFonts w:ascii="Times New Roman" w:hAnsi="Times New Roman"/>
          <w:sz w:val="24"/>
        </w:rPr>
        <w:t>града</w:t>
      </w:r>
      <w:r>
        <w:rPr>
          <w:rFonts w:ascii="Times New Roman" w:hAnsi="Times New Roman"/>
          <w:sz w:val="24"/>
        </w:rPr>
        <w:t>.</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Накнаде члановима Градског већа који нису на сталном раду, више су исплаћене у износу од </w:t>
      </w:r>
      <w:r>
        <w:rPr>
          <w:rFonts w:ascii="Times New Roman" w:hAnsi="Times New Roman"/>
          <w:sz w:val="24"/>
        </w:rPr>
        <w:t>2.393 </w:t>
      </w:r>
      <w:r>
        <w:rPr>
          <w:rFonts w:ascii="Times New Roman" w:hAnsi="Times New Roman"/>
          <w:sz w:val="24"/>
        </w:rPr>
        <w:t>хиљаде динара, по основу увећања основне плате за 30% на име вршења функције, што је супротно члану 9. Закона о платама у државним органима и јавним службама и члану 56. Закона о буџетском</w:t>
      </w:r>
      <w:r>
        <w:rPr>
          <w:rFonts w:ascii="Times New Roman" w:hAnsi="Times New Roman"/>
          <w:spacing w:val="-17"/>
          <w:sz w:val="24"/>
        </w:rPr>
        <w:t> </w:t>
      </w:r>
      <w:r>
        <w:rPr>
          <w:rFonts w:ascii="Times New Roman" w:hAnsi="Times New Roman"/>
          <w:sz w:val="24"/>
        </w:rPr>
        <w:t>систему.</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Исплата накнаде члановима Градског већа који нису на сталном раду у износу од 50% од укупног износа плате коју би примали за функцију коју врше да су на сталном раду у органима и службама Града, што износи 4.356 хиљада динара и у висини разлике између зараде коју остварује у другом предузећу, установи или самостално обавља делатност и плате коју би примао за функцију коју врши да је на сталном раду у органима и  службама Града, што износи 1.996 хиљада динара, није у складу са Законом о платама у државним органима и јавним службама и чланом 56. Закона о буџетском</w:t>
      </w:r>
      <w:r>
        <w:rPr>
          <w:rFonts w:ascii="Times New Roman" w:hAnsi="Times New Roman"/>
          <w:spacing w:val="-25"/>
          <w:sz w:val="24"/>
        </w:rPr>
        <w:t> </w:t>
      </w:r>
      <w:r>
        <w:rPr>
          <w:rFonts w:ascii="Times New Roman" w:hAnsi="Times New Roman"/>
          <w:sz w:val="24"/>
        </w:rPr>
        <w:t>систему.</w:t>
      </w:r>
    </w:p>
    <w:p>
      <w:pPr>
        <w:pStyle w:val="BodyText"/>
        <w:spacing w:line="240" w:lineRule="auto"/>
        <w:ind w:right="175" w:firstLine="566"/>
        <w:jc w:val="both"/>
      </w:pPr>
      <w:r>
        <w:rPr/>
        <w:t>У поступку ревизије, дана 19.11.2015. године Одбор за административна питања донео је Правилник о измени Правилника о платама лица која бира и поставља Скупштина града Ниша у органима и службама Града, којим је одређено да се  изабраном, постављеном и именованом лицу које остварује зараду у другом предузећу, установи или самостално обавља делатност, може утврдити накнада за вршење функције у износу од 30% од укупног износа плате коју би примало за функцију коју врши да је на сталном раду у органима и службама Града, осим лицу коме је утврђено право на  месечну накнаду из става 1 </w:t>
      </w:r>
      <w:r>
        <w:rPr>
          <w:rFonts w:ascii="Times New Roman" w:hAnsi="Times New Roman"/>
        </w:rPr>
        <w:t>- </w:t>
      </w:r>
      <w:r>
        <w:rPr/>
        <w:t>у висини разлике између зараде коју остварује и плате коју би примало за функцију коју врши да је на сталном раду у органима и службама Града. Исплата по основу Правилника о измени Правилника, није извршена до дана окончања ревизије.</w:t>
      </w:r>
    </w:p>
    <w:p>
      <w:pPr>
        <w:pStyle w:val="Heading2"/>
        <w:spacing w:line="240" w:lineRule="auto"/>
        <w:ind w:right="181"/>
        <w:jc w:val="both"/>
        <w:rPr>
          <w:rFonts w:ascii="Times New Roman" w:hAnsi="Times New Roman" w:cs="Times New Roman" w:eastAsia="Times New Roman" w:hint="default"/>
          <w:b w:val="0"/>
          <w:bCs w:val="0"/>
          <w:i w:val="0"/>
        </w:rPr>
      </w:pPr>
      <w:r>
        <w:rPr>
          <w:i/>
        </w:rPr>
        <w:t>Препоручује се одговорним лицима да обрачун и исплату накнада изабраним лицима  који нису на сталном раду, врше у складу са</w:t>
      </w:r>
      <w:r>
        <w:rPr>
          <w:i/>
          <w:spacing w:val="-15"/>
        </w:rPr>
        <w:t> </w:t>
      </w:r>
      <w:r>
        <w:rPr>
          <w:i/>
        </w:rPr>
        <w:t>прописима</w:t>
      </w:r>
      <w:r>
        <w:rPr>
          <w:rFonts w:ascii="Times New Roman" w:hAnsi="Times New Roman"/>
          <w:i/>
        </w:rPr>
        <w:t>.</w:t>
      </w:r>
      <w:r>
        <w:rPr>
          <w:rFonts w:ascii="Times New Roman" w:hAnsi="Times New Roman"/>
          <w:b w:val="0"/>
          <w:i w:val="0"/>
        </w:rPr>
      </w:r>
    </w:p>
    <w:p>
      <w:pPr>
        <w:spacing w:after="0" w:line="240" w:lineRule="auto"/>
        <w:jc w:val="both"/>
        <w:rPr>
          <w:rFonts w:ascii="Times New Roman" w:hAnsi="Times New Roman" w:cs="Times New Roman" w:eastAsia="Times New Roman" w:hint="default"/>
        </w:rPr>
        <w:sectPr>
          <w:pgSz w:w="12240" w:h="15840"/>
          <w:pgMar w:header="740" w:footer="1274" w:top="1280" w:bottom="1460" w:left="1400" w:right="1260"/>
        </w:sectPr>
      </w:pPr>
    </w:p>
    <w:p>
      <w:pPr>
        <w:pStyle w:val="Heading1"/>
        <w:numPr>
          <w:ilvl w:val="3"/>
          <w:numId w:val="28"/>
        </w:numPr>
        <w:tabs>
          <w:tab w:pos="941" w:val="left" w:leader="none"/>
        </w:tabs>
        <w:spacing w:line="274" w:lineRule="exact" w:before="126" w:after="0"/>
        <w:ind w:left="940" w:right="0" w:hanging="780"/>
        <w:jc w:val="left"/>
        <w:rPr>
          <w:b w:val="0"/>
          <w:bCs w:val="0"/>
        </w:rPr>
      </w:pPr>
      <w:bookmarkStart w:name="_bookmark16" w:id="29"/>
      <w:bookmarkEnd w:id="29"/>
      <w:r>
        <w:rPr>
          <w:b w:val="0"/>
        </w:rPr>
      </w:r>
      <w:bookmarkStart w:name="_bookmark16" w:id="30"/>
      <w:bookmarkEnd w:id="30"/>
      <w:r>
        <w:rPr/>
        <w:t>С</w:t>
      </w:r>
      <w:r>
        <w:rPr/>
        <w:t>тални трошкови, група</w:t>
      </w:r>
      <w:r>
        <w:rPr>
          <w:spacing w:val="-4"/>
        </w:rPr>
        <w:t> </w:t>
      </w:r>
      <w:r>
        <w:rPr/>
        <w:t>421000</w:t>
      </w:r>
      <w:r>
        <w:rPr>
          <w:b w:val="0"/>
        </w:rPr>
      </w:r>
    </w:p>
    <w:p>
      <w:pPr>
        <w:pStyle w:val="BodyText"/>
        <w:spacing w:line="240" w:lineRule="auto"/>
        <w:ind w:right="440" w:firstLine="566"/>
        <w:jc w:val="both"/>
      </w:pPr>
      <w:r>
        <w:rPr/>
        <w:t>Група 421000 – Стални трошкови садржи синтетичка конта: трошкови платног промета и банкарских услуга, енергетске услуге, комуналне услуге, услуге комуникација, трошкови осигурања, закуп имовине и опреме и остали</w:t>
      </w:r>
      <w:r>
        <w:rPr>
          <w:spacing w:val="-18"/>
        </w:rPr>
        <w:t> </w:t>
      </w:r>
      <w:r>
        <w:rPr/>
        <w:t>трошкови.</w:t>
      </w:r>
    </w:p>
    <w:p>
      <w:pPr>
        <w:spacing w:before="2" w:after="4"/>
        <w:ind w:left="0" w:right="432" w:firstLine="0"/>
        <w:jc w:val="right"/>
        <w:rPr>
          <w:rFonts w:ascii="Times New Roman" w:hAnsi="Times New Roman" w:cs="Times New Roman" w:eastAsia="Times New Roman" w:hint="default"/>
          <w:sz w:val="16"/>
          <w:szCs w:val="16"/>
        </w:rPr>
      </w:pPr>
      <w:r>
        <w:rPr>
          <w:rFonts w:ascii="Times New Roman" w:hAnsi="Times New Roman"/>
          <w:sz w:val="16"/>
        </w:rPr>
        <w:t>( </w:t>
      </w:r>
      <w:r>
        <w:rPr>
          <w:rFonts w:ascii="Times New Roman" w:hAnsi="Times New Roman"/>
          <w:sz w:val="16"/>
        </w:rPr>
        <w:t>у хиљадама</w:t>
      </w:r>
      <w:r>
        <w:rPr>
          <w:rFonts w:ascii="Times New Roman" w:hAnsi="Times New Roman"/>
          <w:spacing w:val="-5"/>
          <w:sz w:val="16"/>
        </w:rPr>
        <w:t> </w:t>
      </w:r>
      <w:r>
        <w:rPr>
          <w:rFonts w:ascii="Times New Roman" w:hAnsi="Times New Roman"/>
          <w:sz w:val="16"/>
        </w:rPr>
        <w:t>динара</w:t>
      </w:r>
      <w:r>
        <w:rPr>
          <w:rFonts w:ascii="Times New Roman" w:hAnsi="Times New Roman"/>
          <w:sz w:val="16"/>
        </w:rPr>
        <w:t>)</w:t>
      </w:r>
    </w:p>
    <w:tbl>
      <w:tblPr>
        <w:tblW w:w="0" w:type="auto"/>
        <w:jc w:val="left"/>
        <w:tblInd w:w="141" w:type="dxa"/>
        <w:tblLayout w:type="fixed"/>
        <w:tblCellMar>
          <w:top w:w="0" w:type="dxa"/>
          <w:left w:w="0" w:type="dxa"/>
          <w:bottom w:w="0" w:type="dxa"/>
          <w:right w:w="0" w:type="dxa"/>
        </w:tblCellMar>
        <w:tblLook w:val="01E0"/>
      </w:tblPr>
      <w:tblGrid>
        <w:gridCol w:w="722"/>
        <w:gridCol w:w="2837"/>
        <w:gridCol w:w="992"/>
        <w:gridCol w:w="1351"/>
        <w:gridCol w:w="1045"/>
        <w:gridCol w:w="936"/>
        <w:gridCol w:w="848"/>
        <w:gridCol w:w="845"/>
      </w:tblGrid>
      <w:tr>
        <w:trPr>
          <w:trHeight w:val="425"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72" w:right="102" w:hanging="60"/>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8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5"/>
              <w:ind w:left="609"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8"/>
                <w:sz w:val="18"/>
              </w:rPr>
              <w:t> </w:t>
            </w:r>
            <w:r>
              <w:rPr>
                <w:rFonts w:ascii="Times New Roman" w:hAnsi="Times New Roman"/>
                <w:b/>
                <w:sz w:val="18"/>
              </w:rPr>
              <w:t>корисник</w:t>
            </w:r>
            <w:r>
              <w:rPr>
                <w:rFonts w:ascii="Times New Roman" w:hAns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5"/>
              <w:ind w:right="119"/>
              <w:jc w:val="right"/>
              <w:rPr>
                <w:rFonts w:ascii="Times New Roman" w:hAnsi="Times New Roman" w:cs="Times New Roman" w:eastAsia="Times New Roman" w:hint="default"/>
                <w:sz w:val="18"/>
                <w:szCs w:val="18"/>
              </w:rPr>
            </w:pPr>
            <w:r>
              <w:rPr>
                <w:rFonts w:ascii="Times New Roman" w:hAnsi="Times New Roman"/>
                <w:b/>
                <w:spacing w:val="-1"/>
                <w:sz w:val="18"/>
              </w:rPr>
              <w:t>Ребаланс</w:t>
            </w:r>
            <w:r>
              <w:rPr>
                <w:rFonts w:ascii="Times New Roman" w:hAns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03" w:right="93" w:firstLine="88"/>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реалокацијом</w:t>
            </w:r>
            <w:r>
              <w:rPr>
                <w:rFonts w:ascii="Times New Roman" w:hAnsi="Times New Roman"/>
                <w:sz w:val="18"/>
              </w:rPr>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03" w:right="93"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15" w:right="104"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302" w:right="110"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302" w:right="107"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49"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326" w:right="0"/>
              <w:jc w:val="left"/>
              <w:rPr>
                <w:rFonts w:ascii="Times New Roman" w:hAnsi="Times New Roman" w:cs="Times New Roman" w:eastAsia="Times New Roman" w:hint="default"/>
                <w:sz w:val="12"/>
                <w:szCs w:val="12"/>
              </w:rPr>
            </w:pPr>
            <w:r>
              <w:rPr>
                <w:rFonts w:ascii="Times New Roman"/>
                <w:sz w:val="12"/>
              </w:rPr>
              <w:t>1</w:t>
            </w:r>
          </w:p>
        </w:tc>
        <w:tc>
          <w:tcPr>
            <w:tcW w:w="283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1"/>
              <w:jc w:val="center"/>
              <w:rPr>
                <w:rFonts w:ascii="Times New Roman" w:hAnsi="Times New Roman" w:cs="Times New Roman" w:eastAsia="Times New Roman" w:hint="default"/>
                <w:sz w:val="12"/>
                <w:szCs w:val="12"/>
              </w:rPr>
            </w:pPr>
            <w:r>
              <w:rPr>
                <w:rFonts w:ascii="Times New Roman"/>
                <w:sz w:val="12"/>
              </w:rPr>
              <w:t>2</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4</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6</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2" w:right="0"/>
              <w:jc w:val="center"/>
              <w:rPr>
                <w:rFonts w:ascii="Times New Roman" w:hAnsi="Times New Roman" w:cs="Times New Roman" w:eastAsia="Times New Roman" w:hint="default"/>
                <w:sz w:val="12"/>
                <w:szCs w:val="12"/>
              </w:rPr>
            </w:pPr>
            <w:r>
              <w:rPr>
                <w:rFonts w:ascii="Times New Roman"/>
                <w:sz w:val="12"/>
              </w:rPr>
              <w:t>8</w:t>
            </w:r>
          </w:p>
        </w:tc>
      </w:tr>
      <w:tr>
        <w:trPr>
          <w:trHeight w:val="21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11" w:right="0"/>
              <w:jc w:val="left"/>
              <w:rPr>
                <w:rFonts w:ascii="Times New Roman" w:hAnsi="Times New Roman" w:cs="Times New Roman" w:eastAsia="Times New Roman" w:hint="default"/>
                <w:sz w:val="18"/>
                <w:szCs w:val="18"/>
              </w:rPr>
            </w:pPr>
            <w:r>
              <w:rPr>
                <w:rFonts w:ascii="Times New Roman"/>
                <w:sz w:val="18"/>
              </w:rPr>
              <w:t>1</w:t>
            </w:r>
          </w:p>
        </w:tc>
        <w:tc>
          <w:tcPr>
            <w:tcW w:w="283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грађ</w:t>
            </w:r>
            <w:r>
              <w:rPr>
                <w:rFonts w:ascii="Times New Roman" w:hAnsi="Times New Roman"/>
                <w:sz w:val="18"/>
              </w:rPr>
              <w:t>. </w:t>
            </w:r>
            <w:r>
              <w:rPr>
                <w:rFonts w:ascii="Times New Roman" w:hAnsi="Times New Roman"/>
                <w:sz w:val="18"/>
              </w:rPr>
              <w:t>стања и</w:t>
            </w:r>
            <w:r>
              <w:rPr>
                <w:rFonts w:ascii="Times New Roman" w:hAnsi="Times New Roman"/>
                <w:spacing w:val="-7"/>
                <w:sz w:val="18"/>
              </w:rPr>
              <w:t> </w:t>
            </w:r>
            <w:r>
              <w:rPr>
                <w:rFonts w:ascii="Times New Roman" w:hAnsi="Times New Roman"/>
                <w:sz w:val="18"/>
              </w:rPr>
              <w:t>опш.посл</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3.000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3.000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2.647</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2.647</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88,23</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8"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11" w:right="0"/>
              <w:jc w:val="left"/>
              <w:rPr>
                <w:rFonts w:ascii="Times New Roman" w:hAnsi="Times New Roman" w:cs="Times New Roman" w:eastAsia="Times New Roman" w:hint="default"/>
                <w:sz w:val="18"/>
                <w:szCs w:val="18"/>
              </w:rPr>
            </w:pPr>
            <w:r>
              <w:rPr>
                <w:rFonts w:ascii="Times New Roman"/>
                <w:sz w:val="18"/>
              </w:rPr>
              <w:t>2</w:t>
            </w:r>
          </w:p>
        </w:tc>
        <w:tc>
          <w:tcPr>
            <w:tcW w:w="283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8"/>
                <w:sz w:val="18"/>
              </w:rPr>
              <w:t> </w:t>
            </w:r>
            <w:r>
              <w:rPr>
                <w:rFonts w:ascii="Times New Roman" w:hAnsi="Times New Roman"/>
                <w:sz w:val="18"/>
              </w:rPr>
              <w:t>финансије</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13.300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13.300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6.885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6.892</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51,82</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100,10</w:t>
            </w:r>
          </w:p>
        </w:tc>
      </w:tr>
      <w:tr>
        <w:trPr>
          <w:trHeight w:val="21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11" w:right="0"/>
              <w:jc w:val="left"/>
              <w:rPr>
                <w:rFonts w:ascii="Times New Roman" w:hAnsi="Times New Roman" w:cs="Times New Roman" w:eastAsia="Times New Roman" w:hint="default"/>
                <w:sz w:val="18"/>
                <w:szCs w:val="18"/>
              </w:rPr>
            </w:pPr>
            <w:r>
              <w:rPr>
                <w:rFonts w:ascii="Times New Roman"/>
                <w:sz w:val="18"/>
              </w:rPr>
              <w:t>3</w:t>
            </w:r>
          </w:p>
        </w:tc>
        <w:tc>
          <w:tcPr>
            <w:tcW w:w="283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5"/>
                <w:sz w:val="18"/>
              </w:rPr>
              <w:t> </w:t>
            </w:r>
            <w:r>
              <w:rPr>
                <w:rFonts w:ascii="Times New Roman" w:hAnsi="Times New Roman"/>
                <w:sz w:val="18"/>
              </w:rPr>
              <w:t>образовање</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103.040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102.340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60.949</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63.397</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61,95</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104,02</w:t>
            </w:r>
          </w:p>
        </w:tc>
      </w:tr>
      <w:tr>
        <w:trPr>
          <w:trHeight w:val="21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6"/>
              <w:jc w:val="right"/>
              <w:rPr>
                <w:rFonts w:ascii="Times New Roman" w:hAnsi="Times New Roman" w:cs="Times New Roman" w:eastAsia="Times New Roman" w:hint="default"/>
                <w:sz w:val="18"/>
                <w:szCs w:val="18"/>
              </w:rPr>
            </w:pPr>
            <w:r>
              <w:rPr>
                <w:rFonts w:ascii="Times New Roman" w:hAnsi="Times New Roman"/>
                <w:sz w:val="18"/>
              </w:rPr>
              <w:t>3а</w:t>
            </w:r>
          </w:p>
        </w:tc>
        <w:tc>
          <w:tcPr>
            <w:tcW w:w="283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ПУ</w:t>
            </w:r>
            <w:r>
              <w:rPr>
                <w:rFonts w:ascii="Times New Roman" w:hAnsi="Times New Roman"/>
                <w:spacing w:val="-5"/>
                <w:sz w:val="18"/>
              </w:rPr>
              <w:t> </w:t>
            </w:r>
            <w:r>
              <w:rPr>
                <w:rFonts w:ascii="Times New Roman" w:hAnsi="Times New Roman"/>
                <w:sz w:val="18"/>
              </w:rPr>
              <w:t>Пчелица</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91.580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90.880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57.055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59.503</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65,47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104,29</w:t>
            </w:r>
          </w:p>
        </w:tc>
      </w:tr>
      <w:tr>
        <w:trPr>
          <w:trHeight w:val="218"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11" w:right="0"/>
              <w:jc w:val="left"/>
              <w:rPr>
                <w:rFonts w:ascii="Times New Roman" w:hAnsi="Times New Roman" w:cs="Times New Roman" w:eastAsia="Times New Roman" w:hint="default"/>
                <w:sz w:val="18"/>
                <w:szCs w:val="18"/>
              </w:rPr>
            </w:pPr>
            <w:r>
              <w:rPr>
                <w:rFonts w:ascii="Times New Roman"/>
                <w:sz w:val="18"/>
              </w:rPr>
              <w:t>4</w:t>
            </w:r>
          </w:p>
        </w:tc>
        <w:tc>
          <w:tcPr>
            <w:tcW w:w="283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6"/>
                <w:sz w:val="18"/>
              </w:rPr>
              <w:t> </w:t>
            </w:r>
            <w:r>
              <w:rPr>
                <w:rFonts w:ascii="Times New Roman" w:hAnsi="Times New Roman"/>
                <w:sz w:val="18"/>
              </w:rPr>
              <w:t>културу</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47.097</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47.247</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24.771</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24.794</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52,48</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pacing w:val="-1"/>
                <w:sz w:val="18"/>
              </w:rPr>
              <w:t>100,09</w:t>
            </w:r>
          </w:p>
        </w:tc>
      </w:tr>
      <w:tr>
        <w:trPr>
          <w:trHeight w:val="217"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96"/>
              <w:jc w:val="right"/>
              <w:rPr>
                <w:rFonts w:ascii="Times New Roman" w:hAnsi="Times New Roman" w:cs="Times New Roman" w:eastAsia="Times New Roman" w:hint="default"/>
                <w:sz w:val="18"/>
                <w:szCs w:val="18"/>
              </w:rPr>
            </w:pPr>
            <w:r>
              <w:rPr>
                <w:rFonts w:ascii="Times New Roman" w:hAnsi="Times New Roman"/>
                <w:sz w:val="18"/>
              </w:rPr>
              <w:t>4а</w:t>
            </w:r>
          </w:p>
        </w:tc>
        <w:tc>
          <w:tcPr>
            <w:tcW w:w="2837"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03" w:right="0"/>
              <w:jc w:val="left"/>
              <w:rPr>
                <w:rFonts w:ascii="Times New Roman" w:hAnsi="Times New Roman" w:cs="Times New Roman" w:eastAsia="Times New Roman" w:hint="default"/>
                <w:sz w:val="18"/>
                <w:szCs w:val="18"/>
              </w:rPr>
            </w:pPr>
            <w:r>
              <w:rPr>
                <w:rFonts w:ascii="Times New Roman" w:hAnsi="Times New Roman"/>
                <w:sz w:val="18"/>
              </w:rPr>
              <w:t>Нишки културни</w:t>
            </w:r>
            <w:r>
              <w:rPr>
                <w:rFonts w:ascii="Times New Roman" w:hAnsi="Times New Roman"/>
                <w:spacing w:val="-11"/>
                <w:sz w:val="18"/>
              </w:rPr>
              <w:t> </w:t>
            </w:r>
            <w:r>
              <w:rPr>
                <w:rFonts w:ascii="Times New Roman" w:hAnsi="Times New Roman"/>
                <w:sz w:val="18"/>
              </w:rPr>
              <w:t>центар</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z w:val="18"/>
              </w:rPr>
              <w:t>9.780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z w:val="18"/>
              </w:rPr>
              <w:t>9.780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z w:val="18"/>
              </w:rPr>
              <w:t>6.560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z w:val="18"/>
              </w:rPr>
              <w:t>6.583</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z w:val="18"/>
              </w:rPr>
              <w:t>67,31</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98"/>
              <w:jc w:val="right"/>
              <w:rPr>
                <w:rFonts w:ascii="Times New Roman" w:hAnsi="Times New Roman" w:cs="Times New Roman" w:eastAsia="Times New Roman" w:hint="default"/>
                <w:sz w:val="18"/>
                <w:szCs w:val="18"/>
              </w:rPr>
            </w:pPr>
            <w:r>
              <w:rPr>
                <w:rFonts w:ascii="Times New Roman"/>
                <w:spacing w:val="-1"/>
                <w:sz w:val="18"/>
              </w:rPr>
              <w:t>100,35</w:t>
            </w:r>
          </w:p>
        </w:tc>
      </w:tr>
      <w:tr>
        <w:trPr>
          <w:trHeight w:val="218"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11" w:right="0"/>
              <w:jc w:val="left"/>
              <w:rPr>
                <w:rFonts w:ascii="Times New Roman" w:hAnsi="Times New Roman" w:cs="Times New Roman" w:eastAsia="Times New Roman" w:hint="default"/>
                <w:sz w:val="18"/>
                <w:szCs w:val="18"/>
              </w:rPr>
            </w:pPr>
            <w:r>
              <w:rPr>
                <w:rFonts w:ascii="Times New Roman"/>
                <w:sz w:val="18"/>
              </w:rPr>
              <w:t>5</w:t>
            </w:r>
          </w:p>
        </w:tc>
        <w:tc>
          <w:tcPr>
            <w:tcW w:w="283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ком.</w:t>
            </w:r>
            <w:r>
              <w:rPr>
                <w:rFonts w:ascii="Times New Roman" w:hAnsi="Times New Roman"/>
                <w:spacing w:val="-10"/>
                <w:sz w:val="18"/>
              </w:rPr>
              <w:t> </w:t>
            </w:r>
            <w:r>
              <w:rPr>
                <w:rFonts w:ascii="Times New Roman" w:hAnsi="Times New Roman"/>
                <w:sz w:val="18"/>
              </w:rPr>
              <w:t>делат.</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11.500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11.500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6.742</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334.611</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2.909,66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4.963,08</w:t>
            </w:r>
          </w:p>
        </w:tc>
      </w:tr>
      <w:tr>
        <w:trPr>
          <w:trHeight w:val="21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6"/>
              <w:jc w:val="right"/>
              <w:rPr>
                <w:rFonts w:ascii="Times New Roman" w:hAnsi="Times New Roman" w:cs="Times New Roman" w:eastAsia="Times New Roman" w:hint="default"/>
                <w:sz w:val="18"/>
                <w:szCs w:val="18"/>
              </w:rPr>
            </w:pPr>
            <w:r>
              <w:rPr>
                <w:rFonts w:ascii="Times New Roman" w:hAnsi="Times New Roman"/>
                <w:sz w:val="18"/>
              </w:rPr>
              <w:t>5а</w:t>
            </w:r>
          </w:p>
        </w:tc>
        <w:tc>
          <w:tcPr>
            <w:tcW w:w="283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ЈП</w:t>
            </w:r>
            <w:r>
              <w:rPr>
                <w:rFonts w:ascii="Times New Roman" w:hAnsi="Times New Roman"/>
                <w:spacing w:val="-6"/>
                <w:sz w:val="18"/>
              </w:rPr>
              <w:t> </w:t>
            </w:r>
            <w:r>
              <w:rPr>
                <w:rFonts w:ascii="Times New Roman" w:hAnsi="Times New Roman"/>
                <w:sz w:val="18"/>
              </w:rPr>
              <w:t>Дирекција</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6.742</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159.918</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1.599,18</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2.371,97</w:t>
            </w:r>
          </w:p>
        </w:tc>
      </w:tr>
      <w:tr>
        <w:trPr>
          <w:trHeight w:val="21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11" w:right="0"/>
              <w:jc w:val="left"/>
              <w:rPr>
                <w:rFonts w:ascii="Times New Roman" w:hAnsi="Times New Roman" w:cs="Times New Roman" w:eastAsia="Times New Roman" w:hint="default"/>
                <w:sz w:val="18"/>
                <w:szCs w:val="18"/>
              </w:rPr>
            </w:pPr>
            <w:r>
              <w:rPr>
                <w:rFonts w:ascii="Times New Roman"/>
                <w:sz w:val="18"/>
              </w:rPr>
              <w:t>6</w:t>
            </w:r>
          </w:p>
        </w:tc>
        <w:tc>
          <w:tcPr>
            <w:tcW w:w="283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имов</w:t>
            </w:r>
            <w:r>
              <w:rPr>
                <w:rFonts w:ascii="Times New Roman" w:hAnsi="Times New Roman"/>
                <w:sz w:val="18"/>
              </w:rPr>
              <w:t>. </w:t>
            </w:r>
            <w:r>
              <w:rPr>
                <w:rFonts w:ascii="Times New Roman" w:hAnsi="Times New Roman"/>
                <w:sz w:val="18"/>
              </w:rPr>
              <w:t>и инспек</w:t>
            </w:r>
            <w:r>
              <w:rPr>
                <w:rFonts w:ascii="Times New Roman" w:hAnsi="Times New Roman"/>
                <w:sz w:val="18"/>
              </w:rPr>
              <w:t>.</w:t>
            </w:r>
            <w:r>
              <w:rPr>
                <w:rFonts w:ascii="Times New Roman" w:hAnsi="Times New Roman"/>
                <w:spacing w:val="-8"/>
                <w:sz w:val="18"/>
              </w:rPr>
              <w:t> </w:t>
            </w:r>
            <w:r>
              <w:rPr>
                <w:rFonts w:ascii="Times New Roman" w:hAnsi="Times New Roman"/>
                <w:sz w:val="18"/>
              </w:rPr>
              <w:t>посл</w:t>
            </w:r>
            <w:r>
              <w:rPr>
                <w:rFonts w:ascii="Times New Roman" w:hAnsi="Times New Roman"/>
                <w:sz w:val="18"/>
              </w:rPr>
              <w:t>.</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44.250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44.250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3.298</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3.298</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7,45</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8"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11" w:right="0"/>
              <w:jc w:val="left"/>
              <w:rPr>
                <w:rFonts w:ascii="Times New Roman" w:hAnsi="Times New Roman" w:cs="Times New Roman" w:eastAsia="Times New Roman" w:hint="default"/>
                <w:sz w:val="18"/>
                <w:szCs w:val="18"/>
              </w:rPr>
            </w:pPr>
            <w:r>
              <w:rPr>
                <w:rFonts w:ascii="Times New Roman"/>
                <w:sz w:val="18"/>
              </w:rPr>
              <w:t>7</w:t>
            </w:r>
          </w:p>
        </w:tc>
        <w:tc>
          <w:tcPr>
            <w:tcW w:w="283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Служба за одржавање и</w:t>
            </w:r>
            <w:r>
              <w:rPr>
                <w:rFonts w:ascii="Times New Roman" w:hAnsi="Times New Roman"/>
                <w:spacing w:val="-5"/>
                <w:sz w:val="18"/>
              </w:rPr>
              <w:t> </w:t>
            </w:r>
            <w:r>
              <w:rPr>
                <w:rFonts w:ascii="Times New Roman" w:hAnsi="Times New Roman"/>
                <w:sz w:val="18"/>
              </w:rPr>
              <w:t>ИКТ</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91.628</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91.628</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60.804</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66.513</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72,59</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pacing w:val="-1"/>
                <w:sz w:val="18"/>
              </w:rPr>
              <w:t>109,39</w:t>
            </w:r>
          </w:p>
        </w:tc>
      </w:tr>
      <w:tr>
        <w:trPr>
          <w:trHeight w:val="250"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left="311" w:right="0"/>
              <w:jc w:val="left"/>
              <w:rPr>
                <w:rFonts w:ascii="Times New Roman" w:hAnsi="Times New Roman" w:cs="Times New Roman" w:eastAsia="Times New Roman" w:hint="default"/>
                <w:sz w:val="18"/>
                <w:szCs w:val="18"/>
              </w:rPr>
            </w:pPr>
            <w:r>
              <w:rPr>
                <w:rFonts w:ascii="Times New Roman"/>
                <w:sz w:val="18"/>
              </w:rPr>
              <w:t>8</w:t>
            </w:r>
          </w:p>
        </w:tc>
        <w:tc>
          <w:tcPr>
            <w:tcW w:w="28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7"/>
                <w:sz w:val="18"/>
              </w:rPr>
              <w:t> </w:t>
            </w:r>
            <w:r>
              <w:rPr>
                <w:rFonts w:ascii="Times New Roman" w:hAnsi="Times New Roman"/>
                <w:sz w:val="18"/>
              </w:rPr>
              <w:t>пољопривреду</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98"/>
              <w:jc w:val="right"/>
              <w:rPr>
                <w:rFonts w:ascii="Times New Roman" w:hAnsi="Times New Roman" w:cs="Times New Roman" w:eastAsia="Times New Roman" w:hint="default"/>
                <w:sz w:val="18"/>
                <w:szCs w:val="18"/>
              </w:rPr>
            </w:pPr>
            <w:r>
              <w:rPr>
                <w:rFonts w:ascii="Times New Roman"/>
                <w:sz w:val="18"/>
              </w:rPr>
              <w:t>700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98"/>
              <w:jc w:val="right"/>
              <w:rPr>
                <w:rFonts w:ascii="Times New Roman" w:hAnsi="Times New Roman" w:cs="Times New Roman" w:eastAsia="Times New Roman" w:hint="default"/>
                <w:sz w:val="18"/>
                <w:szCs w:val="18"/>
              </w:rPr>
            </w:pPr>
            <w:r>
              <w:rPr>
                <w:rFonts w:ascii="Times New Roman"/>
                <w:sz w:val="18"/>
              </w:rPr>
              <w:t>700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102"/>
              <w:jc w:val="right"/>
              <w:rPr>
                <w:rFonts w:ascii="Times New Roman" w:hAnsi="Times New Roman" w:cs="Times New Roman" w:eastAsia="Times New Roman" w:hint="default"/>
                <w:sz w:val="18"/>
                <w:szCs w:val="18"/>
              </w:rPr>
            </w:pPr>
            <w:r>
              <w:rPr>
                <w:rFonts w:ascii="Times New Roman"/>
                <w:sz w:val="18"/>
              </w:rPr>
              <w:t>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102"/>
              <w:jc w:val="right"/>
              <w:rPr>
                <w:rFonts w:ascii="Times New Roman" w:hAnsi="Times New Roman" w:cs="Times New Roman" w:eastAsia="Times New Roman" w:hint="default"/>
                <w:sz w:val="18"/>
                <w:szCs w:val="18"/>
              </w:rPr>
            </w:pPr>
            <w:r>
              <w:rPr>
                <w:rFonts w:ascii="Times New Roman"/>
                <w:sz w:val="18"/>
              </w:rPr>
              <w:t>7</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100"/>
              <w:jc w:val="right"/>
              <w:rPr>
                <w:rFonts w:ascii="Times New Roman" w:hAnsi="Times New Roman" w:cs="Times New Roman" w:eastAsia="Times New Roman" w:hint="default"/>
                <w:sz w:val="18"/>
                <w:szCs w:val="18"/>
              </w:rPr>
            </w:pPr>
            <w:r>
              <w:rPr>
                <w:rFonts w:ascii="Times New Roman"/>
                <w:spacing w:val="-1"/>
                <w:sz w:val="18"/>
              </w:rPr>
              <w:t>1,00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98"/>
              <w:jc w:val="right"/>
              <w:rPr>
                <w:rFonts w:ascii="Times New Roman" w:hAnsi="Times New Roman" w:cs="Times New Roman" w:eastAsia="Times New Roman" w:hint="default"/>
                <w:sz w:val="18"/>
                <w:szCs w:val="18"/>
              </w:rPr>
            </w:pPr>
            <w:r>
              <w:rPr>
                <w:rFonts w:ascii="Times New Roman"/>
                <w:spacing w:val="-1"/>
                <w:sz w:val="18"/>
              </w:rPr>
              <w:t>0,00</w:t>
            </w:r>
          </w:p>
        </w:tc>
      </w:tr>
      <w:tr>
        <w:trPr>
          <w:trHeight w:val="264"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311" w:right="0"/>
              <w:jc w:val="left"/>
              <w:rPr>
                <w:rFonts w:ascii="Times New Roman" w:hAnsi="Times New Roman" w:cs="Times New Roman" w:eastAsia="Times New Roman" w:hint="default"/>
                <w:sz w:val="18"/>
                <w:szCs w:val="18"/>
              </w:rPr>
            </w:pPr>
            <w:r>
              <w:rPr>
                <w:rFonts w:ascii="Times New Roman"/>
                <w:sz w:val="18"/>
              </w:rPr>
              <w:t>9</w:t>
            </w:r>
          </w:p>
        </w:tc>
        <w:tc>
          <w:tcPr>
            <w:tcW w:w="28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планирање и</w:t>
            </w:r>
            <w:r>
              <w:rPr>
                <w:rFonts w:ascii="Times New Roman" w:hAnsi="Times New Roman"/>
                <w:spacing w:val="-8"/>
                <w:sz w:val="18"/>
              </w:rPr>
              <w:t> </w:t>
            </w:r>
            <w:r>
              <w:rPr>
                <w:rFonts w:ascii="Times New Roman" w:hAnsi="Times New Roman"/>
                <w:sz w:val="18"/>
              </w:rPr>
              <w:t>изградњу</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1.920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1.920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1.026</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1.126</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58,65</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8"/>
              <w:jc w:val="right"/>
              <w:rPr>
                <w:rFonts w:ascii="Times New Roman" w:hAnsi="Times New Roman" w:cs="Times New Roman" w:eastAsia="Times New Roman" w:hint="default"/>
                <w:sz w:val="18"/>
                <w:szCs w:val="18"/>
              </w:rPr>
            </w:pPr>
            <w:r>
              <w:rPr>
                <w:rFonts w:ascii="Times New Roman"/>
                <w:spacing w:val="-1"/>
                <w:sz w:val="18"/>
              </w:rPr>
              <w:t>109,75</w:t>
            </w:r>
          </w:p>
        </w:tc>
      </w:tr>
      <w:tr>
        <w:trPr>
          <w:trHeight w:val="218"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hAnsi="Times New Roman"/>
                <w:sz w:val="18"/>
              </w:rPr>
              <w:t>9</w:t>
            </w:r>
            <w:r>
              <w:rPr>
                <w:rFonts w:ascii="Times New Roman" w:hAnsi="Times New Roman"/>
                <w:sz w:val="18"/>
              </w:rPr>
              <w:t>а</w:t>
            </w:r>
          </w:p>
        </w:tc>
        <w:tc>
          <w:tcPr>
            <w:tcW w:w="283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ЈП Градска стамбена</w:t>
            </w:r>
            <w:r>
              <w:rPr>
                <w:rFonts w:ascii="Times New Roman" w:hAnsi="Times New Roman"/>
                <w:spacing w:val="-8"/>
                <w:sz w:val="18"/>
              </w:rPr>
              <w:t> </w:t>
            </w:r>
            <w:r>
              <w:rPr>
                <w:rFonts w:ascii="Times New Roman" w:hAnsi="Times New Roman"/>
                <w:sz w:val="18"/>
              </w:rPr>
              <w:t>агенција</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1.920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1.920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1.026</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1.126</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58,65</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pacing w:val="-1"/>
                <w:sz w:val="18"/>
              </w:rPr>
              <w:t>109,75</w:t>
            </w:r>
          </w:p>
        </w:tc>
      </w:tr>
      <w:tr>
        <w:trPr>
          <w:trHeight w:val="216" w:hRule="exact"/>
        </w:trPr>
        <w:tc>
          <w:tcPr>
            <w:tcW w:w="3560"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724" w:right="0"/>
              <w:jc w:val="left"/>
              <w:rPr>
                <w:rFonts w:ascii="Times New Roman" w:hAnsi="Times New Roman" w:cs="Times New Roman" w:eastAsia="Times New Roman" w:hint="default"/>
                <w:sz w:val="18"/>
                <w:szCs w:val="18"/>
              </w:rPr>
            </w:pPr>
            <w:r>
              <w:rPr>
                <w:rFonts w:ascii="Times New Roman" w:hAnsi="Times New Roman"/>
                <w:b/>
                <w:sz w:val="18"/>
              </w:rPr>
              <w:t>Укупно  корисници</w:t>
            </w:r>
            <w:r>
              <w:rPr>
                <w:rFonts w:ascii="Times New Roman" w:hAnsi="Times New Roman"/>
                <w:b/>
                <w:spacing w:val="-2"/>
                <w:sz w:val="18"/>
              </w:rPr>
              <w:t> </w:t>
            </w:r>
            <w:r>
              <w:rPr>
                <w:rFonts w:ascii="Times New Roman" w:hAnsi="Times New Roman"/>
                <w:b/>
                <w:sz w:val="18"/>
              </w:rPr>
              <w:t>(1</w:t>
            </w:r>
            <w:r>
              <w:rPr>
                <w:rFonts w:ascii="Times New Roman" w:hAnsi="Times New Roman"/>
                <w:b/>
                <w:sz w:val="18"/>
              </w:rPr>
              <w:t>-10)</w:t>
            </w:r>
            <w:r>
              <w:rPr>
                <w:rFonts w:ascii="Times New Roman" w:hAns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pacing w:val="-1"/>
                <w:sz w:val="18"/>
              </w:rPr>
              <w:t>316.435</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315.885</w:t>
            </w:r>
            <w:r>
              <w:rPr>
                <w:rFonts w:ascii="Times New Roman"/>
                <w:spacing w:val="-1"/>
                <w:sz w:val="18"/>
              </w:rPr>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167.122</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503.285</w:t>
            </w:r>
            <w:r>
              <w:rPr>
                <w:rFonts w:ascii="Times New Roman"/>
                <w:spacing w:val="-1"/>
                <w:sz w:val="18"/>
              </w:rPr>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2"/>
              <w:jc w:val="right"/>
              <w:rPr>
                <w:rFonts w:ascii="Times New Roman" w:hAnsi="Times New Roman" w:cs="Times New Roman" w:eastAsia="Times New Roman" w:hint="default"/>
                <w:sz w:val="18"/>
                <w:szCs w:val="18"/>
              </w:rPr>
            </w:pPr>
            <w:r>
              <w:rPr>
                <w:rFonts w:ascii="Times New Roman"/>
                <w:b/>
                <w:spacing w:val="-1"/>
                <w:sz w:val="18"/>
              </w:rPr>
              <w:t>159,33</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98"/>
              <w:jc w:val="right"/>
              <w:rPr>
                <w:rFonts w:ascii="Times New Roman" w:hAnsi="Times New Roman" w:cs="Times New Roman" w:eastAsia="Times New Roman" w:hint="default"/>
                <w:sz w:val="18"/>
                <w:szCs w:val="18"/>
              </w:rPr>
            </w:pPr>
            <w:r>
              <w:rPr>
                <w:rFonts w:ascii="Times New Roman"/>
                <w:b/>
                <w:spacing w:val="-1"/>
                <w:sz w:val="18"/>
              </w:rPr>
              <w:t>301,15</w:t>
            </w:r>
            <w:r>
              <w:rPr>
                <w:rFonts w:ascii="Times New Roman"/>
                <w:spacing w:val="-1"/>
                <w:sz w:val="18"/>
              </w:rPr>
            </w:r>
          </w:p>
        </w:tc>
      </w:tr>
      <w:tr>
        <w:trPr>
          <w:trHeight w:val="218" w:hRule="exact"/>
        </w:trPr>
        <w:tc>
          <w:tcPr>
            <w:tcW w:w="3560"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640" w:right="0"/>
              <w:jc w:val="left"/>
              <w:rPr>
                <w:rFonts w:ascii="Times New Roman" w:hAnsi="Times New Roman" w:cs="Times New Roman" w:eastAsia="Times New Roman" w:hint="default"/>
                <w:sz w:val="18"/>
                <w:szCs w:val="18"/>
              </w:rPr>
            </w:pPr>
            <w:r>
              <w:rPr>
                <w:rFonts w:ascii="Times New Roman" w:hAnsi="Times New Roman"/>
                <w:b/>
                <w:sz w:val="18"/>
              </w:rPr>
              <w:t>Укупно Град </w:t>
            </w:r>
            <w:r>
              <w:rPr>
                <w:rFonts w:ascii="Times New Roman" w:hAnsi="Times New Roman"/>
                <w:b/>
                <w:sz w:val="18"/>
              </w:rPr>
              <w:t>- </w:t>
            </w:r>
            <w:r>
              <w:rPr>
                <w:rFonts w:ascii="Times New Roman" w:hAnsi="Times New Roman"/>
                <w:b/>
                <w:sz w:val="18"/>
              </w:rPr>
              <w:t>група</w:t>
            </w:r>
            <w:r>
              <w:rPr>
                <w:rFonts w:ascii="Times New Roman" w:hAnsi="Times New Roman"/>
                <w:b/>
                <w:spacing w:val="-5"/>
                <w:sz w:val="18"/>
              </w:rPr>
              <w:t> </w:t>
            </w:r>
            <w:r>
              <w:rPr>
                <w:rFonts w:ascii="Times New Roman" w:hAnsi="Times New Roman"/>
                <w:b/>
                <w:sz w:val="18"/>
              </w:rPr>
              <w:t>421000</w:t>
            </w:r>
            <w:r>
              <w:rPr>
                <w:rFonts w:ascii="Times New Roman" w:hAns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pacing w:val="-1"/>
                <w:sz w:val="18"/>
              </w:rPr>
              <w:t>421.483</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420.933</w:t>
            </w:r>
            <w:r>
              <w:rPr>
                <w:rFonts w:ascii="Times New Roman"/>
                <w:spacing w:val="-1"/>
                <w:sz w:val="18"/>
              </w:rPr>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237.386</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573.549</w:t>
            </w:r>
            <w:r>
              <w:rPr>
                <w:rFonts w:ascii="Times New Roman"/>
                <w:spacing w:val="-1"/>
                <w:sz w:val="18"/>
              </w:rPr>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2"/>
              <w:jc w:val="right"/>
              <w:rPr>
                <w:rFonts w:ascii="Times New Roman" w:hAnsi="Times New Roman" w:cs="Times New Roman" w:eastAsia="Times New Roman" w:hint="default"/>
                <w:sz w:val="18"/>
                <w:szCs w:val="18"/>
              </w:rPr>
            </w:pPr>
            <w:r>
              <w:rPr>
                <w:rFonts w:ascii="Times New Roman"/>
                <w:b/>
                <w:spacing w:val="-1"/>
                <w:sz w:val="18"/>
              </w:rPr>
              <w:t>136,26</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98"/>
              <w:jc w:val="right"/>
              <w:rPr>
                <w:rFonts w:ascii="Times New Roman" w:hAnsi="Times New Roman" w:cs="Times New Roman" w:eastAsia="Times New Roman" w:hint="default"/>
                <w:sz w:val="18"/>
                <w:szCs w:val="18"/>
              </w:rPr>
            </w:pPr>
            <w:r>
              <w:rPr>
                <w:rFonts w:ascii="Times New Roman"/>
                <w:b/>
                <w:spacing w:val="-1"/>
                <w:sz w:val="18"/>
              </w:rPr>
              <w:t>241,61</w:t>
            </w:r>
            <w:r>
              <w:rPr>
                <w:rFonts w:ascii="Times New Roman"/>
                <w:spacing w:val="-1"/>
                <w:sz w:val="18"/>
              </w:rPr>
            </w:r>
          </w:p>
        </w:tc>
      </w:tr>
    </w:tbl>
    <w:p>
      <w:pPr>
        <w:pStyle w:val="BodyText"/>
        <w:spacing w:line="240" w:lineRule="auto"/>
        <w:ind w:right="436" w:firstLine="566"/>
        <w:jc w:val="both"/>
      </w:pPr>
      <w:r>
        <w:rPr/>
        <w:t>Исказано је извршење у укупном износу од </w:t>
      </w:r>
      <w:r>
        <w:rPr>
          <w:rFonts w:ascii="Times New Roman" w:hAnsi="Times New Roman"/>
        </w:rPr>
        <w:t>237.386 </w:t>
      </w:r>
      <w:r>
        <w:rPr/>
        <w:t>хиљада динара и то на терет буџета Града у износу од </w:t>
      </w:r>
      <w:r>
        <w:rPr>
          <w:rFonts w:ascii="Times New Roman" w:hAnsi="Times New Roman"/>
        </w:rPr>
        <w:t>200.363 </w:t>
      </w:r>
      <w:r>
        <w:rPr/>
        <w:t>хиљаде динара, на терет буџета Републике у износу </w:t>
      </w:r>
      <w:r>
        <w:rPr>
          <w:spacing w:val="45"/>
        </w:rPr>
        <w:t> </w:t>
      </w:r>
      <w:r>
        <w:rPr/>
        <w:t>од</w:t>
      </w:r>
    </w:p>
    <w:p>
      <w:pPr>
        <w:pStyle w:val="ListParagraph"/>
        <w:numPr>
          <w:ilvl w:val="1"/>
          <w:numId w:val="29"/>
        </w:numPr>
        <w:tabs>
          <w:tab w:pos="787" w:val="left" w:leader="none"/>
        </w:tabs>
        <w:spacing w:line="240" w:lineRule="auto" w:before="0" w:after="0"/>
        <w:ind w:left="160" w:right="433" w:firstLine="0"/>
        <w:jc w:val="both"/>
        <w:rPr>
          <w:rFonts w:ascii="Times New Roman" w:hAnsi="Times New Roman" w:cs="Times New Roman" w:eastAsia="Times New Roman" w:hint="default"/>
          <w:sz w:val="24"/>
          <w:szCs w:val="24"/>
        </w:rPr>
      </w:pPr>
      <w:r>
        <w:rPr>
          <w:rFonts w:ascii="Times New Roman" w:hAnsi="Times New Roman"/>
          <w:sz w:val="24"/>
        </w:rPr>
        <w:t>хиљада динара, из донација у износу од 11 хиљада динара и из осталих извора у износу од 28.964 хиљаде динара. Исказани су расходи за: трошкове платног промета и банкарских услуга у износу од </w:t>
      </w:r>
      <w:r>
        <w:rPr>
          <w:rFonts w:ascii="Times New Roman" w:hAnsi="Times New Roman"/>
          <w:sz w:val="24"/>
        </w:rPr>
        <w:t>13.685 </w:t>
      </w:r>
      <w:r>
        <w:rPr>
          <w:rFonts w:ascii="Times New Roman" w:hAnsi="Times New Roman"/>
          <w:sz w:val="24"/>
        </w:rPr>
        <w:t>хиљада динара, енергетске услуге у износу од </w:t>
      </w:r>
      <w:r>
        <w:rPr>
          <w:rFonts w:ascii="Times New Roman" w:hAnsi="Times New Roman"/>
          <w:sz w:val="24"/>
        </w:rPr>
        <w:t>143.947 </w:t>
      </w:r>
      <w:r>
        <w:rPr>
          <w:rFonts w:ascii="Times New Roman" w:hAnsi="Times New Roman"/>
          <w:sz w:val="24"/>
        </w:rPr>
        <w:t>хиљада динара, комуналне услуге у износу од </w:t>
      </w:r>
      <w:r>
        <w:rPr>
          <w:rFonts w:ascii="Times New Roman" w:hAnsi="Times New Roman"/>
          <w:sz w:val="24"/>
        </w:rPr>
        <w:t>41.737 </w:t>
      </w:r>
      <w:r>
        <w:rPr>
          <w:rFonts w:ascii="Times New Roman" w:hAnsi="Times New Roman"/>
          <w:sz w:val="24"/>
        </w:rPr>
        <w:t>хиљада динара, услуге комуникација у износу од </w:t>
      </w:r>
      <w:r>
        <w:rPr>
          <w:rFonts w:ascii="Times New Roman" w:hAnsi="Times New Roman"/>
          <w:sz w:val="24"/>
        </w:rPr>
        <w:t>26.227 </w:t>
      </w:r>
      <w:r>
        <w:rPr>
          <w:rFonts w:ascii="Times New Roman" w:hAnsi="Times New Roman"/>
          <w:sz w:val="24"/>
        </w:rPr>
        <w:t>хиљада динара, трошкове осигурања у износу од </w:t>
      </w:r>
      <w:r>
        <w:rPr>
          <w:rFonts w:ascii="Times New Roman" w:hAnsi="Times New Roman"/>
          <w:sz w:val="24"/>
        </w:rPr>
        <w:t>4.696 </w:t>
      </w:r>
      <w:r>
        <w:rPr>
          <w:rFonts w:ascii="Times New Roman" w:hAnsi="Times New Roman"/>
          <w:sz w:val="24"/>
        </w:rPr>
        <w:t>хиљада динара, закуп имовине и опреме у износу од </w:t>
      </w:r>
      <w:r>
        <w:rPr>
          <w:rFonts w:ascii="Times New Roman" w:hAnsi="Times New Roman"/>
          <w:sz w:val="24"/>
        </w:rPr>
        <w:t>6.151 </w:t>
      </w:r>
      <w:r>
        <w:rPr>
          <w:rFonts w:ascii="Times New Roman" w:hAnsi="Times New Roman"/>
          <w:sz w:val="24"/>
        </w:rPr>
        <w:t>хиљаде динара и остале трошкове у износу од </w:t>
      </w:r>
      <w:r>
        <w:rPr>
          <w:rFonts w:ascii="Times New Roman" w:hAnsi="Times New Roman"/>
          <w:sz w:val="24"/>
        </w:rPr>
        <w:t>943 </w:t>
      </w:r>
      <w:r>
        <w:rPr>
          <w:rFonts w:ascii="Times New Roman" w:hAnsi="Times New Roman"/>
          <w:sz w:val="24"/>
        </w:rPr>
        <w:t>хиљаде</w:t>
      </w:r>
      <w:r>
        <w:rPr>
          <w:rFonts w:ascii="Times New Roman" w:hAnsi="Times New Roman"/>
          <w:spacing w:val="-8"/>
          <w:sz w:val="24"/>
        </w:rPr>
        <w:t> </w:t>
      </w:r>
      <w:r>
        <w:rPr>
          <w:rFonts w:ascii="Times New Roman" w:hAnsi="Times New Roman"/>
          <w:sz w:val="24"/>
        </w:rPr>
        <w:t>динара.</w:t>
      </w:r>
    </w:p>
    <w:p>
      <w:pPr>
        <w:pStyle w:val="ListParagraph"/>
        <w:numPr>
          <w:ilvl w:val="2"/>
          <w:numId w:val="29"/>
        </w:numPr>
        <w:tabs>
          <w:tab w:pos="1013" w:val="left" w:leader="none"/>
        </w:tabs>
        <w:spacing w:line="240" w:lineRule="auto" w:before="137" w:after="0"/>
        <w:ind w:left="160" w:right="429" w:firstLine="566"/>
        <w:jc w:val="both"/>
        <w:rPr>
          <w:rFonts w:ascii="Times New Roman" w:hAnsi="Times New Roman" w:cs="Times New Roman" w:eastAsia="Times New Roman" w:hint="default"/>
          <w:sz w:val="24"/>
          <w:szCs w:val="24"/>
        </w:rPr>
      </w:pPr>
      <w:r>
        <w:rPr>
          <w:rFonts w:ascii="Times New Roman" w:hAnsi="Times New Roman"/>
          <w:b/>
          <w:sz w:val="24"/>
        </w:rPr>
        <w:t>Управа за грађанска стања и опште послове </w:t>
      </w:r>
      <w:r>
        <w:rPr>
          <w:rFonts w:ascii="Times New Roman" w:hAnsi="Times New Roman"/>
          <w:b/>
          <w:sz w:val="24"/>
        </w:rPr>
        <w:t>- </w:t>
      </w:r>
      <w:r>
        <w:rPr>
          <w:rFonts w:ascii="Times New Roman" w:hAnsi="Times New Roman"/>
          <w:sz w:val="24"/>
        </w:rPr>
        <w:t>Исказано је извршење у укупном износу од 2.647 хиљада динара из буџета града. Исказани су расходи за услуге комуникација у износу од 2.576 хиљада динара и закуп имовине и опреме у износу од 71 хиљаде</w:t>
      </w:r>
      <w:r>
        <w:rPr>
          <w:rFonts w:ascii="Times New Roman" w:hAnsi="Times New Roman"/>
          <w:spacing w:val="-3"/>
          <w:sz w:val="24"/>
        </w:rPr>
        <w:t> </w:t>
      </w:r>
      <w:r>
        <w:rPr>
          <w:rFonts w:ascii="Times New Roman" w:hAnsi="Times New Roman"/>
          <w:sz w:val="24"/>
        </w:rPr>
        <w:t>динара.</w:t>
      </w:r>
    </w:p>
    <w:p>
      <w:pPr>
        <w:pStyle w:val="BodyText"/>
        <w:spacing w:line="240" w:lineRule="auto"/>
        <w:ind w:right="435"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Пошта, субаналитички конто 421421</w:t>
      </w:r>
      <w:r>
        <w:rPr/>
      </w:r>
      <w:r>
        <w:rPr>
          <w:rFonts w:ascii="Times New Roman" w:hAnsi="Times New Roman" w:cs="Times New Roman" w:eastAsia="Times New Roman" w:hint="default"/>
        </w:rPr>
        <w:t>- </w:t>
      </w:r>
      <w:r>
        <w:rPr/>
        <w:t>Исказан је расход у износу од </w:t>
      </w:r>
      <w:r>
        <w:rPr>
          <w:rFonts w:ascii="Times New Roman" w:hAnsi="Times New Roman" w:cs="Times New Roman" w:eastAsia="Times New Roman" w:hint="default"/>
        </w:rPr>
        <w:t>2.576 </w:t>
      </w:r>
      <w:r>
        <w:rPr/>
        <w:t>хиљада динара за услуге пријема поштанских пошиљака ЈП „Пошта</w:t>
      </w:r>
      <w:r>
        <w:rPr>
          <w:spacing w:val="-21"/>
        </w:rPr>
        <w:t> </w:t>
      </w:r>
      <w:r>
        <w:rPr/>
        <w:t>Србије“.</w:t>
      </w:r>
    </w:p>
    <w:p>
      <w:pPr>
        <w:pStyle w:val="BodyText"/>
        <w:spacing w:line="240" w:lineRule="auto"/>
        <w:ind w:left="726" w:right="0"/>
        <w:jc w:val="left"/>
      </w:pPr>
      <w:r>
        <w:rPr/>
        <w:t>На основу ревизије узорковане документације нису утврђене</w:t>
      </w:r>
      <w:r>
        <w:rPr>
          <w:spacing w:val="-24"/>
        </w:rPr>
        <w:t> </w:t>
      </w:r>
      <w:r>
        <w:rPr/>
        <w:t>неправилности.</w:t>
      </w:r>
    </w:p>
    <w:p>
      <w:pPr>
        <w:pStyle w:val="ListParagraph"/>
        <w:numPr>
          <w:ilvl w:val="2"/>
          <w:numId w:val="29"/>
        </w:numPr>
        <w:tabs>
          <w:tab w:pos="1013" w:val="left" w:leader="none"/>
        </w:tabs>
        <w:spacing w:line="237" w:lineRule="auto" w:before="146" w:after="0"/>
        <w:ind w:left="160" w:right="434" w:firstLine="566"/>
        <w:jc w:val="both"/>
        <w:rPr>
          <w:rFonts w:ascii="Times New Roman" w:hAnsi="Times New Roman" w:cs="Times New Roman" w:eastAsia="Times New Roman" w:hint="default"/>
          <w:sz w:val="24"/>
          <w:szCs w:val="24"/>
        </w:rPr>
      </w:pPr>
      <w:r>
        <w:rPr>
          <w:rFonts w:ascii="Times New Roman" w:hAnsi="Times New Roman"/>
          <w:b/>
          <w:sz w:val="24"/>
        </w:rPr>
        <w:t>Управа за финансије, изворне приходе локалне самоуправе и јавне набавке </w:t>
      </w:r>
      <w:r>
        <w:rPr>
          <w:rFonts w:ascii="Times New Roman" w:hAnsi="Times New Roman"/>
          <w:b/>
          <w:sz w:val="24"/>
        </w:rPr>
        <w:t>- </w:t>
      </w:r>
      <w:r>
        <w:rPr>
          <w:rFonts w:ascii="Times New Roman" w:hAnsi="Times New Roman"/>
          <w:sz w:val="24"/>
        </w:rPr>
        <w:t>Исказано је извршење у укупном износу од 6.885 хиљада динара на терет буџета Града и то за: трошкове платног промета и банкарских услуга у износу од 6.456 хиљада динара и за остале трошкове у износу од 429 хиљада</w:t>
      </w:r>
      <w:r>
        <w:rPr>
          <w:rFonts w:ascii="Times New Roman" w:hAnsi="Times New Roman"/>
          <w:spacing w:val="-13"/>
          <w:sz w:val="24"/>
        </w:rPr>
        <w:t> </w:t>
      </w:r>
      <w:r>
        <w:rPr>
          <w:rFonts w:ascii="Times New Roman" w:hAnsi="Times New Roman"/>
          <w:sz w:val="24"/>
        </w:rPr>
        <w:t>динара.</w:t>
      </w:r>
    </w:p>
    <w:p>
      <w:pPr>
        <w:pStyle w:val="BodyText"/>
        <w:spacing w:line="240" w:lineRule="auto"/>
        <w:ind w:right="430"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Остали непоменути трошкови, субаналитички конто 421919 </w:t>
      </w:r>
      <w:r>
        <w:rPr/>
        <w:t>– Исказан је расход у </w:t>
      </w:r>
      <w:r>
        <w:rPr/>
        <w:t>износу од 429 хиљада динара. Запослени у градским управама су осигурани по Уговору о јавној набавци услуга – пружање услуге осигурања запослених са „Axa neživotno osiguranje“ адо Београд број 11</w:t>
      </w:r>
      <w:r>
        <w:rPr>
          <w:rFonts w:ascii="Times New Roman" w:hAnsi="Times New Roman" w:cs="Times New Roman" w:eastAsia="Times New Roman" w:hint="default"/>
        </w:rPr>
        <w:t>-</w:t>
      </w:r>
      <w:r>
        <w:rPr/>
        <w:t>694/2014 од 12.03.2014. године за период осигурања од 08.05.2014. године до 08.05.2015. године. Осигурањем је обухваћено 845 запослених, са стањем</w:t>
      </w:r>
      <w:r>
        <w:rPr>
          <w:spacing w:val="42"/>
        </w:rPr>
        <w:t> </w:t>
      </w:r>
      <w:r>
        <w:rPr/>
        <w:t>на</w:t>
      </w:r>
      <w:r>
        <w:rPr>
          <w:spacing w:val="40"/>
        </w:rPr>
        <w:t> </w:t>
      </w:r>
      <w:r>
        <w:rPr/>
        <w:t>дан</w:t>
      </w:r>
      <w:r>
        <w:rPr>
          <w:spacing w:val="41"/>
        </w:rPr>
        <w:t> </w:t>
      </w:r>
      <w:r>
        <w:rPr/>
        <w:t>28.02.2014.</w:t>
      </w:r>
      <w:r>
        <w:rPr>
          <w:spacing w:val="40"/>
        </w:rPr>
        <w:t> </w:t>
      </w:r>
      <w:r>
        <w:rPr/>
        <w:t>године.</w:t>
      </w:r>
      <w:r>
        <w:rPr>
          <w:spacing w:val="40"/>
        </w:rPr>
        <w:t> </w:t>
      </w:r>
      <w:r>
        <w:rPr/>
        <w:t>Уговорена</w:t>
      </w:r>
      <w:r>
        <w:rPr>
          <w:spacing w:val="40"/>
        </w:rPr>
        <w:t> </w:t>
      </w:r>
      <w:r>
        <w:rPr/>
        <w:t>вредност</w:t>
      </w:r>
      <w:r>
        <w:rPr>
          <w:spacing w:val="41"/>
        </w:rPr>
        <w:t> </w:t>
      </w:r>
      <w:r>
        <w:rPr/>
        <w:t>премије</w:t>
      </w:r>
      <w:r>
        <w:rPr>
          <w:spacing w:val="40"/>
        </w:rPr>
        <w:t> </w:t>
      </w:r>
      <w:r>
        <w:rPr/>
        <w:t>осигурања</w:t>
      </w:r>
      <w:r>
        <w:rPr>
          <w:spacing w:val="40"/>
        </w:rPr>
        <w:t> </w:t>
      </w:r>
      <w:r>
        <w:rPr/>
        <w:t>износи</w:t>
      </w:r>
      <w:r>
        <w:rPr>
          <w:spacing w:val="41"/>
        </w:rPr>
        <w:t> </w:t>
      </w:r>
      <w:r>
        <w:rPr/>
        <w:t>240</w:t>
      </w:r>
    </w:p>
    <w:p>
      <w:pPr>
        <w:spacing w:after="0" w:line="240" w:lineRule="auto"/>
        <w:jc w:val="both"/>
        <w:sectPr>
          <w:pgSz w:w="12240" w:h="15840"/>
          <w:pgMar w:header="740" w:footer="1274" w:top="1280" w:bottom="1460" w:left="1400" w:right="1000"/>
        </w:sectPr>
      </w:pPr>
    </w:p>
    <w:p>
      <w:pPr>
        <w:pStyle w:val="BodyText"/>
        <w:spacing w:line="240" w:lineRule="auto" w:before="122"/>
        <w:ind w:right="175"/>
        <w:jc w:val="both"/>
      </w:pPr>
      <w:r>
        <w:rPr/>
        <w:t>хиљада динара без урачунатог пореза, са плаћањем у 12 једнаких месечних рата до 10</w:t>
      </w:r>
      <w:r>
        <w:rPr>
          <w:rFonts w:ascii="Times New Roman" w:hAnsi="Times New Roman"/>
        </w:rPr>
        <w:t>-</w:t>
      </w:r>
      <w:r>
        <w:rPr/>
        <w:t>ог у месецу за текући</w:t>
      </w:r>
      <w:r>
        <w:rPr>
          <w:spacing w:val="-6"/>
        </w:rPr>
        <w:t> </w:t>
      </w:r>
      <w:r>
        <w:rPr/>
        <w:t>месец.</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Рачун „Axa neživotno osiguranje“ адо Београд за услугу осигурања запослених у градским управама број 1000019068/1 од 08.05.2014. године евидентиран је у пословним књигама Управе за финансије, изворне приходе локалне самоуправе и јавне набавке тек 01.09.2014. године налогом за књижење број 166, на дан када је делимично плаћен, што  је супротно члану 16. Уредбе о буџетском</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рачуноводству.</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Измирење новчаних обавеза по рачуну број 1000019068/1 од 08.05.2014. године на име услуга осигурања запослених није извршено у року од 45 дана, већ са закашњењем, што је супротно члану 4. Закона о роковима измирења новчаних обавеза у комерцијалним трансакцијама.</w:t>
      </w:r>
    </w:p>
    <w:p>
      <w:pPr>
        <w:pStyle w:val="ListParagraph"/>
        <w:numPr>
          <w:ilvl w:val="0"/>
          <w:numId w:val="9"/>
        </w:numPr>
        <w:tabs>
          <w:tab w:pos="303"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је евидентиран расход за осигурање запослених у износу од 429 хиљада динара на субаналитичком конту </w:t>
      </w:r>
      <w:r>
        <w:rPr>
          <w:rFonts w:ascii="Times New Roman" w:hAnsi="Times New Roman" w:cs="Times New Roman" w:eastAsia="Times New Roman" w:hint="default"/>
          <w:sz w:val="24"/>
          <w:szCs w:val="24"/>
        </w:rPr>
        <w:t>421900 </w:t>
      </w:r>
      <w:r>
        <w:rPr>
          <w:rFonts w:ascii="Times New Roman" w:hAnsi="Times New Roman" w:cs="Times New Roman" w:eastAsia="Times New Roman" w:hint="default"/>
          <w:sz w:val="24"/>
          <w:szCs w:val="24"/>
        </w:rPr>
        <w:t>– остали трошкови, уместо на субаналитичком конту 421500 – трошкови осигурања, што је супротно Правилнику о стандардном класификационом оквиру и контном плану за буџетски</w:t>
      </w:r>
      <w:r>
        <w:rPr>
          <w:rFonts w:ascii="Times New Roman" w:hAnsi="Times New Roman" w:cs="Times New Roman" w:eastAsia="Times New Roman" w:hint="default"/>
          <w:spacing w:val="-31"/>
          <w:sz w:val="24"/>
          <w:szCs w:val="24"/>
        </w:rPr>
        <w:t> </w:t>
      </w:r>
      <w:r>
        <w:rPr>
          <w:rFonts w:ascii="Times New Roman" w:hAnsi="Times New Roman" w:cs="Times New Roman" w:eastAsia="Times New Roman" w:hint="default"/>
          <w:sz w:val="24"/>
          <w:szCs w:val="24"/>
        </w:rPr>
        <w:t>систем.</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У периоду од 27.08.2013. године до 08.05.2014. године, запослени у градским управама града Ниша нису били осигурани од повреда на раду, професионалних обољења и обољења у вези са радом, што је супротно члану 53. став 1. Закона о безбедности и здрављу на</w:t>
      </w:r>
      <w:r>
        <w:rPr>
          <w:rFonts w:ascii="Times New Roman" w:hAnsi="Times New Roman"/>
          <w:spacing w:val="-7"/>
          <w:sz w:val="24"/>
        </w:rPr>
        <w:t> </w:t>
      </w:r>
      <w:r>
        <w:rPr>
          <w:rFonts w:ascii="Times New Roman" w:hAnsi="Times New Roman"/>
          <w:sz w:val="24"/>
        </w:rPr>
        <w:t>раду.</w:t>
      </w:r>
    </w:p>
    <w:p>
      <w:pPr>
        <w:pStyle w:val="Heading2"/>
        <w:spacing w:line="240" w:lineRule="auto"/>
        <w:ind w:right="174"/>
        <w:jc w:val="both"/>
        <w:rPr>
          <w:b w:val="0"/>
          <w:bCs w:val="0"/>
          <w:i w:val="0"/>
        </w:rPr>
      </w:pPr>
      <w:r>
        <w:rPr>
          <w:i/>
        </w:rPr>
        <w:t>Препоручује се одговорним лицима да рачуноводствене исправе евидентирају у року предвиђеном Уредбом о буџетском рачуноводству, измирење новчаних обавеза врше у року прописаном Законом о роковима измирења новчаних обавеза у комерцијалним трансакцијама и да обезбеде правилну примену одредби Правилника о стандардном класификационом оквиру и контном плану за буџетски</w:t>
      </w:r>
      <w:r>
        <w:rPr>
          <w:i/>
          <w:spacing w:val="-28"/>
        </w:rPr>
        <w:t> </w:t>
      </w:r>
      <w:r>
        <w:rPr>
          <w:i/>
        </w:rPr>
        <w:t>систем.</w:t>
      </w:r>
      <w:r>
        <w:rPr>
          <w:b w:val="0"/>
          <w:i w:val="0"/>
        </w:rPr>
      </w:r>
    </w:p>
    <w:p>
      <w:pPr>
        <w:pStyle w:val="ListParagraph"/>
        <w:numPr>
          <w:ilvl w:val="2"/>
          <w:numId w:val="29"/>
        </w:numPr>
        <w:tabs>
          <w:tab w:pos="1013" w:val="left" w:leader="none"/>
        </w:tabs>
        <w:spacing w:line="240" w:lineRule="auto" w:before="134" w:after="0"/>
        <w:ind w:left="160" w:right="174" w:firstLine="566"/>
        <w:jc w:val="both"/>
        <w:rPr>
          <w:rFonts w:ascii="Times New Roman" w:hAnsi="Times New Roman" w:cs="Times New Roman" w:eastAsia="Times New Roman" w:hint="default"/>
          <w:sz w:val="24"/>
          <w:szCs w:val="24"/>
        </w:rPr>
      </w:pPr>
      <w:r>
        <w:rPr>
          <w:rFonts w:ascii="Times New Roman" w:hAnsi="Times New Roman"/>
          <w:b/>
          <w:sz w:val="24"/>
        </w:rPr>
        <w:t>Управа за образовање </w:t>
      </w:r>
      <w:r>
        <w:rPr>
          <w:rFonts w:ascii="Times New Roman" w:hAnsi="Times New Roman"/>
          <w:b/>
          <w:sz w:val="24"/>
        </w:rPr>
        <w:t>- </w:t>
      </w:r>
      <w:r>
        <w:rPr>
          <w:rFonts w:ascii="Times New Roman" w:hAnsi="Times New Roman"/>
          <w:sz w:val="24"/>
        </w:rPr>
        <w:t>Исказано је извршење у укупном износу од 60.949 хиљада динара</w:t>
      </w:r>
      <w:r>
        <w:rPr>
          <w:rFonts w:ascii="Times New Roman" w:hAnsi="Times New Roman"/>
          <w:sz w:val="24"/>
        </w:rPr>
        <w:t>. </w:t>
      </w:r>
      <w:r>
        <w:rPr>
          <w:rFonts w:ascii="Times New Roman" w:hAnsi="Times New Roman"/>
          <w:sz w:val="24"/>
        </w:rPr>
        <w:t>Исказани расход се односи на индиректног буџетског корисника ПУ Пчелица у износу од 57.055 хиљада динара, Дечији центар у износу од 1.123 хиљаде динара и Регионални центар за професионални равој запослених у образовању у износу од 2.771 хиљаде</w:t>
      </w:r>
      <w:r>
        <w:rPr>
          <w:rFonts w:ascii="Times New Roman" w:hAnsi="Times New Roman"/>
          <w:spacing w:val="-2"/>
          <w:sz w:val="24"/>
        </w:rPr>
        <w:t> </w:t>
      </w:r>
      <w:r>
        <w:rPr>
          <w:rFonts w:ascii="Times New Roman" w:hAnsi="Times New Roman"/>
          <w:sz w:val="24"/>
        </w:rPr>
        <w:t>динара.</w:t>
      </w:r>
    </w:p>
    <w:p>
      <w:pPr>
        <w:pStyle w:val="BodyText"/>
        <w:spacing w:line="240" w:lineRule="auto"/>
        <w:ind w:right="178" w:firstLine="566"/>
        <w:jc w:val="both"/>
      </w:pPr>
      <w:r>
        <w:rPr>
          <w:rFonts w:ascii="Times New Roman" w:hAnsi="Times New Roman"/>
          <w:b/>
        </w:rPr>
        <w:t>3а) ПУ Пчелица </w:t>
      </w:r>
      <w:r>
        <w:rPr>
          <w:rFonts w:ascii="Times New Roman" w:hAnsi="Times New Roman"/>
          <w:b/>
        </w:rPr>
        <w:t>- </w:t>
      </w:r>
      <w:r>
        <w:rPr/>
        <w:t>Исказано је извршење у укупном износу од 57.055 хиљада динара и то</w:t>
      </w:r>
      <w:r>
        <w:rPr>
          <w:rFonts w:ascii="Times New Roman" w:hAnsi="Times New Roman"/>
        </w:rPr>
        <w:t>: </w:t>
      </w:r>
      <w:r>
        <w:rPr/>
        <w:t>на терет буџета Града у износу од 32.478 хиљада динара, из буџета Републике у износу од 7.876 хиљада динара и из осталих извора у износу од 16.701 хиљаде динара. Исказани су расходи за: трошкове платног промета и банкарских услуга  у износу од 3.615 хиљада динара, енергетске услуге у износу од 41.371 хиљаде динара, комуналне  услуге  у износу од  8.301  хиљаде динара,  услуге комуникација  у износу </w:t>
      </w:r>
      <w:r>
        <w:rPr>
          <w:spacing w:val="20"/>
        </w:rPr>
        <w:t> </w:t>
      </w:r>
      <w:r>
        <w:rPr/>
        <w:t>од</w:t>
      </w:r>
    </w:p>
    <w:p>
      <w:pPr>
        <w:pStyle w:val="BodyText"/>
        <w:spacing w:line="240" w:lineRule="auto"/>
        <w:ind w:right="187"/>
        <w:jc w:val="both"/>
        <w:rPr>
          <w:rFonts w:ascii="Times New Roman" w:hAnsi="Times New Roman" w:cs="Times New Roman" w:eastAsia="Times New Roman" w:hint="default"/>
        </w:rPr>
      </w:pPr>
      <w:r>
        <w:rPr/>
        <w:t>1.580 хиљада динара, трошкове осигурања у износу од 904 хиљаде динара, закуп имовине и опреме у износу од 1.278 хиљада динара и остале трошкове у износу од шест хиљада</w:t>
      </w:r>
      <w:r>
        <w:rPr>
          <w:spacing w:val="-3"/>
        </w:rPr>
        <w:t> </w:t>
      </w:r>
      <w:r>
        <w:rPr/>
        <w:t>динара</w:t>
      </w:r>
      <w:r>
        <w:rPr>
          <w:rFonts w:ascii="Times New Roman" w:hAnsi="Times New Roman"/>
        </w:rPr>
        <w:t>.</w:t>
      </w:r>
    </w:p>
    <w:p>
      <w:pPr>
        <w:pStyle w:val="BodyText"/>
        <w:spacing w:line="240" w:lineRule="auto"/>
        <w:ind w:right="170" w:firstLine="566"/>
        <w:jc w:val="both"/>
      </w:pPr>
      <w:r>
        <w:rPr>
          <w:rFonts w:ascii="Times New Roman" w:hAnsi="Times New Roman"/>
        </w:rPr>
      </w:r>
      <w:r>
        <w:rPr>
          <w:rFonts w:ascii="Times New Roman" w:hAnsi="Times New Roman"/>
          <w:spacing w:val="-60"/>
          <w:u w:val="single" w:color="000000"/>
        </w:rPr>
        <w:t> </w:t>
      </w:r>
      <w:r>
        <w:rPr>
          <w:u w:val="single" w:color="000000"/>
        </w:rPr>
        <w:t>Услуге за електричну енергију, субаналитички конто 421211 </w:t>
      </w:r>
      <w:r>
        <w:rPr/>
      </w:r>
      <w:r>
        <w:rPr>
          <w:rFonts w:ascii="Times New Roman" w:hAnsi="Times New Roman"/>
          <w:b/>
        </w:rPr>
        <w:t>- </w:t>
      </w:r>
      <w:r>
        <w:rPr/>
        <w:t>Исказан је расход у износу од 22.250 хиљада динара и то на терет буџета Града у износу од </w:t>
      </w:r>
      <w:r>
        <w:rPr>
          <w:rFonts w:ascii="Times New Roman" w:hAnsi="Times New Roman"/>
        </w:rPr>
        <w:t>20.743 </w:t>
      </w:r>
      <w:r>
        <w:rPr/>
        <w:t>хиљаде динара, из буџета Републике 400 хиљада динара и из осталих извора у износу од 1.</w:t>
      </w:r>
      <w:r>
        <w:rPr>
          <w:rFonts w:ascii="Times New Roman" w:hAnsi="Times New Roman"/>
        </w:rPr>
        <w:t>107 </w:t>
      </w:r>
      <w:r>
        <w:rPr/>
        <w:t>хиљада</w:t>
      </w:r>
      <w:r>
        <w:rPr>
          <w:spacing w:val="-3"/>
        </w:rPr>
        <w:t> </w:t>
      </w:r>
      <w:r>
        <w:rPr/>
        <w:t>динара.</w:t>
      </w:r>
    </w:p>
    <w:p>
      <w:pPr>
        <w:spacing w:before="0"/>
        <w:ind w:left="160" w:right="172"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по Споразуму о регулисању дуга за електричну енергију број 3396/2013</w:t>
      </w:r>
      <w:r>
        <w:rPr>
          <w:rFonts w:ascii="Times New Roman" w:hAnsi="Times New Roman"/>
          <w:sz w:val="24"/>
        </w:rPr>
        <w:t>-</w:t>
      </w:r>
      <w:r>
        <w:rPr>
          <w:rFonts w:ascii="Times New Roman" w:hAnsi="Times New Roman"/>
          <w:sz w:val="24"/>
        </w:rPr>
        <w:t>01 од 30.09.2013. године који   </w:t>
      </w:r>
      <w:r>
        <w:rPr>
          <w:rFonts w:ascii="Times New Roman" w:hAnsi="Times New Roman"/>
          <w:spacing w:val="26"/>
          <w:sz w:val="24"/>
        </w:rPr>
        <w:t> </w:t>
      </w:r>
      <w:r>
        <w:rPr>
          <w:rFonts w:ascii="Times New Roman" w:hAnsi="Times New Roman"/>
          <w:sz w:val="24"/>
        </w:rPr>
        <w:t>је</w:t>
      </w:r>
    </w:p>
    <w:p>
      <w:pPr>
        <w:spacing w:after="0"/>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7"/>
        <w:jc w:val="both"/>
        <w:rPr>
          <w:rFonts w:ascii="Times New Roman" w:hAnsi="Times New Roman" w:cs="Times New Roman" w:eastAsia="Times New Roman" w:hint="default"/>
        </w:rPr>
      </w:pPr>
      <w:r>
        <w:rPr/>
        <w:t>закључио Градоначелник са „Југоисток“ доо Ниш, Град није пренео средства ПУ Пчелица у 2014. години за пет рата у износу од 2.215 хиљада</w:t>
      </w:r>
      <w:r>
        <w:rPr>
          <w:spacing w:val="-11"/>
        </w:rPr>
        <w:t> </w:t>
      </w:r>
      <w:r>
        <w:rPr/>
        <w:t>динара</w:t>
      </w:r>
      <w:r>
        <w:rPr>
          <w:rFonts w:ascii="Times New Roman" w:hAnsi="Times New Roman" w:cs="Times New Roman" w:eastAsia="Times New Roman" w:hint="default"/>
        </w:rPr>
        <w:t>.</w:t>
      </w:r>
    </w:p>
    <w:p>
      <w:pPr>
        <w:pStyle w:val="Heading2"/>
        <w:spacing w:line="274" w:lineRule="exact"/>
        <w:ind w:left="726" w:right="141" w:firstLine="0"/>
        <w:jc w:val="left"/>
        <w:rPr>
          <w:b w:val="0"/>
          <w:bCs w:val="0"/>
          <w:i w:val="0"/>
        </w:rPr>
      </w:pPr>
      <w:r>
        <w:rPr>
          <w:i/>
        </w:rPr>
        <w:t>Препоручује се одговорним лицима да примењују одредбе закључених</w:t>
      </w:r>
      <w:r>
        <w:rPr>
          <w:i/>
          <w:spacing w:val="-22"/>
        </w:rPr>
        <w:t> </w:t>
      </w:r>
      <w:r>
        <w:rPr>
          <w:i/>
        </w:rPr>
        <w:t>уговора.</w:t>
      </w:r>
      <w:r>
        <w:rPr>
          <w:b w:val="0"/>
          <w:i w:val="0"/>
        </w:rPr>
      </w:r>
    </w:p>
    <w:p>
      <w:pPr>
        <w:pStyle w:val="BodyText"/>
        <w:spacing w:line="240" w:lineRule="auto"/>
        <w:ind w:right="177"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Лож уље, субаналитички конто 421224 </w:t>
      </w:r>
      <w:r>
        <w:rPr/>
        <w:t>– Исказан је расход у износу од 19.021 </w:t>
      </w:r>
      <w:r>
        <w:rPr/>
        <w:t>хиљаде динара и то на терет буџета града у износу од 9.352 хиљаде динара, из буџета Републике 3.894 хиљаде динара и из осталих извора у износу од </w:t>
      </w:r>
      <w:r>
        <w:rPr>
          <w:rFonts w:ascii="Times New Roman" w:hAnsi="Times New Roman" w:cs="Times New Roman" w:eastAsia="Times New Roman" w:hint="default"/>
        </w:rPr>
        <w:t>5.775 </w:t>
      </w:r>
      <w:r>
        <w:rPr/>
        <w:t>хиљада</w:t>
      </w:r>
      <w:r>
        <w:rPr>
          <w:spacing w:val="-20"/>
        </w:rPr>
        <w:t> </w:t>
      </w:r>
      <w:r>
        <w:rPr/>
        <w:t>динара.</w:t>
      </w:r>
    </w:p>
    <w:p>
      <w:pPr>
        <w:pStyle w:val="Heading1"/>
        <w:spacing w:line="275" w:lineRule="exact"/>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1"/>
        </w:rPr>
        <w:t> </w:t>
      </w:r>
      <w:r>
        <w:rPr/>
        <w:t>је</w:t>
      </w:r>
      <w:r>
        <w:rPr>
          <w:rFonts w:ascii="Times New Roman" w:hAnsi="Times New Roman"/>
        </w:rPr>
        <w:t>:</w:t>
      </w:r>
      <w:r>
        <w:rPr>
          <w:rFonts w:ascii="Times New Roman" w:hAnsi="Times New Roman"/>
          <w:b w:val="0"/>
        </w:rPr>
      </w:r>
    </w:p>
    <w:p>
      <w:pPr>
        <w:pStyle w:val="ListParagraph"/>
        <w:numPr>
          <w:ilvl w:val="0"/>
          <w:numId w:val="9"/>
        </w:numPr>
        <w:tabs>
          <w:tab w:pos="303"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По захтеву за пренос средстава број 2615 од 01.04.2014. године из буџета града пренет је дана 06.05.2014. године износ од 2.443 хиљаде динара на рачун установе за лож уље по основу 11 рачуна специфицираних у прилогу захтева. Истог дана са рачуна установе извршено је плаћање добављачу „Еуро Мотус“ доо Београд у укупном износу од 2.059 хиљада динара, тако да су добављачу мање пренета средства буџета града у износу од  384 хиљаде динара. За средства из буџета града Ниша у износу од 384 хиљаде динара: одступљено је од захтева за пренос средстава и није извршено сравњење са директним корисником</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што је супротно члану </w:t>
      </w:r>
      <w:r>
        <w:rPr>
          <w:rFonts w:ascii="Times New Roman" w:hAnsi="Times New Roman" w:cs="Times New Roman" w:eastAsia="Times New Roman" w:hint="default"/>
          <w:sz w:val="24"/>
          <w:szCs w:val="24"/>
        </w:rPr>
        <w:t>78</w:t>
      </w:r>
      <w:r>
        <w:rPr>
          <w:rFonts w:ascii="Times New Roman" w:hAnsi="Times New Roman" w:cs="Times New Roman" w:eastAsia="Times New Roman" w:hint="default"/>
          <w:sz w:val="24"/>
          <w:szCs w:val="24"/>
        </w:rPr>
        <w:t>. Закона о буџетском систему</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члану 6. Уредбе о буџетском рачуноводству и члану 18. Одлуке о буџету града Ниша за 2014. годину</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Средства са рачуна су искоришћена за плаћање намирница у износу од 250 хиљада динара, трошкова платног промета у износу од 88 хиљада динара, принудну наплату судских такси у износу од 16 хиљада динара и трошкова принудне наплате у износу од  22 хиљаде</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динара.</w:t>
      </w:r>
    </w:p>
    <w:p>
      <w:pPr>
        <w:pStyle w:val="ListParagraph"/>
        <w:numPr>
          <w:ilvl w:val="0"/>
          <w:numId w:val="9"/>
        </w:numPr>
        <w:tabs>
          <w:tab w:pos="341" w:val="left" w:leader="none"/>
        </w:tabs>
        <w:spacing w:line="240" w:lineRule="auto" w:before="2"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Бројеви рачуна за набављено лож уље наведени у спецификацији, која је прилог</w:t>
      </w:r>
      <w:r>
        <w:rPr>
          <w:rFonts w:ascii="Times New Roman" w:hAnsi="Times New Roman"/>
          <w:spacing w:val="-27"/>
          <w:sz w:val="24"/>
        </w:rPr>
        <w:t> </w:t>
      </w:r>
      <w:r>
        <w:rPr>
          <w:rFonts w:ascii="Times New Roman" w:hAnsi="Times New Roman"/>
          <w:sz w:val="24"/>
        </w:rPr>
        <w:t>захтева </w:t>
      </w:r>
      <w:r>
        <w:rPr>
          <w:rFonts w:ascii="Times New Roman" w:hAnsi="Times New Roman"/>
          <w:sz w:val="24"/>
        </w:rPr>
        <w:t>за плаћање и рачуна наведених у позиву на број при плаћању се не подударају. Од 11 рачуна наведених у захтеву број 2615 од 01.04.2014. године, за које је Град пренео средства, измирена је обавеза по основу четири рачуна (бројеви рачуна и износи се подударају) док је обавеза за пет рачуна измирена а да исти нису наведени у</w:t>
      </w:r>
      <w:r>
        <w:rPr>
          <w:rFonts w:ascii="Times New Roman" w:hAnsi="Times New Roman"/>
          <w:spacing w:val="-32"/>
          <w:sz w:val="24"/>
        </w:rPr>
        <w:t> </w:t>
      </w:r>
      <w:r>
        <w:rPr>
          <w:rFonts w:ascii="Times New Roman" w:hAnsi="Times New Roman"/>
          <w:sz w:val="24"/>
        </w:rPr>
        <w:t>захтеву.</w:t>
      </w:r>
    </w:p>
    <w:p>
      <w:pPr>
        <w:pStyle w:val="ListParagraph"/>
        <w:numPr>
          <w:ilvl w:val="0"/>
          <w:numId w:val="9"/>
        </w:numPr>
        <w:tabs>
          <w:tab w:pos="341"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Обавеза по рачуну број 140451 од 25.02.2014. године у износу од 461 хиљаде динара за набављено лож </w:t>
      </w:r>
      <w:r>
        <w:rPr>
          <w:rFonts w:ascii="Times New Roman" w:hAnsi="Times New Roman" w:cs="Times New Roman" w:eastAsia="Times New Roman" w:hint="default"/>
          <w:spacing w:val="-2"/>
          <w:sz w:val="24"/>
          <w:szCs w:val="24"/>
        </w:rPr>
        <w:t>уље </w:t>
      </w:r>
      <w:r>
        <w:rPr>
          <w:rFonts w:ascii="Times New Roman" w:hAnsi="Times New Roman" w:cs="Times New Roman" w:eastAsia="Times New Roman" w:hint="default"/>
          <w:sz w:val="24"/>
          <w:szCs w:val="24"/>
        </w:rPr>
        <w:t>измирена је дана 28.03.2014. године, по уплати средстава из буџета </w:t>
      </w:r>
      <w:r>
        <w:rPr>
          <w:rFonts w:ascii="Times New Roman" w:hAnsi="Times New Roman" w:cs="Times New Roman" w:eastAsia="Times New Roman" w:hint="default"/>
          <w:sz w:val="24"/>
          <w:szCs w:val="24"/>
        </w:rPr>
        <w:t>Републике – Министарства просвете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а исти рачун наведен је у захтеву за плаћање број 2615 од 01.04.2014. године, по коме је Град пренео средства 06.05.2014. године, што је супротно члану 42. Упутства о раду трезора града Ниша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У току поступка ревизије, на захтев ревизора, достављено је образложење правдања преноса буџетских средстава за лож</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уље у периоду април – мај 2014. године у коме је истакнуто да је због великих дуговања према добављачу „Еуро мотус“ доо Београд вршен пренос средстава ради спречавања тужбе и трошкова. У датом образложењу се наводи да је разлог за пренос средстава добављачу дана 28.03.2014. године најављена уплата из буџета Града која није реализована, средства су пренета добављачу у циљу спречавања могуће тужбе пре уплате из буџета града</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Ниша.</w:t>
      </w:r>
    </w:p>
    <w:p>
      <w:pPr>
        <w:pStyle w:val="ListParagraph"/>
        <w:numPr>
          <w:ilvl w:val="0"/>
          <w:numId w:val="9"/>
        </w:numPr>
        <w:tabs>
          <w:tab w:pos="303" w:val="left" w:leader="none"/>
        </w:tabs>
        <w:spacing w:line="237" w:lineRule="auto" w:before="4"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Измирење новчаних обавеза по рачунима „Еуро мотус“ доо Београд није вршено у року од 45 дана, већ са закашњењем, што је супротно члану 4. Закона о роковима измирења новчаних обавеза у комерцијалним</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трансакцијама.</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је евидентиран расход у износу од 298 хиљада динара за набављен бензин уместо на групи 426000–материјал,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систем.</w:t>
      </w:r>
    </w:p>
    <w:p>
      <w:pPr>
        <w:pStyle w:val="Heading2"/>
        <w:spacing w:line="240" w:lineRule="auto"/>
        <w:ind w:right="174"/>
        <w:jc w:val="both"/>
        <w:rPr>
          <w:b w:val="0"/>
          <w:bCs w:val="0"/>
          <w:i w:val="0"/>
        </w:rPr>
      </w:pPr>
      <w:r>
        <w:rPr>
          <w:i/>
        </w:rPr>
        <w:t>Препоручује се одговорним лицима да врше сравњење са директним корисником, прате неизмирене обавезе по рачунима и подносе захтев за пренос средстава </w:t>
      </w:r>
      <w:r>
        <w:rPr>
          <w:i/>
          <w:spacing w:val="25"/>
        </w:rPr>
        <w:t> </w:t>
      </w:r>
      <w:r>
        <w:rPr>
          <w:i/>
        </w:rPr>
        <w:t>Управи</w:t>
      </w:r>
      <w:r>
        <w:rPr>
          <w:b w:val="0"/>
          <w:i w:val="0"/>
        </w:rPr>
      </w:r>
    </w:p>
    <w:p>
      <w:pPr>
        <w:spacing w:after="0" w:line="240" w:lineRule="auto"/>
        <w:jc w:val="both"/>
        <w:sectPr>
          <w:pgSz w:w="12240" w:h="15840"/>
          <w:pgMar w:header="740" w:footer="1274" w:top="1280" w:bottom="1460" w:left="1400" w:right="1260"/>
        </w:sectPr>
      </w:pPr>
    </w:p>
    <w:p>
      <w:pPr>
        <w:pStyle w:val="Heading2"/>
        <w:spacing w:line="240" w:lineRule="auto" w:before="126"/>
        <w:ind w:right="174" w:firstLine="0"/>
        <w:jc w:val="both"/>
        <w:rPr>
          <w:b w:val="0"/>
          <w:bCs w:val="0"/>
          <w:i w:val="0"/>
        </w:rPr>
      </w:pPr>
      <w:r>
        <w:rPr>
          <w:i/>
        </w:rPr>
        <w:t>за образовање за рачуне који нису измирени, новчане обавезе измирују у року прописаном Законом о роковима измирења новчаних обавеза у комерцијалним трансакцијама и обезбеде правилну примену одредби интерних аката,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BodyText"/>
        <w:spacing w:line="240" w:lineRule="auto"/>
        <w:ind w:right="170" w:firstLine="566"/>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Услуге водовода и канализације, субаналитички конто 421311 </w:t>
      </w:r>
      <w:r>
        <w:rPr/>
      </w:r>
      <w:r>
        <w:rPr>
          <w:rFonts w:ascii="Times New Roman" w:hAnsi="Times New Roman"/>
        </w:rPr>
        <w:t>- </w:t>
      </w:r>
      <w:r>
        <w:rPr/>
        <w:t>Исказан је расход у износу од 4.393 хиљаде динара и то из средстава буџета града у износу од 1.909 хиљада динара, из буџета Републике у износу од 1.264 хиљаде динара и из осталих извора у износу од </w:t>
      </w:r>
      <w:r>
        <w:rPr>
          <w:rFonts w:ascii="Times New Roman" w:hAnsi="Times New Roman"/>
        </w:rPr>
        <w:t>1.220 </w:t>
      </w:r>
      <w:r>
        <w:rPr/>
        <w:t>хиљада</w:t>
      </w:r>
      <w:r>
        <w:rPr>
          <w:spacing w:val="-6"/>
        </w:rPr>
        <w:t> </w:t>
      </w:r>
      <w:r>
        <w:rPr/>
        <w:t>динара</w:t>
      </w:r>
      <w:r>
        <w:rPr>
          <w:rFonts w:ascii="Times New Roman" w:hAnsi="Times New Roman"/>
        </w:rPr>
        <w:t>.</w:t>
      </w:r>
    </w:p>
    <w:p>
      <w:pPr>
        <w:pStyle w:val="BodyText"/>
        <w:spacing w:line="240" w:lineRule="auto"/>
        <w:ind w:left="726" w:right="141"/>
        <w:jc w:val="left"/>
        <w:rPr>
          <w:rFonts w:ascii="Times New Roman" w:hAnsi="Times New Roman" w:cs="Times New Roman" w:eastAsia="Times New Roman" w:hint="default"/>
        </w:rPr>
      </w:pPr>
      <w:r>
        <w:rPr/>
        <w:t>Ревизијом узорковане документације нису утврђене</w:t>
      </w:r>
      <w:r>
        <w:rPr>
          <w:spacing w:val="-21"/>
        </w:rPr>
        <w:t> </w:t>
      </w:r>
      <w:r>
        <w:rPr/>
        <w:t>неправилности</w:t>
      </w:r>
      <w:r>
        <w:rPr>
          <w:rFonts w:ascii="Times New Roman" w:hAnsi="Times New Roman"/>
          <w:b/>
        </w:rPr>
        <w:t>.</w:t>
      </w:r>
      <w:r>
        <w:rPr>
          <w:rFonts w:ascii="Times New Roman" w:hAnsi="Times New Roman"/>
        </w:rPr>
      </w:r>
    </w:p>
    <w:p>
      <w:pPr>
        <w:pStyle w:val="BodyText"/>
        <w:spacing w:line="240" w:lineRule="auto"/>
        <w:ind w:right="172" w:firstLine="566"/>
        <w:jc w:val="both"/>
      </w:pPr>
      <w:r>
        <w:rPr>
          <w:rFonts w:ascii="Times New Roman" w:hAnsi="Times New Roman"/>
        </w:rPr>
      </w:r>
      <w:r>
        <w:rPr>
          <w:rFonts w:ascii="Times New Roman" w:hAnsi="Times New Roman"/>
          <w:spacing w:val="-60"/>
          <w:u w:val="single" w:color="000000"/>
        </w:rPr>
        <w:t> </w:t>
      </w:r>
      <w:r>
        <w:rPr>
          <w:u w:val="single" w:color="000000"/>
        </w:rPr>
        <w:t>Услуге мобилног телефона, субаналитички конто 421414 </w:t>
      </w:r>
      <w:r>
        <w:rPr/>
      </w:r>
      <w:r>
        <w:rPr>
          <w:rFonts w:ascii="Times New Roman" w:hAnsi="Times New Roman"/>
        </w:rPr>
        <w:t>- </w:t>
      </w:r>
      <w:r>
        <w:rPr/>
        <w:t>Исказан је расход у износу од 504 хиљаде динара из осталих</w:t>
      </w:r>
      <w:r>
        <w:rPr>
          <w:spacing w:val="-14"/>
        </w:rPr>
        <w:t> </w:t>
      </w:r>
      <w:r>
        <w:rPr/>
        <w:t>извора.</w:t>
      </w:r>
    </w:p>
    <w:p>
      <w:pPr>
        <w:pStyle w:val="BodyText"/>
        <w:spacing w:line="240" w:lineRule="auto"/>
        <w:ind w:right="175" w:firstLine="566"/>
        <w:jc w:val="both"/>
      </w:pPr>
      <w:r>
        <w:rPr>
          <w:rFonts w:ascii="Times New Roman" w:hAnsi="Times New Roman"/>
          <w:b/>
        </w:rPr>
        <w:t>На основу ревизије узорковане документације утврђено је </w:t>
      </w:r>
      <w:r>
        <w:rPr/>
        <w:t>да се евидентирање расхода на име услуге коришћења мобилних телефона не врши у тренутку плаћања рачуна, већ после неколико месеци. На неколико месеци се врши прерачун износа плаћања и обуставе од плате и само се разлика евидентира као трошак коришћења мобилних телефона на субаналитичком конту 421414, што је супротно члану </w:t>
      </w:r>
      <w:r>
        <w:rPr>
          <w:rFonts w:ascii="Times New Roman" w:hAnsi="Times New Roman"/>
        </w:rPr>
        <w:t>54</w:t>
      </w:r>
      <w:r>
        <w:rPr/>
        <w:t>. став 9. Закона о буџетском систему и члану 5. Уредбе о буџетском</w:t>
      </w:r>
      <w:r>
        <w:rPr>
          <w:spacing w:val="-25"/>
        </w:rPr>
        <w:t> </w:t>
      </w:r>
      <w:r>
        <w:rPr/>
        <w:t>рачуноводству.</w:t>
      </w:r>
    </w:p>
    <w:p>
      <w:pPr>
        <w:pStyle w:val="Heading2"/>
        <w:spacing w:line="240" w:lineRule="auto"/>
        <w:ind w:right="179"/>
        <w:jc w:val="both"/>
        <w:rPr>
          <w:b w:val="0"/>
          <w:bCs w:val="0"/>
          <w:i w:val="0"/>
        </w:rPr>
      </w:pPr>
      <w:r>
        <w:rPr>
          <w:i/>
        </w:rPr>
        <w:t>Препоручује се одговорним лицима да евидентирање расхода врше на готовинској</w:t>
      </w:r>
      <w:r>
        <w:rPr>
          <w:i/>
          <w:spacing w:val="-3"/>
        </w:rPr>
        <w:t> </w:t>
      </w:r>
      <w:r>
        <w:rPr>
          <w:i/>
        </w:rPr>
        <w:t>основи.</w:t>
      </w:r>
      <w:r>
        <w:rPr>
          <w:b w:val="0"/>
          <w:i w:val="0"/>
        </w:rPr>
      </w:r>
    </w:p>
    <w:p>
      <w:pPr>
        <w:pStyle w:val="BodyText"/>
        <w:spacing w:line="240" w:lineRule="auto"/>
        <w:ind w:right="172" w:firstLine="566"/>
        <w:jc w:val="both"/>
      </w:pPr>
      <w:r>
        <w:rPr>
          <w:rFonts w:ascii="Times New Roman" w:hAnsi="Times New Roman"/>
        </w:rPr>
      </w:r>
      <w:r>
        <w:rPr>
          <w:rFonts w:ascii="Times New Roman" w:hAnsi="Times New Roman"/>
          <w:spacing w:val="-60"/>
          <w:u w:val="single" w:color="000000"/>
        </w:rPr>
        <w:t> </w:t>
      </w:r>
      <w:r>
        <w:rPr>
          <w:u w:val="single" w:color="000000"/>
        </w:rPr>
        <w:t>Закуп зграда и пословног простора, субаналитички конто 421611 </w:t>
      </w:r>
      <w:r>
        <w:rPr/>
      </w:r>
      <w:r>
        <w:rPr>
          <w:rFonts w:ascii="Times New Roman" w:hAnsi="Times New Roman"/>
          <w:i/>
        </w:rPr>
        <w:t>- </w:t>
      </w:r>
      <w:r>
        <w:rPr/>
        <w:t>Исказани су расходи у износу од 1.278 хиљада динара и то из сопствених</w:t>
      </w:r>
      <w:r>
        <w:rPr>
          <w:spacing w:val="-19"/>
        </w:rPr>
        <w:t> </w:t>
      </w:r>
      <w:r>
        <w:rPr/>
        <w:t>средстава.</w:t>
      </w:r>
    </w:p>
    <w:p>
      <w:pPr>
        <w:pStyle w:val="BodyText"/>
        <w:spacing w:line="240" w:lineRule="auto"/>
        <w:ind w:right="177" w:firstLine="566"/>
        <w:jc w:val="both"/>
      </w:pPr>
      <w:r>
        <w:rPr>
          <w:rFonts w:ascii="Times New Roman" w:hAnsi="Times New Roman" w:cs="Times New Roman" w:eastAsia="Times New Roman" w:hint="default"/>
          <w:b/>
          <w:bCs/>
        </w:rPr>
        <w:t>На основу ревизије узорковане документације утврђено је </w:t>
      </w:r>
      <w:r>
        <w:rPr/>
        <w:t>да је неправилно евидентиран расход у износу од 706 хиљада динара за комуналне услуге, уместо на синтетичком конту 421300 – комуналне услуге, што је супротно Правилнику о стандардном класификационом оквиру и контном плану за буџетски</w:t>
      </w:r>
      <w:r>
        <w:rPr>
          <w:spacing w:val="-31"/>
        </w:rPr>
        <w:t> </w:t>
      </w:r>
      <w:r>
        <w:rPr/>
        <w:t>систем.</w:t>
      </w:r>
    </w:p>
    <w:p>
      <w:pPr>
        <w:pStyle w:val="Heading2"/>
        <w:spacing w:line="240" w:lineRule="auto"/>
        <w:ind w:right="174"/>
        <w:jc w:val="both"/>
        <w:rPr>
          <w:b w:val="0"/>
          <w:bCs w:val="0"/>
          <w:i w:val="0"/>
        </w:rPr>
      </w:pPr>
      <w:r>
        <w:rPr>
          <w:i/>
        </w:rPr>
        <w:t>Препоручује се одговорним лицима да обезбеде правилну примену одредби Правилника о стандардном класификационом оквиру и контном плану за буџетски систем.</w:t>
      </w:r>
      <w:r>
        <w:rPr>
          <w:b w:val="0"/>
          <w:i w:val="0"/>
        </w:rPr>
      </w:r>
    </w:p>
    <w:p>
      <w:pPr>
        <w:pStyle w:val="ListParagraph"/>
        <w:numPr>
          <w:ilvl w:val="2"/>
          <w:numId w:val="29"/>
        </w:numPr>
        <w:tabs>
          <w:tab w:pos="1013" w:val="left" w:leader="none"/>
        </w:tabs>
        <w:spacing w:line="240" w:lineRule="auto" w:before="132" w:after="0"/>
        <w:ind w:left="160" w:right="174" w:firstLine="566"/>
        <w:jc w:val="both"/>
        <w:rPr>
          <w:rFonts w:ascii="Times New Roman" w:hAnsi="Times New Roman" w:cs="Times New Roman" w:eastAsia="Times New Roman" w:hint="default"/>
          <w:sz w:val="24"/>
          <w:szCs w:val="24"/>
        </w:rPr>
      </w:pPr>
      <w:r>
        <w:rPr>
          <w:rFonts w:ascii="Times New Roman" w:hAnsi="Times New Roman"/>
          <w:b/>
          <w:sz w:val="24"/>
        </w:rPr>
        <w:t>Управа за културу </w:t>
      </w:r>
      <w:r>
        <w:rPr>
          <w:rFonts w:ascii="Times New Roman" w:hAnsi="Times New Roman"/>
          <w:b/>
          <w:sz w:val="24"/>
        </w:rPr>
        <w:t>- </w:t>
      </w:r>
      <w:r>
        <w:rPr>
          <w:rFonts w:ascii="Times New Roman" w:hAnsi="Times New Roman"/>
          <w:sz w:val="24"/>
        </w:rPr>
        <w:t>Исказано је извршење у укупном износу од 24.771 хиљаде динара</w:t>
      </w:r>
      <w:r>
        <w:rPr>
          <w:rFonts w:ascii="Times New Roman" w:hAnsi="Times New Roman"/>
          <w:sz w:val="24"/>
        </w:rPr>
        <w:t>. </w:t>
      </w:r>
      <w:r>
        <w:rPr>
          <w:rFonts w:ascii="Times New Roman" w:hAnsi="Times New Roman"/>
          <w:sz w:val="24"/>
        </w:rPr>
        <w:t>Исказани расход се односи на индиректне буџетске кориснике и то: Нишки културни центар у износу од 6.560 хиљада динара, Галерија савремене  ликовне уметности у износу од 2.865 хиљада динара, Историјски архив у износу од 916 хиљада динара, Народна библиотека у износу од 1.894 хиљаде динара, Народно позориште у износу од 4.873 хиљаде динара, Позориште лутака у износу од 1.884 хиљаде динара, Нишки симфонијски оркестар у износу од 1.197 хиљада динара, Народни музеј у износу од 2.445 хиљада динара и Завод за заштиту споменика културе у износу од 2.379 хиљада динара.</w:t>
      </w:r>
    </w:p>
    <w:p>
      <w:pPr>
        <w:pStyle w:val="BodyText"/>
        <w:spacing w:line="240" w:lineRule="auto"/>
        <w:ind w:right="174" w:firstLine="566"/>
        <w:jc w:val="both"/>
      </w:pPr>
      <w:r>
        <w:rPr>
          <w:rFonts w:ascii="Times New Roman" w:hAnsi="Times New Roman"/>
          <w:b/>
        </w:rPr>
        <w:t>На основу ревизије узорковане документације утврђено је </w:t>
      </w:r>
      <w:r>
        <w:rPr/>
        <w:t>да је Управа за културу у Извештају о извршењу буџета </w:t>
      </w:r>
      <w:r>
        <w:rPr>
          <w:rFonts w:ascii="Times New Roman" w:hAnsi="Times New Roman"/>
        </w:rPr>
        <w:t>- </w:t>
      </w:r>
      <w:r>
        <w:rPr/>
        <w:t>консолидованом Обрасцу 5 мање исказала расход у износу од 242 хиљаде динара и то на име трошкова платног промета и банкарских услуга у износу од 192 хиљаде динара и на име услуге комуникације у износу од 50 хиљада динара</w:t>
      </w:r>
      <w:r>
        <w:rPr>
          <w:rFonts w:ascii="Times New Roman" w:hAnsi="Times New Roman"/>
        </w:rPr>
        <w:t>, </w:t>
      </w:r>
      <w:r>
        <w:rPr/>
        <w:t>а који се односе на индиректне кориснике Нишки културни центар у износу од 76 хиљада динара и Завод за заштиту споменика културе у износу од 166 хиљада</w:t>
      </w:r>
      <w:r>
        <w:rPr>
          <w:spacing w:val="38"/>
        </w:rPr>
        <w:t> </w:t>
      </w:r>
      <w:r>
        <w:rPr/>
        <w:t>динара,</w:t>
      </w:r>
      <w:r>
        <w:rPr>
          <w:spacing w:val="41"/>
        </w:rPr>
        <w:t> </w:t>
      </w:r>
      <w:r>
        <w:rPr/>
        <w:t>што</w:t>
      </w:r>
      <w:r>
        <w:rPr>
          <w:spacing w:val="37"/>
        </w:rPr>
        <w:t> </w:t>
      </w:r>
      <w:r>
        <w:rPr/>
        <w:t>није</w:t>
      </w:r>
      <w:r>
        <w:rPr>
          <w:spacing w:val="41"/>
        </w:rPr>
        <w:t> </w:t>
      </w:r>
      <w:r>
        <w:rPr/>
        <w:t>у</w:t>
      </w:r>
      <w:r>
        <w:rPr>
          <w:spacing w:val="34"/>
        </w:rPr>
        <w:t> </w:t>
      </w:r>
      <w:r>
        <w:rPr/>
        <w:t>складу</w:t>
      </w:r>
      <w:r>
        <w:rPr>
          <w:spacing w:val="34"/>
        </w:rPr>
        <w:t> </w:t>
      </w:r>
      <w:r>
        <w:rPr/>
        <w:t>са</w:t>
      </w:r>
      <w:r>
        <w:rPr>
          <w:spacing w:val="38"/>
        </w:rPr>
        <w:t> </w:t>
      </w:r>
      <w:r>
        <w:rPr/>
        <w:t>Правилником</w:t>
      </w:r>
      <w:r>
        <w:rPr>
          <w:spacing w:val="38"/>
        </w:rPr>
        <w:t> </w:t>
      </w:r>
      <w:r>
        <w:rPr/>
        <w:t>о</w:t>
      </w:r>
      <w:r>
        <w:rPr>
          <w:spacing w:val="37"/>
        </w:rPr>
        <w:t> </w:t>
      </w:r>
      <w:r>
        <w:rPr/>
        <w:t>начину</w:t>
      </w:r>
      <w:r>
        <w:rPr>
          <w:spacing w:val="32"/>
        </w:rPr>
        <w:t> </w:t>
      </w:r>
      <w:r>
        <w:rPr/>
        <w:t>припреме,</w:t>
      </w:r>
      <w:r>
        <w:rPr>
          <w:spacing w:val="39"/>
        </w:rPr>
        <w:t> </w:t>
      </w:r>
      <w:r>
        <w:rPr/>
        <w:t>састављања</w:t>
      </w:r>
      <w:r>
        <w:rPr>
          <w:spacing w:val="37"/>
        </w:rPr>
        <w:t> </w:t>
      </w:r>
      <w:r>
        <w:rPr/>
        <w:t>и</w:t>
      </w:r>
    </w:p>
    <w:p>
      <w:pPr>
        <w:spacing w:after="0" w:line="240" w:lineRule="auto"/>
        <w:jc w:val="both"/>
        <w:sectPr>
          <w:footerReference w:type="default" r:id="rId63"/>
          <w:pgSz w:w="12240" w:h="15840"/>
          <w:pgMar w:footer="1274" w:header="740" w:top="1280" w:bottom="1460" w:left="1400" w:right="1260"/>
        </w:sectPr>
      </w:pPr>
    </w:p>
    <w:p>
      <w:pPr>
        <w:pStyle w:val="BodyText"/>
        <w:tabs>
          <w:tab w:pos="1578" w:val="left" w:leader="none"/>
          <w:tab w:pos="3227" w:val="left" w:leader="none"/>
          <w:tab w:pos="4465" w:val="left" w:leader="none"/>
          <w:tab w:pos="5764" w:val="left" w:leader="none"/>
          <w:tab w:pos="7044" w:val="left" w:leader="none"/>
          <w:tab w:pos="8320" w:val="left" w:leader="none"/>
        </w:tabs>
        <w:spacing w:line="240" w:lineRule="auto" w:before="122"/>
        <w:ind w:right="182"/>
        <w:jc w:val="left"/>
      </w:pPr>
      <w:r>
        <w:rPr/>
        <w:t>подношења</w:t>
        <w:tab/>
        <w:t>финансијских</w:t>
        <w:tab/>
        <w:t>извештаја</w:t>
        <w:tab/>
        <w:t>корисника</w:t>
        <w:tab/>
        <w:t>буџетских</w:t>
        <w:tab/>
        <w:t>средстава,</w:t>
        <w:tab/>
        <w:t>корисника средстава организација за обавезно социјално осигурање и буџетских</w:t>
      </w:r>
      <w:r>
        <w:rPr>
          <w:spacing w:val="-26"/>
        </w:rPr>
        <w:t> </w:t>
      </w:r>
      <w:r>
        <w:rPr/>
        <w:t>фондова.</w:t>
      </w:r>
    </w:p>
    <w:p>
      <w:pPr>
        <w:pStyle w:val="Heading2"/>
        <w:spacing w:line="240" w:lineRule="auto"/>
        <w:ind w:right="175"/>
        <w:jc w:val="both"/>
        <w:rPr>
          <w:b w:val="0"/>
          <w:bCs w:val="0"/>
          <w:i w:val="0"/>
        </w:rPr>
      </w:pPr>
      <w:r>
        <w:rPr>
          <w:i/>
        </w:rPr>
        <w:t>Препоручује се одговорним лицима да обезбеде правилну примену одредби Правилника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буџетских</w:t>
      </w:r>
      <w:r>
        <w:rPr>
          <w:i/>
          <w:spacing w:val="-11"/>
        </w:rPr>
        <w:t> </w:t>
      </w:r>
      <w:r>
        <w:rPr>
          <w:i/>
        </w:rPr>
        <w:t>фондова.</w:t>
      </w:r>
      <w:r>
        <w:rPr>
          <w:b w:val="0"/>
          <w:i w:val="0"/>
        </w:rPr>
      </w:r>
    </w:p>
    <w:p>
      <w:pPr>
        <w:pStyle w:val="BodyText"/>
        <w:spacing w:line="240" w:lineRule="auto"/>
        <w:ind w:right="175" w:firstLine="566"/>
        <w:jc w:val="both"/>
      </w:pPr>
      <w:r>
        <w:rPr>
          <w:rFonts w:ascii="Times New Roman" w:hAnsi="Times New Roman"/>
          <w:b/>
        </w:rPr>
        <w:t>4а) Нишки културни центар </w:t>
      </w:r>
      <w:r>
        <w:rPr>
          <w:rFonts w:ascii="Times New Roman" w:hAnsi="Times New Roman"/>
          <w:b/>
        </w:rPr>
        <w:t>- </w:t>
      </w:r>
      <w:r>
        <w:rPr/>
        <w:t>Исказано је извршење у износу од 6.560 хиљада динара и то из средстава буџета града у износу од 3.977 хиљада динара, из средстава ООСО у износу од 71 хиљаде динара, из средстава донација у износу од пет хиљада динара и из осталих извора у износу од 2.507 хиљада динара. Исказан је расход за: трошкове платног промета и банкарских услуга у износу од 181 хиљаде динара, енергетске услуге у износу од 1.339 хиљада динара, комуналне услуге у износу од 1.612 хиљада динара, услуге комуникације у износу од 1.337 хиљада динара, трошкове осигурања у износу од 183 хиљаде динара и закуп имовине и опреме у износу од 1.908 хиљада</w:t>
      </w:r>
      <w:r>
        <w:rPr>
          <w:spacing w:val="-3"/>
        </w:rPr>
        <w:t> </w:t>
      </w:r>
      <w:r>
        <w:rPr/>
        <w:t>динара.</w:t>
      </w:r>
    </w:p>
    <w:p>
      <w:pPr>
        <w:pStyle w:val="BodyText"/>
        <w:spacing w:line="240" w:lineRule="auto"/>
        <w:ind w:right="175"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Услуге заштите имовине, субаналитички конто 421323 </w:t>
      </w:r>
      <w:r>
        <w:rPr/>
        <w:t>– Евидентиран је расход у </w:t>
      </w:r>
      <w:r>
        <w:rPr/>
        <w:t>износу од 1.130 хиљада динара из буџета</w:t>
      </w:r>
      <w:r>
        <w:rPr>
          <w:spacing w:val="-16"/>
        </w:rPr>
        <w:t> </w:t>
      </w:r>
      <w:r>
        <w:rPr/>
        <w:t>града.</w:t>
      </w:r>
    </w:p>
    <w:p>
      <w:pPr>
        <w:pStyle w:val="BodyText"/>
        <w:spacing w:line="240" w:lineRule="auto"/>
        <w:ind w:right="172" w:firstLine="566"/>
        <w:jc w:val="both"/>
        <w:rPr>
          <w:rFonts w:ascii="Times New Roman" w:hAnsi="Times New Roman" w:cs="Times New Roman" w:eastAsia="Times New Roman" w:hint="default"/>
        </w:rPr>
      </w:pPr>
      <w:r>
        <w:rPr>
          <w:rFonts w:ascii="Times New Roman" w:hAnsi="Times New Roman"/>
          <w:b/>
        </w:rPr>
        <w:t>На основу ревизије узорковане документације утврђено је </w:t>
      </w:r>
      <w:r>
        <w:rPr/>
        <w:t>да су рачуни за  услуге физичког обезбеђења нису евидентирани у пословним књигама у року од два дана од дана настанка пословне промене, односно истог или најкасније наредног дана од дана добијања рачуноводствене исправе, што је супротно члану 16. Уредбе о буџетском рачуноводству</w:t>
      </w:r>
      <w:r>
        <w:rPr>
          <w:rFonts w:ascii="Times New Roman" w:hAnsi="Times New Roman"/>
        </w:rPr>
        <w:t>.</w:t>
      </w:r>
    </w:p>
    <w:p>
      <w:pPr>
        <w:pStyle w:val="Heading2"/>
        <w:spacing w:line="240" w:lineRule="auto"/>
        <w:ind w:right="173"/>
        <w:jc w:val="both"/>
        <w:rPr>
          <w:b w:val="0"/>
          <w:bCs w:val="0"/>
          <w:i w:val="0"/>
        </w:rPr>
      </w:pPr>
      <w:r>
        <w:rPr>
          <w:i/>
        </w:rPr>
        <w:t>Препоручује се одговорним лицима да рачуноводствене исправе евидентирају у прописаним</w:t>
      </w:r>
      <w:r>
        <w:rPr>
          <w:i/>
          <w:spacing w:val="-9"/>
        </w:rPr>
        <w:t> </w:t>
      </w:r>
      <w:r>
        <w:rPr>
          <w:i/>
        </w:rPr>
        <w:t>роковима.</w:t>
      </w:r>
      <w:r>
        <w:rPr>
          <w:b w:val="0"/>
          <w:i w:val="0"/>
        </w:rPr>
      </w:r>
    </w:p>
    <w:p>
      <w:pPr>
        <w:pStyle w:val="ListParagraph"/>
        <w:numPr>
          <w:ilvl w:val="2"/>
          <w:numId w:val="29"/>
        </w:numPr>
        <w:tabs>
          <w:tab w:pos="1013" w:val="left" w:leader="none"/>
        </w:tabs>
        <w:spacing w:line="240" w:lineRule="auto" w:before="132" w:after="0"/>
        <w:ind w:left="160" w:right="173" w:firstLine="566"/>
        <w:jc w:val="both"/>
        <w:rPr>
          <w:rFonts w:ascii="Times New Roman" w:hAnsi="Times New Roman" w:cs="Times New Roman" w:eastAsia="Times New Roman" w:hint="default"/>
          <w:sz w:val="24"/>
          <w:szCs w:val="24"/>
        </w:rPr>
      </w:pPr>
      <w:r>
        <w:rPr>
          <w:rFonts w:ascii="Times New Roman" w:hAnsi="Times New Roman"/>
          <w:b/>
          <w:sz w:val="24"/>
        </w:rPr>
        <w:t>Управа за комуналне делатности, енергетику и саобраћај </w:t>
      </w:r>
      <w:r>
        <w:rPr>
          <w:rFonts w:ascii="Times New Roman" w:hAnsi="Times New Roman"/>
          <w:sz w:val="24"/>
        </w:rPr>
        <w:t>- </w:t>
      </w:r>
      <w:r>
        <w:rPr>
          <w:rFonts w:ascii="Times New Roman" w:hAnsi="Times New Roman"/>
          <w:sz w:val="24"/>
        </w:rPr>
        <w:t>Исказано је извршење у укупном износу од 6.742 хиљаде динара</w:t>
      </w:r>
      <w:r>
        <w:rPr>
          <w:rFonts w:ascii="Times New Roman" w:hAnsi="Times New Roman"/>
          <w:sz w:val="24"/>
        </w:rPr>
        <w:t>. </w:t>
      </w:r>
      <w:r>
        <w:rPr>
          <w:rFonts w:ascii="Times New Roman" w:hAnsi="Times New Roman"/>
          <w:sz w:val="24"/>
        </w:rPr>
        <w:t>Расход се у целости односи на индиректног корисника ЈП</w:t>
      </w:r>
      <w:r>
        <w:rPr>
          <w:rFonts w:ascii="Times New Roman" w:hAnsi="Times New Roman"/>
          <w:spacing w:val="-17"/>
          <w:sz w:val="24"/>
        </w:rPr>
        <w:t> </w:t>
      </w:r>
      <w:r>
        <w:rPr>
          <w:rFonts w:ascii="Times New Roman" w:hAnsi="Times New Roman"/>
          <w:sz w:val="24"/>
        </w:rPr>
        <w:t>Дирекција.</w:t>
      </w:r>
    </w:p>
    <w:p>
      <w:pPr>
        <w:pStyle w:val="BodyText"/>
        <w:spacing w:line="240" w:lineRule="auto"/>
        <w:ind w:right="173" w:firstLine="539"/>
        <w:jc w:val="both"/>
      </w:pPr>
      <w:r>
        <w:rPr>
          <w:rFonts w:ascii="Times New Roman" w:hAnsi="Times New Roman"/>
          <w:b/>
        </w:rPr>
        <w:t>5а) ЈП Дирекција </w:t>
      </w:r>
      <w:r>
        <w:rPr>
          <w:rFonts w:ascii="Times New Roman" w:hAnsi="Times New Roman"/>
          <w:b/>
        </w:rPr>
        <w:t>- </w:t>
      </w:r>
      <w:r>
        <w:rPr/>
        <w:t>Стални трошкови извршени су у износу од </w:t>
      </w:r>
      <w:r>
        <w:rPr>
          <w:rFonts w:ascii="Times New Roman" w:hAnsi="Times New Roman"/>
        </w:rPr>
        <w:t>6.742  </w:t>
      </w:r>
      <w:r>
        <w:rPr/>
        <w:t>хиљаде динара и то: трошкови платног промета и банкарских услуга у износу од </w:t>
      </w:r>
      <w:r>
        <w:rPr>
          <w:rFonts w:ascii="Times New Roman" w:hAnsi="Times New Roman"/>
        </w:rPr>
        <w:t>1.555 </w:t>
      </w:r>
      <w:r>
        <w:rPr/>
        <w:t>хиљада динара, енергетске услуге у износу од </w:t>
      </w:r>
      <w:r>
        <w:rPr>
          <w:rFonts w:ascii="Times New Roman" w:hAnsi="Times New Roman"/>
        </w:rPr>
        <w:t>1.436 </w:t>
      </w:r>
      <w:r>
        <w:rPr/>
        <w:t>хиљада динара, комуналне услуге у износу од 585 хиљада динара, услуге комуникације у износу од 1.704 хиљаде динара, трошкови осигурања у износу од 1.103 хиљаде динара, закуп имовине и опреме у износу од 346 хиљада динара и остали трошкови у износу од 13 хиљада</w:t>
      </w:r>
      <w:r>
        <w:rPr>
          <w:spacing w:val="-12"/>
        </w:rPr>
        <w:t> </w:t>
      </w:r>
      <w:r>
        <w:rPr/>
        <w:t>динара.</w:t>
      </w:r>
    </w:p>
    <w:p>
      <w:pPr>
        <w:pStyle w:val="BodyText"/>
        <w:spacing w:line="240" w:lineRule="auto"/>
        <w:ind w:right="173" w:firstLine="566"/>
        <w:jc w:val="both"/>
      </w:pPr>
      <w:r>
        <w:rPr>
          <w:rFonts w:ascii="Times New Roman" w:hAnsi="Times New Roman" w:cs="Times New Roman" w:eastAsia="Times New Roman" w:hint="default"/>
          <w:b/>
          <w:bCs/>
        </w:rPr>
        <w:t>На основу ревизије узорковане документације утврђено је </w:t>
      </w:r>
      <w:r>
        <w:rPr/>
        <w:t>да су неправилно на групи 421000 – стални трошкови, евидентирани расходи принудне наплате у износу од  </w:t>
      </w:r>
      <w:r>
        <w:rPr>
          <w:rFonts w:ascii="Times New Roman" w:hAnsi="Times New Roman" w:cs="Times New Roman" w:eastAsia="Times New Roman" w:hint="default"/>
        </w:rPr>
        <w:t>69 </w:t>
      </w:r>
      <w:r>
        <w:rPr/>
        <w:t>хиљада динара, уместо на групи 483000 – новчане казне и пенали по решењу судова</w:t>
      </w:r>
      <w:r>
        <w:rPr>
          <w:rFonts w:ascii="Times New Roman" w:hAnsi="Times New Roman" w:cs="Times New Roman" w:eastAsia="Times New Roman" w:hint="default"/>
        </w:rPr>
        <w:t>, </w:t>
      </w:r>
      <w:r>
        <w:rPr/>
        <w:t>што је супротно члану 9. Уредбе о буџетском рачуноводству и Правилнику о стандардном класификационом оквиру и контном плану за буџетски</w:t>
      </w:r>
      <w:r>
        <w:rPr>
          <w:spacing w:val="-31"/>
        </w:rPr>
        <w:t> </w:t>
      </w:r>
      <w:r>
        <w:rPr/>
        <w:t>систем.</w:t>
      </w:r>
    </w:p>
    <w:p>
      <w:pPr>
        <w:pStyle w:val="Heading2"/>
        <w:spacing w:line="240" w:lineRule="auto"/>
        <w:ind w:right="179"/>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ListParagraph"/>
        <w:numPr>
          <w:ilvl w:val="2"/>
          <w:numId w:val="29"/>
        </w:numPr>
        <w:tabs>
          <w:tab w:pos="1013" w:val="left" w:leader="none"/>
        </w:tabs>
        <w:spacing w:line="240" w:lineRule="auto" w:before="132" w:after="0"/>
        <w:ind w:left="160" w:right="176" w:firstLine="566"/>
        <w:jc w:val="both"/>
        <w:rPr>
          <w:rFonts w:ascii="Times New Roman" w:hAnsi="Times New Roman" w:cs="Times New Roman" w:eastAsia="Times New Roman" w:hint="default"/>
          <w:sz w:val="24"/>
          <w:szCs w:val="24"/>
        </w:rPr>
      </w:pPr>
      <w:r>
        <w:rPr>
          <w:rFonts w:ascii="Times New Roman" w:hAnsi="Times New Roman"/>
          <w:b/>
          <w:sz w:val="24"/>
        </w:rPr>
        <w:t>Управа за имовину и инспекцијске послове </w:t>
      </w:r>
      <w:r>
        <w:rPr>
          <w:rFonts w:ascii="Times New Roman" w:hAnsi="Times New Roman"/>
          <w:b/>
          <w:sz w:val="24"/>
        </w:rPr>
        <w:t>- </w:t>
      </w:r>
      <w:r>
        <w:rPr>
          <w:rFonts w:ascii="Times New Roman" w:hAnsi="Times New Roman"/>
          <w:sz w:val="24"/>
        </w:rPr>
        <w:t>Исказано је извршење у укупном износу од 3.298 хиљада динара на терет буџета града. Исказани су расходи за: енергетске услуге  у износу од  2.396  хиљада  динара,  комуналне  услуге  у износу од  осам </w:t>
      </w:r>
      <w:r>
        <w:rPr>
          <w:rFonts w:ascii="Times New Roman" w:hAnsi="Times New Roman"/>
          <w:spacing w:val="19"/>
          <w:sz w:val="24"/>
        </w:rPr>
        <w:t> </w:t>
      </w:r>
      <w:r>
        <w:rPr>
          <w:rFonts w:ascii="Times New Roman" w:hAnsi="Times New Roman"/>
          <w:sz w:val="24"/>
        </w:rPr>
        <w:t>хиљада</w:t>
      </w:r>
    </w:p>
    <w:p>
      <w:pPr>
        <w:spacing w:after="0" w:line="240" w:lineRule="auto"/>
        <w:jc w:val="both"/>
        <w:rPr>
          <w:rFonts w:ascii="Times New Roman" w:hAnsi="Times New Roman" w:cs="Times New Roman" w:eastAsia="Times New Roman" w:hint="default"/>
          <w:sz w:val="24"/>
          <w:szCs w:val="24"/>
        </w:rPr>
        <w:sectPr>
          <w:footerReference w:type="default" r:id="rId64"/>
          <w:pgSz w:w="12240" w:h="15840"/>
          <w:pgMar w:footer="1274" w:header="740" w:top="1280" w:bottom="1460" w:left="1400" w:right="1260"/>
          <w:pgNumType w:start="91"/>
        </w:sectPr>
      </w:pPr>
    </w:p>
    <w:p>
      <w:pPr>
        <w:pStyle w:val="BodyText"/>
        <w:spacing w:line="240" w:lineRule="auto" w:before="122"/>
        <w:ind w:right="183"/>
        <w:jc w:val="both"/>
      </w:pPr>
      <w:r>
        <w:rPr/>
        <w:t>динара, закуп имовине и опреме у износу од 731 хиљаде динара и остале трошкове у износу од 163 хиљаде</w:t>
      </w:r>
      <w:r>
        <w:rPr>
          <w:spacing w:val="-8"/>
        </w:rPr>
        <w:t> </w:t>
      </w:r>
      <w:r>
        <w:rPr/>
        <w:t>динара.</w:t>
      </w:r>
    </w:p>
    <w:p>
      <w:pPr>
        <w:pStyle w:val="BodyText"/>
        <w:spacing w:line="240" w:lineRule="auto"/>
        <w:ind w:right="175" w:firstLine="566"/>
        <w:jc w:val="both"/>
      </w:pPr>
      <w:r>
        <w:rPr/>
        <w:t>Одлуком о буџету града Ниша за 2014. годину у разделу 3, глави 3.9 – Управа за имовину и инспекцијске послове, на позицији број 226 планирана су средства за сталне трошкове: енергетске услуге за празан пословни и стамбени простор којим управља и располаже град, затим за пословни простор у улици Наде Томић број 13 који, на основу Уговора користи установа „Нишки културни центар“, енергетске услуге и закуп пословног простора у улици Страхињића Бана број 3 у ПЦ „Амбасадор“, закуп пословног простора у улици Вождовој број</w:t>
      </w:r>
      <w:r>
        <w:rPr>
          <w:spacing w:val="-7"/>
        </w:rPr>
        <w:t> </w:t>
      </w:r>
      <w:r>
        <w:rPr/>
        <w:t>24.</w:t>
      </w:r>
    </w:p>
    <w:p>
      <w:pPr>
        <w:pStyle w:val="BodyText"/>
        <w:spacing w:line="240" w:lineRule="auto"/>
        <w:ind w:right="174" w:firstLine="566"/>
        <w:jc w:val="both"/>
      </w:pPr>
      <w:r>
        <w:rPr/>
        <w:t>На основу члана 11. Одлуке о прибављању, располагању и управљању стварима у јавној својини Града Ниша непокретним стварима у јавној својини Града управља  Управа надлежна за имовину Града</w:t>
      </w:r>
      <w:r>
        <w:rPr>
          <w:spacing w:val="-13"/>
        </w:rPr>
        <w:t> </w:t>
      </w:r>
      <w:r>
        <w:rPr/>
        <w:t>Ниша.</w:t>
      </w:r>
    </w:p>
    <w:p>
      <w:pPr>
        <w:pStyle w:val="BodyText"/>
        <w:spacing w:line="240" w:lineRule="auto"/>
        <w:ind w:right="173"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Услуге за електричну енергију, субаналитички конто 421211 </w:t>
      </w:r>
      <w:r>
        <w:rPr/>
      </w:r>
      <w:r>
        <w:rPr>
          <w:rFonts w:ascii="Times New Roman" w:hAnsi="Times New Roman" w:cs="Times New Roman" w:eastAsia="Times New Roman" w:hint="default"/>
          <w:b/>
          <w:bCs/>
        </w:rPr>
        <w:t>– </w:t>
      </w:r>
      <w:r>
        <w:rPr/>
        <w:t>Исказан је расход у износу од </w:t>
      </w:r>
      <w:r>
        <w:rPr>
          <w:rFonts w:ascii="Times New Roman" w:hAnsi="Times New Roman" w:cs="Times New Roman" w:eastAsia="Times New Roman" w:hint="default"/>
        </w:rPr>
        <w:t>1.914 </w:t>
      </w:r>
      <w:r>
        <w:rPr/>
        <w:t>хиљада</w:t>
      </w:r>
      <w:r>
        <w:rPr>
          <w:spacing w:val="-7"/>
        </w:rPr>
        <w:t> </w:t>
      </w:r>
      <w:r>
        <w:rPr/>
        <w:t>динара.</w:t>
      </w:r>
    </w:p>
    <w:p>
      <w:pPr>
        <w:pStyle w:val="BodyText"/>
        <w:spacing w:line="240" w:lineRule="auto"/>
        <w:ind w:right="173" w:firstLine="566"/>
        <w:jc w:val="both"/>
      </w:pPr>
      <w:r>
        <w:rPr/>
        <w:t>Градоначелник града Ниша закључио је Споразум о регулисању дуга за електричну енергију број 3396/2013</w:t>
      </w:r>
      <w:r>
        <w:rPr>
          <w:rFonts w:ascii="Times New Roman" w:hAnsi="Times New Roman" w:cs="Times New Roman" w:eastAsia="Times New Roman" w:hint="default"/>
        </w:rPr>
        <w:t>-</w:t>
      </w:r>
      <w:r>
        <w:rPr/>
        <w:t>01 од 30.09.2013. године са Привредним друштвом за дистрибуцију електричне енергије „Југоисток“ доо Ниш, огранак ЕД Ниш, којим је утврђена динамика измирења дуговања установа – купаца електричне енергије, које се финансирају из буџета града Ниша. Споразумом је утврђен укупан дуг за утрошену електричну енергију града Ниша преко Управе за имовину и инспекцијске послове на  дан 31.05.2013. године у износу од 2.591 хиљаде динара, условни отпис дуговања у износу од 389 хиљада динара (што чини 15% износа дуга), износ дуговања који се репрограмира од 2.203 хиљаде динара, у 60 рата и износ месечне рате од </w:t>
      </w:r>
      <w:r>
        <w:rPr>
          <w:rFonts w:ascii="Times New Roman" w:hAnsi="Times New Roman" w:cs="Times New Roman" w:eastAsia="Times New Roman" w:hint="default"/>
        </w:rPr>
        <w:t>37 </w:t>
      </w:r>
      <w:r>
        <w:rPr/>
        <w:t>хиљада динара</w:t>
      </w:r>
      <w:r>
        <w:rPr>
          <w:rFonts w:ascii="Times New Roman" w:hAnsi="Times New Roman" w:cs="Times New Roman" w:eastAsia="Times New Roman" w:hint="default"/>
        </w:rPr>
        <w:t>. </w:t>
      </w:r>
      <w:r>
        <w:rPr/>
        <w:t>На основу закљученог Споразума извршени су расходи у износу од 441 хиљаде 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2"/>
        </w:rPr>
        <w:t> </w:t>
      </w:r>
      <w:r>
        <w:rPr/>
        <w:t>је:</w:t>
      </w:r>
      <w:r>
        <w:rPr>
          <w:b w:val="0"/>
        </w:rPr>
      </w:r>
    </w:p>
    <w:p>
      <w:pPr>
        <w:pStyle w:val="ListParagraph"/>
        <w:numPr>
          <w:ilvl w:val="0"/>
          <w:numId w:val="9"/>
        </w:numPr>
        <w:tabs>
          <w:tab w:pos="303" w:val="left" w:leader="none"/>
        </w:tabs>
        <w:spacing w:line="237" w:lineRule="auto" w:before="1"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Приликом измирења рате утврђене Споразумом о регулисању дуга за електричну енергију у пословним књигама Управе за имовину и инспекцијске послове вршено је и евидентирање обавезе према Привредном друштву за дистрибуцију електричне </w:t>
      </w:r>
      <w:r>
        <w:rPr>
          <w:rFonts w:ascii="Times New Roman" w:hAnsi="Times New Roman"/>
          <w:spacing w:val="59"/>
          <w:sz w:val="24"/>
        </w:rPr>
        <w:t> </w:t>
      </w:r>
      <w:r>
        <w:rPr>
          <w:rFonts w:ascii="Times New Roman" w:hAnsi="Times New Roman"/>
          <w:sz w:val="24"/>
        </w:rPr>
        <w:t>енергије</w:t>
      </w:r>
    </w:p>
    <w:p>
      <w:pPr>
        <w:pStyle w:val="BodyText"/>
        <w:spacing w:line="240" w:lineRule="auto"/>
        <w:ind w:right="185"/>
        <w:jc w:val="both"/>
      </w:pPr>
      <w:r>
        <w:rPr/>
        <w:t>„Југоисток“ доо Ниш, огранак ЕД Ниш у истом износу, што је супротно члану 58. Закона о буџетском систему и члану 16. Уредбе о буџетском</w:t>
      </w:r>
      <w:r>
        <w:rPr>
          <w:spacing w:val="-20"/>
        </w:rPr>
        <w:t> </w:t>
      </w:r>
      <w:r>
        <w:rPr/>
        <w:t>рачуноводству.</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Обавезе по рачунима за утрошену електричну енергију у пословним књигама Управе за имовину и инспекцијске послове нису евидентиране у року од два дана од дана настанка пословне промене, односно истог или најкасније наредног дана од дана добијања рачуноводствене исправе, већ у моменту њиховог измирења, што је супротно члану 16. Уредбе о буџетском</w:t>
      </w:r>
      <w:r>
        <w:rPr>
          <w:rFonts w:ascii="Times New Roman" w:hAnsi="Times New Roman"/>
          <w:spacing w:val="-8"/>
          <w:sz w:val="24"/>
        </w:rPr>
        <w:t> </w:t>
      </w:r>
      <w:r>
        <w:rPr>
          <w:rFonts w:ascii="Times New Roman" w:hAnsi="Times New Roman"/>
          <w:sz w:val="24"/>
        </w:rPr>
        <w:t>рачуноводству</w:t>
      </w:r>
      <w:r>
        <w:rPr>
          <w:rFonts w:ascii="Times New Roman" w:hAnsi="Times New Roman"/>
          <w:sz w:val="24"/>
        </w:rPr>
        <w:t>.</w:t>
      </w:r>
    </w:p>
    <w:p>
      <w:pPr>
        <w:pStyle w:val="ListParagraph"/>
        <w:numPr>
          <w:ilvl w:val="0"/>
          <w:numId w:val="9"/>
        </w:numPr>
        <w:tabs>
          <w:tab w:pos="303" w:val="left" w:leader="none"/>
        </w:tabs>
        <w:spacing w:line="237" w:lineRule="auto" w:before="4" w:after="0"/>
        <w:ind w:left="160" w:right="185" w:firstLine="0"/>
        <w:jc w:val="both"/>
        <w:rPr>
          <w:rFonts w:ascii="Times New Roman" w:hAnsi="Times New Roman" w:cs="Times New Roman" w:eastAsia="Times New Roman" w:hint="default"/>
          <w:sz w:val="24"/>
          <w:szCs w:val="24"/>
        </w:rPr>
      </w:pPr>
      <w:r>
        <w:rPr>
          <w:rFonts w:ascii="Times New Roman" w:hAnsi="Times New Roman"/>
          <w:sz w:val="24"/>
        </w:rPr>
        <w:t>Евидентирање обавезе за утрошену електричну енергију вршено је у износу задужења  за месец на који се рачун односи, док обавеза по камати, наведена на рачуну, није евидентирана</w:t>
      </w:r>
      <w:r>
        <w:rPr>
          <w:rFonts w:ascii="Times New Roman" w:hAnsi="Times New Roman"/>
          <w:sz w:val="24"/>
        </w:rPr>
        <w:t>.</w:t>
      </w:r>
    </w:p>
    <w:p>
      <w:pPr>
        <w:pStyle w:val="ListParagraph"/>
        <w:numPr>
          <w:ilvl w:val="0"/>
          <w:numId w:val="9"/>
        </w:numPr>
        <w:tabs>
          <w:tab w:pos="303" w:val="left" w:leader="none"/>
        </w:tabs>
        <w:spacing w:line="274" w:lineRule="exact" w:before="24"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Пословне књиге Управе за имовину и инспекцијске послове не воде се хронолошки и ажурно, што је супротно члану 9. Уредбе о буџетском</w:t>
      </w:r>
      <w:r>
        <w:rPr>
          <w:rFonts w:ascii="Times New Roman" w:hAnsi="Times New Roman"/>
          <w:spacing w:val="-19"/>
          <w:sz w:val="24"/>
        </w:rPr>
        <w:t> </w:t>
      </w:r>
      <w:r>
        <w:rPr>
          <w:rFonts w:ascii="Times New Roman" w:hAnsi="Times New Roman"/>
          <w:sz w:val="24"/>
        </w:rPr>
        <w:t>рачуноводству.</w:t>
      </w:r>
    </w:p>
    <w:p>
      <w:pPr>
        <w:pStyle w:val="Heading2"/>
        <w:spacing w:line="240" w:lineRule="auto" w:before="2"/>
        <w:ind w:right="177"/>
        <w:jc w:val="both"/>
        <w:rPr>
          <w:b w:val="0"/>
          <w:bCs w:val="0"/>
          <w:i w:val="0"/>
        </w:rPr>
      </w:pPr>
      <w:r>
        <w:rPr>
          <w:i/>
        </w:rPr>
        <w:t>Препоручује се одговорним лицима да рачуноводствене исправе евидентирају у прописаним роковима и да пословне књиге воде хронолошки и</w:t>
      </w:r>
      <w:r>
        <w:rPr>
          <w:i/>
          <w:spacing w:val="-17"/>
        </w:rPr>
        <w:t> </w:t>
      </w:r>
      <w:r>
        <w:rPr>
          <w:i/>
        </w:rPr>
        <w:t>ажурно.</w:t>
      </w:r>
      <w:r>
        <w:rPr>
          <w:b w:val="0"/>
          <w:i w:val="0"/>
        </w:rPr>
      </w:r>
    </w:p>
    <w:p>
      <w:pPr>
        <w:pStyle w:val="BodyText"/>
        <w:spacing w:line="272" w:lineRule="exact"/>
        <w:ind w:left="726" w:right="141"/>
        <w:jc w:val="left"/>
      </w:pPr>
      <w:r>
        <w:rPr>
          <w:rFonts w:ascii="Times New Roman" w:hAnsi="Times New Roman"/>
        </w:rPr>
      </w:r>
      <w:r>
        <w:rPr>
          <w:rFonts w:ascii="Times New Roman" w:hAnsi="Times New Roman"/>
          <w:spacing w:val="-60"/>
          <w:u w:val="single" w:color="000000"/>
        </w:rPr>
        <w:t> </w:t>
      </w:r>
      <w:r>
        <w:rPr>
          <w:u w:val="single" w:color="000000"/>
        </w:rPr>
        <w:t>Централно</w:t>
      </w:r>
      <w:r>
        <w:rPr>
          <w:spacing w:val="32"/>
          <w:u w:val="single" w:color="000000"/>
        </w:rPr>
        <w:t> </w:t>
      </w:r>
      <w:r>
        <w:rPr>
          <w:u w:val="single" w:color="000000"/>
        </w:rPr>
        <w:t>грејање,</w:t>
      </w:r>
      <w:r>
        <w:rPr>
          <w:spacing w:val="34"/>
          <w:u w:val="single" w:color="000000"/>
        </w:rPr>
        <w:t> </w:t>
      </w:r>
      <w:r>
        <w:rPr>
          <w:u w:val="single" w:color="000000"/>
        </w:rPr>
        <w:t>субаналитички</w:t>
      </w:r>
      <w:r>
        <w:rPr>
          <w:spacing w:val="33"/>
          <w:u w:val="single" w:color="000000"/>
        </w:rPr>
        <w:t> </w:t>
      </w:r>
      <w:r>
        <w:rPr>
          <w:u w:val="single" w:color="000000"/>
        </w:rPr>
        <w:t>конто</w:t>
      </w:r>
      <w:r>
        <w:rPr>
          <w:spacing w:val="32"/>
          <w:u w:val="single" w:color="000000"/>
        </w:rPr>
        <w:t> </w:t>
      </w:r>
      <w:r>
        <w:rPr>
          <w:u w:val="single" w:color="000000"/>
        </w:rPr>
        <w:t>421225</w:t>
      </w:r>
      <w:r>
        <w:rPr>
          <w:spacing w:val="32"/>
          <w:u w:val="single" w:color="000000"/>
        </w:rPr>
        <w:t> </w:t>
      </w:r>
      <w:r>
        <w:rPr>
          <w:spacing w:val="32"/>
        </w:rPr>
      </w:r>
      <w:r>
        <w:rPr>
          <w:rFonts w:ascii="Times New Roman" w:hAnsi="Times New Roman"/>
          <w:b/>
        </w:rPr>
        <w:t>-</w:t>
      </w:r>
      <w:r>
        <w:rPr>
          <w:rFonts w:ascii="Times New Roman" w:hAnsi="Times New Roman"/>
          <w:b/>
          <w:spacing w:val="31"/>
        </w:rPr>
        <w:t> </w:t>
      </w:r>
      <w:r>
        <w:rPr/>
        <w:t>Исказан</w:t>
      </w:r>
      <w:r>
        <w:rPr>
          <w:spacing w:val="33"/>
        </w:rPr>
        <w:t> </w:t>
      </w:r>
      <w:r>
        <w:rPr/>
        <w:t>је</w:t>
      </w:r>
      <w:r>
        <w:rPr>
          <w:spacing w:val="31"/>
        </w:rPr>
        <w:t> </w:t>
      </w:r>
      <w:r>
        <w:rPr/>
        <w:t>расход</w:t>
      </w:r>
      <w:r>
        <w:rPr>
          <w:spacing w:val="37"/>
        </w:rPr>
        <w:t> </w:t>
      </w:r>
      <w:r>
        <w:rPr/>
        <w:t>у</w:t>
      </w:r>
      <w:r>
        <w:rPr>
          <w:spacing w:val="27"/>
        </w:rPr>
        <w:t> </w:t>
      </w:r>
      <w:r>
        <w:rPr/>
        <w:t>износу</w:t>
      </w:r>
      <w:r>
        <w:rPr>
          <w:spacing w:val="29"/>
        </w:rPr>
        <w:t> </w:t>
      </w:r>
      <w:r>
        <w:rPr/>
        <w:t>од</w:t>
      </w:r>
    </w:p>
    <w:p>
      <w:pPr>
        <w:pStyle w:val="BodyText"/>
        <w:spacing w:line="240" w:lineRule="auto"/>
        <w:ind w:right="0"/>
        <w:jc w:val="both"/>
      </w:pPr>
      <w:r>
        <w:rPr>
          <w:rFonts w:ascii="Times New Roman" w:hAnsi="Times New Roman"/>
        </w:rPr>
        <w:t>482  </w:t>
      </w:r>
      <w:r>
        <w:rPr/>
        <w:t>хиљаде  динара  за  централно  грејање  у  пословном  простору  у  поткровљу     </w:t>
      </w:r>
      <w:r>
        <w:rPr>
          <w:spacing w:val="35"/>
        </w:rPr>
        <w:t> </w:t>
      </w:r>
      <w:r>
        <w:rPr/>
        <w:t>ПЦ</w:t>
      </w:r>
    </w:p>
    <w:p>
      <w:pPr>
        <w:pStyle w:val="BodyText"/>
        <w:spacing w:line="240" w:lineRule="auto"/>
        <w:ind w:right="0"/>
        <w:jc w:val="both"/>
      </w:pPr>
      <w:r>
        <w:rPr/>
        <w:t>„Амбасадор“ у Нишу по рачунима из 2011. и 2012.</w:t>
      </w:r>
      <w:r>
        <w:rPr>
          <w:spacing w:val="-8"/>
        </w:rPr>
        <w:t> </w:t>
      </w:r>
      <w:r>
        <w:rPr/>
        <w:t>године.</w:t>
      </w:r>
    </w:p>
    <w:p>
      <w:pPr>
        <w:spacing w:after="0" w:line="240" w:lineRule="auto"/>
        <w:jc w:val="both"/>
        <w:sectPr>
          <w:pgSz w:w="12240" w:h="15840"/>
          <w:pgMar w:header="740" w:footer="1274" w:top="1280" w:bottom="1460" w:left="1400" w:right="1260"/>
        </w:sectPr>
      </w:pPr>
    </w:p>
    <w:p>
      <w:pPr>
        <w:pStyle w:val="BodyText"/>
        <w:spacing w:line="240" w:lineRule="auto" w:before="122"/>
        <w:ind w:left="726" w:right="141"/>
        <w:jc w:val="left"/>
        <w:rPr>
          <w:rFonts w:ascii="Times New Roman" w:hAnsi="Times New Roman" w:cs="Times New Roman" w:eastAsia="Times New Roman" w:hint="default"/>
        </w:rPr>
      </w:pPr>
      <w:r>
        <w:rPr/>
        <w:t>На основу ревизије узорковане документације нису утврђене</w:t>
      </w:r>
      <w:r>
        <w:rPr>
          <w:spacing w:val="-16"/>
        </w:rPr>
        <w:t> </w:t>
      </w:r>
      <w:r>
        <w:rPr/>
        <w:t>неправилности</w:t>
      </w:r>
      <w:r>
        <w:rPr>
          <w:rFonts w:ascii="Times New Roman" w:hAnsi="Times New Roman"/>
          <w:i/>
        </w:rPr>
        <w:t>.</w:t>
      </w:r>
      <w:r>
        <w:rPr>
          <w:rFonts w:ascii="Times New Roman" w:hAnsi="Times New Roman"/>
        </w:rPr>
      </w:r>
    </w:p>
    <w:p>
      <w:pPr>
        <w:pStyle w:val="BodyText"/>
        <w:spacing w:line="276" w:lineRule="exact" w:before="3"/>
        <w:ind w:right="173"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Закуп осталог простора, субаналитички конто </w:t>
      </w:r>
      <w:r>
        <w:rPr>
          <w:rFonts w:ascii="Times New Roman" w:hAnsi="Times New Roman" w:cs="Times New Roman" w:eastAsia="Times New Roman" w:hint="default"/>
          <w:u w:val="single" w:color="000000"/>
        </w:rPr>
        <w:t>421619 </w:t>
      </w:r>
      <w:r>
        <w:rPr>
          <w:rFonts w:ascii="Times New Roman" w:hAnsi="Times New Roman" w:cs="Times New Roman" w:eastAsia="Times New Roman" w:hint="default"/>
        </w:rPr>
      </w:r>
      <w:r>
        <w:rPr/>
        <w:t>– Исказан је расход у износу од 731 хиљаде динара, по основу закупнине за три месеца: децембар 2012. године, март и април 2013. године, за изнајмљени пословни простор у улици Вождовој број 24. Пословни простор је изнајмљен за рад Одсека за утврђивање, наплату и контролу изворних прихода локалне самоуправе на основу Уговора о закупу пословног простора који је Градоначелник града Ниша закључио са ЈП „Нишстан“ Ниш број 18</w:t>
      </w:r>
      <w:r>
        <w:rPr>
          <w:rFonts w:ascii="Times New Roman" w:hAnsi="Times New Roman" w:cs="Times New Roman" w:eastAsia="Times New Roman" w:hint="default"/>
        </w:rPr>
        <w:t>-</w:t>
      </w:r>
      <w:r>
        <w:rPr/>
        <w:t>29/2007 од 29.03.2007. године и Анекса уговора број 01</w:t>
      </w:r>
      <w:r>
        <w:rPr>
          <w:rFonts w:ascii="Times New Roman" w:hAnsi="Times New Roman" w:cs="Times New Roman" w:eastAsia="Times New Roman" w:hint="default"/>
        </w:rPr>
        <w:t>-</w:t>
      </w:r>
      <w:r>
        <w:rPr/>
        <w:t>1644 од 02.07.2008. године (који није потписан од стране Градоначелника). По Уговору, период закупа је три године, закупљена површина износи 309 м</w:t>
      </w:r>
      <w:r>
        <w:rPr>
          <w:rFonts w:ascii="Times New Roman" w:hAnsi="Times New Roman" w:cs="Times New Roman" w:eastAsia="Times New Roman" w:hint="default"/>
          <w:position w:val="11"/>
          <w:sz w:val="16"/>
          <w:szCs w:val="16"/>
        </w:rPr>
        <w:t>2</w:t>
      </w:r>
      <w:r>
        <w:rPr/>
        <w:t>, цена по метру квадратном једнака је цени од 657,20 динара. У поступку ревизије није достављен Анекс уговора о продужетку рока</w:t>
      </w:r>
      <w:r>
        <w:rPr>
          <w:spacing w:val="-31"/>
        </w:rPr>
        <w:t> </w:t>
      </w:r>
      <w:r>
        <w:rPr/>
        <w:t>закупа.</w:t>
      </w:r>
    </w:p>
    <w:p>
      <w:pPr>
        <w:pStyle w:val="BodyText"/>
        <w:spacing w:line="240" w:lineRule="auto"/>
        <w:ind w:right="173" w:firstLine="566"/>
        <w:jc w:val="both"/>
      </w:pPr>
      <w:r>
        <w:rPr>
          <w:rFonts w:ascii="Times New Roman" w:hAnsi="Times New Roman"/>
          <w:b/>
        </w:rPr>
        <w:t>На основу ревизије узорковане документације утврђено је </w:t>
      </w:r>
      <w:r>
        <w:rPr/>
        <w:t>да је извршен расход у износу од 731 хиљаде динара за закуп пословног простора у улици Вождовој број 24,   за месеце: децембар 2012. године, март и април 2013. године, односно за период за који је трајање закупа по Уговору о закупу пословног простора број 18</w:t>
      </w:r>
      <w:r>
        <w:rPr>
          <w:rFonts w:ascii="Times New Roman" w:hAnsi="Times New Roman"/>
        </w:rPr>
        <w:t>-</w:t>
      </w:r>
      <w:r>
        <w:rPr/>
        <w:t>29/2007 од 29.03.2007. године истекао, што је супротно члану 56. и 58. Закона о буџетском</w:t>
      </w:r>
      <w:r>
        <w:rPr>
          <w:spacing w:val="-19"/>
        </w:rPr>
        <w:t> </w:t>
      </w:r>
      <w:r>
        <w:rPr/>
        <w:t>систему.</w:t>
      </w:r>
    </w:p>
    <w:p>
      <w:pPr>
        <w:pStyle w:val="Heading2"/>
        <w:spacing w:line="240" w:lineRule="auto"/>
        <w:ind w:left="726" w:right="141" w:firstLine="0"/>
        <w:jc w:val="left"/>
        <w:rPr>
          <w:b w:val="0"/>
          <w:bCs w:val="0"/>
          <w:i w:val="0"/>
        </w:rPr>
      </w:pPr>
      <w:r>
        <w:rPr>
          <w:i/>
        </w:rPr>
        <w:t>Препоручује се одговорним лицима да обезбеде основ за сваки расход из</w:t>
      </w:r>
      <w:r>
        <w:rPr>
          <w:i/>
          <w:spacing w:val="-18"/>
        </w:rPr>
        <w:t> </w:t>
      </w:r>
      <w:r>
        <w:rPr>
          <w:i/>
        </w:rPr>
        <w:t>буџета.</w:t>
      </w:r>
      <w:r>
        <w:rPr>
          <w:b w:val="0"/>
          <w:i w:val="0"/>
        </w:rPr>
      </w:r>
    </w:p>
    <w:p>
      <w:pPr>
        <w:pStyle w:val="ListParagraph"/>
        <w:numPr>
          <w:ilvl w:val="2"/>
          <w:numId w:val="29"/>
        </w:numPr>
        <w:tabs>
          <w:tab w:pos="1013" w:val="left" w:leader="none"/>
        </w:tabs>
        <w:spacing w:line="240" w:lineRule="auto" w:before="137" w:after="0"/>
        <w:ind w:left="160" w:right="177" w:firstLine="566"/>
        <w:jc w:val="both"/>
        <w:rPr>
          <w:rFonts w:ascii="Times New Roman" w:hAnsi="Times New Roman" w:cs="Times New Roman" w:eastAsia="Times New Roman" w:hint="default"/>
          <w:sz w:val="24"/>
          <w:szCs w:val="24"/>
        </w:rPr>
      </w:pPr>
      <w:r>
        <w:rPr>
          <w:rFonts w:ascii="Times New Roman" w:hAnsi="Times New Roman"/>
          <w:b/>
          <w:sz w:val="24"/>
        </w:rPr>
        <w:t>Служба за одржавање и информатичко</w:t>
      </w:r>
      <w:r>
        <w:rPr>
          <w:rFonts w:ascii="Times New Roman" w:hAnsi="Times New Roman"/>
          <w:b/>
          <w:sz w:val="24"/>
        </w:rPr>
        <w:t>-</w:t>
      </w:r>
      <w:r>
        <w:rPr>
          <w:rFonts w:ascii="Times New Roman" w:hAnsi="Times New Roman"/>
          <w:b/>
          <w:sz w:val="24"/>
        </w:rPr>
        <w:t>комуникационе технологије </w:t>
      </w:r>
      <w:r>
        <w:rPr>
          <w:rFonts w:ascii="Times New Roman" w:hAnsi="Times New Roman"/>
          <w:b/>
          <w:sz w:val="24"/>
        </w:rPr>
        <w:t>- </w:t>
      </w:r>
      <w:r>
        <w:rPr>
          <w:rFonts w:ascii="Times New Roman" w:hAnsi="Times New Roman"/>
          <w:sz w:val="24"/>
        </w:rPr>
        <w:t>Исказано је извршење у укупном износу од 60.804 хиљаде динара из буџета града. Исказани су расходи за: енергетске услуге у износу од 40.441 хиљаде динара, комуналне услуге у износу од 6.436 хиљада динара, услуге комуникације у износу од 13.261 хиљаде динара, трошкове осигурања у износу од 382 хиљаде динара и остале трошкове у износу од 284 хиљаде</w:t>
      </w:r>
      <w:r>
        <w:rPr>
          <w:rFonts w:ascii="Times New Roman" w:hAnsi="Times New Roman"/>
          <w:spacing w:val="-2"/>
          <w:sz w:val="24"/>
        </w:rPr>
        <w:t> </w:t>
      </w:r>
      <w:r>
        <w:rPr>
          <w:rFonts w:ascii="Times New Roman" w:hAnsi="Times New Roman"/>
          <w:sz w:val="24"/>
        </w:rPr>
        <w:t>динара.</w:t>
      </w:r>
    </w:p>
    <w:p>
      <w:pPr>
        <w:pStyle w:val="BodyText"/>
        <w:spacing w:line="240" w:lineRule="auto"/>
        <w:ind w:right="182" w:firstLine="566"/>
        <w:jc w:val="both"/>
      </w:pPr>
      <w:r>
        <w:rPr/>
        <w:t>На основу члана 15. Одлуке о прибављању, располагању и управљању стварима у јавној својини града Ниша плаћање накнаде за комуналне трошкове за службене зграде и просторе, као и за објекте на сеоском подручју којима располаже Град, а не користе се као пословни простор, у надлежности је службе Града за</w:t>
      </w:r>
      <w:r>
        <w:rPr>
          <w:spacing w:val="-20"/>
        </w:rPr>
        <w:t> </w:t>
      </w:r>
      <w:r>
        <w:rPr/>
        <w:t>одржавање.</w:t>
      </w:r>
    </w:p>
    <w:p>
      <w:pPr>
        <w:pStyle w:val="BodyText"/>
        <w:spacing w:line="240" w:lineRule="auto"/>
        <w:ind w:left="726" w:right="141"/>
        <w:jc w:val="left"/>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Енергетске  услуге, синтетички конто 421200 </w:t>
      </w:r>
      <w:r>
        <w:rPr/>
        <w:t>–  Исказани  су расходи  у износу   </w:t>
      </w:r>
      <w:r>
        <w:rPr>
          <w:spacing w:val="15"/>
        </w:rPr>
        <w:t> </w:t>
      </w:r>
      <w:r>
        <w:rPr/>
        <w:t>од</w:t>
      </w:r>
    </w:p>
    <w:p>
      <w:pPr>
        <w:pStyle w:val="BodyText"/>
        <w:spacing w:line="240" w:lineRule="auto"/>
        <w:ind w:right="0"/>
        <w:jc w:val="both"/>
      </w:pPr>
      <w:r>
        <w:rPr/>
        <w:t>40.441 хиљаде</w:t>
      </w:r>
      <w:r>
        <w:rPr>
          <w:spacing w:val="-3"/>
        </w:rPr>
        <w:t> </w:t>
      </w:r>
      <w:r>
        <w:rPr/>
        <w:t>динара.</w:t>
      </w:r>
    </w:p>
    <w:p>
      <w:pPr>
        <w:pStyle w:val="BodyText"/>
        <w:spacing w:line="240" w:lineRule="auto"/>
        <w:ind w:right="172" w:firstLine="566"/>
        <w:jc w:val="both"/>
        <w:rPr>
          <w:rFonts w:ascii="Times New Roman" w:hAnsi="Times New Roman" w:cs="Times New Roman" w:eastAsia="Times New Roman" w:hint="default"/>
        </w:rPr>
      </w:pPr>
      <w:r>
        <w:rPr/>
        <w:t>Градоначелник града Ниша закључио је Споразум о регулисању дуга за електричну енергију број 3396/2013</w:t>
      </w:r>
      <w:r>
        <w:rPr>
          <w:rFonts w:ascii="Times New Roman" w:hAnsi="Times New Roman" w:cs="Times New Roman" w:eastAsia="Times New Roman" w:hint="default"/>
        </w:rPr>
        <w:t>-</w:t>
      </w:r>
      <w:r>
        <w:rPr/>
        <w:t>01 од 30.09.2013. године са Привредним друштвом за дистрибуцију електричне енергије „Југоисток“ доо Ниш, огранак ЕД Ниш, којим је утврђена динамика измирења дуговања установа – купаца електричне енергије, које се финансирају из буџета града Ниша. Споразумом је утврђен укупан дуг за утрошену електричну енергију града Ниша преко Службе за одржавање и информатичко</w:t>
      </w:r>
      <w:r>
        <w:rPr>
          <w:rFonts w:ascii="Times New Roman" w:hAnsi="Times New Roman" w:cs="Times New Roman" w:eastAsia="Times New Roman" w:hint="default"/>
        </w:rPr>
        <w:t>- </w:t>
      </w:r>
      <w:r>
        <w:rPr/>
        <w:t>комуникационе технологије на дан 31.05.2013. године у износу од 23.856 хиљада динара, условни отпис дуговања у износу од 5.964 хиљаде динара (што чини 25% износа дуга), износ дуговања који се репрограмира од 17.892 хиљаде динара, у 36 рата и износ месечне рате од 497 хиљада динара. Укупно извршен расход на име трошкова електричне  енергије на основу закљученог Споразума износи </w:t>
      </w:r>
      <w:r>
        <w:rPr>
          <w:rFonts w:ascii="Times New Roman" w:hAnsi="Times New Roman" w:cs="Times New Roman" w:eastAsia="Times New Roman" w:hint="default"/>
        </w:rPr>
        <w:t>2.504 </w:t>
      </w:r>
      <w:r>
        <w:rPr/>
        <w:t>хиљаде</w:t>
      </w:r>
      <w:r>
        <w:rPr>
          <w:spacing w:val="-17"/>
        </w:rPr>
        <w:t> </w:t>
      </w:r>
      <w:r>
        <w:rPr/>
        <w:t>динара</w:t>
      </w:r>
      <w:r>
        <w:rPr>
          <w:rFonts w:ascii="Times New Roman" w:hAnsi="Times New Roman" w:cs="Times New Roman" w:eastAsia="Times New Roman" w:hint="default"/>
        </w:rPr>
        <w:t>.</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41"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У пословним књигама Службе за одржавање и информатичко</w:t>
      </w:r>
      <w:r>
        <w:rPr>
          <w:rFonts w:ascii="Times New Roman" w:hAnsi="Times New Roman"/>
          <w:sz w:val="24"/>
        </w:rPr>
        <w:t>-</w:t>
      </w:r>
      <w:r>
        <w:rPr>
          <w:rFonts w:ascii="Times New Roman" w:hAnsi="Times New Roman"/>
          <w:sz w:val="24"/>
        </w:rPr>
        <w:t>комуникационе технологије обавезе по рачунима за утрошену електричну енергију и централно грејање евидентиране су у тренутку њиховог измирења, што је супротно члану 16. Уредбе о буџетском  рачуноводству.  Тако  су  за  централно  грејање,  рачуни  за  септембар </w:t>
      </w:r>
      <w:r>
        <w:rPr>
          <w:rFonts w:ascii="Times New Roman" w:hAnsi="Times New Roman"/>
          <w:spacing w:val="23"/>
          <w:sz w:val="24"/>
        </w:rPr>
        <w:t> </w:t>
      </w:r>
      <w:r>
        <w:rPr>
          <w:rFonts w:ascii="Times New Roman" w:hAnsi="Times New Roman"/>
          <w:sz w:val="24"/>
        </w:rPr>
        <w:t>2013.</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87"/>
        <w:jc w:val="both"/>
      </w:pPr>
      <w:r>
        <w:rPr/>
        <w:t>године и три рачуна за август 2013. године евидентирани 02.04.2014. године, рачуни за октобар и новембар 2013. године евидентирани 08.07.2014.</w:t>
      </w:r>
      <w:r>
        <w:rPr>
          <w:spacing w:val="-12"/>
        </w:rPr>
        <w:t> </w:t>
      </w:r>
      <w:r>
        <w:rPr/>
        <w:t>године.</w:t>
      </w:r>
    </w:p>
    <w:p>
      <w:pPr>
        <w:pStyle w:val="ListParagraph"/>
        <w:numPr>
          <w:ilvl w:val="0"/>
          <w:numId w:val="9"/>
        </w:numPr>
        <w:tabs>
          <w:tab w:pos="341" w:val="left" w:leader="none"/>
        </w:tabs>
        <w:spacing w:line="240" w:lineRule="auto" w:before="2" w:after="0"/>
        <w:ind w:left="160" w:right="171" w:firstLine="0"/>
        <w:jc w:val="both"/>
        <w:rPr>
          <w:rFonts w:ascii="Times New Roman" w:hAnsi="Times New Roman" w:cs="Times New Roman" w:eastAsia="Times New Roman" w:hint="default"/>
          <w:sz w:val="24"/>
          <w:szCs w:val="24"/>
        </w:rPr>
      </w:pPr>
      <w:r>
        <w:rPr>
          <w:rFonts w:ascii="Times New Roman" w:hAnsi="Times New Roman"/>
          <w:sz w:val="24"/>
        </w:rPr>
        <w:t>Плаћањем рате за утрошену електричну енергију на основу Споразума о регулисању дуга за електричну енергију број 3396/2013</w:t>
      </w:r>
      <w:r>
        <w:rPr>
          <w:rFonts w:ascii="Times New Roman" w:hAnsi="Times New Roman"/>
          <w:sz w:val="24"/>
        </w:rPr>
        <w:t>-</w:t>
      </w:r>
      <w:r>
        <w:rPr>
          <w:rFonts w:ascii="Times New Roman" w:hAnsi="Times New Roman"/>
          <w:sz w:val="24"/>
        </w:rPr>
        <w:t>01 од 30.09.2013. године у пословним књигама вршено је и евидентирање обавезе према добављачу за утрошену електричну енергију, у моменту плаћања у износу плаћене рате, што је супротно члану 58. Закона о буџетском систему и члану 16. Уредбе о буџетском</w:t>
      </w:r>
      <w:r>
        <w:rPr>
          <w:rFonts w:ascii="Times New Roman" w:hAnsi="Times New Roman"/>
          <w:spacing w:val="-23"/>
          <w:sz w:val="24"/>
        </w:rPr>
        <w:t> </w:t>
      </w:r>
      <w:r>
        <w:rPr>
          <w:rFonts w:ascii="Times New Roman" w:hAnsi="Times New Roman"/>
          <w:sz w:val="24"/>
        </w:rPr>
        <w:t>рачуноводству.</w:t>
      </w:r>
    </w:p>
    <w:p>
      <w:pPr>
        <w:pStyle w:val="ListParagraph"/>
        <w:numPr>
          <w:ilvl w:val="0"/>
          <w:numId w:val="9"/>
        </w:numPr>
        <w:tabs>
          <w:tab w:pos="303" w:val="left" w:leader="none"/>
        </w:tabs>
        <w:spacing w:line="274" w:lineRule="exact" w:before="24"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Извршен је расход у износу од 2.198 хиљада динара за трошкове електричне енергије за новембар, децембар 2013. године и јануар и фебруар 2014. године, по Захтеву за</w:t>
      </w:r>
      <w:r>
        <w:rPr>
          <w:rFonts w:ascii="Times New Roman" w:hAnsi="Times New Roman"/>
          <w:spacing w:val="30"/>
          <w:sz w:val="24"/>
        </w:rPr>
        <w:t> </w:t>
      </w:r>
      <w:r>
        <w:rPr>
          <w:rFonts w:ascii="Times New Roman" w:hAnsi="Times New Roman"/>
          <w:sz w:val="24"/>
        </w:rPr>
        <w:t>плаћање</w:t>
      </w:r>
    </w:p>
    <w:p>
      <w:pPr>
        <w:pStyle w:val="ListParagraph"/>
        <w:numPr>
          <w:ilvl w:val="0"/>
          <w:numId w:val="30"/>
        </w:numPr>
        <w:tabs>
          <w:tab w:pos="370" w:val="left" w:leader="none"/>
        </w:tabs>
        <w:spacing w:line="240" w:lineRule="auto" w:before="0"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трансфер средстава број 16/2921/2014 од 04.06.2014. године (испостављеном на 2.200 хиљада динара), поднетог од стране Службе за одржавање и информатичко</w:t>
      </w:r>
      <w:r>
        <w:rPr>
          <w:rFonts w:ascii="Times New Roman" w:hAnsi="Times New Roman"/>
          <w:sz w:val="24"/>
        </w:rPr>
        <w:t>- </w:t>
      </w:r>
      <w:r>
        <w:rPr>
          <w:rFonts w:ascii="Times New Roman" w:hAnsi="Times New Roman"/>
          <w:sz w:val="24"/>
        </w:rPr>
        <w:t>комуникационе технологије за измирење обавезе који није оверен потписима одговорних лица Управе за финансије, изворне приходе локалне самоуправе и јавне набавке у делу контроле, овере и одговорног лица, што је супротно члану 58. Закона о буџетском систему и члану 16. Уредбе о буџетском</w:t>
      </w:r>
      <w:r>
        <w:rPr>
          <w:rFonts w:ascii="Times New Roman" w:hAnsi="Times New Roman"/>
          <w:spacing w:val="-19"/>
          <w:sz w:val="24"/>
        </w:rPr>
        <w:t> </w:t>
      </w:r>
      <w:r>
        <w:rPr>
          <w:rFonts w:ascii="Times New Roman" w:hAnsi="Times New Roman"/>
          <w:sz w:val="24"/>
        </w:rPr>
        <w:t>рачуноводству.</w:t>
      </w:r>
    </w:p>
    <w:p>
      <w:pPr>
        <w:pStyle w:val="ListParagraph"/>
        <w:numPr>
          <w:ilvl w:val="0"/>
          <w:numId w:val="9"/>
        </w:numPr>
        <w:tabs>
          <w:tab w:pos="303" w:val="left" w:leader="none"/>
        </w:tabs>
        <w:spacing w:line="274" w:lineRule="exact" w:before="24"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Плаћања на име обавезе за утрошену електричну енергију су вршена у висини месечног задужења, без плаћања обрачунате камате, а тако је вршено и  евидентирање</w:t>
      </w:r>
      <w:r>
        <w:rPr>
          <w:rFonts w:ascii="Times New Roman" w:hAnsi="Times New Roman"/>
          <w:spacing w:val="-26"/>
          <w:sz w:val="24"/>
        </w:rPr>
        <w:t> </w:t>
      </w:r>
      <w:r>
        <w:rPr>
          <w:rFonts w:ascii="Times New Roman" w:hAnsi="Times New Roman"/>
          <w:sz w:val="24"/>
        </w:rPr>
        <w:t>обавеза.</w:t>
      </w:r>
    </w:p>
    <w:p>
      <w:pPr>
        <w:pStyle w:val="ListParagraph"/>
        <w:numPr>
          <w:ilvl w:val="0"/>
          <w:numId w:val="9"/>
        </w:numPr>
        <w:tabs>
          <w:tab w:pos="303" w:val="left" w:leader="none"/>
        </w:tabs>
        <w:spacing w:line="237" w:lineRule="auto" w:before="1"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Пословне књиге Службе за одржавање и инфоматичко</w:t>
      </w:r>
      <w:r>
        <w:rPr>
          <w:rFonts w:ascii="Times New Roman" w:hAnsi="Times New Roman"/>
          <w:sz w:val="24"/>
        </w:rPr>
        <w:t>-</w:t>
      </w:r>
      <w:r>
        <w:rPr>
          <w:rFonts w:ascii="Times New Roman" w:hAnsi="Times New Roman"/>
          <w:sz w:val="24"/>
        </w:rPr>
        <w:t>комуникационе технологије се не воде хронолошки и ажурно, што је супротно члану 9. Уредбе о буџетском рачуноводству.</w:t>
      </w:r>
    </w:p>
    <w:p>
      <w:pPr>
        <w:pStyle w:val="Heading2"/>
        <w:spacing w:line="240" w:lineRule="auto"/>
        <w:ind w:right="177"/>
        <w:jc w:val="both"/>
        <w:rPr>
          <w:b w:val="0"/>
          <w:bCs w:val="0"/>
          <w:i w:val="0"/>
        </w:rPr>
      </w:pPr>
      <w:r>
        <w:rPr>
          <w:i/>
        </w:rPr>
        <w:t>Препоручује се одговорним лицима да рачуноводствене исправе евидентирају у прописаним роковима, да обезбеде валидну документацију за сваки расход из буџета  и пословне књиге воде хронолошки и</w:t>
      </w:r>
      <w:r>
        <w:rPr>
          <w:i/>
          <w:spacing w:val="-11"/>
        </w:rPr>
        <w:t> </w:t>
      </w:r>
      <w:r>
        <w:rPr>
          <w:i/>
        </w:rPr>
        <w:t>ажурно.</w:t>
      </w:r>
      <w:r>
        <w:rPr>
          <w:b w:val="0"/>
          <w:i w:val="0"/>
        </w:rPr>
      </w:r>
    </w:p>
    <w:p>
      <w:pPr>
        <w:pStyle w:val="BodyText"/>
        <w:spacing w:line="240" w:lineRule="auto"/>
        <w:ind w:right="179" w:firstLine="62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Комуналне услуге, синтетички конто 421300 </w:t>
      </w:r>
      <w:r>
        <w:rPr/>
        <w:t>– Исказан је расход у износу од 6.436 </w:t>
      </w:r>
      <w:r>
        <w:rPr/>
        <w:t>хиљада</w:t>
      </w:r>
      <w:r>
        <w:rPr>
          <w:spacing w:val="-3"/>
        </w:rPr>
        <w:t> </w:t>
      </w:r>
      <w:r>
        <w:rPr/>
        <w:t>динара.</w:t>
      </w:r>
    </w:p>
    <w:p>
      <w:pPr>
        <w:pStyle w:val="BodyText"/>
        <w:spacing w:line="240" w:lineRule="auto"/>
        <w:ind w:right="170" w:firstLine="566"/>
        <w:jc w:val="both"/>
        <w:rPr>
          <w:rFonts w:ascii="Times New Roman" w:hAnsi="Times New Roman" w:cs="Times New Roman" w:eastAsia="Times New Roman" w:hint="default"/>
        </w:rPr>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Услуге водовода и канализације, субаналитички конто </w:t>
      </w:r>
      <w:r>
        <w:rPr>
          <w:rFonts w:ascii="Times New Roman" w:hAnsi="Times New Roman" w:cs="Times New Roman" w:eastAsia="Times New Roman" w:hint="default"/>
          <w:u w:val="single" w:color="000000"/>
        </w:rPr>
        <w:t>421311 </w:t>
      </w:r>
      <w:r>
        <w:rPr>
          <w:rFonts w:ascii="Times New Roman" w:hAnsi="Times New Roman" w:cs="Times New Roman" w:eastAsia="Times New Roman" w:hint="default"/>
        </w:rPr>
      </w:r>
      <w:r>
        <w:rPr>
          <w:rFonts w:ascii="Times New Roman" w:hAnsi="Times New Roman" w:cs="Times New Roman" w:eastAsia="Times New Roman" w:hint="default"/>
          <w:b/>
          <w:bCs/>
        </w:rPr>
        <w:t>– </w:t>
      </w:r>
      <w:r>
        <w:rPr/>
        <w:t>Исказан је расход у износу од </w:t>
      </w:r>
      <w:r>
        <w:rPr>
          <w:rFonts w:ascii="Times New Roman" w:hAnsi="Times New Roman" w:cs="Times New Roman" w:eastAsia="Times New Roman" w:hint="default"/>
        </w:rPr>
        <w:t>3.553 </w:t>
      </w:r>
      <w:r>
        <w:rPr/>
        <w:t>хиљаде динара, за услуге водовода и канализације за месне канцеларије, Управе и Службе града Ниша по рачунима ЈКП „</w:t>
      </w:r>
      <w:r>
        <w:rPr>
          <w:rFonts w:ascii="Times New Roman" w:hAnsi="Times New Roman" w:cs="Times New Roman" w:eastAsia="Times New Roman" w:hint="default"/>
        </w:rPr>
        <w:t>Naissus</w:t>
      </w:r>
      <w:r>
        <w:rPr/>
        <w:t>“, као и за утрошак воде, услуге канализације, трошкове доприноса за воду и камате по рачунима ЈКП „Обједињена наплата“ Ниш из 2012.</w:t>
      </w:r>
      <w:r>
        <w:rPr>
          <w:spacing w:val="-6"/>
        </w:rPr>
        <w:t> </w:t>
      </w:r>
      <w:r>
        <w:rPr/>
        <w:t>године</w:t>
      </w:r>
      <w:r>
        <w:rPr>
          <w:rFonts w:ascii="Times New Roman" w:hAnsi="Times New Roman" w:cs="Times New Roman" w:eastAsia="Times New Roman" w:hint="default"/>
        </w:rPr>
        <w:t>.</w:t>
      </w:r>
    </w:p>
    <w:p>
      <w:pPr>
        <w:pStyle w:val="Heading1"/>
        <w:spacing w:line="275" w:lineRule="exact"/>
        <w:ind w:right="141"/>
        <w:jc w:val="left"/>
        <w:rPr>
          <w:b w:val="0"/>
          <w:bCs w:val="0"/>
        </w:rPr>
      </w:pPr>
      <w:r>
        <w:rPr/>
        <w:t>На основу ревизије узорковане документације утврђено је</w:t>
      </w:r>
      <w:r>
        <w:rPr>
          <w:spacing w:val="-16"/>
        </w:rPr>
        <w:t> </w:t>
      </w:r>
      <w:r>
        <w:rPr/>
        <w:t>да:</w:t>
      </w:r>
      <w:r>
        <w:rPr>
          <w:b w:val="0"/>
        </w:rPr>
      </w:r>
    </w:p>
    <w:p>
      <w:pPr>
        <w:pStyle w:val="ListParagraph"/>
        <w:numPr>
          <w:ilvl w:val="0"/>
          <w:numId w:val="9"/>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Рачуни, по којима је извршен расход нису евидентирани у пословним књигама у року  од два дана од дана настанка пословне промене, односно истог или најкасније наредног дана од дана добијања рачуноводствене исправе, већ у моменту плаћања, односно за више месеци касније, што је супротно члану 16. Уредбе о буџетском</w:t>
      </w:r>
      <w:r>
        <w:rPr>
          <w:rFonts w:ascii="Times New Roman" w:hAnsi="Times New Roman"/>
          <w:spacing w:val="-27"/>
          <w:sz w:val="24"/>
        </w:rPr>
        <w:t> </w:t>
      </w:r>
      <w:r>
        <w:rPr>
          <w:rFonts w:ascii="Times New Roman" w:hAnsi="Times New Roman"/>
          <w:sz w:val="24"/>
        </w:rPr>
        <w:t>рачуноводству.</w:t>
      </w:r>
    </w:p>
    <w:p>
      <w:pPr>
        <w:pStyle w:val="ListParagraph"/>
        <w:numPr>
          <w:ilvl w:val="0"/>
          <w:numId w:val="9"/>
        </w:numPr>
        <w:tabs>
          <w:tab w:pos="303"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Пословне књиге Службе за одржавање и инфоматичко</w:t>
      </w:r>
      <w:r>
        <w:rPr>
          <w:rFonts w:ascii="Times New Roman" w:hAnsi="Times New Roman"/>
          <w:sz w:val="24"/>
        </w:rPr>
        <w:t>-</w:t>
      </w:r>
      <w:r>
        <w:rPr>
          <w:rFonts w:ascii="Times New Roman" w:hAnsi="Times New Roman"/>
          <w:sz w:val="24"/>
        </w:rPr>
        <w:t>комуникационе технологије не воде се хронолошки и ажурно, што је супротно члану 9. Уредбе о буџетском рачуноводству.</w:t>
      </w:r>
    </w:p>
    <w:p>
      <w:pPr>
        <w:pStyle w:val="Heading2"/>
        <w:spacing w:line="240" w:lineRule="auto"/>
        <w:ind w:right="182"/>
        <w:jc w:val="both"/>
        <w:rPr>
          <w:b w:val="0"/>
          <w:bCs w:val="0"/>
          <w:i w:val="0"/>
        </w:rPr>
      </w:pPr>
      <w:r>
        <w:rPr>
          <w:i/>
        </w:rPr>
        <w:t>Препоручује се одговорним лицима да рачуноводствене исправе евидентирају у прописаним роковима и пословне књиге воде хронолошки и</w:t>
      </w:r>
      <w:r>
        <w:rPr>
          <w:i/>
          <w:spacing w:val="-19"/>
        </w:rPr>
        <w:t> </w:t>
      </w:r>
      <w:r>
        <w:rPr>
          <w:i/>
        </w:rPr>
        <w:t>ажурно.</w:t>
      </w:r>
      <w:r>
        <w:rPr>
          <w:b w:val="0"/>
          <w:i w:val="0"/>
        </w:rPr>
      </w:r>
    </w:p>
    <w:p>
      <w:pPr>
        <w:pStyle w:val="BodyText"/>
        <w:spacing w:line="274" w:lineRule="exact"/>
        <w:ind w:right="178"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Одвоз отпада, субаналитички конто </w:t>
      </w:r>
      <w:r>
        <w:rPr>
          <w:rFonts w:ascii="Times New Roman" w:hAnsi="Times New Roman" w:cs="Times New Roman" w:eastAsia="Times New Roman" w:hint="default"/>
          <w:u w:val="single" w:color="000000"/>
        </w:rPr>
        <w:t>421324 </w:t>
      </w:r>
      <w:r>
        <w:rPr>
          <w:rFonts w:ascii="Times New Roman" w:hAnsi="Times New Roman" w:cs="Times New Roman" w:eastAsia="Times New Roman" w:hint="default"/>
        </w:rPr>
      </w:r>
      <w:r>
        <w:rPr>
          <w:rFonts w:ascii="Times New Roman" w:hAnsi="Times New Roman" w:cs="Times New Roman" w:eastAsia="Times New Roman" w:hint="default"/>
          <w:b/>
          <w:bCs/>
        </w:rPr>
        <w:t>– </w:t>
      </w:r>
      <w:r>
        <w:rPr/>
        <w:t>Исказан је расход у износу од </w:t>
      </w:r>
      <w:r>
        <w:rPr>
          <w:rFonts w:ascii="Times New Roman" w:hAnsi="Times New Roman" w:cs="Times New Roman" w:eastAsia="Times New Roman" w:hint="default"/>
        </w:rPr>
        <w:t>2.883 </w:t>
      </w:r>
      <w:r>
        <w:rPr/>
        <w:t>хиљаде</w:t>
      </w:r>
      <w:r>
        <w:rPr>
          <w:spacing w:val="-3"/>
        </w:rPr>
        <w:t> </w:t>
      </w:r>
      <w:r>
        <w:rPr/>
        <w:t>динара.</w:t>
      </w:r>
    </w:p>
    <w:p>
      <w:pPr>
        <w:pStyle w:val="Heading1"/>
        <w:spacing w:line="273" w:lineRule="exact" w:before="0"/>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3"/>
        </w:rPr>
        <w:t> </w:t>
      </w:r>
      <w:r>
        <w:rPr/>
        <w:t>је</w:t>
      </w:r>
      <w:r>
        <w:rPr>
          <w:rFonts w:ascii="Times New Roman" w:hAnsi="Times New Roman"/>
          <w:b w:val="0"/>
        </w:rPr>
        <w:t>:</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Рачуни, по којима је извршен расход нису евидентирани у пословним књигама у року  од два дана од   </w:t>
      </w:r>
      <w:r>
        <w:rPr>
          <w:rFonts w:ascii="Times New Roman" w:hAnsi="Times New Roman"/>
          <w:spacing w:val="15"/>
          <w:sz w:val="24"/>
        </w:rPr>
        <w:t> </w:t>
      </w:r>
      <w:r>
        <w:rPr>
          <w:rFonts w:ascii="Times New Roman" w:hAnsi="Times New Roman"/>
          <w:sz w:val="24"/>
        </w:rPr>
        <w:t>дана настанка пословне промене, односно истог или најкасније наредног</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83"/>
        <w:jc w:val="both"/>
      </w:pPr>
      <w:r>
        <w:rPr/>
        <w:t>дана од дана добијања рачуноводствене исправе, већ у моменту плаћања, односно за више месеци касније, што је супротно члану 16. Уредбе о буџетском</w:t>
      </w:r>
      <w:r>
        <w:rPr>
          <w:spacing w:val="-21"/>
        </w:rPr>
        <w:t> </w:t>
      </w:r>
      <w:r>
        <w:rPr/>
        <w:t>рачуноводству.</w:t>
      </w:r>
    </w:p>
    <w:p>
      <w:pPr>
        <w:pStyle w:val="ListParagraph"/>
        <w:numPr>
          <w:ilvl w:val="0"/>
          <w:numId w:val="9"/>
        </w:numPr>
        <w:tabs>
          <w:tab w:pos="303" w:val="left" w:leader="none"/>
        </w:tabs>
        <w:spacing w:line="237" w:lineRule="auto" w:before="4"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Пословне књиге Службе за одржавање и инфоматичко</w:t>
      </w:r>
      <w:r>
        <w:rPr>
          <w:rFonts w:ascii="Times New Roman" w:hAnsi="Times New Roman"/>
          <w:sz w:val="24"/>
        </w:rPr>
        <w:t>-</w:t>
      </w:r>
      <w:r>
        <w:rPr>
          <w:rFonts w:ascii="Times New Roman" w:hAnsi="Times New Roman"/>
          <w:sz w:val="24"/>
        </w:rPr>
        <w:t>комуникационе технологије не воде се хронолошки и ажурно, што је супротно члану 9. Уредбе о буџетском рачуноводству.</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Извршен је расход у укупном износу од 253 хиљаде динара за услуге одвоза отпада за април 2013. године у износу од 116 хиљада динара по захтеву Службе ИКТ број </w:t>
      </w:r>
      <w:r>
        <w:rPr>
          <w:rFonts w:ascii="Times New Roman" w:hAnsi="Times New Roman"/>
          <w:spacing w:val="3"/>
          <w:sz w:val="24"/>
        </w:rPr>
        <w:t>16</w:t>
      </w:r>
      <w:r>
        <w:rPr>
          <w:rFonts w:ascii="Times New Roman" w:hAnsi="Times New Roman"/>
          <w:spacing w:val="3"/>
          <w:sz w:val="24"/>
        </w:rPr>
        <w:t>- </w:t>
      </w:r>
      <w:r>
        <w:rPr>
          <w:rFonts w:ascii="Times New Roman" w:hAnsi="Times New Roman"/>
          <w:spacing w:val="3"/>
          <w:sz w:val="24"/>
        </w:rPr>
      </w:r>
      <w:r>
        <w:rPr>
          <w:rFonts w:ascii="Times New Roman" w:hAnsi="Times New Roman"/>
          <w:sz w:val="24"/>
        </w:rPr>
        <w:t>3554/2014 од 09.07.2014. године и за фебруар 2014. године у износу од 137 хиљада  </w:t>
      </w:r>
      <w:r>
        <w:rPr>
          <w:rFonts w:ascii="Times New Roman" w:hAnsi="Times New Roman"/>
          <w:sz w:val="24"/>
        </w:rPr>
        <w:t>динара по захтеву Службе ИКТ број 16</w:t>
      </w:r>
      <w:r>
        <w:rPr>
          <w:rFonts w:ascii="Times New Roman" w:hAnsi="Times New Roman"/>
          <w:sz w:val="24"/>
        </w:rPr>
        <w:t>-</w:t>
      </w:r>
      <w:r>
        <w:rPr>
          <w:rFonts w:ascii="Times New Roman" w:hAnsi="Times New Roman"/>
          <w:sz w:val="24"/>
        </w:rPr>
        <w:t>3562/2014 од 09.07.2014. године а да наведени захтеви нису потписани од стране одговорних лица Управе за финансије, изворне приходе локалне самоуправе и јавне набавке, што је супротно члану 58. Закона о буџетском систему и члану 16. Уредбе о буџетском</w:t>
      </w:r>
      <w:r>
        <w:rPr>
          <w:rFonts w:ascii="Times New Roman" w:hAnsi="Times New Roman"/>
          <w:spacing w:val="-23"/>
          <w:sz w:val="24"/>
        </w:rPr>
        <w:t> </w:t>
      </w:r>
      <w:r>
        <w:rPr>
          <w:rFonts w:ascii="Times New Roman" w:hAnsi="Times New Roman"/>
          <w:sz w:val="24"/>
        </w:rPr>
        <w:t>рачуноводству.</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је евидентиран расход у износу од 23 хиљаде динара на име трошкова извршног поступка уместо на групи 483000 – новчане кане и пенали по решењу судова,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систем.</w:t>
      </w:r>
    </w:p>
    <w:p>
      <w:pPr>
        <w:pStyle w:val="Heading2"/>
        <w:spacing w:line="240" w:lineRule="auto"/>
        <w:ind w:right="172"/>
        <w:jc w:val="both"/>
        <w:rPr>
          <w:rFonts w:ascii="Times New Roman" w:hAnsi="Times New Roman" w:cs="Times New Roman" w:eastAsia="Times New Roman" w:hint="default"/>
          <w:b w:val="0"/>
          <w:bCs w:val="0"/>
          <w:i w:val="0"/>
        </w:rPr>
      </w:pPr>
      <w:r>
        <w:rPr>
          <w:i/>
        </w:rPr>
        <w:t>Препоручује се одговорним лицима да пословне књиге воде хронолошки и ажурно, обезбеде валидну документацију за сваки расход из буџета и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20"/>
        </w:rPr>
        <w:t> </w:t>
      </w:r>
      <w:r>
        <w:rPr>
          <w:i/>
        </w:rPr>
        <w:t>систем</w:t>
      </w:r>
      <w:r>
        <w:rPr>
          <w:rFonts w:ascii="Times New Roman" w:hAnsi="Times New Roman"/>
          <w:i/>
        </w:rPr>
        <w:t>.</w:t>
      </w:r>
      <w:r>
        <w:rPr>
          <w:rFonts w:ascii="Times New Roman" w:hAnsi="Times New Roman"/>
          <w:b w:val="0"/>
          <w:i w:val="0"/>
        </w:rPr>
      </w:r>
    </w:p>
    <w:p>
      <w:pPr>
        <w:pStyle w:val="BodyText"/>
        <w:spacing w:line="271" w:lineRule="exact"/>
        <w:ind w:left="726" w:right="141"/>
        <w:jc w:val="left"/>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Услуге</w:t>
      </w:r>
      <w:r>
        <w:rPr>
          <w:spacing w:val="37"/>
          <w:u w:val="single" w:color="000000"/>
        </w:rPr>
        <w:t> </w:t>
      </w:r>
      <w:r>
        <w:rPr>
          <w:u w:val="single" w:color="000000"/>
        </w:rPr>
        <w:t>комуникације,</w:t>
      </w:r>
      <w:r>
        <w:rPr>
          <w:spacing w:val="38"/>
          <w:u w:val="single" w:color="000000"/>
        </w:rPr>
        <w:t> </w:t>
      </w:r>
      <w:r>
        <w:rPr>
          <w:u w:val="single" w:color="000000"/>
        </w:rPr>
        <w:t>синтетички</w:t>
      </w:r>
      <w:r>
        <w:rPr>
          <w:spacing w:val="39"/>
          <w:u w:val="single" w:color="000000"/>
        </w:rPr>
        <w:t> </w:t>
      </w:r>
      <w:r>
        <w:rPr>
          <w:u w:val="single" w:color="000000"/>
        </w:rPr>
        <w:t>конто</w:t>
      </w:r>
      <w:r>
        <w:rPr>
          <w:spacing w:val="38"/>
          <w:u w:val="single" w:color="000000"/>
        </w:rPr>
        <w:t> </w:t>
      </w:r>
      <w:r>
        <w:rPr>
          <w:u w:val="single" w:color="000000"/>
        </w:rPr>
        <w:t>421400</w:t>
      </w:r>
      <w:r>
        <w:rPr>
          <w:spacing w:val="38"/>
          <w:u w:val="single" w:color="000000"/>
        </w:rPr>
        <w:t> </w:t>
      </w:r>
      <w:r>
        <w:rPr>
          <w:spacing w:val="38"/>
        </w:rPr>
      </w:r>
      <w:r>
        <w:rPr>
          <w:rFonts w:ascii="Times New Roman" w:hAnsi="Times New Roman" w:cs="Times New Roman" w:eastAsia="Times New Roman" w:hint="default"/>
          <w:i/>
        </w:rPr>
        <w:t>–</w:t>
      </w:r>
      <w:r>
        <w:rPr>
          <w:rFonts w:ascii="Times New Roman" w:hAnsi="Times New Roman" w:cs="Times New Roman" w:eastAsia="Times New Roman" w:hint="default"/>
          <w:i/>
          <w:spacing w:val="38"/>
        </w:rPr>
        <w:t> </w:t>
      </w:r>
      <w:r>
        <w:rPr/>
        <w:t>Исказан</w:t>
      </w:r>
      <w:r>
        <w:rPr>
          <w:spacing w:val="39"/>
        </w:rPr>
        <w:t> </w:t>
      </w:r>
      <w:r>
        <w:rPr/>
        <w:t>је</w:t>
      </w:r>
      <w:r>
        <w:rPr>
          <w:spacing w:val="38"/>
        </w:rPr>
        <w:t> </w:t>
      </w:r>
      <w:r>
        <w:rPr/>
        <w:t>расход</w:t>
      </w:r>
      <w:r>
        <w:rPr>
          <w:spacing w:val="43"/>
        </w:rPr>
        <w:t> </w:t>
      </w:r>
      <w:r>
        <w:rPr/>
        <w:t>у</w:t>
      </w:r>
      <w:r>
        <w:rPr>
          <w:spacing w:val="33"/>
        </w:rPr>
        <w:t> </w:t>
      </w:r>
      <w:r>
        <w:rPr/>
        <w:t>износу</w:t>
      </w:r>
      <w:r>
        <w:rPr>
          <w:spacing w:val="33"/>
        </w:rPr>
        <w:t> </w:t>
      </w:r>
      <w:r>
        <w:rPr/>
        <w:t>од</w:t>
      </w:r>
    </w:p>
    <w:p>
      <w:pPr>
        <w:pStyle w:val="BodyText"/>
        <w:spacing w:line="240" w:lineRule="auto"/>
        <w:ind w:right="0"/>
        <w:jc w:val="both"/>
      </w:pPr>
      <w:r>
        <w:rPr/>
        <w:t>13.261 хиљаде</w:t>
      </w:r>
      <w:r>
        <w:rPr>
          <w:spacing w:val="-3"/>
        </w:rPr>
        <w:t> </w:t>
      </w:r>
      <w:r>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37" w:lineRule="auto" w:before="1"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За извршен расход у износу од 34 хиљаде динара на основу принудног извршења по Решењу о извршењу број Ив 840/14 и Ив 841/14 дана, </w:t>
      </w:r>
      <w:r>
        <w:rPr>
          <w:rFonts w:ascii="Times New Roman" w:hAnsi="Times New Roman"/>
          <w:spacing w:val="-3"/>
          <w:sz w:val="24"/>
        </w:rPr>
        <w:t>уз </w:t>
      </w:r>
      <w:r>
        <w:rPr>
          <w:rFonts w:ascii="Times New Roman" w:hAnsi="Times New Roman"/>
          <w:sz w:val="24"/>
        </w:rPr>
        <w:t>налог за књижење не постоји </w:t>
      </w:r>
      <w:r>
        <w:rPr>
          <w:rFonts w:ascii="Times New Roman" w:hAnsi="Times New Roman"/>
          <w:sz w:val="24"/>
        </w:rPr>
        <w:t>документ који би представљао валидну рачуноводствену исправу, што је супротно</w:t>
      </w:r>
      <w:r>
        <w:rPr>
          <w:rFonts w:ascii="Times New Roman" w:hAnsi="Times New Roman"/>
          <w:spacing w:val="53"/>
          <w:sz w:val="24"/>
        </w:rPr>
        <w:t> </w:t>
      </w:r>
      <w:r>
        <w:rPr>
          <w:rFonts w:ascii="Times New Roman" w:hAnsi="Times New Roman"/>
          <w:sz w:val="24"/>
        </w:rPr>
        <w:t>члану</w:t>
      </w:r>
    </w:p>
    <w:p>
      <w:pPr>
        <w:pStyle w:val="BodyText"/>
        <w:spacing w:line="240" w:lineRule="auto"/>
        <w:ind w:right="0"/>
        <w:jc w:val="both"/>
      </w:pPr>
      <w:r>
        <w:rPr/>
        <w:t>16. Уредбе о буџетском</w:t>
      </w:r>
      <w:r>
        <w:rPr>
          <w:spacing w:val="-9"/>
        </w:rPr>
        <w:t> </w:t>
      </w:r>
      <w:r>
        <w:rPr/>
        <w:t>рачуноводству.</w:t>
      </w:r>
    </w:p>
    <w:p>
      <w:pPr>
        <w:pStyle w:val="ListParagraph"/>
        <w:numPr>
          <w:ilvl w:val="0"/>
          <w:numId w:val="9"/>
        </w:numPr>
        <w:tabs>
          <w:tab w:pos="303" w:val="left" w:leader="none"/>
        </w:tabs>
        <w:spacing w:line="237" w:lineRule="auto" w:before="4"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Правилником о употреби службених мобилних телефона и картица број 604/2012 од 07.03.2012. године није за Градоначелника утврђен лимит у потрошњи мобилног телефона</w:t>
      </w:r>
      <w:r>
        <w:rPr>
          <w:rFonts w:ascii="Times New Roman" w:hAnsi="Times New Roman"/>
          <w:sz w:val="24"/>
        </w:rPr>
        <w:t>.</w:t>
      </w:r>
    </w:p>
    <w:p>
      <w:pPr>
        <w:pStyle w:val="ListParagraph"/>
        <w:numPr>
          <w:ilvl w:val="0"/>
          <w:numId w:val="9"/>
        </w:numPr>
        <w:tabs>
          <w:tab w:pos="341"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Обустава на плату и накнаду износа прекорачења у трошењу мобилне телефоније није правилно вршена,</w:t>
      </w:r>
      <w:r>
        <w:rPr>
          <w:rFonts w:ascii="Times New Roman" w:hAnsi="Times New Roman"/>
          <w:spacing w:val="-5"/>
          <w:sz w:val="24"/>
        </w:rPr>
        <w:t> </w:t>
      </w:r>
      <w:r>
        <w:rPr>
          <w:rFonts w:ascii="Times New Roman" w:hAnsi="Times New Roman"/>
          <w:sz w:val="24"/>
        </w:rPr>
        <w:t>јер</w:t>
      </w:r>
      <w:r>
        <w:rPr>
          <w:rFonts w:ascii="Times New Roman" w:hAnsi="Times New Roman"/>
          <w:sz w:val="24"/>
        </w:rPr>
        <w:t>:</w:t>
      </w:r>
    </w:p>
    <w:p>
      <w:pPr>
        <w:pStyle w:val="ListParagraph"/>
        <w:numPr>
          <w:ilvl w:val="0"/>
          <w:numId w:val="12"/>
        </w:numPr>
        <w:tabs>
          <w:tab w:pos="341" w:val="left" w:leader="none"/>
        </w:tabs>
        <w:spacing w:line="240" w:lineRule="auto" w:before="0" w:after="0"/>
        <w:ind w:left="160" w:right="187" w:firstLine="0"/>
        <w:jc w:val="both"/>
        <w:rPr>
          <w:rFonts w:ascii="Times New Roman" w:hAnsi="Times New Roman" w:cs="Times New Roman" w:eastAsia="Times New Roman" w:hint="default"/>
          <w:sz w:val="24"/>
          <w:szCs w:val="24"/>
        </w:rPr>
      </w:pPr>
      <w:r>
        <w:rPr>
          <w:rFonts w:ascii="Times New Roman" w:hAnsi="Times New Roman"/>
          <w:sz w:val="24"/>
        </w:rPr>
        <w:t>вршене су обуставе прекорачења у потрошњи мобилног телефона у износу без ПДВ, тако да ПДВ на потрошњу представља расход буџета</w:t>
      </w:r>
      <w:r>
        <w:rPr>
          <w:rFonts w:ascii="Times New Roman" w:hAnsi="Times New Roman"/>
          <w:spacing w:val="-11"/>
          <w:sz w:val="24"/>
        </w:rPr>
        <w:t> </w:t>
      </w:r>
      <w:r>
        <w:rPr>
          <w:rFonts w:ascii="Times New Roman" w:hAnsi="Times New Roman"/>
          <w:sz w:val="24"/>
        </w:rPr>
        <w:t>града</w:t>
      </w:r>
      <w:r>
        <w:rPr>
          <w:rFonts w:ascii="Times New Roman" w:hAnsi="Times New Roman"/>
          <w:sz w:val="24"/>
        </w:rPr>
        <w:t>;</w:t>
      </w:r>
    </w:p>
    <w:p>
      <w:pPr>
        <w:pStyle w:val="ListParagraph"/>
        <w:numPr>
          <w:ilvl w:val="0"/>
          <w:numId w:val="12"/>
        </w:numPr>
        <w:tabs>
          <w:tab w:pos="341" w:val="left" w:leader="none"/>
        </w:tabs>
        <w:spacing w:line="240" w:lineRule="auto" w:before="0"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укупан збир за обуставу прекорачења у трошењу мобилне телефоније, на основу обрачуна састављеног од стране Службе за одржавање и информатичко</w:t>
      </w:r>
      <w:r>
        <w:rPr>
          <w:rFonts w:ascii="Times New Roman" w:hAnsi="Times New Roman"/>
          <w:sz w:val="24"/>
        </w:rPr>
        <w:t>-</w:t>
      </w:r>
      <w:r>
        <w:rPr>
          <w:rFonts w:ascii="Times New Roman" w:hAnsi="Times New Roman"/>
          <w:sz w:val="24"/>
        </w:rPr>
        <w:t>комуникационе технологије града Ниша за месец октобар није тачан</w:t>
      </w:r>
      <w:r>
        <w:rPr>
          <w:rFonts w:ascii="Times New Roman" w:hAnsi="Times New Roman"/>
          <w:sz w:val="24"/>
        </w:rPr>
        <w:t>-</w:t>
      </w:r>
      <w:r>
        <w:rPr>
          <w:rFonts w:ascii="Times New Roman" w:hAnsi="Times New Roman"/>
          <w:sz w:val="24"/>
        </w:rPr>
        <w:t>мањи је за шест хиљада динара, за месец новембар 2013. године није тачан</w:t>
      </w:r>
      <w:r>
        <w:rPr>
          <w:rFonts w:ascii="Times New Roman" w:hAnsi="Times New Roman"/>
          <w:sz w:val="24"/>
        </w:rPr>
        <w:t>-</w:t>
      </w:r>
      <w:r>
        <w:rPr>
          <w:rFonts w:ascii="Times New Roman" w:hAnsi="Times New Roman"/>
          <w:sz w:val="24"/>
        </w:rPr>
        <w:t>мањи је за износ од три хиљаде динара, док је за месец јули 2014. године мањи за једну хиљаду</w:t>
      </w:r>
      <w:r>
        <w:rPr>
          <w:rFonts w:ascii="Times New Roman" w:hAnsi="Times New Roman"/>
          <w:spacing w:val="-8"/>
          <w:sz w:val="24"/>
        </w:rPr>
        <w:t> </w:t>
      </w:r>
      <w:r>
        <w:rPr>
          <w:rFonts w:ascii="Times New Roman" w:hAnsi="Times New Roman"/>
          <w:sz w:val="24"/>
        </w:rPr>
        <w:t>динара</w:t>
      </w:r>
      <w:r>
        <w:rPr>
          <w:rFonts w:ascii="Times New Roman" w:hAnsi="Times New Roman"/>
          <w:sz w:val="24"/>
        </w:rPr>
        <w:t>;</w:t>
      </w:r>
    </w:p>
    <w:p>
      <w:pPr>
        <w:pStyle w:val="ListParagraph"/>
        <w:numPr>
          <w:ilvl w:val="0"/>
          <w:numId w:val="12"/>
        </w:numPr>
        <w:tabs>
          <w:tab w:pos="341"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лице коме је радни однос у мировању од октобра 2013. године, због именовања на радно место директора ЈКП „</w:t>
      </w:r>
      <w:r>
        <w:rPr>
          <w:rFonts w:ascii="Times New Roman" w:hAnsi="Times New Roman" w:cs="Times New Roman" w:eastAsia="Times New Roman" w:hint="default"/>
          <w:sz w:val="24"/>
          <w:szCs w:val="24"/>
        </w:rPr>
        <w:t>Naissus</w:t>
      </w:r>
      <w:r>
        <w:rPr>
          <w:rFonts w:ascii="Times New Roman" w:hAnsi="Times New Roman" w:cs="Times New Roman" w:eastAsia="Times New Roman" w:hint="default"/>
          <w:sz w:val="24"/>
          <w:szCs w:val="24"/>
        </w:rPr>
        <w:t>“ Ниш, наставило је да користи службени мобилни телефон до фебруара 2014.године. Од дана именовања до дана раздужења наведено лице је на име употребе мобилног телефона потрошило 63 хиљаде динара, које није надокнадило. Потраживање није евидентирано у пословним</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књигама;</w:t>
      </w:r>
    </w:p>
    <w:p>
      <w:pPr>
        <w:pStyle w:val="ListParagraph"/>
        <w:numPr>
          <w:ilvl w:val="0"/>
          <w:numId w:val="12"/>
        </w:numPr>
        <w:tabs>
          <w:tab w:pos="341" w:val="left" w:leader="none"/>
        </w:tabs>
        <w:spacing w:line="240" w:lineRule="auto" w:before="0"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за запосленог на радном месту заменик начелника Управе за финансије, јавне приходе локалне</w:t>
      </w:r>
      <w:r>
        <w:rPr>
          <w:rFonts w:ascii="Times New Roman" w:hAnsi="Times New Roman"/>
          <w:spacing w:val="41"/>
          <w:sz w:val="24"/>
        </w:rPr>
        <w:t> </w:t>
      </w:r>
      <w:r>
        <w:rPr>
          <w:rFonts w:ascii="Times New Roman" w:hAnsi="Times New Roman"/>
          <w:sz w:val="24"/>
        </w:rPr>
        <w:t>самоуправе</w:t>
      </w:r>
      <w:r>
        <w:rPr>
          <w:rFonts w:ascii="Times New Roman" w:hAnsi="Times New Roman"/>
          <w:spacing w:val="41"/>
          <w:sz w:val="24"/>
        </w:rPr>
        <w:t> </w:t>
      </w:r>
      <w:r>
        <w:rPr>
          <w:rFonts w:ascii="Times New Roman" w:hAnsi="Times New Roman"/>
          <w:sz w:val="24"/>
        </w:rPr>
        <w:t>и</w:t>
      </w:r>
      <w:r>
        <w:rPr>
          <w:rFonts w:ascii="Times New Roman" w:hAnsi="Times New Roman"/>
          <w:spacing w:val="45"/>
          <w:sz w:val="24"/>
        </w:rPr>
        <w:t> </w:t>
      </w:r>
      <w:r>
        <w:rPr>
          <w:rFonts w:ascii="Times New Roman" w:hAnsi="Times New Roman"/>
          <w:sz w:val="24"/>
        </w:rPr>
        <w:t>јавне</w:t>
      </w:r>
      <w:r>
        <w:rPr>
          <w:rFonts w:ascii="Times New Roman" w:hAnsi="Times New Roman"/>
          <w:spacing w:val="41"/>
          <w:sz w:val="24"/>
        </w:rPr>
        <w:t> </w:t>
      </w:r>
      <w:r>
        <w:rPr>
          <w:rFonts w:ascii="Times New Roman" w:hAnsi="Times New Roman"/>
          <w:sz w:val="24"/>
        </w:rPr>
        <w:t>набавке</w:t>
      </w:r>
      <w:r>
        <w:rPr>
          <w:rFonts w:ascii="Times New Roman" w:hAnsi="Times New Roman"/>
          <w:spacing w:val="46"/>
          <w:sz w:val="24"/>
        </w:rPr>
        <w:t> </w:t>
      </w:r>
      <w:r>
        <w:rPr>
          <w:rFonts w:ascii="Times New Roman" w:hAnsi="Times New Roman"/>
          <w:sz w:val="24"/>
        </w:rPr>
        <w:t>у</w:t>
      </w:r>
      <w:r>
        <w:rPr>
          <w:rFonts w:ascii="Times New Roman" w:hAnsi="Times New Roman"/>
          <w:spacing w:val="39"/>
          <w:sz w:val="24"/>
        </w:rPr>
        <w:t> </w:t>
      </w:r>
      <w:r>
        <w:rPr>
          <w:rFonts w:ascii="Times New Roman" w:hAnsi="Times New Roman"/>
          <w:sz w:val="24"/>
        </w:rPr>
        <w:t>обрачуну</w:t>
      </w:r>
      <w:r>
        <w:rPr>
          <w:rFonts w:ascii="Times New Roman" w:hAnsi="Times New Roman"/>
          <w:spacing w:val="37"/>
          <w:sz w:val="24"/>
        </w:rPr>
        <w:t> </w:t>
      </w:r>
      <w:r>
        <w:rPr>
          <w:rFonts w:ascii="Times New Roman" w:hAnsi="Times New Roman"/>
          <w:sz w:val="24"/>
        </w:rPr>
        <w:t>прекорачења</w:t>
      </w:r>
      <w:r>
        <w:rPr>
          <w:rFonts w:ascii="Times New Roman" w:hAnsi="Times New Roman"/>
          <w:spacing w:val="47"/>
          <w:sz w:val="24"/>
        </w:rPr>
        <w:t> </w:t>
      </w:r>
      <w:r>
        <w:rPr>
          <w:rFonts w:ascii="Times New Roman" w:hAnsi="Times New Roman"/>
          <w:sz w:val="24"/>
        </w:rPr>
        <w:t>у</w:t>
      </w:r>
      <w:r>
        <w:rPr>
          <w:rFonts w:ascii="Times New Roman" w:hAnsi="Times New Roman"/>
          <w:spacing w:val="37"/>
          <w:sz w:val="24"/>
        </w:rPr>
        <w:t> </w:t>
      </w:r>
      <w:r>
        <w:rPr>
          <w:rFonts w:ascii="Times New Roman" w:hAnsi="Times New Roman"/>
          <w:sz w:val="24"/>
        </w:rPr>
        <w:t>трошењу</w:t>
      </w:r>
      <w:r>
        <w:rPr>
          <w:rFonts w:ascii="Times New Roman" w:hAnsi="Times New Roman"/>
          <w:spacing w:val="39"/>
          <w:sz w:val="24"/>
        </w:rPr>
        <w:t> </w:t>
      </w:r>
      <w:r>
        <w:rPr>
          <w:rFonts w:ascii="Times New Roman" w:hAnsi="Times New Roman"/>
          <w:sz w:val="24"/>
        </w:rPr>
        <w:t>средстава</w:t>
      </w:r>
      <w:r>
        <w:rPr>
          <w:rFonts w:ascii="Times New Roman" w:hAnsi="Times New Roman"/>
          <w:spacing w:val="41"/>
          <w:sz w:val="24"/>
        </w:rPr>
        <w:t> </w:t>
      </w:r>
      <w:r>
        <w:rPr>
          <w:rFonts w:ascii="Times New Roman" w:hAnsi="Times New Roman"/>
          <w:sz w:val="24"/>
        </w:rPr>
        <w:t>за</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87"/>
        <w:jc w:val="both"/>
      </w:pPr>
      <w:r>
        <w:rPr/>
        <w:t>месец новембар 2013. године у крајњој колони која представља износ за обуставу, исказан је износ за обуставу, али исти није</w:t>
      </w:r>
      <w:r>
        <w:rPr>
          <w:spacing w:val="-16"/>
        </w:rPr>
        <w:t> </w:t>
      </w:r>
      <w:r>
        <w:rPr/>
        <w:t>обустављен.</w:t>
      </w:r>
    </w:p>
    <w:p>
      <w:pPr>
        <w:pStyle w:val="ListParagraph"/>
        <w:numPr>
          <w:ilvl w:val="0"/>
          <w:numId w:val="9"/>
        </w:numPr>
        <w:tabs>
          <w:tab w:pos="341"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Рачуни, по којима је извршен расход на име трошкова телефона нису евидентирани у пословним књигама у року од два дана од дана настанка пословне промене, односно истог или најкасније наредног дана од дана добијања рачуноводствене исправе, већ у моменту плаћања, односно за више месеци касније, што је супротно члану 16. Уредбе о буџетском рачуноводству. На пример: рачун „Телеком Србија“ ад Београд број </w:t>
      </w:r>
      <w:r>
        <w:rPr>
          <w:rFonts w:ascii="Times New Roman" w:hAnsi="Times New Roman" w:cs="Times New Roman" w:eastAsia="Times New Roman" w:hint="default"/>
          <w:sz w:val="24"/>
          <w:szCs w:val="24"/>
        </w:rPr>
        <w:t>66-145- 018-</w:t>
      </w:r>
      <w:r>
        <w:rPr>
          <w:rFonts w:ascii="Times New Roman" w:hAnsi="Times New Roman" w:cs="Times New Roman" w:eastAsia="Times New Roman" w:hint="default"/>
          <w:sz w:val="24"/>
          <w:szCs w:val="24"/>
        </w:rPr>
        <w:t>0003016 од 01.11.2013. године за извршену услугу интернета</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преноса података за месец октобар 2013. године заведен је у деловодну књигу Службе ИКТ под бројем </w:t>
      </w:r>
      <w:r>
        <w:rPr>
          <w:rFonts w:ascii="Times New Roman" w:hAnsi="Times New Roman" w:cs="Times New Roman" w:eastAsia="Times New Roman" w:hint="default"/>
          <w:spacing w:val="2"/>
          <w:sz w:val="24"/>
          <w:szCs w:val="24"/>
        </w:rPr>
        <w:t>16</w:t>
      </w:r>
      <w:r>
        <w:rPr>
          <w:rFonts w:ascii="Times New Roman" w:hAnsi="Times New Roman" w:cs="Times New Roman" w:eastAsia="Times New Roman" w:hint="default"/>
          <w:spacing w:val="2"/>
          <w:sz w:val="24"/>
          <w:szCs w:val="24"/>
        </w:rPr>
        <w:t>- </w:t>
      </w:r>
      <w:r>
        <w:rPr>
          <w:rFonts w:ascii="Times New Roman" w:hAnsi="Times New Roman" w:cs="Times New Roman" w:eastAsia="Times New Roman" w:hint="default"/>
          <w:spacing w:val="2"/>
          <w:sz w:val="24"/>
          <w:szCs w:val="24"/>
        </w:rPr>
      </w:r>
      <w:r>
        <w:rPr>
          <w:rFonts w:ascii="Times New Roman" w:hAnsi="Times New Roman" w:cs="Times New Roman" w:eastAsia="Times New Roman" w:hint="default"/>
          <w:sz w:val="24"/>
          <w:szCs w:val="24"/>
        </w:rPr>
        <w:t>1852 дана 13.11.2013. године, а захтев број 16</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2989/2014 за плаћање наведеног рачуна испостављен је 09.06.2014. године, док је евидентирање обавезе по рачуну у пословним књигама Града извршено дана 02.07.2014. године налогом за књижење број 123, након више од седам</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месеци.</w:t>
      </w:r>
    </w:p>
    <w:p>
      <w:pPr>
        <w:pStyle w:val="ListParagraph"/>
        <w:numPr>
          <w:ilvl w:val="0"/>
          <w:numId w:val="9"/>
        </w:numPr>
        <w:tabs>
          <w:tab w:pos="303"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Пословне књиге Службе за одржавање и информатичко</w:t>
      </w:r>
      <w:r>
        <w:rPr>
          <w:rFonts w:ascii="Times New Roman" w:hAnsi="Times New Roman"/>
          <w:sz w:val="24"/>
        </w:rPr>
        <w:t>-</w:t>
      </w:r>
      <w:r>
        <w:rPr>
          <w:rFonts w:ascii="Times New Roman" w:hAnsi="Times New Roman"/>
          <w:sz w:val="24"/>
        </w:rPr>
        <w:t>комуникационе технологије не воде се хронолошки и ажурно, јер се рачуни евидентирају у моменту плаћања а плаћање се не врши хронолошки по месецима, што је супротно члану 9. Уредбе о буџетском рачуноводству.</w:t>
      </w:r>
    </w:p>
    <w:p>
      <w:pPr>
        <w:pStyle w:val="ListParagraph"/>
        <w:numPr>
          <w:ilvl w:val="0"/>
          <w:numId w:val="9"/>
        </w:numPr>
        <w:tabs>
          <w:tab w:pos="341"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Обавезе по рачунима за мобилни телефон за месец октобар и новембар 2013. године евидентиране су у моменту плаћања рачуна, односно раније је извршена обустава прекорачења у потрошњи по рачуну него што је рачун евидентиран, што је супротно члану 16. Уредбе о буџетском</w:t>
      </w:r>
      <w:r>
        <w:rPr>
          <w:rFonts w:ascii="Times New Roman" w:hAnsi="Times New Roman"/>
          <w:spacing w:val="-11"/>
          <w:sz w:val="24"/>
        </w:rPr>
        <w:t> </w:t>
      </w:r>
      <w:r>
        <w:rPr>
          <w:rFonts w:ascii="Times New Roman" w:hAnsi="Times New Roman"/>
          <w:sz w:val="24"/>
        </w:rPr>
        <w:t>рачуноводству.</w:t>
      </w:r>
    </w:p>
    <w:p>
      <w:pPr>
        <w:pStyle w:val="ListParagraph"/>
        <w:numPr>
          <w:ilvl w:val="0"/>
          <w:numId w:val="9"/>
        </w:numPr>
        <w:tabs>
          <w:tab w:pos="303" w:val="left" w:leader="none"/>
        </w:tabs>
        <w:spacing w:line="240" w:lineRule="auto" w:before="2" w:after="0"/>
        <w:ind w:left="160" w:right="17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Захтеви за плаћање – трансфер средстава број 16</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2990/2014 од 09.06.2014. године, број </w:t>
      </w:r>
      <w:r>
        <w:rPr>
          <w:rFonts w:ascii="Times New Roman" w:hAnsi="Times New Roman" w:cs="Times New Roman" w:eastAsia="Times New Roman" w:hint="default"/>
          <w:sz w:val="24"/>
          <w:szCs w:val="24"/>
        </w:rPr>
        <w:t>16-</w:t>
      </w:r>
      <w:r>
        <w:rPr>
          <w:rFonts w:ascii="Times New Roman" w:hAnsi="Times New Roman" w:cs="Times New Roman" w:eastAsia="Times New Roman" w:hint="default"/>
          <w:sz w:val="24"/>
          <w:szCs w:val="24"/>
        </w:rPr>
        <w:t>2995/2014 од 09.06.2014. године, број 16</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3172/2014 од 20.06.2014. године нису потписани од стране одговорног лица Управе за финансије, изворне приходе локалне самоуправе и јавне набавке, што је супротно члану 58. Закона о буџетском систему и члану 16. Уредбе о буџетском</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рачуноводству.</w:t>
      </w:r>
    </w:p>
    <w:p>
      <w:pPr>
        <w:pStyle w:val="Heading2"/>
        <w:spacing w:line="240" w:lineRule="auto"/>
        <w:ind w:right="172"/>
        <w:jc w:val="both"/>
        <w:rPr>
          <w:b w:val="0"/>
          <w:bCs w:val="0"/>
          <w:i w:val="0"/>
        </w:rPr>
      </w:pPr>
      <w:r>
        <w:rPr>
          <w:i/>
        </w:rPr>
        <w:t>Препоручује се одговорним лицима да</w:t>
      </w:r>
      <w:r>
        <w:rPr>
          <w:rFonts w:ascii="Times New Roman" w:hAnsi="Times New Roman"/>
          <w:i/>
        </w:rPr>
        <w:t>: </w:t>
      </w:r>
      <w:r>
        <w:rPr>
          <w:i/>
        </w:rPr>
        <w:t>утврде лимит за употребу службеног мобилног телефона за сва лица којима је дато право коришћења</w:t>
      </w:r>
      <w:r>
        <w:rPr>
          <w:rFonts w:ascii="Times New Roman" w:hAnsi="Times New Roman"/>
          <w:i/>
        </w:rPr>
        <w:t>, </w:t>
      </w:r>
      <w:r>
        <w:rPr>
          <w:i/>
        </w:rPr>
        <w:t>обуставу прекорачења у коришћењу мобилног телефона обрачунавају и врше са обрачунатим ПДВ</w:t>
      </w:r>
      <w:r>
        <w:rPr>
          <w:rFonts w:ascii="Times New Roman" w:hAnsi="Times New Roman"/>
          <w:i/>
        </w:rPr>
        <w:t>, </w:t>
      </w:r>
      <w:r>
        <w:rPr>
          <w:i/>
        </w:rPr>
        <w:t>врше рачунски тачан обрачун прекорачења</w:t>
      </w:r>
      <w:r>
        <w:rPr>
          <w:rFonts w:ascii="Times New Roman" w:hAnsi="Times New Roman"/>
          <w:i/>
        </w:rPr>
        <w:t>, </w:t>
      </w:r>
      <w:r>
        <w:rPr>
          <w:i/>
        </w:rPr>
        <w:t>онемогуће употребу службених мобилних телефона у случају кад запослени пређе код другог послодавца</w:t>
      </w:r>
      <w:r>
        <w:rPr>
          <w:rFonts w:ascii="Times New Roman" w:hAnsi="Times New Roman"/>
          <w:i/>
        </w:rPr>
        <w:t>, </w:t>
      </w:r>
      <w:r>
        <w:rPr>
          <w:i/>
        </w:rPr>
        <w:t>рачуне евидентирају у пословним књигама у прописаним роковима и пословне књиге воде хронолошки и</w:t>
      </w:r>
      <w:r>
        <w:rPr>
          <w:i/>
          <w:spacing w:val="-3"/>
        </w:rPr>
        <w:t> </w:t>
      </w:r>
      <w:r>
        <w:rPr>
          <w:i/>
        </w:rPr>
        <w:t>ажурно.</w:t>
      </w:r>
      <w:r>
        <w:rPr>
          <w:b w:val="0"/>
          <w:i w:val="0"/>
        </w:rPr>
      </w:r>
    </w:p>
    <w:p>
      <w:pPr>
        <w:pStyle w:val="BodyText"/>
        <w:spacing w:line="240" w:lineRule="auto"/>
        <w:ind w:right="183" w:firstLine="566"/>
        <w:jc w:val="both"/>
        <w:rPr>
          <w:rFonts w:ascii="Times New Roman" w:hAnsi="Times New Roman" w:cs="Times New Roman" w:eastAsia="Times New Roman" w:hint="default"/>
        </w:rPr>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Трошкови осигурања, синтетички конто 421500 </w:t>
      </w:r>
      <w:r>
        <w:rPr/>
        <w:t>– Исказани су расходи у износу од </w:t>
      </w:r>
      <w:r>
        <w:rPr/>
        <w:t>382 хиљаде динара за осигурање</w:t>
      </w:r>
      <w:r>
        <w:rPr>
          <w:spacing w:val="-8"/>
        </w:rPr>
        <w:t> </w:t>
      </w:r>
      <w:r>
        <w:rPr/>
        <w:t>возила</w:t>
      </w:r>
      <w:r>
        <w:rPr>
          <w:rFonts w:ascii="Times New Roman" w:hAnsi="Times New Roman" w:cs="Times New Roman" w:eastAsia="Times New Roman" w:hint="default"/>
        </w:rPr>
        <w:t>.</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Рачун за услугу пружања каско осигурања службених возила града Ниша није евидентиран у пословним књигама Службе за одржавање и информатичко</w:t>
      </w:r>
      <w:r>
        <w:rPr>
          <w:rFonts w:ascii="Times New Roman" w:hAnsi="Times New Roman"/>
          <w:sz w:val="24"/>
        </w:rPr>
        <w:t>- </w:t>
      </w:r>
      <w:r>
        <w:rPr>
          <w:rFonts w:ascii="Times New Roman" w:hAnsi="Times New Roman"/>
          <w:sz w:val="24"/>
        </w:rPr>
        <w:t>комуникационе технологије у року од два дана од дана настанка пословне промене, односно истог или најкасније наредног дана </w:t>
      </w:r>
      <w:r>
        <w:rPr>
          <w:rFonts w:ascii="Times New Roman" w:hAnsi="Times New Roman"/>
          <w:spacing w:val="2"/>
          <w:sz w:val="24"/>
        </w:rPr>
        <w:t>од </w:t>
      </w:r>
      <w:r>
        <w:rPr>
          <w:rFonts w:ascii="Times New Roman" w:hAnsi="Times New Roman"/>
          <w:sz w:val="24"/>
        </w:rPr>
        <w:t>дана добијања рачуноводствене исправе</w:t>
      </w:r>
      <w:r>
        <w:rPr>
          <w:rFonts w:ascii="Times New Roman" w:hAnsi="Times New Roman"/>
          <w:sz w:val="24"/>
        </w:rPr>
        <w:t>, </w:t>
      </w:r>
      <w:r>
        <w:rPr>
          <w:rFonts w:ascii="Times New Roman" w:hAnsi="Times New Roman"/>
          <w:sz w:val="24"/>
        </w:rPr>
        <w:t>већ скоро годину дана касније, што је супротно члану 9. и 16. Уредбе о буџетском рачуноводству.</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Обавеза по рачуну за услугу пружања каско осигурања службених возила града Ниша није измирена у року од 45 дана, што је супротно члану 4. Закона о роковима измирења новчаних обавеза у комерцијалним трансакцијама и закљученом</w:t>
      </w:r>
      <w:r>
        <w:rPr>
          <w:rFonts w:ascii="Times New Roman" w:hAnsi="Times New Roman"/>
          <w:spacing w:val="-29"/>
          <w:sz w:val="24"/>
        </w:rPr>
        <w:t> </w:t>
      </w:r>
      <w:r>
        <w:rPr>
          <w:rFonts w:ascii="Times New Roman" w:hAnsi="Times New Roman"/>
          <w:sz w:val="24"/>
        </w:rPr>
        <w:t>уговору.</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Heading2"/>
        <w:spacing w:line="240" w:lineRule="auto" w:before="126"/>
        <w:ind w:right="174"/>
        <w:jc w:val="both"/>
        <w:rPr>
          <w:b w:val="0"/>
          <w:bCs w:val="0"/>
          <w:i w:val="0"/>
        </w:rPr>
      </w:pPr>
      <w:r>
        <w:rPr>
          <w:i/>
        </w:rPr>
        <w:t>Препоручује се одговорним лицима да рачуноводствене исправе евидентирају у прописаним роковима и измирење новчаних обавеза врше у року прописаном Законом о роковима измирења новчаних обавеза у комерцијалним трансакцијама и  закљученим</w:t>
      </w:r>
      <w:r>
        <w:rPr>
          <w:i/>
          <w:spacing w:val="-5"/>
        </w:rPr>
        <w:t> </w:t>
      </w:r>
      <w:r>
        <w:rPr>
          <w:i/>
        </w:rPr>
        <w:t>уговором.</w:t>
      </w:r>
      <w:r>
        <w:rPr>
          <w:b w:val="0"/>
          <w:i w:val="0"/>
        </w:rPr>
      </w:r>
    </w:p>
    <w:p>
      <w:pPr>
        <w:pStyle w:val="Heading1"/>
        <w:numPr>
          <w:ilvl w:val="3"/>
          <w:numId w:val="31"/>
        </w:numPr>
        <w:tabs>
          <w:tab w:pos="941" w:val="left" w:leader="none"/>
        </w:tabs>
        <w:spacing w:line="274" w:lineRule="exact" w:before="120" w:after="0"/>
        <w:ind w:left="940" w:right="0" w:hanging="780"/>
        <w:jc w:val="left"/>
        <w:rPr>
          <w:b w:val="0"/>
          <w:bCs w:val="0"/>
        </w:rPr>
      </w:pPr>
      <w:bookmarkStart w:name="_bookmark17" w:id="31"/>
      <w:bookmarkEnd w:id="31"/>
      <w:r>
        <w:rPr>
          <w:b w:val="0"/>
        </w:rPr>
      </w:r>
      <w:bookmarkStart w:name="_bookmark17" w:id="32"/>
      <w:bookmarkEnd w:id="32"/>
      <w:r>
        <w:rPr/>
        <w:t>T</w:t>
      </w:r>
      <w:r>
        <w:rPr/>
        <w:t>рошкови путовања, група</w:t>
      </w:r>
      <w:r>
        <w:rPr>
          <w:spacing w:val="-4"/>
        </w:rPr>
        <w:t> </w:t>
      </w:r>
      <w:r>
        <w:rPr/>
        <w:t>422000</w:t>
      </w:r>
      <w:r>
        <w:rPr>
          <w:b w:val="0"/>
        </w:rPr>
      </w:r>
    </w:p>
    <w:p>
      <w:pPr>
        <w:pStyle w:val="BodyText"/>
        <w:spacing w:line="240" w:lineRule="auto"/>
        <w:ind w:right="178" w:firstLine="566"/>
        <w:jc w:val="both"/>
      </w:pPr>
      <w:r>
        <w:rPr/>
        <w:t>Група 42</w:t>
      </w:r>
      <w:r>
        <w:rPr>
          <w:rFonts w:ascii="Times New Roman" w:hAnsi="Times New Roman" w:cs="Times New Roman" w:eastAsia="Times New Roman" w:hint="default"/>
        </w:rPr>
        <w:t>2000 </w:t>
      </w:r>
      <w:r>
        <w:rPr/>
        <w:t>– Трошкови путовања садржи синтетичка конта: трошкови  службених путовања у земљи, трошкови службених путовања у иностранство, трошкови путовања у оквиру редовног рада, трошкови путовања ученика и остали трошкови транспорта.</w:t>
      </w:r>
    </w:p>
    <w:p>
      <w:pPr>
        <w:spacing w:before="2" w:after="4"/>
        <w:ind w:left="0" w:right="172" w:firstLine="0"/>
        <w:jc w:val="right"/>
        <w:rPr>
          <w:rFonts w:ascii="Times New Roman" w:hAnsi="Times New Roman" w:cs="Times New Roman" w:eastAsia="Times New Roman" w:hint="default"/>
          <w:sz w:val="16"/>
          <w:szCs w:val="16"/>
        </w:rPr>
      </w:pPr>
      <w:r>
        <w:rPr>
          <w:rFonts w:ascii="Times New Roman" w:hAnsi="Times New Roman"/>
          <w:sz w:val="16"/>
        </w:rPr>
        <w:t>( </w:t>
      </w:r>
      <w:r>
        <w:rPr>
          <w:rFonts w:ascii="Times New Roman" w:hAnsi="Times New Roman"/>
          <w:sz w:val="16"/>
        </w:rPr>
        <w:t>у хиљадама</w:t>
      </w:r>
      <w:r>
        <w:rPr>
          <w:rFonts w:ascii="Times New Roman" w:hAnsi="Times New Roman"/>
          <w:spacing w:val="-3"/>
          <w:sz w:val="16"/>
        </w:rPr>
        <w:t> </w:t>
      </w:r>
      <w:r>
        <w:rPr>
          <w:rFonts w:ascii="Times New Roman" w:hAnsi="Times New Roman"/>
          <w:sz w:val="16"/>
        </w:rPr>
        <w:t>динара</w:t>
      </w:r>
      <w:r>
        <w:rPr>
          <w:rFonts w:ascii="Times New Roman" w:hAnsi="Times New Roman"/>
          <w:sz w:val="16"/>
        </w:rPr>
        <w:t>)</w:t>
      </w:r>
    </w:p>
    <w:tbl>
      <w:tblPr>
        <w:tblW w:w="0" w:type="auto"/>
        <w:jc w:val="left"/>
        <w:tblInd w:w="141" w:type="dxa"/>
        <w:tblLayout w:type="fixed"/>
        <w:tblCellMar>
          <w:top w:w="0" w:type="dxa"/>
          <w:left w:w="0" w:type="dxa"/>
          <w:bottom w:w="0" w:type="dxa"/>
          <w:right w:w="0" w:type="dxa"/>
        </w:tblCellMar>
        <w:tblLook w:val="01E0"/>
      </w:tblPr>
      <w:tblGrid>
        <w:gridCol w:w="876"/>
        <w:gridCol w:w="2401"/>
        <w:gridCol w:w="960"/>
        <w:gridCol w:w="1351"/>
        <w:gridCol w:w="1047"/>
        <w:gridCol w:w="936"/>
        <w:gridCol w:w="845"/>
        <w:gridCol w:w="847"/>
      </w:tblGrid>
      <w:tr>
        <w:trPr>
          <w:trHeight w:val="507"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40"/>
              <w:ind w:left="247" w:right="178" w:hanging="58"/>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7"/>
              <w:ind w:left="393"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8"/>
                <w:sz w:val="18"/>
              </w:rPr>
              <w:t> </w:t>
            </w:r>
            <w:r>
              <w:rPr>
                <w:rFonts w:ascii="Times New Roman" w:hAnsi="Times New Roman"/>
                <w:b/>
                <w:sz w:val="18"/>
              </w:rPr>
              <w:t>корисник</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7"/>
              <w:ind w:right="103"/>
              <w:jc w:val="right"/>
              <w:rPr>
                <w:rFonts w:ascii="Times New Roman" w:hAnsi="Times New Roman" w:cs="Times New Roman" w:eastAsia="Times New Roman" w:hint="default"/>
                <w:sz w:val="18"/>
                <w:szCs w:val="18"/>
              </w:rPr>
            </w:pPr>
            <w:r>
              <w:rPr>
                <w:rFonts w:ascii="Times New Roman" w:hAnsi="Times New Roman"/>
                <w:b/>
                <w:spacing w:val="-1"/>
                <w:sz w:val="18"/>
              </w:rPr>
              <w:t>Ребаланс</w:t>
            </w:r>
            <w:r>
              <w:rPr>
                <w:rFonts w:ascii="Times New Roman" w:hAns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40"/>
              <w:ind w:left="103" w:right="93" w:firstLine="88"/>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реалокацијом</w:t>
            </w:r>
            <w:r>
              <w:rPr>
                <w:rFonts w:ascii="Times New Roman" w:hAns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40"/>
              <w:ind w:left="103" w:right="95"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40"/>
              <w:ind w:left="112" w:right="107"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40"/>
              <w:ind w:left="299" w:right="110"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40"/>
              <w:ind w:left="302" w:right="109"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4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403" w:right="0"/>
              <w:jc w:val="left"/>
              <w:rPr>
                <w:rFonts w:ascii="Times New Roman" w:hAnsi="Times New Roman" w:cs="Times New Roman" w:eastAsia="Times New Roman" w:hint="default"/>
                <w:sz w:val="12"/>
                <w:szCs w:val="12"/>
              </w:rPr>
            </w:pPr>
            <w:r>
              <w:rPr>
                <w:rFonts w:ascii="Times New Roman"/>
                <w:sz w:val="12"/>
              </w:rPr>
              <w:t>1</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1"/>
              <w:jc w:val="center"/>
              <w:rPr>
                <w:rFonts w:ascii="Times New Roman" w:hAnsi="Times New Roman" w:cs="Times New Roman" w:eastAsia="Times New Roman" w:hint="default"/>
                <w:sz w:val="12"/>
                <w:szCs w:val="12"/>
              </w:rPr>
            </w:pPr>
            <w:r>
              <w:rPr>
                <w:rFonts w:ascii="Times New Roman"/>
                <w:sz w:val="12"/>
              </w:rPr>
              <w:t>2</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2"/>
              <w:jc w:val="center"/>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
              <w:jc w:val="center"/>
              <w:rPr>
                <w:rFonts w:ascii="Times New Roman" w:hAnsi="Times New Roman" w:cs="Times New Roman" w:eastAsia="Times New Roman" w:hint="default"/>
                <w:sz w:val="12"/>
                <w:szCs w:val="12"/>
              </w:rPr>
            </w:pPr>
            <w:r>
              <w:rPr>
                <w:rFonts w:ascii="Times New Roman"/>
                <w:sz w:val="12"/>
              </w:rPr>
              <w:t>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386" w:right="0"/>
              <w:jc w:val="left"/>
              <w:rPr>
                <w:rFonts w:ascii="Times New Roman" w:hAnsi="Times New Roman" w:cs="Times New Roman" w:eastAsia="Times New Roman" w:hint="default"/>
                <w:sz w:val="12"/>
                <w:szCs w:val="12"/>
              </w:rPr>
            </w:pPr>
            <w:r>
              <w:rPr>
                <w:rFonts w:ascii="Times New Roman"/>
                <w:sz w:val="12"/>
              </w:rPr>
              <w:t>7</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8</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86" w:right="0"/>
              <w:jc w:val="left"/>
              <w:rPr>
                <w:rFonts w:ascii="Times New Roman" w:hAnsi="Times New Roman" w:cs="Times New Roman" w:eastAsia="Times New Roman" w:hint="default"/>
                <w:sz w:val="18"/>
                <w:szCs w:val="18"/>
              </w:rPr>
            </w:pPr>
            <w:r>
              <w:rPr>
                <w:rFonts w:ascii="Times New Roman"/>
                <w:sz w:val="18"/>
              </w:rPr>
              <w:t>1</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Градоначелник</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9"/>
              <w:jc w:val="right"/>
              <w:rPr>
                <w:rFonts w:ascii="Times New Roman" w:hAnsi="Times New Roman" w:cs="Times New Roman" w:eastAsia="Times New Roman" w:hint="default"/>
                <w:sz w:val="18"/>
                <w:szCs w:val="18"/>
              </w:rPr>
            </w:pPr>
            <w:r>
              <w:rPr>
                <w:rFonts w:ascii="Times New Roman"/>
                <w:sz w:val="18"/>
              </w:rPr>
              <w:t>700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700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z w:val="18"/>
              </w:rPr>
              <w:t>308</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z w:val="18"/>
              </w:rPr>
              <w:t>308</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26" w:right="0"/>
              <w:jc w:val="left"/>
              <w:rPr>
                <w:rFonts w:ascii="Times New Roman" w:hAnsi="Times New Roman" w:cs="Times New Roman" w:eastAsia="Times New Roman" w:hint="default"/>
                <w:sz w:val="18"/>
                <w:szCs w:val="18"/>
              </w:rPr>
            </w:pPr>
            <w:r>
              <w:rPr>
                <w:rFonts w:ascii="Times New Roman"/>
                <w:sz w:val="18"/>
              </w:rPr>
              <w:t>44,00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2</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Градско</w:t>
            </w:r>
            <w:r>
              <w:rPr>
                <w:rFonts w:ascii="Times New Roman" w:hAnsi="Times New Roman"/>
                <w:spacing w:val="-5"/>
                <w:sz w:val="18"/>
              </w:rPr>
              <w:t> </w:t>
            </w:r>
            <w:r>
              <w:rPr>
                <w:rFonts w:ascii="Times New Roman" w:hAnsi="Times New Roman"/>
                <w:sz w:val="18"/>
              </w:rPr>
              <w:t>веће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400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400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117</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117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26" w:right="0"/>
              <w:jc w:val="left"/>
              <w:rPr>
                <w:rFonts w:ascii="Times New Roman" w:hAnsi="Times New Roman" w:cs="Times New Roman" w:eastAsia="Times New Roman" w:hint="default"/>
                <w:sz w:val="18"/>
                <w:szCs w:val="18"/>
              </w:rPr>
            </w:pPr>
            <w:r>
              <w:rPr>
                <w:rFonts w:ascii="Times New Roman"/>
                <w:sz w:val="18"/>
              </w:rPr>
              <w:t>29,25</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3</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8"/>
                <w:sz w:val="18"/>
              </w:rPr>
              <w:t> </w:t>
            </w:r>
            <w:r>
              <w:rPr>
                <w:rFonts w:ascii="Times New Roman" w:hAnsi="Times New Roman"/>
                <w:sz w:val="18"/>
              </w:rPr>
              <w:t>финансије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4.000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4.000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z w:val="18"/>
              </w:rPr>
              <w:t>2.503</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2.503</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26" w:right="0"/>
              <w:jc w:val="left"/>
              <w:rPr>
                <w:rFonts w:ascii="Times New Roman" w:hAnsi="Times New Roman" w:cs="Times New Roman" w:eastAsia="Times New Roman" w:hint="default"/>
                <w:sz w:val="18"/>
                <w:szCs w:val="18"/>
              </w:rPr>
            </w:pPr>
            <w:r>
              <w:rPr>
                <w:rFonts w:ascii="Times New Roman"/>
                <w:sz w:val="18"/>
              </w:rPr>
              <w:t>62,58</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4</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5"/>
                <w:sz w:val="18"/>
              </w:rPr>
              <w:t> </w:t>
            </w:r>
            <w:r>
              <w:rPr>
                <w:rFonts w:ascii="Times New Roman" w:hAnsi="Times New Roman"/>
                <w:sz w:val="18"/>
              </w:rPr>
              <w:t>образовање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1.200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1.200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635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527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26" w:right="0"/>
              <w:jc w:val="left"/>
              <w:rPr>
                <w:rFonts w:ascii="Times New Roman" w:hAnsi="Times New Roman" w:cs="Times New Roman" w:eastAsia="Times New Roman" w:hint="default"/>
                <w:sz w:val="18"/>
                <w:szCs w:val="18"/>
              </w:rPr>
            </w:pPr>
            <w:r>
              <w:rPr>
                <w:rFonts w:ascii="Times New Roman"/>
                <w:sz w:val="18"/>
              </w:rPr>
              <w:t>43,92</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82,99</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hAnsi="Times New Roman"/>
                <w:sz w:val="18"/>
              </w:rPr>
              <w:t>4а</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ПУ</w:t>
            </w:r>
            <w:r>
              <w:rPr>
                <w:rFonts w:ascii="Times New Roman" w:hAnsi="Times New Roman"/>
                <w:spacing w:val="-5"/>
                <w:sz w:val="18"/>
              </w:rPr>
              <w:t> </w:t>
            </w:r>
            <w:r>
              <w:rPr>
                <w:rFonts w:ascii="Times New Roman" w:hAnsi="Times New Roman"/>
                <w:sz w:val="18"/>
              </w:rPr>
              <w:t>Пчелица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900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900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570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462</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26" w:right="0"/>
              <w:jc w:val="left"/>
              <w:rPr>
                <w:rFonts w:ascii="Times New Roman" w:hAnsi="Times New Roman" w:cs="Times New Roman" w:eastAsia="Times New Roman" w:hint="default"/>
                <w:sz w:val="18"/>
                <w:szCs w:val="18"/>
              </w:rPr>
            </w:pPr>
            <w:r>
              <w:rPr>
                <w:rFonts w:ascii="Times New Roman"/>
                <w:sz w:val="18"/>
              </w:rPr>
              <w:t>51,33</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81,05</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5</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7"/>
                <w:sz w:val="18"/>
              </w:rPr>
              <w:t> </w:t>
            </w:r>
            <w:r>
              <w:rPr>
                <w:rFonts w:ascii="Times New Roman" w:hAnsi="Times New Roman"/>
                <w:sz w:val="18"/>
              </w:rPr>
              <w:t>пољопривреду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1.000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1.600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581</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308</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26" w:right="0"/>
              <w:jc w:val="left"/>
              <w:rPr>
                <w:rFonts w:ascii="Times New Roman" w:hAnsi="Times New Roman" w:cs="Times New Roman" w:eastAsia="Times New Roman" w:hint="default"/>
                <w:sz w:val="18"/>
                <w:szCs w:val="18"/>
              </w:rPr>
            </w:pPr>
            <w:r>
              <w:rPr>
                <w:rFonts w:ascii="Times New Roman"/>
                <w:sz w:val="18"/>
              </w:rPr>
              <w:t>19,25</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53,01</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6</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ком.</w:t>
            </w:r>
            <w:r>
              <w:rPr>
                <w:rFonts w:ascii="Times New Roman" w:hAnsi="Times New Roman"/>
                <w:spacing w:val="-10"/>
                <w:sz w:val="18"/>
              </w:rPr>
              <w:t> </w:t>
            </w:r>
            <w:r>
              <w:rPr>
                <w:rFonts w:ascii="Times New Roman" w:hAnsi="Times New Roman"/>
                <w:sz w:val="18"/>
              </w:rPr>
              <w:t>делат.</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1.600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250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67</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69</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26" w:right="0"/>
              <w:jc w:val="left"/>
              <w:rPr>
                <w:rFonts w:ascii="Times New Roman" w:hAnsi="Times New Roman" w:cs="Times New Roman" w:eastAsia="Times New Roman" w:hint="default"/>
                <w:sz w:val="18"/>
                <w:szCs w:val="18"/>
              </w:rPr>
            </w:pPr>
            <w:r>
              <w:rPr>
                <w:rFonts w:ascii="Times New Roman"/>
                <w:sz w:val="18"/>
              </w:rPr>
              <w:t>27,60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102,99</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9"/>
              <w:jc w:val="right"/>
              <w:rPr>
                <w:rFonts w:ascii="Times New Roman" w:hAnsi="Times New Roman" w:cs="Times New Roman" w:eastAsia="Times New Roman" w:hint="default"/>
                <w:sz w:val="18"/>
                <w:szCs w:val="18"/>
              </w:rPr>
            </w:pPr>
            <w:r>
              <w:rPr>
                <w:rFonts w:ascii="Times New Roman" w:hAnsi="Times New Roman"/>
                <w:sz w:val="18"/>
              </w:rPr>
              <w:t>6а</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ЈП</w:t>
            </w:r>
            <w:r>
              <w:rPr>
                <w:rFonts w:ascii="Times New Roman" w:hAnsi="Times New Roman"/>
                <w:spacing w:val="-6"/>
                <w:sz w:val="18"/>
              </w:rPr>
              <w:t> </w:t>
            </w:r>
            <w:r>
              <w:rPr>
                <w:rFonts w:ascii="Times New Roman" w:hAnsi="Times New Roman"/>
                <w:sz w:val="18"/>
              </w:rPr>
              <w:t>Дирекција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9"/>
              <w:jc w:val="right"/>
              <w:rPr>
                <w:rFonts w:ascii="Times New Roman" w:hAnsi="Times New Roman" w:cs="Times New Roman" w:eastAsia="Times New Roman" w:hint="default"/>
                <w:sz w:val="18"/>
                <w:szCs w:val="18"/>
              </w:rPr>
            </w:pPr>
            <w:r>
              <w:rPr>
                <w:rFonts w:ascii="Times New Roman"/>
                <w:sz w:val="18"/>
              </w:rPr>
              <w:t>250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150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z w:val="18"/>
              </w:rPr>
              <w:t>67</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z w:val="18"/>
              </w:rPr>
              <w:t>69</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26" w:right="0"/>
              <w:jc w:val="left"/>
              <w:rPr>
                <w:rFonts w:ascii="Times New Roman" w:hAnsi="Times New Roman" w:cs="Times New Roman" w:eastAsia="Times New Roman" w:hint="default"/>
                <w:sz w:val="18"/>
                <w:szCs w:val="18"/>
              </w:rPr>
            </w:pPr>
            <w:r>
              <w:rPr>
                <w:rFonts w:ascii="Times New Roman"/>
                <w:sz w:val="18"/>
              </w:rPr>
              <w:t>46,00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102,99</w:t>
            </w:r>
          </w:p>
        </w:tc>
      </w:tr>
      <w:tr>
        <w:trPr>
          <w:trHeight w:val="245"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left="650" w:right="0"/>
              <w:jc w:val="left"/>
              <w:rPr>
                <w:rFonts w:ascii="Times New Roman" w:hAnsi="Times New Roman" w:cs="Times New Roman" w:eastAsia="Times New Roman" w:hint="default"/>
                <w:sz w:val="18"/>
                <w:szCs w:val="18"/>
              </w:rPr>
            </w:pPr>
            <w:r>
              <w:rPr>
                <w:rFonts w:ascii="Times New Roman" w:hAnsi="Times New Roman"/>
                <w:b/>
                <w:sz w:val="18"/>
              </w:rPr>
              <w:t>Укупно корисници</w:t>
            </w:r>
            <w:r>
              <w:rPr>
                <w:rFonts w:ascii="Times New Roman" w:hAnsi="Times New Roman"/>
                <w:b/>
                <w:spacing w:val="-2"/>
                <w:sz w:val="18"/>
              </w:rPr>
              <w:t> </w:t>
            </w:r>
            <w:r>
              <w:rPr>
                <w:rFonts w:ascii="Times New Roman" w:hAnsi="Times New Roman"/>
                <w:b/>
                <w:sz w:val="18"/>
              </w:rPr>
              <w:t>(1</w:t>
            </w:r>
            <w:r>
              <w:rPr>
                <w:rFonts w:ascii="Times New Roman" w:hAnsi="Times New Roman"/>
                <w:b/>
                <w:sz w:val="18"/>
              </w:rPr>
              <w:t>-6)</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8"/>
                <w:szCs w:val="18"/>
              </w:rPr>
            </w:pPr>
            <w:r>
              <w:rPr>
                <w:rFonts w:ascii="Times New Roman"/>
                <w:b/>
                <w:sz w:val="18"/>
              </w:rPr>
              <w:t>8.900</w:t>
            </w:r>
            <w:r>
              <w:rPr>
                <w:rFonts w:ascii="Times New Roman"/>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8"/>
                <w:szCs w:val="18"/>
              </w:rPr>
            </w:pPr>
            <w:r>
              <w:rPr>
                <w:rFonts w:ascii="Times New Roman"/>
                <w:b/>
                <w:sz w:val="18"/>
              </w:rPr>
              <w:t>8.150</w:t>
            </w:r>
            <w:r>
              <w:rPr>
                <w:rFonts w:asci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3"/>
              <w:jc w:val="right"/>
              <w:rPr>
                <w:rFonts w:ascii="Times New Roman" w:hAnsi="Times New Roman" w:cs="Times New Roman" w:eastAsia="Times New Roman" w:hint="default"/>
                <w:sz w:val="18"/>
                <w:szCs w:val="18"/>
              </w:rPr>
            </w:pPr>
            <w:r>
              <w:rPr>
                <w:rFonts w:ascii="Times New Roman"/>
                <w:b/>
                <w:sz w:val="18"/>
              </w:rPr>
              <w:t>4.211</w:t>
            </w:r>
            <w:r>
              <w:rPr>
                <w:rFonts w:asci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8"/>
                <w:szCs w:val="18"/>
              </w:rPr>
            </w:pPr>
            <w:r>
              <w:rPr>
                <w:rFonts w:ascii="Times New Roman"/>
                <w:b/>
                <w:sz w:val="18"/>
              </w:rPr>
              <w:t>3.832</w:t>
            </w:r>
            <w:r>
              <w:rPr>
                <w:rFonts w:asci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left="326" w:right="0"/>
              <w:jc w:val="left"/>
              <w:rPr>
                <w:rFonts w:ascii="Times New Roman" w:hAnsi="Times New Roman" w:cs="Times New Roman" w:eastAsia="Times New Roman" w:hint="default"/>
                <w:sz w:val="18"/>
                <w:szCs w:val="18"/>
              </w:rPr>
            </w:pPr>
            <w:r>
              <w:rPr>
                <w:rFonts w:ascii="Times New Roman"/>
                <w:b/>
                <w:sz w:val="18"/>
              </w:rPr>
              <w:t>47,02</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8"/>
                <w:szCs w:val="18"/>
              </w:rPr>
            </w:pPr>
            <w:r>
              <w:rPr>
                <w:rFonts w:ascii="Times New Roman"/>
                <w:b/>
                <w:sz w:val="18"/>
              </w:rPr>
              <w:t>91,00</w:t>
            </w:r>
            <w:r>
              <w:rPr>
                <w:rFonts w:ascii="Times New Roman"/>
                <w:sz w:val="18"/>
              </w:rPr>
            </w:r>
          </w:p>
        </w:tc>
      </w:tr>
      <w:tr>
        <w:trPr>
          <w:trHeight w:val="218"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499" w:right="0"/>
              <w:jc w:val="left"/>
              <w:rPr>
                <w:rFonts w:ascii="Times New Roman" w:hAnsi="Times New Roman" w:cs="Times New Roman" w:eastAsia="Times New Roman" w:hint="default"/>
                <w:sz w:val="18"/>
                <w:szCs w:val="18"/>
              </w:rPr>
            </w:pPr>
            <w:r>
              <w:rPr>
                <w:rFonts w:ascii="Times New Roman" w:hAnsi="Times New Roman"/>
                <w:b/>
                <w:sz w:val="18"/>
              </w:rPr>
              <w:t>Укупно Град </w:t>
            </w:r>
            <w:r>
              <w:rPr>
                <w:rFonts w:ascii="Times New Roman" w:hAnsi="Times New Roman"/>
                <w:b/>
                <w:sz w:val="18"/>
              </w:rPr>
              <w:t>- </w:t>
            </w:r>
            <w:r>
              <w:rPr>
                <w:rFonts w:ascii="Times New Roman" w:hAnsi="Times New Roman"/>
                <w:b/>
                <w:sz w:val="18"/>
              </w:rPr>
              <w:t>група</w:t>
            </w:r>
            <w:r>
              <w:rPr>
                <w:rFonts w:ascii="Times New Roman" w:hAnsi="Times New Roman"/>
                <w:b/>
                <w:spacing w:val="-5"/>
                <w:sz w:val="18"/>
              </w:rPr>
              <w:t> </w:t>
            </w:r>
            <w:r>
              <w:rPr>
                <w:rFonts w:ascii="Times New Roman" w:hAnsi="Times New Roman"/>
                <w:b/>
                <w:sz w:val="18"/>
              </w:rPr>
              <w:t>422000</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17.709</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18.059</w:t>
            </w:r>
            <w:r>
              <w:rPr>
                <w:rFonts w:ascii="Times New Roman"/>
                <w:spacing w:val="-1"/>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3"/>
              <w:jc w:val="right"/>
              <w:rPr>
                <w:rFonts w:ascii="Times New Roman" w:hAnsi="Times New Roman" w:cs="Times New Roman" w:eastAsia="Times New Roman" w:hint="default"/>
                <w:sz w:val="18"/>
                <w:szCs w:val="18"/>
              </w:rPr>
            </w:pPr>
            <w:r>
              <w:rPr>
                <w:rFonts w:ascii="Times New Roman"/>
                <w:b/>
                <w:spacing w:val="-1"/>
                <w:sz w:val="18"/>
              </w:rPr>
              <w:t>11.277</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2"/>
              <w:jc w:val="right"/>
              <w:rPr>
                <w:rFonts w:ascii="Times New Roman" w:hAnsi="Times New Roman" w:cs="Times New Roman" w:eastAsia="Times New Roman" w:hint="default"/>
                <w:sz w:val="18"/>
                <w:szCs w:val="18"/>
              </w:rPr>
            </w:pPr>
            <w:r>
              <w:rPr>
                <w:rFonts w:ascii="Times New Roman"/>
                <w:b/>
                <w:spacing w:val="-1"/>
                <w:sz w:val="18"/>
              </w:rPr>
              <w:t>10.898</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326" w:right="0"/>
              <w:jc w:val="left"/>
              <w:rPr>
                <w:rFonts w:ascii="Times New Roman" w:hAnsi="Times New Roman" w:cs="Times New Roman" w:eastAsia="Times New Roman" w:hint="default"/>
                <w:sz w:val="18"/>
                <w:szCs w:val="18"/>
              </w:rPr>
            </w:pPr>
            <w:r>
              <w:rPr>
                <w:rFonts w:ascii="Times New Roman"/>
                <w:b/>
                <w:sz w:val="18"/>
              </w:rPr>
              <w:t>60,35</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96,64</w:t>
            </w:r>
            <w:r>
              <w:rPr>
                <w:rFonts w:ascii="Times New Roman"/>
                <w:sz w:val="18"/>
              </w:rPr>
            </w:r>
          </w:p>
        </w:tc>
      </w:tr>
    </w:tbl>
    <w:p>
      <w:pPr>
        <w:pStyle w:val="BodyText"/>
        <w:spacing w:line="240" w:lineRule="auto"/>
        <w:ind w:right="174" w:firstLine="566"/>
        <w:jc w:val="both"/>
      </w:pPr>
      <w:r>
        <w:rPr/>
        <w:t>Исказано је извршење у укупном износу од 11.277 хиљада динара и то на терет буџета Града у износу од 4.733 хиљаде динара, из буџета Републике у износу од 329 хиљада динара, из донација у износу од осам хиљада динара и из осталих извора у износу од 6.207 хиљада динара. Исказани су: трошкови службених путовања у земљи у износу од 9.138 хиљада динара, трошкови службених путовања у иностранство у износу од 1.806 хиљада динара, трошкови путовања у оквиру редовног рада у износу од 84  хиљаде динара и остали трошкови транспорта у износу од 249 хиљада</w:t>
      </w:r>
      <w:r>
        <w:rPr>
          <w:spacing w:val="-21"/>
        </w:rPr>
        <w:t> </w:t>
      </w:r>
      <w:r>
        <w:rPr/>
        <w:t>динара.</w:t>
      </w:r>
    </w:p>
    <w:p>
      <w:pPr>
        <w:pStyle w:val="BodyText"/>
        <w:spacing w:line="240" w:lineRule="auto"/>
        <w:ind w:right="183" w:firstLine="566"/>
        <w:jc w:val="both"/>
      </w:pPr>
      <w:r>
        <w:rPr/>
        <w:t>Трошкови путовања регулисани су Одлуком о накнадама, додацима на плату и другим примањима изабраних, постављених и запослених лица у органима и службама града број 15</w:t>
      </w:r>
      <w:r>
        <w:rPr>
          <w:rFonts w:ascii="Times New Roman" w:hAnsi="Times New Roman"/>
        </w:rPr>
        <w:t>-</w:t>
      </w:r>
      <w:r>
        <w:rPr/>
        <w:t>27/2008 од 17.01.2008.</w:t>
      </w:r>
      <w:r>
        <w:rPr>
          <w:spacing w:val="-3"/>
        </w:rPr>
        <w:t> </w:t>
      </w:r>
      <w:r>
        <w:rPr/>
        <w:t>године.</w:t>
      </w:r>
    </w:p>
    <w:p>
      <w:pPr>
        <w:pStyle w:val="ListParagraph"/>
        <w:numPr>
          <w:ilvl w:val="4"/>
          <w:numId w:val="31"/>
        </w:numPr>
        <w:tabs>
          <w:tab w:pos="1013" w:val="left" w:leader="none"/>
        </w:tabs>
        <w:spacing w:line="240" w:lineRule="auto" w:before="137" w:after="0"/>
        <w:ind w:left="160" w:right="183" w:firstLine="566"/>
        <w:jc w:val="both"/>
        <w:rPr>
          <w:rFonts w:ascii="Times New Roman" w:hAnsi="Times New Roman" w:cs="Times New Roman" w:eastAsia="Times New Roman" w:hint="default"/>
          <w:sz w:val="24"/>
          <w:szCs w:val="24"/>
        </w:rPr>
      </w:pPr>
      <w:r>
        <w:rPr>
          <w:rFonts w:ascii="Times New Roman" w:hAnsi="Times New Roman"/>
          <w:b/>
          <w:sz w:val="24"/>
        </w:rPr>
        <w:t>Градоначелник </w:t>
      </w:r>
      <w:r>
        <w:rPr>
          <w:rFonts w:ascii="Times New Roman" w:hAnsi="Times New Roman"/>
          <w:b/>
          <w:sz w:val="24"/>
        </w:rPr>
        <w:t>- </w:t>
      </w:r>
      <w:r>
        <w:rPr>
          <w:rFonts w:ascii="Times New Roman" w:hAnsi="Times New Roman"/>
          <w:sz w:val="24"/>
        </w:rPr>
        <w:t>Исказани су расходи у износу од 308 хиљада динара из буџета града и то за: трошкове службених путовања у земљи у износу од 174 хиљаде динара и трошкове службених путовања у иностранству у износу од 134 хиљаде</w:t>
      </w:r>
      <w:r>
        <w:rPr>
          <w:rFonts w:ascii="Times New Roman" w:hAnsi="Times New Roman"/>
          <w:spacing w:val="-29"/>
          <w:sz w:val="24"/>
        </w:rPr>
        <w:t> </w:t>
      </w:r>
      <w:r>
        <w:rPr>
          <w:rFonts w:ascii="Times New Roman" w:hAnsi="Times New Roman"/>
          <w:sz w:val="24"/>
        </w:rPr>
        <w:t>динара.</w:t>
      </w:r>
    </w:p>
    <w:p>
      <w:pPr>
        <w:pStyle w:val="BodyText"/>
        <w:spacing w:line="240" w:lineRule="auto"/>
        <w:ind w:right="175" w:firstLine="566"/>
        <w:jc w:val="both"/>
      </w:pPr>
      <w:r>
        <w:rPr>
          <w:rFonts w:ascii="Times New Roman" w:hAnsi="Times New Roman"/>
        </w:rPr>
      </w:r>
      <w:r>
        <w:rPr>
          <w:rFonts w:ascii="Times New Roman" w:hAnsi="Times New Roman"/>
          <w:spacing w:val="-60"/>
          <w:u w:val="single" w:color="000000"/>
        </w:rPr>
        <w:t> </w:t>
      </w:r>
      <w:r>
        <w:rPr>
          <w:u w:val="single" w:color="000000"/>
        </w:rPr>
        <w:t>Трошкови службених путовања у земљи, синтетички конто 422100 </w:t>
      </w:r>
      <w:r>
        <w:rPr/>
      </w:r>
      <w:r>
        <w:rPr>
          <w:rFonts w:ascii="Times New Roman" w:hAnsi="Times New Roman"/>
          <w:b/>
        </w:rPr>
        <w:t>- </w:t>
      </w:r>
      <w:r>
        <w:rPr/>
        <w:t>Исказани су расходи у износу од 174 хиљаде динара (дневнице 145 хиљада динара, смештај 11  хиљада динара и остали трошкови за пословна путовања у земљи од 18 хиљада</w:t>
      </w:r>
      <w:r>
        <w:rPr>
          <w:spacing w:val="-21"/>
        </w:rPr>
        <w:t> </w:t>
      </w:r>
      <w:r>
        <w:rPr/>
        <w:t>динара).</w:t>
      </w:r>
    </w:p>
    <w:p>
      <w:pPr>
        <w:pStyle w:val="BodyText"/>
        <w:spacing w:line="240" w:lineRule="auto"/>
        <w:ind w:right="176" w:firstLine="566"/>
        <w:jc w:val="both"/>
      </w:pPr>
      <w:r>
        <w:rPr/>
        <w:t>Градско веће града Ниша, на седници одржаној дана 15.05.2014. године донело је Закључак о доприносу носиоца јавних функција мерама штедње број 620</w:t>
      </w:r>
      <w:r>
        <w:rPr>
          <w:rFonts w:ascii="Times New Roman" w:hAnsi="Times New Roman"/>
        </w:rPr>
        <w:t>-16/2014-</w:t>
      </w:r>
      <w:r>
        <w:rPr/>
        <w:t>03 од 15.05.2014. године којим Градоначелник, заменик градоначелника и сви чланови  градског већа изражавају спремност да се одрекну права да захтевају исплату дневница  за службена путовања у земљи и иностранству. Свако лице даје посебну изјаву о одрицању права да захтева исплату дневница за службено путовање и исту доставља председнику Одбора за административна питања и Управи за финансије, изворне  приходе локалне самоуправе и јавне набавке. Градско веће препоручује свим осталим лицима која се бирају,  именују или  постављају на јавне функције  у органима    </w:t>
      </w:r>
      <w:r>
        <w:rPr>
          <w:spacing w:val="9"/>
        </w:rPr>
        <w:t> </w:t>
      </w:r>
      <w:r>
        <w:rPr/>
        <w:t>локалне</w:t>
      </w:r>
    </w:p>
    <w:p>
      <w:pPr>
        <w:spacing w:after="0" w:line="240" w:lineRule="auto"/>
        <w:jc w:val="both"/>
        <w:sectPr>
          <w:pgSz w:w="12240" w:h="15840"/>
          <w:pgMar w:header="740" w:footer="1274" w:top="1280" w:bottom="1460" w:left="1400" w:right="1260"/>
        </w:sectPr>
      </w:pPr>
    </w:p>
    <w:p>
      <w:pPr>
        <w:pStyle w:val="BodyText"/>
        <w:spacing w:line="240" w:lineRule="auto" w:before="122"/>
        <w:ind w:right="174"/>
        <w:jc w:val="both"/>
      </w:pPr>
      <w:r>
        <w:rPr/>
        <w:t>самоуправе и градским општинама, односно обављају одређене послове у радним телима органа града и градским општинама и јавним предузећима, установама, фондовима чији је оснивач град Ниш, а којима се средства за рад обезбеђују у буџету, да дају допринос и сопственом вољом подрже закључак. Закључак је достављен Управи за финансије, изворне приходе локалне самоуправе и јавне набавке како би се размотриле могућности да се ребалансом буџета града Ниша сагледа укидање непотребних трошкова и уведу оштре мере</w:t>
      </w:r>
      <w:r>
        <w:rPr>
          <w:spacing w:val="-5"/>
        </w:rPr>
        <w:t> </w:t>
      </w:r>
      <w:r>
        <w:rPr/>
        <w:t>штедње.</w:t>
      </w:r>
    </w:p>
    <w:p>
      <w:pPr>
        <w:pStyle w:val="Heading1"/>
        <w:spacing w:line="275" w:lineRule="exact"/>
        <w:ind w:left="738"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32" w:lineRule="auto" w:before="6"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Већина путних налога за службено путовање није попуњена у складу са Уредбом о накнади трошкова и отпремнини државних службеника и намештеника</w:t>
      </w:r>
      <w:r>
        <w:rPr>
          <w:rFonts w:ascii="Times New Roman" w:hAnsi="Times New Roman"/>
          <w:position w:val="11"/>
          <w:sz w:val="16"/>
        </w:rPr>
        <w:t>58 </w:t>
      </w:r>
      <w:r>
        <w:rPr>
          <w:rFonts w:ascii="Times New Roman" w:hAnsi="Times New Roman"/>
          <w:sz w:val="24"/>
        </w:rPr>
        <w:t>и чланом 11. Одлуке о накнадама, додацима на плату и другим примањима изабраних, постављених и запослених лица у органима и службама града Ниша број 15</w:t>
      </w:r>
      <w:r>
        <w:rPr>
          <w:rFonts w:ascii="Times New Roman" w:hAnsi="Times New Roman"/>
          <w:sz w:val="24"/>
        </w:rPr>
        <w:t>-</w:t>
      </w:r>
      <w:r>
        <w:rPr>
          <w:rFonts w:ascii="Times New Roman" w:hAnsi="Times New Roman"/>
          <w:sz w:val="24"/>
        </w:rPr>
        <w:t>27/2008 од 17.01.2008. године,   јер  не  садрже  податке  о  циљу  путовања,   трајању  службеног   пута,    </w:t>
      </w:r>
      <w:r>
        <w:rPr>
          <w:rFonts w:ascii="Times New Roman" w:hAnsi="Times New Roman"/>
          <w:spacing w:val="24"/>
          <w:sz w:val="24"/>
        </w:rPr>
        <w:t> </w:t>
      </w:r>
      <w:r>
        <w:rPr>
          <w:rFonts w:ascii="Times New Roman" w:hAnsi="Times New Roman"/>
          <w:sz w:val="24"/>
        </w:rPr>
        <w:t>врсти</w:t>
      </w:r>
    </w:p>
    <w:p>
      <w:pPr>
        <w:pStyle w:val="BodyText"/>
        <w:spacing w:line="240" w:lineRule="auto" w:before="1"/>
        <w:ind w:right="0"/>
        <w:jc w:val="both"/>
      </w:pPr>
      <w:r>
        <w:rPr/>
        <w:t>превозног средства којим се путује, датуму и месту правдања путног</w:t>
      </w:r>
      <w:r>
        <w:rPr>
          <w:spacing w:val="-19"/>
        </w:rPr>
        <w:t> </w:t>
      </w:r>
      <w:r>
        <w:rPr/>
        <w:t>налога.</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Обрачун путних налога и исплата накнаде трошкова службеног путовања у земљи – дневнице, вршени су без писаног извештаја о обављеном службеном путовању, што је супротно члану 58. Закона о буџетском систему, члану 16. Уредбе о буџетском рачуноводству и члану 21. Одлуке о накнадама, додацима на </w:t>
      </w:r>
      <w:r>
        <w:rPr>
          <w:rFonts w:ascii="Times New Roman" w:hAnsi="Times New Roman" w:cs="Times New Roman" w:eastAsia="Times New Roman" w:hint="default"/>
          <w:spacing w:val="2"/>
          <w:sz w:val="24"/>
          <w:szCs w:val="24"/>
        </w:rPr>
        <w:t>плату </w:t>
      </w:r>
      <w:r>
        <w:rPr>
          <w:rFonts w:ascii="Times New Roman" w:hAnsi="Times New Roman" w:cs="Times New Roman" w:eastAsia="Times New Roman" w:hint="default"/>
          <w:sz w:val="24"/>
          <w:szCs w:val="24"/>
        </w:rPr>
        <w:t>и другим примањима </w:t>
      </w:r>
      <w:r>
        <w:rPr>
          <w:rFonts w:ascii="Times New Roman" w:hAnsi="Times New Roman" w:cs="Times New Roman" w:eastAsia="Times New Roman" w:hint="default"/>
          <w:sz w:val="24"/>
          <w:szCs w:val="24"/>
        </w:rPr>
        <w:t>изабраних, постављених и запослених лица у органима и службама града Ниша број </w:t>
      </w:r>
      <w:r>
        <w:rPr>
          <w:rFonts w:ascii="Times New Roman" w:hAnsi="Times New Roman" w:cs="Times New Roman" w:eastAsia="Times New Roman" w:hint="default"/>
          <w:spacing w:val="3"/>
          <w:sz w:val="24"/>
          <w:szCs w:val="24"/>
        </w:rPr>
        <w:t>15</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pacing w:val="3"/>
          <w:sz w:val="24"/>
          <w:szCs w:val="24"/>
        </w:rPr>
      </w:r>
      <w:r>
        <w:rPr>
          <w:rFonts w:ascii="Times New Roman" w:hAnsi="Times New Roman" w:cs="Times New Roman" w:eastAsia="Times New Roman" w:hint="default"/>
          <w:sz w:val="24"/>
          <w:szCs w:val="24"/>
        </w:rPr>
        <w:t>27/2008 од 17.01.2008. године.</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Како датум и место правдања путног налога код већине налога за службено путовање нису попуњени, нисмо се уверили да су исти правдани и достављени овлашћеном лицу управе надлежне за послове финансија без одлагања, а најкасније у року од три дана по завршеном службеном путовању, сходно члану 13. Уредбе о накнади трошкова и отпремнини државних службеника и намештеника и члану 21. Одлуке о накнадама, додацима на плату и другим примањима изабраних, постављених и запослених лица у органима и службама града  Ниша број 15</w:t>
      </w:r>
      <w:r>
        <w:rPr>
          <w:rFonts w:ascii="Times New Roman" w:hAnsi="Times New Roman"/>
          <w:sz w:val="24"/>
        </w:rPr>
        <w:t>-</w:t>
      </w:r>
      <w:r>
        <w:rPr>
          <w:rFonts w:ascii="Times New Roman" w:hAnsi="Times New Roman"/>
          <w:sz w:val="24"/>
        </w:rPr>
        <w:t>27/2008 од 17.01.2008.</w:t>
      </w:r>
      <w:r>
        <w:rPr>
          <w:rFonts w:ascii="Times New Roman" w:hAnsi="Times New Roman"/>
          <w:spacing w:val="-5"/>
          <w:sz w:val="24"/>
        </w:rPr>
        <w:t> </w:t>
      </w:r>
      <w:r>
        <w:rPr>
          <w:rFonts w:ascii="Times New Roman" w:hAnsi="Times New Roman"/>
          <w:sz w:val="24"/>
        </w:rPr>
        <w:t>године.</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Извршен је расход у износу од најмање пет хиљада динара за исплату дневница у већем износу од прописаног (до 23.03.2014. године  вршена је исплата дневница у висини од  5% просечне бруто месечне зараде у Републици Србији, према последњем објављеном податку</w:t>
      </w:r>
      <w:r>
        <w:rPr>
          <w:rFonts w:ascii="Times New Roman" w:hAnsi="Times New Roman"/>
          <w:spacing w:val="17"/>
          <w:sz w:val="24"/>
        </w:rPr>
        <w:t> </w:t>
      </w:r>
      <w:r>
        <w:rPr>
          <w:rFonts w:ascii="Times New Roman" w:hAnsi="Times New Roman"/>
          <w:sz w:val="24"/>
        </w:rPr>
        <w:t>Републичког</w:t>
      </w:r>
      <w:r>
        <w:rPr>
          <w:rFonts w:ascii="Times New Roman" w:hAnsi="Times New Roman"/>
          <w:spacing w:val="25"/>
          <w:sz w:val="24"/>
        </w:rPr>
        <w:t> </w:t>
      </w:r>
      <w:r>
        <w:rPr>
          <w:rFonts w:ascii="Times New Roman" w:hAnsi="Times New Roman"/>
          <w:sz w:val="24"/>
        </w:rPr>
        <w:t>завода</w:t>
      </w:r>
      <w:r>
        <w:rPr>
          <w:rFonts w:ascii="Times New Roman" w:hAnsi="Times New Roman"/>
          <w:spacing w:val="23"/>
          <w:sz w:val="24"/>
        </w:rPr>
        <w:t> </w:t>
      </w:r>
      <w:r>
        <w:rPr>
          <w:rFonts w:ascii="Times New Roman" w:hAnsi="Times New Roman"/>
          <w:sz w:val="24"/>
        </w:rPr>
        <w:t>за</w:t>
      </w:r>
      <w:r>
        <w:rPr>
          <w:rFonts w:ascii="Times New Roman" w:hAnsi="Times New Roman"/>
          <w:spacing w:val="24"/>
          <w:sz w:val="24"/>
        </w:rPr>
        <w:t> </w:t>
      </w:r>
      <w:r>
        <w:rPr>
          <w:rFonts w:ascii="Times New Roman" w:hAnsi="Times New Roman"/>
          <w:sz w:val="24"/>
        </w:rPr>
        <w:t>статистику),</w:t>
      </w:r>
      <w:r>
        <w:rPr>
          <w:rFonts w:ascii="Times New Roman" w:hAnsi="Times New Roman"/>
          <w:spacing w:val="24"/>
          <w:sz w:val="24"/>
        </w:rPr>
        <w:t> </w:t>
      </w:r>
      <w:r>
        <w:rPr>
          <w:rFonts w:ascii="Times New Roman" w:hAnsi="Times New Roman"/>
          <w:sz w:val="24"/>
        </w:rPr>
        <w:t>без</w:t>
      </w:r>
      <w:r>
        <w:rPr>
          <w:rFonts w:ascii="Times New Roman" w:hAnsi="Times New Roman"/>
          <w:spacing w:val="26"/>
          <w:sz w:val="24"/>
        </w:rPr>
        <w:t> </w:t>
      </w:r>
      <w:r>
        <w:rPr>
          <w:rFonts w:ascii="Times New Roman" w:hAnsi="Times New Roman"/>
          <w:sz w:val="24"/>
        </w:rPr>
        <w:t>правног</w:t>
      </w:r>
      <w:r>
        <w:rPr>
          <w:rFonts w:ascii="Times New Roman" w:hAnsi="Times New Roman"/>
          <w:spacing w:val="25"/>
          <w:sz w:val="24"/>
        </w:rPr>
        <w:t> </w:t>
      </w:r>
      <w:r>
        <w:rPr>
          <w:rFonts w:ascii="Times New Roman" w:hAnsi="Times New Roman"/>
          <w:sz w:val="24"/>
        </w:rPr>
        <w:t>основа,</w:t>
      </w:r>
      <w:r>
        <w:rPr>
          <w:rFonts w:ascii="Times New Roman" w:hAnsi="Times New Roman"/>
          <w:spacing w:val="25"/>
          <w:sz w:val="24"/>
        </w:rPr>
        <w:t> </w:t>
      </w:r>
      <w:r>
        <w:rPr>
          <w:rFonts w:ascii="Times New Roman" w:hAnsi="Times New Roman"/>
          <w:sz w:val="24"/>
        </w:rPr>
        <w:t>што</w:t>
      </w:r>
      <w:r>
        <w:rPr>
          <w:rFonts w:ascii="Times New Roman" w:hAnsi="Times New Roman"/>
          <w:spacing w:val="25"/>
          <w:sz w:val="24"/>
        </w:rPr>
        <w:t> </w:t>
      </w:r>
      <w:r>
        <w:rPr>
          <w:rFonts w:ascii="Times New Roman" w:hAnsi="Times New Roman"/>
          <w:sz w:val="24"/>
        </w:rPr>
        <w:t>је</w:t>
      </w:r>
      <w:r>
        <w:rPr>
          <w:rFonts w:ascii="Times New Roman" w:hAnsi="Times New Roman"/>
          <w:spacing w:val="24"/>
          <w:sz w:val="24"/>
        </w:rPr>
        <w:t> </w:t>
      </w:r>
      <w:r>
        <w:rPr>
          <w:rFonts w:ascii="Times New Roman" w:hAnsi="Times New Roman"/>
          <w:sz w:val="24"/>
        </w:rPr>
        <w:t>супротно</w:t>
      </w:r>
      <w:r>
        <w:rPr>
          <w:rFonts w:ascii="Times New Roman" w:hAnsi="Times New Roman"/>
          <w:spacing w:val="25"/>
          <w:sz w:val="24"/>
        </w:rPr>
        <w:t> </w:t>
      </w:r>
      <w:r>
        <w:rPr>
          <w:rFonts w:ascii="Times New Roman" w:hAnsi="Times New Roman"/>
          <w:sz w:val="24"/>
        </w:rPr>
        <w:t>члану</w:t>
      </w:r>
    </w:p>
    <w:p>
      <w:pPr>
        <w:pStyle w:val="BodyText"/>
        <w:spacing w:line="240" w:lineRule="auto"/>
        <w:ind w:right="185"/>
        <w:jc w:val="both"/>
      </w:pPr>
      <w:r>
        <w:rPr>
          <w:rFonts w:ascii="Times New Roman" w:hAnsi="Times New Roman"/>
        </w:rPr>
        <w:t>56. </w:t>
      </w:r>
      <w:r>
        <w:rPr/>
        <w:t>и 58. Закона о буџетском систему, члану 9. Уредбе о накнади трошкова и отпремнини државних службеника и намештеника и члану 15. Одлуке о накнадама, додацима на плату и другим примањима изабраних, постављених и запослених лица у органима и службама града  Ниша број 15</w:t>
      </w:r>
      <w:r>
        <w:rPr>
          <w:rFonts w:ascii="Times New Roman" w:hAnsi="Times New Roman"/>
        </w:rPr>
        <w:t>-</w:t>
      </w:r>
      <w:r>
        <w:rPr/>
        <w:t>27/2008 од 17.01.2008.</w:t>
      </w:r>
      <w:r>
        <w:rPr>
          <w:spacing w:val="-3"/>
        </w:rPr>
        <w:t> </w:t>
      </w:r>
      <w:r>
        <w:rPr/>
        <w:t>године.</w:t>
      </w:r>
    </w:p>
    <w:p>
      <w:pPr>
        <w:pStyle w:val="ListParagraph"/>
        <w:numPr>
          <w:ilvl w:val="0"/>
          <w:numId w:val="9"/>
        </w:numPr>
        <w:tabs>
          <w:tab w:pos="303"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Дана 04.07.2014. године, након доношења Закључка Градског већа о доприносу носиоца јавних функција мерама штедње, извршена је исплата трошкова службених путовања у земљи Градоначелнику у износу од 117 хиљада динара обављених пре дана доношења Закључка, на основу 17 путних налога, који не садрже извештај о обављеном службеном путовању, као ни датум правдања путног</w:t>
      </w:r>
      <w:r>
        <w:rPr>
          <w:rFonts w:ascii="Times New Roman" w:hAnsi="Times New Roman"/>
          <w:spacing w:val="-19"/>
          <w:sz w:val="24"/>
        </w:rPr>
        <w:t> </w:t>
      </w:r>
      <w:r>
        <w:rPr>
          <w:rFonts w:ascii="Times New Roman" w:hAnsi="Times New Roman"/>
          <w:sz w:val="24"/>
        </w:rPr>
        <w:t>налога.</w:t>
      </w:r>
    </w:p>
    <w:p>
      <w:pPr>
        <w:pStyle w:val="ListParagraph"/>
        <w:numPr>
          <w:ilvl w:val="0"/>
          <w:numId w:val="9"/>
        </w:numPr>
        <w:tabs>
          <w:tab w:pos="303" w:val="left" w:leader="none"/>
        </w:tabs>
        <w:spacing w:line="237" w:lineRule="auto" w:before="4"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Обрачунате су и исплаћене пуне дневнице уместо половине дневнице Градоначелнику, због нетачног приказивања у путном налогу времена поласка на службени пут и  повратка,</w:t>
      </w:r>
      <w:r>
        <w:rPr>
          <w:rFonts w:ascii="Times New Roman" w:hAnsi="Times New Roman"/>
          <w:spacing w:val="25"/>
          <w:sz w:val="24"/>
        </w:rPr>
        <w:t> </w:t>
      </w:r>
      <w:r>
        <w:rPr>
          <w:rFonts w:ascii="Times New Roman" w:hAnsi="Times New Roman"/>
          <w:sz w:val="24"/>
        </w:rPr>
        <w:t>за</w:t>
      </w:r>
      <w:r>
        <w:rPr>
          <w:rFonts w:ascii="Times New Roman" w:hAnsi="Times New Roman"/>
          <w:spacing w:val="24"/>
          <w:sz w:val="24"/>
        </w:rPr>
        <w:t> </w:t>
      </w:r>
      <w:r>
        <w:rPr>
          <w:rFonts w:ascii="Times New Roman" w:hAnsi="Times New Roman"/>
          <w:sz w:val="24"/>
        </w:rPr>
        <w:t>извршена</w:t>
      </w:r>
      <w:r>
        <w:rPr>
          <w:rFonts w:ascii="Times New Roman" w:hAnsi="Times New Roman"/>
          <w:spacing w:val="24"/>
          <w:sz w:val="24"/>
        </w:rPr>
        <w:t> </w:t>
      </w:r>
      <w:r>
        <w:rPr>
          <w:rFonts w:ascii="Times New Roman" w:hAnsi="Times New Roman"/>
          <w:sz w:val="24"/>
        </w:rPr>
        <w:t>три</w:t>
      </w:r>
      <w:r>
        <w:rPr>
          <w:rFonts w:ascii="Times New Roman" w:hAnsi="Times New Roman"/>
          <w:spacing w:val="26"/>
          <w:sz w:val="24"/>
        </w:rPr>
        <w:t> </w:t>
      </w:r>
      <w:r>
        <w:rPr>
          <w:rFonts w:ascii="Times New Roman" w:hAnsi="Times New Roman"/>
          <w:sz w:val="24"/>
        </w:rPr>
        <w:t>службена</w:t>
      </w:r>
      <w:r>
        <w:rPr>
          <w:rFonts w:ascii="Times New Roman" w:hAnsi="Times New Roman"/>
          <w:spacing w:val="24"/>
          <w:sz w:val="24"/>
        </w:rPr>
        <w:t> </w:t>
      </w:r>
      <w:r>
        <w:rPr>
          <w:rFonts w:ascii="Times New Roman" w:hAnsi="Times New Roman"/>
          <w:sz w:val="24"/>
        </w:rPr>
        <w:t>пута</w:t>
      </w:r>
      <w:r>
        <w:rPr>
          <w:rFonts w:ascii="Times New Roman" w:hAnsi="Times New Roman"/>
          <w:spacing w:val="29"/>
          <w:sz w:val="24"/>
        </w:rPr>
        <w:t> </w:t>
      </w:r>
      <w:r>
        <w:rPr>
          <w:rFonts w:ascii="Times New Roman" w:hAnsi="Times New Roman"/>
          <w:sz w:val="24"/>
        </w:rPr>
        <w:t>у</w:t>
      </w:r>
      <w:r>
        <w:rPr>
          <w:rFonts w:ascii="Times New Roman" w:hAnsi="Times New Roman"/>
          <w:spacing w:val="20"/>
          <w:sz w:val="24"/>
        </w:rPr>
        <w:t> </w:t>
      </w:r>
      <w:r>
        <w:rPr>
          <w:rFonts w:ascii="Times New Roman" w:hAnsi="Times New Roman"/>
          <w:sz w:val="24"/>
        </w:rPr>
        <w:t>јануару</w:t>
      </w:r>
      <w:r>
        <w:rPr>
          <w:rFonts w:ascii="Times New Roman" w:hAnsi="Times New Roman"/>
          <w:spacing w:val="20"/>
          <w:sz w:val="24"/>
        </w:rPr>
        <w:t> </w:t>
      </w:r>
      <w:r>
        <w:rPr>
          <w:rFonts w:ascii="Times New Roman" w:hAnsi="Times New Roman"/>
          <w:sz w:val="24"/>
        </w:rPr>
        <w:t>2014.</w:t>
      </w:r>
      <w:r>
        <w:rPr>
          <w:rFonts w:ascii="Times New Roman" w:hAnsi="Times New Roman"/>
          <w:spacing w:val="25"/>
          <w:sz w:val="24"/>
        </w:rPr>
        <w:t> </w:t>
      </w:r>
      <w:r>
        <w:rPr>
          <w:rFonts w:ascii="Times New Roman" w:hAnsi="Times New Roman"/>
          <w:sz w:val="24"/>
        </w:rPr>
        <w:t>године</w:t>
      </w:r>
      <w:r>
        <w:rPr>
          <w:rFonts w:ascii="Times New Roman" w:hAnsi="Times New Roman"/>
          <w:spacing w:val="24"/>
          <w:sz w:val="24"/>
        </w:rPr>
        <w:t> </w:t>
      </w:r>
      <w:r>
        <w:rPr>
          <w:rFonts w:ascii="Times New Roman" w:hAnsi="Times New Roman"/>
          <w:sz w:val="24"/>
        </w:rPr>
        <w:t>за</w:t>
      </w:r>
      <w:r>
        <w:rPr>
          <w:rFonts w:ascii="Times New Roman" w:hAnsi="Times New Roman"/>
          <w:spacing w:val="26"/>
          <w:sz w:val="24"/>
        </w:rPr>
        <w:t> </w:t>
      </w:r>
      <w:r>
        <w:rPr>
          <w:rFonts w:ascii="Times New Roman" w:hAnsi="Times New Roman"/>
          <w:sz w:val="24"/>
        </w:rPr>
        <w:t>Београд,</w:t>
      </w:r>
      <w:r>
        <w:rPr>
          <w:rFonts w:ascii="Times New Roman" w:hAnsi="Times New Roman"/>
          <w:spacing w:val="25"/>
          <w:sz w:val="24"/>
        </w:rPr>
        <w:t> </w:t>
      </w:r>
      <w:r>
        <w:rPr>
          <w:rFonts w:ascii="Times New Roman" w:hAnsi="Times New Roman"/>
          <w:sz w:val="24"/>
        </w:rPr>
        <w:t>по</w:t>
      </w:r>
      <w:r>
        <w:rPr>
          <w:rFonts w:ascii="Times New Roman" w:hAnsi="Times New Roman"/>
          <w:spacing w:val="25"/>
          <w:sz w:val="24"/>
        </w:rPr>
        <w:t> </w:t>
      </w:r>
      <w:r>
        <w:rPr>
          <w:rFonts w:ascii="Times New Roman" w:hAnsi="Times New Roman"/>
          <w:sz w:val="24"/>
        </w:rPr>
        <w:t>основу</w:t>
      </w: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10"/>
        <w:rPr>
          <w:rFonts w:ascii="Times New Roman" w:hAnsi="Times New Roman" w:cs="Times New Roman" w:eastAsia="Times New Roman" w:hint="default"/>
          <w:sz w:val="14"/>
          <w:szCs w:val="14"/>
        </w:rPr>
      </w:pPr>
      <w:r>
        <w:rPr/>
        <w:pict>
          <v:group style="position:absolute;margin-left:78.024002pt;margin-top:9.792218pt;width:144.050pt;height:.1pt;mso-position-horizontal-relative:page;mso-position-vertical-relative:paragraph;z-index:1744;mso-wrap-distance-left:0;mso-wrap-distance-right:0" coordorigin="1560,196" coordsize="2881,2">
            <v:shape style="position:absolute;left:1560;top:196;width:2881;height:2" coordorigin="1560,196" coordsize="2881,0" path="m1560,196l4441,196e" filled="false" stroked="true" strokeweight=".599980pt" strokecolor="#000000">
              <v:path arrowok="t"/>
            </v:shape>
            <w10:wrap type="topAndBottom"/>
          </v:group>
        </w:pict>
      </w:r>
    </w:p>
    <w:p>
      <w:pPr>
        <w:spacing w:before="52"/>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58 </w:t>
      </w:r>
      <w:r>
        <w:rPr>
          <w:rFonts w:ascii="Times New Roman" w:hAnsi="Times New Roman" w:cs="Times New Roman" w:eastAsia="Times New Roman" w:hint="default"/>
          <w:sz w:val="16"/>
          <w:szCs w:val="16"/>
        </w:rPr>
        <w:t>„Службени гласник Републике Србије“ број 98/2007</w:t>
      </w:r>
      <w:r>
        <w:rPr>
          <w:rFonts w:ascii="Times New Roman" w:hAnsi="Times New Roman" w:cs="Times New Roman" w:eastAsia="Times New Roman" w:hint="default"/>
          <w:sz w:val="16"/>
          <w:szCs w:val="16"/>
        </w:rPr>
        <w:t>- </w:t>
      </w:r>
      <w:r>
        <w:rPr>
          <w:rFonts w:ascii="Times New Roman" w:hAnsi="Times New Roman" w:cs="Times New Roman" w:eastAsia="Times New Roman" w:hint="default"/>
          <w:sz w:val="16"/>
          <w:szCs w:val="16"/>
        </w:rPr>
        <w:t>пречишћен текст  и</w:t>
      </w:r>
      <w:r>
        <w:rPr>
          <w:rFonts w:ascii="Times New Roman" w:hAnsi="Times New Roman" w:cs="Times New Roman" w:eastAsia="Times New Roman" w:hint="default"/>
          <w:spacing w:val="-20"/>
          <w:sz w:val="16"/>
          <w:szCs w:val="16"/>
        </w:rPr>
        <w:t> </w:t>
      </w:r>
      <w:r>
        <w:rPr>
          <w:rFonts w:ascii="Times New Roman" w:hAnsi="Times New Roman" w:cs="Times New Roman" w:eastAsia="Times New Roman" w:hint="default"/>
          <w:sz w:val="16"/>
          <w:szCs w:val="16"/>
        </w:rPr>
        <w:t>84/2014</w:t>
      </w:r>
    </w:p>
    <w:p>
      <w:pPr>
        <w:spacing w:after="0"/>
        <w:jc w:val="left"/>
        <w:rPr>
          <w:rFonts w:ascii="Times New Roman" w:hAnsi="Times New Roman" w:cs="Times New Roman" w:eastAsia="Times New Roman" w:hint="default"/>
          <w:sz w:val="16"/>
          <w:szCs w:val="16"/>
        </w:rPr>
        <w:sectPr>
          <w:pgSz w:w="12240" w:h="15840"/>
          <w:pgMar w:header="740" w:footer="1274" w:top="1280" w:bottom="1460" w:left="1400" w:right="1260"/>
        </w:sectPr>
      </w:pPr>
    </w:p>
    <w:p>
      <w:pPr>
        <w:pStyle w:val="BodyText"/>
        <w:spacing w:line="240" w:lineRule="auto" w:before="122"/>
        <w:ind w:right="176"/>
        <w:jc w:val="both"/>
      </w:pPr>
      <w:r>
        <w:rPr/>
        <w:t>чега је више исплаћено шест хиљада динара, што је супротно члану 56. и 58. Закона о буџетском</w:t>
      </w:r>
      <w:r>
        <w:rPr>
          <w:spacing w:val="-11"/>
        </w:rPr>
        <w:t> </w:t>
      </w:r>
      <w:r>
        <w:rPr/>
        <w:t>систему.</w:t>
      </w:r>
    </w:p>
    <w:p>
      <w:pPr>
        <w:pStyle w:val="Heading2"/>
        <w:spacing w:line="240" w:lineRule="auto"/>
        <w:ind w:right="179"/>
        <w:jc w:val="both"/>
        <w:rPr>
          <w:b w:val="0"/>
          <w:bCs w:val="0"/>
          <w:i w:val="0"/>
        </w:rPr>
      </w:pPr>
      <w:r>
        <w:rPr>
          <w:i/>
        </w:rPr>
        <w:t>Препоручује се одговорним лицима да интерним контролним поступцима онемогуће обрачун и исплату у случају када путни налог не садржи све прописане елементе, правдање путних налога врше у прописаном року, обезбеде да се сваки расход заснива на валидној рачуноводственој исправи и обезбеде правни основ  за сваки расход из</w:t>
      </w:r>
      <w:r>
        <w:rPr>
          <w:i/>
          <w:spacing w:val="-6"/>
        </w:rPr>
        <w:t> </w:t>
      </w:r>
      <w:r>
        <w:rPr>
          <w:i/>
        </w:rPr>
        <w:t>буџета.</w:t>
      </w:r>
      <w:r>
        <w:rPr>
          <w:b w:val="0"/>
          <w:i w:val="0"/>
        </w:rPr>
      </w:r>
    </w:p>
    <w:p>
      <w:pPr>
        <w:pStyle w:val="BodyText"/>
        <w:spacing w:line="240" w:lineRule="auto"/>
        <w:ind w:right="174" w:firstLine="566"/>
        <w:jc w:val="both"/>
      </w:pPr>
      <w:r>
        <w:rPr>
          <w:rFonts w:ascii="Times New Roman" w:hAnsi="Times New Roman"/>
        </w:rPr>
      </w:r>
      <w:r>
        <w:rPr>
          <w:rFonts w:ascii="Times New Roman" w:hAnsi="Times New Roman"/>
          <w:spacing w:val="-60"/>
          <w:u w:val="single" w:color="000000"/>
        </w:rPr>
        <w:t> </w:t>
      </w:r>
      <w:r>
        <w:rPr>
          <w:u w:val="single" w:color="000000"/>
        </w:rPr>
        <w:t>Трошкови службених путовања у иностранство, синтетички конто 422200 </w:t>
      </w:r>
      <w:r>
        <w:rPr/>
      </w:r>
      <w:r>
        <w:rPr>
          <w:rFonts w:ascii="Times New Roman" w:hAnsi="Times New Roman"/>
          <w:b/>
        </w:rPr>
        <w:t>- </w:t>
      </w:r>
      <w:r>
        <w:rPr/>
        <w:t>Исказани су расходи у износу од 134 хиљаде динара (дневнице 23 хиљаде динара, превоз 83 хиљаде динара и смештај од 28 хиљада</w:t>
      </w:r>
      <w:r>
        <w:rPr>
          <w:spacing w:val="-10"/>
        </w:rPr>
        <w:t> </w:t>
      </w:r>
      <w:r>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Путни налози за службено путовање у иностранство нису попуњени у складу са Уредбом о накнади трошкова и отпремнини државних службеника и намештеника и чланом 11. Одлуке о накнадама, додацима на плату и другим примањима изабраних, постављених и запослених лица у органима и службама града Ниша број 15</w:t>
      </w:r>
      <w:r>
        <w:rPr>
          <w:rFonts w:ascii="Times New Roman" w:hAnsi="Times New Roman"/>
          <w:sz w:val="24"/>
        </w:rPr>
        <w:t>-</w:t>
      </w:r>
      <w:r>
        <w:rPr>
          <w:rFonts w:ascii="Times New Roman" w:hAnsi="Times New Roman"/>
          <w:sz w:val="24"/>
        </w:rPr>
        <w:t>27/2008 од 17.01.2008. године, јер не садрже податке о врсти смештаја, напомену о томе да ли су обезбеђени бесплатан смештај и исхрана, износу дневнице која припада лицу упућеном на службено путовање и евентуално умањење дневнице, трајању службеног пута, износу аконтације који може да се исплати, врсти превозног средства којим се путује, датуму и месту правдања путног</w:t>
      </w:r>
      <w:r>
        <w:rPr>
          <w:rFonts w:ascii="Times New Roman" w:hAnsi="Times New Roman"/>
          <w:spacing w:val="-8"/>
          <w:sz w:val="24"/>
        </w:rPr>
        <w:t> </w:t>
      </w:r>
      <w:r>
        <w:rPr>
          <w:rFonts w:ascii="Times New Roman" w:hAnsi="Times New Roman"/>
          <w:sz w:val="24"/>
        </w:rPr>
        <w:t>налога.</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Обрачун путних налога врши се чак и после више година по извршеном путовању (на пример обрачун по путном налогу број 114</w:t>
      </w:r>
      <w:r>
        <w:rPr>
          <w:rFonts w:ascii="Times New Roman" w:hAnsi="Times New Roman"/>
          <w:sz w:val="24"/>
        </w:rPr>
        <w:t>-</w:t>
      </w:r>
      <w:r>
        <w:rPr>
          <w:rFonts w:ascii="Times New Roman" w:hAnsi="Times New Roman"/>
          <w:sz w:val="24"/>
        </w:rPr>
        <w:t>1/1046/2012 од 11.12.2012. године извршен је дана 05.06.2013. године а исплата по коначном обрачуну извршена је 04.12.2014. године када је запослени раздужен за износ исплаћене аконтације евидентиране налогом за књижење број 241 од 14.12.2012. године), што је супротно члану 16. Уредбе о буџетском рачуноводству.</w:t>
      </w:r>
    </w:p>
    <w:p>
      <w:pPr>
        <w:pStyle w:val="ListParagraph"/>
        <w:numPr>
          <w:ilvl w:val="0"/>
          <w:numId w:val="9"/>
        </w:numPr>
        <w:tabs>
          <w:tab w:pos="303" w:val="left" w:leader="none"/>
        </w:tabs>
        <w:spacing w:line="237" w:lineRule="auto" w:before="4"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Евидентирање обрачуна путних трошкова, односно правдање путних налога у пословним књигама не врши се ажурно, истог односно наредног дана од дана добијања рачуноводствене исправе, што је супротно члану 16. Уредбе о буџетском</w:t>
      </w:r>
      <w:r>
        <w:rPr>
          <w:rFonts w:ascii="Times New Roman" w:hAnsi="Times New Roman"/>
          <w:spacing w:val="-27"/>
          <w:sz w:val="24"/>
        </w:rPr>
        <w:t> </w:t>
      </w:r>
      <w:r>
        <w:rPr>
          <w:rFonts w:ascii="Times New Roman" w:hAnsi="Times New Roman"/>
          <w:sz w:val="24"/>
        </w:rPr>
        <w:t>рачуноводству.</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Због неажурног обрачуна путних трошкова и неажурног евидентирања трошкова у пословним књигама, потраживања од запослених по основу аконтације за службени пут нису исказана у реалном износу у Билансу стања, што је супротно Правилнику о стандардном класификационом оквиру и контном плану за буџетски</w:t>
      </w:r>
      <w:r>
        <w:rPr>
          <w:rFonts w:ascii="Times New Roman" w:hAnsi="Times New Roman"/>
          <w:spacing w:val="-27"/>
          <w:sz w:val="24"/>
        </w:rPr>
        <w:t> </w:t>
      </w:r>
      <w:r>
        <w:rPr>
          <w:rFonts w:ascii="Times New Roman" w:hAnsi="Times New Roman"/>
          <w:sz w:val="24"/>
        </w:rPr>
        <w:t>систем.</w:t>
      </w:r>
    </w:p>
    <w:p>
      <w:pPr>
        <w:pStyle w:val="ListParagraph"/>
        <w:numPr>
          <w:ilvl w:val="0"/>
          <w:numId w:val="9"/>
        </w:numPr>
        <w:tabs>
          <w:tab w:pos="303" w:val="left" w:leader="none"/>
        </w:tabs>
        <w:spacing w:line="240" w:lineRule="auto" w:before="2"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На апропријацији Градоначелника неправилно </w:t>
      </w:r>
      <w:r>
        <w:rPr>
          <w:rFonts w:ascii="Times New Roman" w:hAnsi="Times New Roman"/>
          <w:spacing w:val="2"/>
          <w:sz w:val="24"/>
        </w:rPr>
        <w:t>је </w:t>
      </w:r>
      <w:r>
        <w:rPr>
          <w:rFonts w:ascii="Times New Roman" w:hAnsi="Times New Roman"/>
          <w:sz w:val="24"/>
        </w:rPr>
        <w:t>евидентиран расход за службено </w:t>
      </w:r>
      <w:r>
        <w:rPr>
          <w:rFonts w:ascii="Times New Roman" w:hAnsi="Times New Roman"/>
          <w:sz w:val="24"/>
        </w:rPr>
        <w:t>путовање у иностранство за члана Градског већа, у износу од 55 хиљада динара, уместо на апропријацији Градског већа, на који начин није испоштована организациона класификација, што је супротно члну 29. Закона о буџетском</w:t>
      </w:r>
      <w:r>
        <w:rPr>
          <w:rFonts w:ascii="Times New Roman" w:hAnsi="Times New Roman"/>
          <w:spacing w:val="-17"/>
          <w:sz w:val="24"/>
        </w:rPr>
        <w:t> </w:t>
      </w:r>
      <w:r>
        <w:rPr>
          <w:rFonts w:ascii="Times New Roman" w:hAnsi="Times New Roman"/>
          <w:sz w:val="24"/>
        </w:rPr>
        <w:t>систему.</w:t>
      </w:r>
    </w:p>
    <w:p>
      <w:pPr>
        <w:pStyle w:val="Heading2"/>
        <w:spacing w:line="240" w:lineRule="auto"/>
        <w:ind w:right="182"/>
        <w:jc w:val="both"/>
        <w:rPr>
          <w:b w:val="0"/>
          <w:bCs w:val="0"/>
          <w:i w:val="0"/>
        </w:rPr>
      </w:pPr>
      <w:r>
        <w:rPr>
          <w:i/>
        </w:rPr>
        <w:t>Препоручује се одговорним лицима да интерним контролним поступцима онемогуће обрачун и исплату у случају када путни налог не садржи све прописане елементе, пословне промене евидентирају у прописаним роковима и примењују јединствену буџетску</w:t>
      </w:r>
      <w:r>
        <w:rPr>
          <w:i/>
          <w:spacing w:val="-8"/>
        </w:rPr>
        <w:t> </w:t>
      </w:r>
      <w:r>
        <w:rPr>
          <w:i/>
        </w:rPr>
        <w:t>класификацију.</w:t>
      </w:r>
      <w:r>
        <w:rPr>
          <w:b w:val="0"/>
          <w:i w:val="0"/>
        </w:rPr>
      </w:r>
    </w:p>
    <w:p>
      <w:pPr>
        <w:spacing w:line="240" w:lineRule="auto" w:before="7"/>
        <w:rPr>
          <w:rFonts w:ascii="Times New Roman" w:hAnsi="Times New Roman" w:cs="Times New Roman" w:eastAsia="Times New Roman" w:hint="default"/>
          <w:b/>
          <w:bCs/>
          <w:i/>
          <w:sz w:val="19"/>
          <w:szCs w:val="19"/>
        </w:rPr>
      </w:pPr>
    </w:p>
    <w:p>
      <w:pPr>
        <w:pStyle w:val="ListParagraph"/>
        <w:numPr>
          <w:ilvl w:val="4"/>
          <w:numId w:val="31"/>
        </w:numPr>
        <w:tabs>
          <w:tab w:pos="1013" w:val="left" w:leader="none"/>
        </w:tabs>
        <w:spacing w:line="240" w:lineRule="auto" w:before="0" w:after="0"/>
        <w:ind w:left="160" w:right="183" w:firstLine="566"/>
        <w:jc w:val="both"/>
        <w:rPr>
          <w:rFonts w:ascii="Times New Roman" w:hAnsi="Times New Roman" w:cs="Times New Roman" w:eastAsia="Times New Roman" w:hint="default"/>
          <w:sz w:val="24"/>
          <w:szCs w:val="24"/>
        </w:rPr>
      </w:pPr>
      <w:r>
        <w:rPr>
          <w:rFonts w:ascii="Times New Roman" w:hAnsi="Times New Roman"/>
          <w:b/>
          <w:sz w:val="24"/>
        </w:rPr>
        <w:t>Градско веће </w:t>
      </w:r>
      <w:r>
        <w:rPr>
          <w:rFonts w:ascii="Times New Roman" w:hAnsi="Times New Roman"/>
          <w:sz w:val="24"/>
        </w:rPr>
        <w:t>- </w:t>
      </w:r>
      <w:r>
        <w:rPr>
          <w:rFonts w:ascii="Times New Roman" w:hAnsi="Times New Roman"/>
          <w:sz w:val="24"/>
        </w:rPr>
        <w:t>Исказан је расход у укупном износу од 117 хиљада динара за трошкове  службених путовања у</w:t>
      </w:r>
      <w:r>
        <w:rPr>
          <w:rFonts w:ascii="Times New Roman" w:hAnsi="Times New Roman"/>
          <w:spacing w:val="-16"/>
          <w:sz w:val="24"/>
        </w:rPr>
        <w:t> </w:t>
      </w:r>
      <w:r>
        <w:rPr>
          <w:rFonts w:ascii="Times New Roman" w:hAnsi="Times New Roman"/>
          <w:sz w:val="24"/>
        </w:rPr>
        <w:t>земљи.</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2" w:firstLine="566"/>
        <w:jc w:val="both"/>
      </w:pPr>
      <w:r>
        <w:rPr>
          <w:rFonts w:ascii="Times New Roman" w:hAnsi="Times New Roman"/>
        </w:rPr>
      </w:r>
      <w:r>
        <w:rPr>
          <w:rFonts w:ascii="Times New Roman" w:hAnsi="Times New Roman"/>
          <w:spacing w:val="-60"/>
          <w:u w:val="single" w:color="000000"/>
        </w:rPr>
        <w:t> </w:t>
      </w:r>
      <w:r>
        <w:rPr>
          <w:u w:val="single" w:color="000000"/>
        </w:rPr>
        <w:t>Трошкови службених путовања у земљи, синтетички конто 422100 </w:t>
      </w:r>
      <w:r>
        <w:rPr/>
      </w:r>
      <w:r>
        <w:rPr>
          <w:rFonts w:ascii="Times New Roman" w:hAnsi="Times New Roman"/>
          <w:b/>
        </w:rPr>
        <w:t>- </w:t>
      </w:r>
      <w:r>
        <w:rPr/>
        <w:t>На овом конту исказани су расходи у износу од 117 хиљада динара (дневнице 100 хиљада динара, смештај 17 хиљада</w:t>
      </w:r>
      <w:r>
        <w:rPr>
          <w:spacing w:val="-7"/>
        </w:rPr>
        <w:t> </w:t>
      </w:r>
      <w:r>
        <w:rPr/>
        <w:t>динара).</w:t>
      </w:r>
    </w:p>
    <w:p>
      <w:pPr>
        <w:pStyle w:val="Heading1"/>
        <w:spacing w:line="275" w:lineRule="exact"/>
        <w:ind w:left="738"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Већина путних налога за службено путовање није попуњена у складу са Уредбом о накнади трошкова и отпремнини државних службеника и чланом 11. Одлуке о  накнадама, додацима на плату и другим примањима изабраних, постављених и запослених лица у органима и службама града Ниша број 15</w:t>
      </w:r>
      <w:r>
        <w:rPr>
          <w:rFonts w:ascii="Times New Roman" w:hAnsi="Times New Roman"/>
          <w:sz w:val="24"/>
        </w:rPr>
        <w:t>-</w:t>
      </w:r>
      <w:r>
        <w:rPr>
          <w:rFonts w:ascii="Times New Roman" w:hAnsi="Times New Roman"/>
          <w:sz w:val="24"/>
        </w:rPr>
        <w:t>27/2008 од 17.01.2008. године, јер не садрже датум и место правдања путног</w:t>
      </w:r>
      <w:r>
        <w:rPr>
          <w:rFonts w:ascii="Times New Roman" w:hAnsi="Times New Roman"/>
          <w:spacing w:val="-18"/>
          <w:sz w:val="24"/>
        </w:rPr>
        <w:t> </w:t>
      </w:r>
      <w:r>
        <w:rPr>
          <w:rFonts w:ascii="Times New Roman" w:hAnsi="Times New Roman"/>
          <w:sz w:val="24"/>
        </w:rPr>
        <w:t>налога.</w:t>
      </w:r>
    </w:p>
    <w:p>
      <w:pPr>
        <w:pStyle w:val="ListParagraph"/>
        <w:numPr>
          <w:ilvl w:val="0"/>
          <w:numId w:val="9"/>
        </w:numPr>
        <w:tabs>
          <w:tab w:pos="303" w:val="left" w:leader="none"/>
        </w:tabs>
        <w:spacing w:line="240" w:lineRule="auto" w:before="2"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Како датум и место правдања путног налога код већине налога за службено путовање нису попуњени, нисмо се уверили да су исти правдани и достављени овлашћеном лицу управе надлежне за послове финансија без одлагања, а најкасније у року од три дана по завршеном службеном путовању, сходно члану 13. Уредбе о накнади трошкова и отпремнини државних службеника и намештеника и члану 21. Одлуке о накнадама, додацима на плату и другим примањима изабраних, постављених и запослених лица у органима и службама града  Ниша број 15</w:t>
      </w:r>
      <w:r>
        <w:rPr>
          <w:rFonts w:ascii="Times New Roman" w:hAnsi="Times New Roman"/>
          <w:sz w:val="24"/>
        </w:rPr>
        <w:t>-</w:t>
      </w:r>
      <w:r>
        <w:rPr>
          <w:rFonts w:ascii="Times New Roman" w:hAnsi="Times New Roman"/>
          <w:sz w:val="24"/>
        </w:rPr>
        <w:t>27/2008 од 17.01.2008.</w:t>
      </w:r>
      <w:r>
        <w:rPr>
          <w:rFonts w:ascii="Times New Roman" w:hAnsi="Times New Roman"/>
          <w:spacing w:val="-4"/>
          <w:sz w:val="24"/>
        </w:rPr>
        <w:t> </w:t>
      </w:r>
      <w:r>
        <w:rPr>
          <w:rFonts w:ascii="Times New Roman" w:hAnsi="Times New Roman"/>
          <w:sz w:val="24"/>
        </w:rPr>
        <w:t>године.</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Извршен је расход у износу од најмање петнаест хиљада динара за исплату дневница у већем износу од прописаног, због исплате дневница у висини од 5% просечне бруто месечне зараде у Републици Србији, према последњем објављеном податку Републичког завода за статистику до 23.03.2014. године</w:t>
      </w:r>
      <w:r>
        <w:rPr>
          <w:rFonts w:ascii="Times New Roman" w:hAnsi="Times New Roman"/>
          <w:sz w:val="24"/>
        </w:rPr>
        <w:t>, </w:t>
      </w:r>
      <w:r>
        <w:rPr>
          <w:rFonts w:ascii="Times New Roman" w:hAnsi="Times New Roman"/>
          <w:sz w:val="24"/>
        </w:rPr>
        <w:t>односно без правног основа, што је супротно члану 56. и 58. Закона о буџетском систему, члану 9. Уредбе о накнади трошкова и отпремнини државних службеника и намештеника и члану 15. Одлуке о накнадама, додацима на плату и другим примањима изабраних, постављених и запослених лица у органима и службама града  Ниша број 15</w:t>
      </w:r>
      <w:r>
        <w:rPr>
          <w:rFonts w:ascii="Times New Roman" w:hAnsi="Times New Roman"/>
          <w:sz w:val="24"/>
        </w:rPr>
        <w:t>-</w:t>
      </w:r>
      <w:r>
        <w:rPr>
          <w:rFonts w:ascii="Times New Roman" w:hAnsi="Times New Roman"/>
          <w:sz w:val="24"/>
        </w:rPr>
        <w:t>27/2008 од 17.01.2008.</w:t>
      </w:r>
      <w:r>
        <w:rPr>
          <w:rFonts w:ascii="Times New Roman" w:hAnsi="Times New Roman"/>
          <w:spacing w:val="-4"/>
          <w:sz w:val="24"/>
        </w:rPr>
        <w:t> </w:t>
      </w:r>
      <w:r>
        <w:rPr>
          <w:rFonts w:ascii="Times New Roman" w:hAnsi="Times New Roman"/>
          <w:sz w:val="24"/>
        </w:rPr>
        <w:t>године.</w:t>
      </w:r>
    </w:p>
    <w:p>
      <w:pPr>
        <w:pStyle w:val="Heading2"/>
        <w:spacing w:line="240" w:lineRule="auto"/>
        <w:ind w:right="182"/>
        <w:jc w:val="both"/>
        <w:rPr>
          <w:b w:val="0"/>
          <w:bCs w:val="0"/>
          <w:i w:val="0"/>
        </w:rPr>
      </w:pPr>
      <w:r>
        <w:rPr>
          <w:i/>
        </w:rPr>
        <w:t>Препоручује се одговорним лицима да интерним контролним поступцима онемогуће обрачун и исплату у случају када путни налог не садржи све прописане елементе, правдање путних налога врше у прописаном року и обезбеде правни основ за сваки расход из</w:t>
      </w:r>
      <w:r>
        <w:rPr>
          <w:i/>
          <w:spacing w:val="-2"/>
        </w:rPr>
        <w:t> </w:t>
      </w:r>
      <w:r>
        <w:rPr>
          <w:i/>
        </w:rPr>
        <w:t>буџета.</w:t>
      </w:r>
      <w:r>
        <w:rPr>
          <w:b w:val="0"/>
          <w:i w:val="0"/>
        </w:rPr>
      </w:r>
    </w:p>
    <w:p>
      <w:pPr>
        <w:pStyle w:val="ListParagraph"/>
        <w:numPr>
          <w:ilvl w:val="4"/>
          <w:numId w:val="31"/>
        </w:numPr>
        <w:tabs>
          <w:tab w:pos="1013" w:val="left" w:leader="none"/>
        </w:tabs>
        <w:spacing w:line="237" w:lineRule="auto" w:before="141" w:after="0"/>
        <w:ind w:left="160" w:right="174" w:firstLine="566"/>
        <w:jc w:val="both"/>
        <w:rPr>
          <w:rFonts w:ascii="Times New Roman" w:hAnsi="Times New Roman" w:cs="Times New Roman" w:eastAsia="Times New Roman" w:hint="default"/>
          <w:sz w:val="24"/>
          <w:szCs w:val="24"/>
        </w:rPr>
      </w:pPr>
      <w:r>
        <w:rPr>
          <w:rFonts w:ascii="Times New Roman" w:hAnsi="Times New Roman"/>
          <w:b/>
          <w:sz w:val="24"/>
        </w:rPr>
        <w:t>Управа за финансије, изворне приходе локалне самоуправе и јавне набавке </w:t>
      </w:r>
      <w:r>
        <w:rPr>
          <w:rFonts w:ascii="Times New Roman" w:hAnsi="Times New Roman"/>
          <w:b/>
          <w:sz w:val="24"/>
        </w:rPr>
        <w:t>- </w:t>
      </w:r>
      <w:r>
        <w:rPr>
          <w:rFonts w:ascii="Times New Roman" w:hAnsi="Times New Roman"/>
          <w:sz w:val="24"/>
        </w:rPr>
        <w:t>Исказано је извршење у укупном износу од 2.503 хиљаде динара из буџета града.  Исказан је расход за: трошкове службених путовања у земљи у износу од 2.367 хиљада динара и трошкове службених путовања у иностранству у износу од 136 хиљада</w:t>
      </w:r>
      <w:r>
        <w:rPr>
          <w:rFonts w:ascii="Times New Roman" w:hAnsi="Times New Roman"/>
          <w:spacing w:val="-29"/>
          <w:sz w:val="24"/>
        </w:rPr>
        <w:t> </w:t>
      </w:r>
      <w:r>
        <w:rPr>
          <w:rFonts w:ascii="Times New Roman" w:hAnsi="Times New Roman"/>
          <w:sz w:val="24"/>
        </w:rPr>
        <w:t>динара.</w:t>
      </w:r>
    </w:p>
    <w:p>
      <w:pPr>
        <w:pStyle w:val="BodyText"/>
        <w:spacing w:line="240" w:lineRule="auto" w:before="1"/>
        <w:ind w:right="175" w:firstLine="566"/>
        <w:jc w:val="both"/>
      </w:pPr>
      <w:r>
        <w:rPr>
          <w:rFonts w:ascii="Times New Roman" w:hAnsi="Times New Roman"/>
        </w:rPr>
      </w:r>
      <w:r>
        <w:rPr>
          <w:rFonts w:ascii="Times New Roman" w:hAnsi="Times New Roman"/>
          <w:spacing w:val="-60"/>
          <w:u w:val="single" w:color="000000"/>
        </w:rPr>
        <w:t> </w:t>
      </w:r>
      <w:r>
        <w:rPr>
          <w:u w:val="single" w:color="000000"/>
        </w:rPr>
        <w:t>Трошкови службених путовања у земљи, синтетички конто 422100 </w:t>
      </w:r>
      <w:r>
        <w:rPr/>
      </w:r>
      <w:r>
        <w:rPr>
          <w:rFonts w:ascii="Times New Roman" w:hAnsi="Times New Roman"/>
          <w:b/>
        </w:rPr>
        <w:t>- </w:t>
      </w:r>
      <w:r>
        <w:rPr/>
        <w:t>Исказани су расходи у износу од 2.367 хиљада динара (дневнице 1.561 хиљада динара, трошкови превоза на службеном путу 95 хиљада динара, смештај 200 хиљада динара и остали трошкови за пословна путовања у земљи 511 хиљада</w:t>
      </w:r>
      <w:r>
        <w:rPr>
          <w:spacing w:val="-14"/>
        </w:rPr>
        <w:t> </w:t>
      </w:r>
      <w:r>
        <w:rPr/>
        <w:t>динара).</w:t>
      </w:r>
    </w:p>
    <w:p>
      <w:pPr>
        <w:pStyle w:val="Heading1"/>
        <w:spacing w:line="273"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Већина путних налога за службено путовање није попуњена у складу са Уредбом о накнади трошкова и отпремнини државних службеника и намештеника и чланом 11. Одлуке о накнадама, додацима на плату и другим примањима изабраних, постављених и запослених лица у органима и службама града Ниша број 15</w:t>
      </w:r>
      <w:r>
        <w:rPr>
          <w:rFonts w:ascii="Times New Roman" w:hAnsi="Times New Roman"/>
          <w:sz w:val="24"/>
        </w:rPr>
        <w:t>-</w:t>
      </w:r>
      <w:r>
        <w:rPr>
          <w:rFonts w:ascii="Times New Roman" w:hAnsi="Times New Roman"/>
          <w:sz w:val="24"/>
        </w:rPr>
        <w:t>27/2008 од 17.01.2008. године, јер не садрже: врсту превозног средства којим се путује, датум и место правдања путног</w:t>
      </w:r>
      <w:r>
        <w:rPr>
          <w:rFonts w:ascii="Times New Roman" w:hAnsi="Times New Roman"/>
          <w:spacing w:val="-8"/>
          <w:sz w:val="24"/>
        </w:rPr>
        <w:t> </w:t>
      </w:r>
      <w:r>
        <w:rPr>
          <w:rFonts w:ascii="Times New Roman" w:hAnsi="Times New Roman"/>
          <w:sz w:val="24"/>
        </w:rPr>
        <w:t>налога.</w:t>
      </w:r>
    </w:p>
    <w:p>
      <w:pPr>
        <w:pStyle w:val="ListParagraph"/>
        <w:numPr>
          <w:ilvl w:val="0"/>
          <w:numId w:val="9"/>
        </w:numPr>
        <w:tabs>
          <w:tab w:pos="303" w:val="left" w:leader="none"/>
        </w:tabs>
        <w:spacing w:line="292" w:lineRule="exact" w:before="2"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Обрачун дела путних налога и исплата накнаде трошкова службеног путовања у </w:t>
      </w:r>
      <w:r>
        <w:rPr>
          <w:rFonts w:ascii="Times New Roman" w:hAnsi="Times New Roman"/>
          <w:spacing w:val="18"/>
          <w:sz w:val="24"/>
        </w:rPr>
        <w:t> </w:t>
      </w:r>
      <w:r>
        <w:rPr>
          <w:rFonts w:ascii="Times New Roman" w:hAnsi="Times New Roman"/>
          <w:sz w:val="24"/>
        </w:rPr>
        <w:t>земљи</w:t>
      </w:r>
    </w:p>
    <w:p>
      <w:pPr>
        <w:pStyle w:val="ListParagraph"/>
        <w:numPr>
          <w:ilvl w:val="0"/>
          <w:numId w:val="30"/>
        </w:numPr>
        <w:tabs>
          <w:tab w:pos="355" w:val="left" w:leader="none"/>
        </w:tabs>
        <w:spacing w:line="274" w:lineRule="exact" w:before="0" w:after="0"/>
        <w:ind w:left="354" w:right="0" w:hanging="194"/>
        <w:jc w:val="both"/>
        <w:rPr>
          <w:rFonts w:ascii="Times New Roman" w:hAnsi="Times New Roman" w:cs="Times New Roman" w:eastAsia="Times New Roman" w:hint="default"/>
          <w:sz w:val="24"/>
          <w:szCs w:val="24"/>
        </w:rPr>
      </w:pPr>
      <w:r>
        <w:rPr>
          <w:rFonts w:ascii="Times New Roman" w:hAnsi="Times New Roman"/>
          <w:sz w:val="24"/>
        </w:rPr>
        <w:t>дневнице, вршени су без писаног извештаја о обављеном службеном путовању, што  </w:t>
      </w:r>
      <w:r>
        <w:rPr>
          <w:rFonts w:ascii="Times New Roman" w:hAnsi="Times New Roman"/>
          <w:spacing w:val="19"/>
          <w:sz w:val="24"/>
        </w:rPr>
        <w:t> </w:t>
      </w:r>
      <w:r>
        <w:rPr>
          <w:rFonts w:ascii="Times New Roman" w:hAnsi="Times New Roman"/>
          <w:sz w:val="24"/>
        </w:rPr>
        <w:t>је</w:t>
      </w:r>
    </w:p>
    <w:p>
      <w:pPr>
        <w:spacing w:after="0" w:line="274" w:lineRule="exact"/>
        <w:jc w:val="both"/>
        <w:rPr>
          <w:rFonts w:ascii="Times New Roman" w:hAnsi="Times New Roman" w:cs="Times New Roman" w:eastAsia="Times New Roman" w:hint="default"/>
          <w:sz w:val="24"/>
          <w:szCs w:val="24"/>
        </w:rPr>
        <w:sectPr>
          <w:footerReference w:type="default" r:id="rId65"/>
          <w:pgSz w:w="12240" w:h="15840"/>
          <w:pgMar w:footer="1274" w:header="740" w:top="1280" w:bottom="1460" w:left="1400" w:right="1260"/>
          <w:pgNumType w:start="100"/>
        </w:sectPr>
      </w:pPr>
    </w:p>
    <w:p>
      <w:pPr>
        <w:pStyle w:val="BodyText"/>
        <w:spacing w:line="240" w:lineRule="auto" w:before="122"/>
        <w:ind w:right="177"/>
        <w:jc w:val="both"/>
      </w:pPr>
      <w:r>
        <w:rPr/>
        <w:t>супротно члану 58. Закона о буџетском систему, члану 16. Уредбе о буџетском рачуноводству и члану 21. Одлуке о накнадама, додацима на плату и другим примањима изабраних, постављених и запослених лица у органима и службама града Ниша број </w:t>
      </w:r>
      <w:r>
        <w:rPr>
          <w:spacing w:val="3"/>
        </w:rPr>
        <w:t>15</w:t>
      </w:r>
      <w:r>
        <w:rPr>
          <w:rFonts w:ascii="Times New Roman" w:hAnsi="Times New Roman"/>
          <w:spacing w:val="3"/>
        </w:rPr>
        <w:t>- </w:t>
      </w:r>
      <w:r>
        <w:rPr/>
        <w:t>27/2008 од 17.01.2008. године.</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Како датум и место правдања путног налога код већине налога за службено путовање нису попуњени, нисмо се уверили да су исти правдани и достављени овлашћеном лицу управе надлежне за послове финансија без одлагања, а најкасније у року од три дана по завршеном службеном путовању, сходно члану 13. Уредбе о накнади трошкова и отпремнини државних службеника и намештеника и члану 21. Одлуке о накнадама, додацима на плату и другим примањима изабраних, постављених и запослених лица у органима и службама града  Ниша број 15</w:t>
      </w:r>
      <w:r>
        <w:rPr>
          <w:rFonts w:ascii="Times New Roman" w:hAnsi="Times New Roman"/>
          <w:sz w:val="24"/>
        </w:rPr>
        <w:t>-</w:t>
      </w:r>
      <w:r>
        <w:rPr>
          <w:rFonts w:ascii="Times New Roman" w:hAnsi="Times New Roman"/>
          <w:sz w:val="24"/>
        </w:rPr>
        <w:t>27/2008 од 17.01.2008.</w:t>
      </w:r>
      <w:r>
        <w:rPr>
          <w:rFonts w:ascii="Times New Roman" w:hAnsi="Times New Roman"/>
          <w:spacing w:val="-5"/>
          <w:sz w:val="24"/>
        </w:rPr>
        <w:t> </w:t>
      </w:r>
      <w:r>
        <w:rPr>
          <w:rFonts w:ascii="Times New Roman" w:hAnsi="Times New Roman"/>
          <w:sz w:val="24"/>
        </w:rPr>
        <w:t>године.</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Извршен је расход у износу од најмање </w:t>
      </w:r>
      <w:r>
        <w:rPr>
          <w:rFonts w:ascii="Times New Roman" w:hAnsi="Times New Roman"/>
          <w:sz w:val="24"/>
        </w:rPr>
        <w:t>100 </w:t>
      </w:r>
      <w:r>
        <w:rPr>
          <w:rFonts w:ascii="Times New Roman" w:hAnsi="Times New Roman"/>
          <w:sz w:val="24"/>
        </w:rPr>
        <w:t>хиљада динара за исплату дневница у већем износу од прописаног, јер је до 23.03.2014. године вршена је исплата дневница у висини од 5% просечне бруто месечне зараде у Републици Србији, према последњем објављеном податку Републичког завода за статистику</w:t>
      </w:r>
      <w:r>
        <w:rPr>
          <w:rFonts w:ascii="Times New Roman" w:hAnsi="Times New Roman"/>
          <w:sz w:val="24"/>
        </w:rPr>
        <w:t>, </w:t>
      </w:r>
      <w:r>
        <w:rPr>
          <w:rFonts w:ascii="Times New Roman" w:hAnsi="Times New Roman"/>
          <w:sz w:val="24"/>
        </w:rPr>
        <w:t>односно без правног основа, што је супротно члану 56. и 58. Закона о буџетском систему, члану 9. Уредбе о накнади трошкова и отпремнини државних службеника и намештеника и члану 15. Одлуке о накнадама, додацима на плату и другим примањима изабраних, постављених и запослених лица у органима и службама града  Ниша број 15</w:t>
      </w:r>
      <w:r>
        <w:rPr>
          <w:rFonts w:ascii="Times New Roman" w:hAnsi="Times New Roman"/>
          <w:sz w:val="24"/>
        </w:rPr>
        <w:t>-</w:t>
      </w:r>
      <w:r>
        <w:rPr>
          <w:rFonts w:ascii="Times New Roman" w:hAnsi="Times New Roman"/>
          <w:sz w:val="24"/>
        </w:rPr>
        <w:t>27/2008 од 17.01.2008.</w:t>
      </w:r>
      <w:r>
        <w:rPr>
          <w:rFonts w:ascii="Times New Roman" w:hAnsi="Times New Roman"/>
          <w:spacing w:val="-5"/>
          <w:sz w:val="24"/>
        </w:rPr>
        <w:t> </w:t>
      </w:r>
      <w:r>
        <w:rPr>
          <w:rFonts w:ascii="Times New Roman" w:hAnsi="Times New Roman"/>
          <w:sz w:val="24"/>
        </w:rPr>
        <w:t>године.</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Вршена је исплата накнаде трошкова за службено путовање</w:t>
      </w:r>
      <w:r>
        <w:rPr>
          <w:rFonts w:ascii="Times New Roman" w:hAnsi="Times New Roman"/>
          <w:sz w:val="24"/>
        </w:rPr>
        <w:t>, </w:t>
      </w:r>
      <w:r>
        <w:rPr>
          <w:rFonts w:ascii="Times New Roman" w:hAnsi="Times New Roman"/>
          <w:sz w:val="24"/>
        </w:rPr>
        <w:t>односно дневнице, запосленима који су упућивани на полагање државног стручног испита по путним налозима, док је у Захтевима надлежних Управа навођена уплата путних трошкова и накнада за полагање, без исплате дневница. Према члану 9. Одлуке о накнадама, додацима на плату и другим примањима изабраних, постављених и запослених лица у органима и службама града, службеним путовањем сматра се путовање на које се запослена лица упућују да, по налогу овлашћеног лица, изврше одређени службени посао ван места свог редовног запослења у земљи и иностранству, док се одлазак на полагање државног стручног испита не сматра обављањем службеног</w:t>
      </w:r>
      <w:r>
        <w:rPr>
          <w:rFonts w:ascii="Times New Roman" w:hAnsi="Times New Roman"/>
          <w:spacing w:val="-14"/>
          <w:sz w:val="24"/>
        </w:rPr>
        <w:t> </w:t>
      </w:r>
      <w:r>
        <w:rPr>
          <w:rFonts w:ascii="Times New Roman" w:hAnsi="Times New Roman"/>
          <w:sz w:val="24"/>
        </w:rPr>
        <w:t>посла.</w:t>
      </w:r>
    </w:p>
    <w:p>
      <w:pPr>
        <w:pStyle w:val="ListParagraph"/>
        <w:numPr>
          <w:ilvl w:val="0"/>
          <w:numId w:val="9"/>
        </w:numPr>
        <w:tabs>
          <w:tab w:pos="303" w:val="left" w:leader="none"/>
        </w:tabs>
        <w:spacing w:line="240" w:lineRule="auto" w:before="2"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Код појединих путних налога издатих за одлазак запослених на полагање државног стручног испита, приложена је превозна карта за одлазак у Београд ујутру у пет сати и тридесет минута, док је према дописима Министарства испит почињао тек у 15 часова и 30</w:t>
      </w:r>
      <w:r>
        <w:rPr>
          <w:rFonts w:ascii="Times New Roman" w:hAnsi="Times New Roman"/>
          <w:spacing w:val="-7"/>
          <w:sz w:val="24"/>
        </w:rPr>
        <w:t> </w:t>
      </w:r>
      <w:r>
        <w:rPr>
          <w:rFonts w:ascii="Times New Roman" w:hAnsi="Times New Roman"/>
          <w:sz w:val="24"/>
        </w:rPr>
        <w:t>минута.</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Обрачунате су и исплаћене пуне дневнице возачу Градоначелника, због нетачног приказивања у путном налогу времена поласка на службени пут и времена повратка са службеног пута. На тај начин извршен је расход у износу од 27 хиљада динара без правног основа, што је супротно члану 56. Закона о буџетском систему. Наведена неправилност је примећена и код исплата дневница возачу председника</w:t>
      </w:r>
      <w:r>
        <w:rPr>
          <w:rFonts w:ascii="Times New Roman" w:hAnsi="Times New Roman"/>
          <w:spacing w:val="-23"/>
          <w:sz w:val="24"/>
        </w:rPr>
        <w:t> </w:t>
      </w:r>
      <w:r>
        <w:rPr>
          <w:rFonts w:ascii="Times New Roman" w:hAnsi="Times New Roman"/>
          <w:sz w:val="24"/>
        </w:rPr>
        <w:t>Скупштине.</w:t>
      </w:r>
    </w:p>
    <w:p>
      <w:pPr>
        <w:pStyle w:val="BodyText"/>
        <w:spacing w:line="240" w:lineRule="auto"/>
        <w:ind w:right="178" w:firstLine="566"/>
        <w:jc w:val="both"/>
        <w:rPr>
          <w:rFonts w:ascii="Times New Roman" w:hAnsi="Times New Roman" w:cs="Times New Roman" w:eastAsia="Times New Roman" w:hint="default"/>
        </w:rPr>
      </w:pPr>
      <w:r>
        <w:rPr/>
        <w:t>У наредној табели дат је Преглед часова трајања службеног путовања по времену уласка и изласка возила са аутопута и времену исказаном на путном налогу за возило регистарских таблица НИ 085</w:t>
      </w:r>
      <w:r>
        <w:rPr>
          <w:spacing w:val="-9"/>
        </w:rPr>
        <w:t> </w:t>
      </w:r>
      <w:r>
        <w:rPr/>
        <w:t>ЗЗ</w:t>
      </w:r>
      <w:r>
        <w:rPr>
          <w:rFonts w:ascii="Times New Roman" w:hAnsi="Times New Roman"/>
        </w:rPr>
        <w:t>:</w:t>
      </w:r>
    </w:p>
    <w:p>
      <w:pPr>
        <w:spacing w:after="0" w:line="240" w:lineRule="auto"/>
        <w:jc w:val="both"/>
        <w:rPr>
          <w:rFonts w:ascii="Times New Roman" w:hAnsi="Times New Roman" w:cs="Times New Roman" w:eastAsia="Times New Roman" w:hint="default"/>
        </w:rPr>
        <w:sectPr>
          <w:pgSz w:w="12240" w:h="15840"/>
          <w:pgMar w:header="740" w:footer="1274" w:top="1280" w:bottom="1460" w:left="1400" w:right="1260"/>
        </w:sectPr>
      </w:pPr>
    </w:p>
    <w:p>
      <w:pPr>
        <w:spacing w:line="240" w:lineRule="auto" w:before="3"/>
        <w:rPr>
          <w:rFonts w:ascii="Times New Roman" w:hAnsi="Times New Roman" w:cs="Times New Roman" w:eastAsia="Times New Roman" w:hint="default"/>
          <w:sz w:val="11"/>
          <w:szCs w:val="11"/>
        </w:rPr>
      </w:pPr>
    </w:p>
    <w:tbl>
      <w:tblPr>
        <w:tblW w:w="0" w:type="auto"/>
        <w:jc w:val="left"/>
        <w:tblInd w:w="110" w:type="dxa"/>
        <w:tblLayout w:type="fixed"/>
        <w:tblCellMar>
          <w:top w:w="0" w:type="dxa"/>
          <w:left w:w="0" w:type="dxa"/>
          <w:bottom w:w="0" w:type="dxa"/>
          <w:right w:w="0" w:type="dxa"/>
        </w:tblCellMar>
        <w:tblLook w:val="01E0"/>
      </w:tblPr>
      <w:tblGrid>
        <w:gridCol w:w="900"/>
        <w:gridCol w:w="1589"/>
        <w:gridCol w:w="660"/>
        <w:gridCol w:w="708"/>
        <w:gridCol w:w="708"/>
        <w:gridCol w:w="852"/>
        <w:gridCol w:w="679"/>
        <w:gridCol w:w="850"/>
        <w:gridCol w:w="1135"/>
        <w:gridCol w:w="708"/>
        <w:gridCol w:w="708"/>
      </w:tblGrid>
      <w:tr>
        <w:trPr>
          <w:trHeight w:val="430" w:hRule="exact"/>
        </w:trPr>
        <w:tc>
          <w:tcPr>
            <w:tcW w:w="900" w:type="dxa"/>
            <w:vMerge w:val="restart"/>
            <w:tcBorders>
              <w:top w:val="single" w:sz="6" w:space="0" w:color="000000"/>
              <w:left w:val="single" w:sz="6" w:space="0" w:color="000000"/>
              <w:right w:val="single" w:sz="6" w:space="0" w:color="000000"/>
            </w:tcBorders>
          </w:tcPr>
          <w:p>
            <w:pPr>
              <w:pStyle w:val="TableParagraph"/>
              <w:spacing w:line="203" w:lineRule="exact"/>
              <w:ind w:left="213" w:right="0"/>
              <w:jc w:val="left"/>
              <w:rPr>
                <w:rFonts w:ascii="Times New Roman" w:hAnsi="Times New Roman" w:cs="Times New Roman" w:eastAsia="Times New Roman" w:hint="default"/>
                <w:sz w:val="18"/>
                <w:szCs w:val="18"/>
              </w:rPr>
            </w:pPr>
            <w:r>
              <w:rPr>
                <w:rFonts w:ascii="Times New Roman" w:hAnsi="Times New Roman"/>
                <w:sz w:val="18"/>
              </w:rPr>
              <w:t>датум</w:t>
            </w:r>
          </w:p>
        </w:tc>
        <w:tc>
          <w:tcPr>
            <w:tcW w:w="1589" w:type="dxa"/>
            <w:vMerge w:val="restart"/>
            <w:tcBorders>
              <w:top w:val="single" w:sz="6" w:space="0" w:color="000000"/>
              <w:left w:val="single" w:sz="6" w:space="0" w:color="000000"/>
              <w:right w:val="single" w:sz="6" w:space="0" w:color="000000"/>
            </w:tcBorders>
          </w:tcPr>
          <w:p>
            <w:pPr>
              <w:pStyle w:val="TableParagraph"/>
              <w:spacing w:line="203" w:lineRule="exact"/>
              <w:ind w:left="456" w:right="0"/>
              <w:jc w:val="left"/>
              <w:rPr>
                <w:rFonts w:ascii="Times New Roman" w:hAnsi="Times New Roman" w:cs="Times New Roman" w:eastAsia="Times New Roman" w:hint="default"/>
                <w:sz w:val="18"/>
                <w:szCs w:val="18"/>
              </w:rPr>
            </w:pPr>
            <w:r>
              <w:rPr>
                <w:rFonts w:ascii="Times New Roman" w:hAnsi="Times New Roman"/>
                <w:sz w:val="18"/>
              </w:rPr>
              <w:t>релација</w:t>
            </w:r>
          </w:p>
        </w:tc>
        <w:tc>
          <w:tcPr>
            <w:tcW w:w="660" w:type="dxa"/>
            <w:tcBorders>
              <w:top w:val="single" w:sz="6" w:space="0" w:color="000000"/>
              <w:left w:val="single" w:sz="6" w:space="0" w:color="000000"/>
              <w:bottom w:val="nil" w:sz="6" w:space="0" w:color="auto"/>
              <w:right w:val="single" w:sz="6" w:space="0" w:color="000000"/>
            </w:tcBorders>
          </w:tcPr>
          <w:p>
            <w:pPr>
              <w:pStyle w:val="TableParagraph"/>
              <w:spacing w:line="240" w:lineRule="auto"/>
              <w:ind w:left="191" w:right="123" w:hanging="63"/>
              <w:jc w:val="left"/>
              <w:rPr>
                <w:rFonts w:ascii="Times New Roman" w:hAnsi="Times New Roman" w:cs="Times New Roman" w:eastAsia="Times New Roman" w:hint="default"/>
                <w:sz w:val="18"/>
                <w:szCs w:val="18"/>
              </w:rPr>
            </w:pPr>
            <w:r>
              <w:rPr>
                <w:rFonts w:ascii="Times New Roman" w:hAnsi="Times New Roman"/>
                <w:sz w:val="18"/>
              </w:rPr>
              <w:t>Ауто пут</w:t>
            </w:r>
          </w:p>
        </w:tc>
        <w:tc>
          <w:tcPr>
            <w:tcW w:w="708" w:type="dxa"/>
            <w:tcBorders>
              <w:top w:val="single" w:sz="6" w:space="0" w:color="000000"/>
              <w:left w:val="single" w:sz="6" w:space="0" w:color="000000"/>
              <w:bottom w:val="nil" w:sz="6" w:space="0" w:color="auto"/>
              <w:right w:val="single" w:sz="6" w:space="0" w:color="000000"/>
            </w:tcBorders>
          </w:tcPr>
          <w:p>
            <w:pPr>
              <w:pStyle w:val="TableParagraph"/>
              <w:spacing w:line="240" w:lineRule="auto"/>
              <w:ind w:left="213" w:right="149" w:hanging="63"/>
              <w:jc w:val="left"/>
              <w:rPr>
                <w:rFonts w:ascii="Times New Roman" w:hAnsi="Times New Roman" w:cs="Times New Roman" w:eastAsia="Times New Roman" w:hint="default"/>
                <w:sz w:val="18"/>
                <w:szCs w:val="18"/>
              </w:rPr>
            </w:pPr>
            <w:r>
              <w:rPr>
                <w:rFonts w:ascii="Times New Roman" w:hAnsi="Times New Roman"/>
                <w:sz w:val="18"/>
              </w:rPr>
              <w:t>Ауто пут</w:t>
            </w:r>
          </w:p>
        </w:tc>
        <w:tc>
          <w:tcPr>
            <w:tcW w:w="708" w:type="dxa"/>
            <w:vMerge w:val="restart"/>
            <w:tcBorders>
              <w:top w:val="single" w:sz="6" w:space="0" w:color="000000"/>
              <w:left w:val="single" w:sz="6" w:space="0" w:color="000000"/>
              <w:right w:val="single" w:sz="6" w:space="0" w:color="000000"/>
            </w:tcBorders>
          </w:tcPr>
          <w:p>
            <w:pPr>
              <w:pStyle w:val="TableParagraph"/>
              <w:spacing w:line="240" w:lineRule="auto"/>
              <w:ind w:left="179" w:right="174" w:firstLine="4"/>
              <w:jc w:val="left"/>
              <w:rPr>
                <w:rFonts w:ascii="Times New Roman" w:hAnsi="Times New Roman" w:cs="Times New Roman" w:eastAsia="Times New Roman" w:hint="default"/>
                <w:sz w:val="18"/>
                <w:szCs w:val="18"/>
              </w:rPr>
            </w:pPr>
            <w:r>
              <w:rPr>
                <w:rFonts w:ascii="Times New Roman" w:hAnsi="Times New Roman"/>
                <w:sz w:val="18"/>
              </w:rPr>
              <w:t>број сати</w:t>
            </w:r>
          </w:p>
        </w:tc>
        <w:tc>
          <w:tcPr>
            <w:tcW w:w="852" w:type="dxa"/>
            <w:vMerge w:val="restart"/>
            <w:tcBorders>
              <w:top w:val="single" w:sz="6" w:space="0" w:color="000000"/>
              <w:left w:val="single" w:sz="6" w:space="0" w:color="000000"/>
              <w:right w:val="single" w:sz="6" w:space="0" w:color="000000"/>
            </w:tcBorders>
          </w:tcPr>
          <w:p>
            <w:pPr>
              <w:pStyle w:val="TableParagraph"/>
              <w:spacing w:line="240" w:lineRule="auto"/>
              <w:ind w:left="86" w:right="80" w:firstLine="12"/>
              <w:jc w:val="both"/>
              <w:rPr>
                <w:rFonts w:ascii="Times New Roman" w:hAnsi="Times New Roman" w:cs="Times New Roman" w:eastAsia="Times New Roman" w:hint="default"/>
                <w:sz w:val="18"/>
                <w:szCs w:val="18"/>
              </w:rPr>
            </w:pPr>
            <w:r>
              <w:rPr>
                <w:rFonts w:ascii="Times New Roman" w:hAnsi="Times New Roman"/>
                <w:sz w:val="18"/>
              </w:rPr>
              <w:t>Стварно време на сл.</w:t>
            </w:r>
            <w:r>
              <w:rPr>
                <w:rFonts w:ascii="Times New Roman" w:hAnsi="Times New Roman"/>
                <w:spacing w:val="-4"/>
                <w:sz w:val="18"/>
              </w:rPr>
              <w:t> </w:t>
            </w:r>
            <w:r>
              <w:rPr>
                <w:rFonts w:ascii="Times New Roman" w:hAnsi="Times New Roman"/>
                <w:sz w:val="18"/>
              </w:rPr>
              <w:t>путу</w:t>
            </w:r>
          </w:p>
        </w:tc>
        <w:tc>
          <w:tcPr>
            <w:tcW w:w="1529" w:type="dxa"/>
            <w:gridSpan w:val="2"/>
            <w:tcBorders>
              <w:top w:val="single" w:sz="6" w:space="0" w:color="000000"/>
              <w:left w:val="single" w:sz="6" w:space="0" w:color="000000"/>
              <w:bottom w:val="single" w:sz="6" w:space="0" w:color="000000"/>
              <w:right w:val="single" w:sz="6" w:space="0" w:color="000000"/>
            </w:tcBorders>
          </w:tcPr>
          <w:p>
            <w:pPr>
              <w:pStyle w:val="TableParagraph"/>
              <w:spacing w:line="240" w:lineRule="auto"/>
              <w:ind w:left="191" w:right="54" w:hanging="132"/>
              <w:jc w:val="left"/>
              <w:rPr>
                <w:rFonts w:ascii="Times New Roman" w:hAnsi="Times New Roman" w:cs="Times New Roman" w:eastAsia="Times New Roman" w:hint="default"/>
                <w:sz w:val="18"/>
                <w:szCs w:val="18"/>
              </w:rPr>
            </w:pPr>
            <w:r>
              <w:rPr>
                <w:rFonts w:ascii="Times New Roman" w:hAnsi="Times New Roman"/>
                <w:sz w:val="18"/>
              </w:rPr>
              <w:t>исказано време на путном</w:t>
            </w:r>
            <w:r>
              <w:rPr>
                <w:rFonts w:ascii="Times New Roman" w:hAnsi="Times New Roman"/>
                <w:spacing w:val="-5"/>
                <w:sz w:val="18"/>
              </w:rPr>
              <w:t> </w:t>
            </w:r>
            <w:r>
              <w:rPr>
                <w:rFonts w:ascii="Times New Roman" w:hAnsi="Times New Roman"/>
                <w:sz w:val="18"/>
              </w:rPr>
              <w:t>налогу</w:t>
            </w:r>
          </w:p>
        </w:tc>
        <w:tc>
          <w:tcPr>
            <w:tcW w:w="1135" w:type="dxa"/>
            <w:tcBorders>
              <w:top w:val="single" w:sz="6" w:space="0" w:color="000000"/>
              <w:left w:val="single" w:sz="6" w:space="0" w:color="000000"/>
              <w:bottom w:val="nil" w:sz="6" w:space="0" w:color="auto"/>
              <w:right w:val="single" w:sz="6" w:space="0" w:color="000000"/>
            </w:tcBorders>
          </w:tcPr>
          <w:p>
            <w:pPr>
              <w:pStyle w:val="TableParagraph"/>
              <w:spacing w:line="240" w:lineRule="auto"/>
              <w:ind w:left="465" w:right="205" w:hanging="257"/>
              <w:jc w:val="left"/>
              <w:rPr>
                <w:rFonts w:ascii="Times New Roman" w:hAnsi="Times New Roman" w:cs="Times New Roman" w:eastAsia="Times New Roman" w:hint="default"/>
                <w:sz w:val="18"/>
                <w:szCs w:val="18"/>
              </w:rPr>
            </w:pPr>
            <w:r>
              <w:rPr>
                <w:rFonts w:ascii="Times New Roman" w:hAnsi="Times New Roman"/>
                <w:sz w:val="18"/>
              </w:rPr>
              <w:t>број сати по</w:t>
            </w:r>
          </w:p>
        </w:tc>
        <w:tc>
          <w:tcPr>
            <w:tcW w:w="1416" w:type="dxa"/>
            <w:gridSpan w:val="2"/>
            <w:tcBorders>
              <w:top w:val="single" w:sz="6" w:space="0" w:color="000000"/>
              <w:left w:val="single" w:sz="6" w:space="0" w:color="000000"/>
              <w:bottom w:val="single" w:sz="6" w:space="0" w:color="000000"/>
              <w:right w:val="single" w:sz="6" w:space="0" w:color="000000"/>
            </w:tcBorders>
          </w:tcPr>
          <w:p>
            <w:pPr>
              <w:pStyle w:val="TableParagraph"/>
              <w:spacing w:line="203" w:lineRule="exact"/>
              <w:ind w:left="338" w:right="207"/>
              <w:jc w:val="left"/>
              <w:rPr>
                <w:rFonts w:ascii="Times New Roman" w:hAnsi="Times New Roman" w:cs="Times New Roman" w:eastAsia="Times New Roman" w:hint="default"/>
                <w:sz w:val="18"/>
                <w:szCs w:val="18"/>
              </w:rPr>
            </w:pPr>
            <w:r>
              <w:rPr>
                <w:rFonts w:ascii="Times New Roman" w:hAnsi="Times New Roman"/>
                <w:sz w:val="18"/>
              </w:rPr>
              <w:t>дневница</w:t>
            </w:r>
          </w:p>
        </w:tc>
      </w:tr>
      <w:tr>
        <w:trPr>
          <w:trHeight w:val="427" w:hRule="exact"/>
        </w:trPr>
        <w:tc>
          <w:tcPr>
            <w:tcW w:w="900" w:type="dxa"/>
            <w:vMerge/>
            <w:tcBorders>
              <w:left w:val="single" w:sz="6" w:space="0" w:color="000000"/>
              <w:bottom w:val="single" w:sz="6" w:space="0" w:color="000000"/>
              <w:right w:val="single" w:sz="6" w:space="0" w:color="000000"/>
            </w:tcBorders>
          </w:tcPr>
          <w:p>
            <w:pPr/>
          </w:p>
        </w:tc>
        <w:tc>
          <w:tcPr>
            <w:tcW w:w="1589" w:type="dxa"/>
            <w:vMerge/>
            <w:tcBorders>
              <w:left w:val="single" w:sz="6" w:space="0" w:color="000000"/>
              <w:bottom w:val="single" w:sz="6" w:space="0" w:color="000000"/>
              <w:right w:val="single" w:sz="6" w:space="0" w:color="000000"/>
            </w:tcBorders>
          </w:tcPr>
          <w:p>
            <w:pPr/>
          </w:p>
        </w:tc>
        <w:tc>
          <w:tcPr>
            <w:tcW w:w="660" w:type="dxa"/>
            <w:tcBorders>
              <w:top w:val="nil" w:sz="6" w:space="0" w:color="auto"/>
              <w:left w:val="single" w:sz="6" w:space="0" w:color="000000"/>
              <w:bottom w:val="single" w:sz="6" w:space="0" w:color="000000"/>
              <w:right w:val="single" w:sz="6" w:space="0" w:color="000000"/>
            </w:tcBorders>
          </w:tcPr>
          <w:p>
            <w:pPr>
              <w:pStyle w:val="TableParagraph"/>
              <w:spacing w:line="240" w:lineRule="auto" w:before="2"/>
              <w:ind w:left="106" w:right="107"/>
              <w:jc w:val="center"/>
              <w:rPr>
                <w:rFonts w:ascii="Times New Roman" w:hAnsi="Times New Roman" w:cs="Times New Roman" w:eastAsia="Times New Roman" w:hint="default"/>
                <w:sz w:val="18"/>
                <w:szCs w:val="18"/>
              </w:rPr>
            </w:pPr>
            <w:r>
              <w:rPr>
                <w:rFonts w:ascii="Times New Roman" w:hAnsi="Times New Roman"/>
                <w:sz w:val="18"/>
              </w:rPr>
              <w:t>улаз</w:t>
            </w:r>
          </w:p>
        </w:tc>
        <w:tc>
          <w:tcPr>
            <w:tcW w:w="708" w:type="dxa"/>
            <w:tcBorders>
              <w:top w:val="nil" w:sz="6" w:space="0" w:color="auto"/>
              <w:left w:val="single" w:sz="6" w:space="0" w:color="000000"/>
              <w:bottom w:val="single" w:sz="6" w:space="0" w:color="000000"/>
              <w:right w:val="single" w:sz="6" w:space="0" w:color="000000"/>
            </w:tcBorders>
          </w:tcPr>
          <w:p>
            <w:pPr>
              <w:pStyle w:val="TableParagraph"/>
              <w:spacing w:line="240" w:lineRule="auto" w:before="2"/>
              <w:ind w:left="129" w:right="130"/>
              <w:jc w:val="center"/>
              <w:rPr>
                <w:rFonts w:ascii="Times New Roman" w:hAnsi="Times New Roman" w:cs="Times New Roman" w:eastAsia="Times New Roman" w:hint="default"/>
                <w:sz w:val="18"/>
                <w:szCs w:val="18"/>
              </w:rPr>
            </w:pPr>
            <w:r>
              <w:rPr>
                <w:rFonts w:ascii="Times New Roman" w:hAnsi="Times New Roman"/>
                <w:sz w:val="18"/>
              </w:rPr>
              <w:t>излаз</w:t>
            </w:r>
          </w:p>
        </w:tc>
        <w:tc>
          <w:tcPr>
            <w:tcW w:w="708" w:type="dxa"/>
            <w:vMerge/>
            <w:tcBorders>
              <w:left w:val="single" w:sz="6" w:space="0" w:color="000000"/>
              <w:bottom w:val="single" w:sz="6" w:space="0" w:color="000000"/>
              <w:right w:val="single" w:sz="6" w:space="0" w:color="000000"/>
            </w:tcBorders>
          </w:tcPr>
          <w:p>
            <w:pPr/>
          </w:p>
        </w:tc>
        <w:tc>
          <w:tcPr>
            <w:tcW w:w="852" w:type="dxa"/>
            <w:vMerge/>
            <w:tcBorders>
              <w:left w:val="single" w:sz="6" w:space="0" w:color="000000"/>
              <w:bottom w:val="single" w:sz="6" w:space="0" w:color="000000"/>
              <w:right w:val="single" w:sz="6" w:space="0" w:color="000000"/>
            </w:tcBorders>
          </w:tcPr>
          <w:p>
            <w:pPr/>
          </w:p>
        </w:tc>
        <w:tc>
          <w:tcPr>
            <w:tcW w:w="679" w:type="dxa"/>
            <w:tcBorders>
              <w:top w:val="single" w:sz="6" w:space="0" w:color="000000"/>
              <w:left w:val="single" w:sz="6" w:space="0" w:color="000000"/>
              <w:bottom w:val="single" w:sz="6" w:space="0" w:color="000000"/>
              <w:right w:val="single" w:sz="6" w:space="0" w:color="000000"/>
            </w:tcBorders>
          </w:tcPr>
          <w:p>
            <w:pPr>
              <w:pStyle w:val="TableParagraph"/>
              <w:spacing w:line="202" w:lineRule="exact"/>
              <w:ind w:left="21" w:right="23"/>
              <w:jc w:val="center"/>
              <w:rPr>
                <w:rFonts w:ascii="Times New Roman" w:hAnsi="Times New Roman" w:cs="Times New Roman" w:eastAsia="Times New Roman" w:hint="default"/>
                <w:sz w:val="18"/>
                <w:szCs w:val="18"/>
              </w:rPr>
            </w:pPr>
            <w:r>
              <w:rPr>
                <w:rFonts w:ascii="Times New Roman" w:hAnsi="Times New Roman"/>
                <w:sz w:val="18"/>
              </w:rPr>
              <w:t>полазак</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spacing w:line="202" w:lineRule="exact"/>
              <w:ind w:left="61" w:right="61"/>
              <w:jc w:val="center"/>
              <w:rPr>
                <w:rFonts w:ascii="Times New Roman" w:hAnsi="Times New Roman" w:cs="Times New Roman" w:eastAsia="Times New Roman" w:hint="default"/>
                <w:sz w:val="18"/>
                <w:szCs w:val="18"/>
              </w:rPr>
            </w:pPr>
            <w:r>
              <w:rPr>
                <w:rFonts w:ascii="Times New Roman" w:hAnsi="Times New Roman"/>
                <w:sz w:val="18"/>
              </w:rPr>
              <w:t>повратак</w:t>
            </w:r>
          </w:p>
        </w:tc>
        <w:tc>
          <w:tcPr>
            <w:tcW w:w="1135" w:type="dxa"/>
            <w:tcBorders>
              <w:top w:val="nil" w:sz="6" w:space="0" w:color="auto"/>
              <w:left w:val="single" w:sz="6" w:space="0" w:color="000000"/>
              <w:bottom w:val="single" w:sz="6" w:space="0" w:color="000000"/>
              <w:right w:val="single" w:sz="6" w:space="0" w:color="000000"/>
            </w:tcBorders>
          </w:tcPr>
          <w:p>
            <w:pPr>
              <w:pStyle w:val="TableParagraph"/>
              <w:spacing w:line="240" w:lineRule="auto" w:before="2"/>
              <w:ind w:left="300" w:right="271" w:hanging="22"/>
              <w:jc w:val="left"/>
              <w:rPr>
                <w:rFonts w:ascii="Times New Roman" w:hAnsi="Times New Roman" w:cs="Times New Roman" w:eastAsia="Times New Roman" w:hint="default"/>
                <w:sz w:val="18"/>
                <w:szCs w:val="18"/>
              </w:rPr>
            </w:pPr>
            <w:r>
              <w:rPr>
                <w:rFonts w:ascii="Times New Roman" w:hAnsi="Times New Roman"/>
                <w:sz w:val="18"/>
              </w:rPr>
              <w:t>путном налогу</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left="256" w:right="41" w:hanging="216"/>
              <w:jc w:val="left"/>
              <w:rPr>
                <w:rFonts w:ascii="Times New Roman" w:hAnsi="Times New Roman" w:cs="Times New Roman" w:eastAsia="Times New Roman" w:hint="default"/>
                <w:sz w:val="18"/>
                <w:szCs w:val="18"/>
              </w:rPr>
            </w:pPr>
            <w:r>
              <w:rPr>
                <w:rFonts w:ascii="Times New Roman" w:hAnsi="Times New Roman"/>
                <w:sz w:val="18"/>
              </w:rPr>
              <w:t>примље на</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left="172" w:right="136" w:hanging="34"/>
              <w:jc w:val="left"/>
              <w:rPr>
                <w:rFonts w:ascii="Times New Roman" w:hAnsi="Times New Roman" w:cs="Times New Roman" w:eastAsia="Times New Roman" w:hint="default"/>
                <w:sz w:val="18"/>
                <w:szCs w:val="18"/>
              </w:rPr>
            </w:pPr>
            <w:r>
              <w:rPr>
                <w:rFonts w:ascii="Times New Roman" w:hAnsi="Times New Roman"/>
                <w:sz w:val="18"/>
              </w:rPr>
              <w:t>o</w:t>
            </w:r>
            <w:r>
              <w:rPr>
                <w:rFonts w:ascii="Times New Roman" w:hAnsi="Times New Roman"/>
                <w:sz w:val="18"/>
              </w:rPr>
              <w:t>ства рена</w:t>
            </w:r>
          </w:p>
        </w:tc>
      </w:tr>
      <w:tr>
        <w:trPr>
          <w:trHeight w:val="300" w:hRule="exact"/>
        </w:trPr>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1" w:right="0"/>
              <w:jc w:val="left"/>
              <w:rPr>
                <w:rFonts w:ascii="Times New Roman" w:hAnsi="Times New Roman" w:cs="Times New Roman" w:eastAsia="Times New Roman" w:hint="default"/>
                <w:sz w:val="18"/>
                <w:szCs w:val="18"/>
              </w:rPr>
            </w:pPr>
            <w:r>
              <w:rPr>
                <w:rFonts w:ascii="Times New Roman"/>
                <w:sz w:val="18"/>
              </w:rPr>
              <w:t>10.01.2014</w:t>
            </w:r>
          </w:p>
        </w:tc>
        <w:tc>
          <w:tcPr>
            <w:tcW w:w="1589"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0" w:right="81"/>
              <w:jc w:val="center"/>
              <w:rPr>
                <w:rFonts w:ascii="Times New Roman" w:hAnsi="Times New Roman" w:cs="Times New Roman" w:eastAsia="Times New Roman" w:hint="default"/>
                <w:sz w:val="18"/>
                <w:szCs w:val="18"/>
              </w:rPr>
            </w:pPr>
            <w:r>
              <w:rPr>
                <w:rFonts w:ascii="Times New Roman" w:hAnsi="Times New Roman"/>
                <w:sz w:val="18"/>
              </w:rPr>
              <w:t>Ниш</w:t>
            </w:r>
            <w:r>
              <w:rPr>
                <w:rFonts w:ascii="Times New Roman" w:hAnsi="Times New Roman"/>
                <w:sz w:val="18"/>
              </w:rPr>
              <w:t>-</w:t>
            </w:r>
            <w:r>
              <w:rPr>
                <w:rFonts w:ascii="Times New Roman" w:hAnsi="Times New Roman"/>
                <w:sz w:val="18"/>
              </w:rPr>
              <w:t>Београд</w:t>
            </w:r>
            <w:r>
              <w:rPr>
                <w:rFonts w:ascii="Times New Roman" w:hAnsi="Times New Roman"/>
                <w:sz w:val="18"/>
              </w:rPr>
              <w:t>-</w:t>
            </w:r>
            <w:r>
              <w:rPr>
                <w:rFonts w:ascii="Times New Roman" w:hAnsi="Times New Roman"/>
                <w:sz w:val="18"/>
              </w:rPr>
              <w:t>Ниш</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07" w:right="107"/>
              <w:jc w:val="center"/>
              <w:rPr>
                <w:rFonts w:ascii="Times New Roman" w:hAnsi="Times New Roman" w:cs="Times New Roman" w:eastAsia="Times New Roman" w:hint="default"/>
                <w:sz w:val="18"/>
                <w:szCs w:val="18"/>
              </w:rPr>
            </w:pPr>
            <w:r>
              <w:rPr>
                <w:rFonts w:ascii="Times New Roman"/>
                <w:sz w:val="18"/>
              </w:rPr>
              <w:t>09.29</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29" w:right="130"/>
              <w:jc w:val="center"/>
              <w:rPr>
                <w:rFonts w:ascii="Times New Roman" w:hAnsi="Times New Roman" w:cs="Times New Roman" w:eastAsia="Times New Roman" w:hint="default"/>
                <w:sz w:val="18"/>
                <w:szCs w:val="18"/>
              </w:rPr>
            </w:pPr>
            <w:r>
              <w:rPr>
                <w:rFonts w:ascii="Times New Roman"/>
                <w:sz w:val="18"/>
              </w:rPr>
              <w:t>20.30</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31" w:right="131"/>
              <w:jc w:val="center"/>
              <w:rPr>
                <w:rFonts w:ascii="Times New Roman" w:hAnsi="Times New Roman" w:cs="Times New Roman" w:eastAsia="Times New Roman" w:hint="default"/>
                <w:sz w:val="18"/>
                <w:szCs w:val="18"/>
              </w:rPr>
            </w:pPr>
            <w:r>
              <w:rPr>
                <w:rFonts w:ascii="Times New Roman"/>
                <w:sz w:val="18"/>
              </w:rPr>
              <w:t>11.00</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03" w:right="203"/>
              <w:jc w:val="center"/>
              <w:rPr>
                <w:rFonts w:ascii="Times New Roman" w:hAnsi="Times New Roman" w:cs="Times New Roman" w:eastAsia="Times New Roman" w:hint="default"/>
                <w:sz w:val="18"/>
                <w:szCs w:val="18"/>
              </w:rPr>
            </w:pPr>
            <w:r>
              <w:rPr>
                <w:rFonts w:ascii="Times New Roman"/>
                <w:sz w:val="18"/>
              </w:rPr>
              <w:t>12.00</w:t>
            </w:r>
          </w:p>
        </w:tc>
        <w:tc>
          <w:tcPr>
            <w:tcW w:w="679"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1" w:right="22"/>
              <w:jc w:val="center"/>
              <w:rPr>
                <w:rFonts w:ascii="Times New Roman" w:hAnsi="Times New Roman" w:cs="Times New Roman" w:eastAsia="Times New Roman" w:hint="default"/>
                <w:sz w:val="18"/>
                <w:szCs w:val="18"/>
              </w:rPr>
            </w:pPr>
            <w:r>
              <w:rPr>
                <w:rFonts w:ascii="Times New Roman"/>
                <w:sz w:val="18"/>
              </w:rPr>
              <w:t>07.30</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61" w:right="61"/>
              <w:jc w:val="center"/>
              <w:rPr>
                <w:rFonts w:ascii="Times New Roman" w:hAnsi="Times New Roman" w:cs="Times New Roman" w:eastAsia="Times New Roman" w:hint="default"/>
                <w:sz w:val="18"/>
                <w:szCs w:val="18"/>
              </w:rPr>
            </w:pPr>
            <w:r>
              <w:rPr>
                <w:rFonts w:ascii="Times New Roman"/>
                <w:sz w:val="18"/>
              </w:rPr>
              <w:t>22.00</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357" w:right="205"/>
              <w:jc w:val="left"/>
              <w:rPr>
                <w:rFonts w:ascii="Times New Roman" w:hAnsi="Times New Roman" w:cs="Times New Roman" w:eastAsia="Times New Roman" w:hint="default"/>
                <w:sz w:val="18"/>
                <w:szCs w:val="18"/>
              </w:rPr>
            </w:pPr>
            <w:r>
              <w:rPr>
                <w:rFonts w:ascii="Times New Roman"/>
                <w:sz w:val="18"/>
              </w:rPr>
              <w:t>14.30</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right="23"/>
              <w:jc w:val="right"/>
              <w:rPr>
                <w:rFonts w:ascii="Times New Roman" w:hAnsi="Times New Roman" w:cs="Times New Roman" w:eastAsia="Times New Roman" w:hint="default"/>
                <w:sz w:val="18"/>
                <w:szCs w:val="18"/>
              </w:rPr>
            </w:pPr>
            <w:r>
              <w:rPr>
                <w:rFonts w:ascii="Times New Roman" w:hAnsi="Times New Roman"/>
                <w:spacing w:val="-1"/>
                <w:sz w:val="18"/>
              </w:rPr>
              <w:t>пуна</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right="23"/>
              <w:jc w:val="right"/>
              <w:rPr>
                <w:rFonts w:ascii="Times New Roman" w:hAnsi="Times New Roman" w:cs="Times New Roman" w:eastAsia="Times New Roman" w:hint="default"/>
                <w:sz w:val="18"/>
                <w:szCs w:val="18"/>
              </w:rPr>
            </w:pPr>
            <w:r>
              <w:rPr>
                <w:rFonts w:ascii="Times New Roman" w:hAnsi="Times New Roman"/>
                <w:spacing w:val="-1"/>
                <w:sz w:val="18"/>
              </w:rPr>
              <w:t>пуна</w:t>
            </w:r>
          </w:p>
        </w:tc>
      </w:tr>
      <w:tr>
        <w:trPr>
          <w:trHeight w:val="300" w:hRule="exact"/>
        </w:trPr>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1" w:right="0"/>
              <w:jc w:val="left"/>
              <w:rPr>
                <w:rFonts w:ascii="Times New Roman" w:hAnsi="Times New Roman" w:cs="Times New Roman" w:eastAsia="Times New Roman" w:hint="default"/>
                <w:sz w:val="18"/>
                <w:szCs w:val="18"/>
              </w:rPr>
            </w:pPr>
            <w:r>
              <w:rPr>
                <w:rFonts w:ascii="Times New Roman"/>
                <w:sz w:val="18"/>
              </w:rPr>
              <w:t>16.01.2014</w:t>
            </w:r>
          </w:p>
        </w:tc>
        <w:tc>
          <w:tcPr>
            <w:tcW w:w="1589"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0" w:right="81"/>
              <w:jc w:val="center"/>
              <w:rPr>
                <w:rFonts w:ascii="Times New Roman" w:hAnsi="Times New Roman" w:cs="Times New Roman" w:eastAsia="Times New Roman" w:hint="default"/>
                <w:sz w:val="18"/>
                <w:szCs w:val="18"/>
              </w:rPr>
            </w:pPr>
            <w:r>
              <w:rPr>
                <w:rFonts w:ascii="Times New Roman" w:hAnsi="Times New Roman"/>
                <w:sz w:val="18"/>
              </w:rPr>
              <w:t>Ниш</w:t>
            </w:r>
            <w:r>
              <w:rPr>
                <w:rFonts w:ascii="Times New Roman" w:hAnsi="Times New Roman"/>
                <w:sz w:val="18"/>
              </w:rPr>
              <w:t>-</w:t>
            </w:r>
            <w:r>
              <w:rPr>
                <w:rFonts w:ascii="Times New Roman" w:hAnsi="Times New Roman"/>
                <w:sz w:val="18"/>
              </w:rPr>
              <w:t>Београд</w:t>
            </w:r>
            <w:r>
              <w:rPr>
                <w:rFonts w:ascii="Times New Roman" w:hAnsi="Times New Roman"/>
                <w:sz w:val="18"/>
              </w:rPr>
              <w:t>-</w:t>
            </w:r>
            <w:r>
              <w:rPr>
                <w:rFonts w:ascii="Times New Roman" w:hAnsi="Times New Roman"/>
                <w:sz w:val="18"/>
              </w:rPr>
              <w:t>Ниш</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07" w:right="107"/>
              <w:jc w:val="center"/>
              <w:rPr>
                <w:rFonts w:ascii="Times New Roman" w:hAnsi="Times New Roman" w:cs="Times New Roman" w:eastAsia="Times New Roman" w:hint="default"/>
                <w:sz w:val="18"/>
                <w:szCs w:val="18"/>
              </w:rPr>
            </w:pPr>
            <w:r>
              <w:rPr>
                <w:rFonts w:ascii="Times New Roman"/>
                <w:sz w:val="18"/>
              </w:rPr>
              <w:t>08.35</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29" w:right="130"/>
              <w:jc w:val="center"/>
              <w:rPr>
                <w:rFonts w:ascii="Times New Roman" w:hAnsi="Times New Roman" w:cs="Times New Roman" w:eastAsia="Times New Roman" w:hint="default"/>
                <w:sz w:val="18"/>
                <w:szCs w:val="18"/>
              </w:rPr>
            </w:pPr>
            <w:r>
              <w:rPr>
                <w:rFonts w:ascii="Times New Roman"/>
                <w:sz w:val="18"/>
              </w:rPr>
              <w:t>18.49</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31" w:right="131"/>
              <w:jc w:val="center"/>
              <w:rPr>
                <w:rFonts w:ascii="Times New Roman" w:hAnsi="Times New Roman" w:cs="Times New Roman" w:eastAsia="Times New Roman" w:hint="default"/>
                <w:sz w:val="18"/>
                <w:szCs w:val="18"/>
              </w:rPr>
            </w:pPr>
            <w:r>
              <w:rPr>
                <w:rFonts w:ascii="Times New Roman"/>
                <w:sz w:val="18"/>
              </w:rPr>
              <w:t>10.14</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03" w:right="203"/>
              <w:jc w:val="center"/>
              <w:rPr>
                <w:rFonts w:ascii="Times New Roman" w:hAnsi="Times New Roman" w:cs="Times New Roman" w:eastAsia="Times New Roman" w:hint="default"/>
                <w:sz w:val="18"/>
                <w:szCs w:val="18"/>
              </w:rPr>
            </w:pPr>
            <w:r>
              <w:rPr>
                <w:rFonts w:ascii="Times New Roman"/>
                <w:sz w:val="18"/>
              </w:rPr>
              <w:t>11.14</w:t>
            </w:r>
          </w:p>
        </w:tc>
        <w:tc>
          <w:tcPr>
            <w:tcW w:w="679"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1" w:right="22"/>
              <w:jc w:val="center"/>
              <w:rPr>
                <w:rFonts w:ascii="Times New Roman" w:hAnsi="Times New Roman" w:cs="Times New Roman" w:eastAsia="Times New Roman" w:hint="default"/>
                <w:sz w:val="18"/>
                <w:szCs w:val="18"/>
              </w:rPr>
            </w:pPr>
            <w:r>
              <w:rPr>
                <w:rFonts w:ascii="Times New Roman"/>
                <w:sz w:val="18"/>
              </w:rPr>
              <w:t>07.00</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61" w:right="61"/>
              <w:jc w:val="center"/>
              <w:rPr>
                <w:rFonts w:ascii="Times New Roman" w:hAnsi="Times New Roman" w:cs="Times New Roman" w:eastAsia="Times New Roman" w:hint="default"/>
                <w:sz w:val="18"/>
                <w:szCs w:val="18"/>
              </w:rPr>
            </w:pPr>
            <w:r>
              <w:rPr>
                <w:rFonts w:ascii="Times New Roman"/>
                <w:sz w:val="18"/>
              </w:rPr>
              <w:t>20.00</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357" w:right="205"/>
              <w:jc w:val="left"/>
              <w:rPr>
                <w:rFonts w:ascii="Times New Roman" w:hAnsi="Times New Roman" w:cs="Times New Roman" w:eastAsia="Times New Roman" w:hint="default"/>
                <w:sz w:val="18"/>
                <w:szCs w:val="18"/>
              </w:rPr>
            </w:pPr>
            <w:r>
              <w:rPr>
                <w:rFonts w:ascii="Times New Roman"/>
                <w:sz w:val="18"/>
              </w:rPr>
              <w:t>13.00</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right="23"/>
              <w:jc w:val="right"/>
              <w:rPr>
                <w:rFonts w:ascii="Times New Roman" w:hAnsi="Times New Roman" w:cs="Times New Roman" w:eastAsia="Times New Roman" w:hint="default"/>
                <w:sz w:val="18"/>
                <w:szCs w:val="18"/>
              </w:rPr>
            </w:pPr>
            <w:r>
              <w:rPr>
                <w:rFonts w:ascii="Times New Roman" w:hAnsi="Times New Roman"/>
                <w:spacing w:val="-1"/>
                <w:sz w:val="18"/>
              </w:rPr>
              <w:t>пуна</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right="21"/>
              <w:jc w:val="right"/>
              <w:rPr>
                <w:rFonts w:ascii="Times New Roman" w:hAnsi="Times New Roman" w:cs="Times New Roman" w:eastAsia="Times New Roman" w:hint="default"/>
                <w:sz w:val="18"/>
                <w:szCs w:val="18"/>
              </w:rPr>
            </w:pPr>
            <w:r>
              <w:rPr>
                <w:rFonts w:ascii="Times New Roman" w:hAnsi="Times New Roman"/>
                <w:spacing w:val="-1"/>
                <w:sz w:val="18"/>
              </w:rPr>
              <w:t>пола</w:t>
            </w:r>
          </w:p>
        </w:tc>
      </w:tr>
      <w:tr>
        <w:trPr>
          <w:trHeight w:val="300" w:hRule="exact"/>
        </w:trPr>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1" w:right="0"/>
              <w:jc w:val="left"/>
              <w:rPr>
                <w:rFonts w:ascii="Times New Roman" w:hAnsi="Times New Roman" w:cs="Times New Roman" w:eastAsia="Times New Roman" w:hint="default"/>
                <w:sz w:val="18"/>
                <w:szCs w:val="18"/>
              </w:rPr>
            </w:pPr>
            <w:r>
              <w:rPr>
                <w:rFonts w:ascii="Times New Roman"/>
                <w:sz w:val="18"/>
              </w:rPr>
              <w:t>22.01.2014</w:t>
            </w:r>
          </w:p>
        </w:tc>
        <w:tc>
          <w:tcPr>
            <w:tcW w:w="1589"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0" w:right="81"/>
              <w:jc w:val="center"/>
              <w:rPr>
                <w:rFonts w:ascii="Times New Roman" w:hAnsi="Times New Roman" w:cs="Times New Roman" w:eastAsia="Times New Roman" w:hint="default"/>
                <w:sz w:val="18"/>
                <w:szCs w:val="18"/>
              </w:rPr>
            </w:pPr>
            <w:r>
              <w:rPr>
                <w:rFonts w:ascii="Times New Roman" w:hAnsi="Times New Roman"/>
                <w:sz w:val="18"/>
              </w:rPr>
              <w:t>Ниш</w:t>
            </w:r>
            <w:r>
              <w:rPr>
                <w:rFonts w:ascii="Times New Roman" w:hAnsi="Times New Roman"/>
                <w:sz w:val="18"/>
              </w:rPr>
              <w:t>-</w:t>
            </w:r>
            <w:r>
              <w:rPr>
                <w:rFonts w:ascii="Times New Roman" w:hAnsi="Times New Roman"/>
                <w:sz w:val="18"/>
              </w:rPr>
              <w:t>Београд</w:t>
            </w:r>
            <w:r>
              <w:rPr>
                <w:rFonts w:ascii="Times New Roman" w:hAnsi="Times New Roman"/>
                <w:sz w:val="18"/>
              </w:rPr>
              <w:t>-</w:t>
            </w:r>
            <w:r>
              <w:rPr>
                <w:rFonts w:ascii="Times New Roman" w:hAnsi="Times New Roman"/>
                <w:sz w:val="18"/>
              </w:rPr>
              <w:t>Ниш</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07" w:right="107"/>
              <w:jc w:val="center"/>
              <w:rPr>
                <w:rFonts w:ascii="Times New Roman" w:hAnsi="Times New Roman" w:cs="Times New Roman" w:eastAsia="Times New Roman" w:hint="default"/>
                <w:sz w:val="18"/>
                <w:szCs w:val="18"/>
              </w:rPr>
            </w:pPr>
            <w:r>
              <w:rPr>
                <w:rFonts w:ascii="Times New Roman"/>
                <w:sz w:val="18"/>
              </w:rPr>
              <w:t>08.14</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29" w:right="130"/>
              <w:jc w:val="center"/>
              <w:rPr>
                <w:rFonts w:ascii="Times New Roman" w:hAnsi="Times New Roman" w:cs="Times New Roman" w:eastAsia="Times New Roman" w:hint="default"/>
                <w:sz w:val="18"/>
                <w:szCs w:val="18"/>
              </w:rPr>
            </w:pPr>
            <w:r>
              <w:rPr>
                <w:rFonts w:ascii="Times New Roman"/>
                <w:sz w:val="18"/>
              </w:rPr>
              <w:t>16.36</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31" w:right="131"/>
              <w:jc w:val="center"/>
              <w:rPr>
                <w:rFonts w:ascii="Times New Roman" w:hAnsi="Times New Roman" w:cs="Times New Roman" w:eastAsia="Times New Roman" w:hint="default"/>
                <w:sz w:val="18"/>
                <w:szCs w:val="18"/>
              </w:rPr>
            </w:pPr>
            <w:r>
              <w:rPr>
                <w:rFonts w:ascii="Times New Roman"/>
                <w:sz w:val="18"/>
              </w:rPr>
              <w:t>08.22</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03" w:right="203"/>
              <w:jc w:val="center"/>
              <w:rPr>
                <w:rFonts w:ascii="Times New Roman" w:hAnsi="Times New Roman" w:cs="Times New Roman" w:eastAsia="Times New Roman" w:hint="default"/>
                <w:sz w:val="18"/>
                <w:szCs w:val="18"/>
              </w:rPr>
            </w:pPr>
            <w:r>
              <w:rPr>
                <w:rFonts w:ascii="Times New Roman"/>
                <w:sz w:val="18"/>
              </w:rPr>
              <w:t>09.22</w:t>
            </w:r>
          </w:p>
        </w:tc>
        <w:tc>
          <w:tcPr>
            <w:tcW w:w="679"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1" w:right="22"/>
              <w:jc w:val="center"/>
              <w:rPr>
                <w:rFonts w:ascii="Times New Roman" w:hAnsi="Times New Roman" w:cs="Times New Roman" w:eastAsia="Times New Roman" w:hint="default"/>
                <w:sz w:val="18"/>
                <w:szCs w:val="18"/>
              </w:rPr>
            </w:pPr>
            <w:r>
              <w:rPr>
                <w:rFonts w:ascii="Times New Roman"/>
                <w:sz w:val="18"/>
              </w:rPr>
              <w:t>07.00</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61" w:right="61"/>
              <w:jc w:val="center"/>
              <w:rPr>
                <w:rFonts w:ascii="Times New Roman" w:hAnsi="Times New Roman" w:cs="Times New Roman" w:eastAsia="Times New Roman" w:hint="default"/>
                <w:sz w:val="18"/>
                <w:szCs w:val="18"/>
              </w:rPr>
            </w:pPr>
            <w:r>
              <w:rPr>
                <w:rFonts w:ascii="Times New Roman"/>
                <w:sz w:val="18"/>
              </w:rPr>
              <w:t>20.00</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357" w:right="205"/>
              <w:jc w:val="left"/>
              <w:rPr>
                <w:rFonts w:ascii="Times New Roman" w:hAnsi="Times New Roman" w:cs="Times New Roman" w:eastAsia="Times New Roman" w:hint="default"/>
                <w:sz w:val="18"/>
                <w:szCs w:val="18"/>
              </w:rPr>
            </w:pPr>
            <w:r>
              <w:rPr>
                <w:rFonts w:ascii="Times New Roman"/>
                <w:sz w:val="18"/>
              </w:rPr>
              <w:t>13.00</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right="23"/>
              <w:jc w:val="right"/>
              <w:rPr>
                <w:rFonts w:ascii="Times New Roman" w:hAnsi="Times New Roman" w:cs="Times New Roman" w:eastAsia="Times New Roman" w:hint="default"/>
                <w:sz w:val="18"/>
                <w:szCs w:val="18"/>
              </w:rPr>
            </w:pPr>
            <w:r>
              <w:rPr>
                <w:rFonts w:ascii="Times New Roman" w:hAnsi="Times New Roman"/>
                <w:spacing w:val="-1"/>
                <w:sz w:val="18"/>
              </w:rPr>
              <w:t>пуна</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right="21"/>
              <w:jc w:val="right"/>
              <w:rPr>
                <w:rFonts w:ascii="Times New Roman" w:hAnsi="Times New Roman" w:cs="Times New Roman" w:eastAsia="Times New Roman" w:hint="default"/>
                <w:sz w:val="18"/>
                <w:szCs w:val="18"/>
              </w:rPr>
            </w:pPr>
            <w:r>
              <w:rPr>
                <w:rFonts w:ascii="Times New Roman" w:hAnsi="Times New Roman"/>
                <w:spacing w:val="-1"/>
                <w:sz w:val="18"/>
              </w:rPr>
              <w:t>пола</w:t>
            </w:r>
          </w:p>
        </w:tc>
      </w:tr>
      <w:tr>
        <w:trPr>
          <w:trHeight w:val="300" w:hRule="exact"/>
        </w:trPr>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1" w:right="0"/>
              <w:jc w:val="left"/>
              <w:rPr>
                <w:rFonts w:ascii="Times New Roman" w:hAnsi="Times New Roman" w:cs="Times New Roman" w:eastAsia="Times New Roman" w:hint="default"/>
                <w:sz w:val="18"/>
                <w:szCs w:val="18"/>
              </w:rPr>
            </w:pPr>
            <w:r>
              <w:rPr>
                <w:rFonts w:ascii="Times New Roman"/>
                <w:sz w:val="18"/>
              </w:rPr>
              <w:t>25.01.2014</w:t>
            </w:r>
          </w:p>
        </w:tc>
        <w:tc>
          <w:tcPr>
            <w:tcW w:w="1589"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0" w:right="81"/>
              <w:jc w:val="center"/>
              <w:rPr>
                <w:rFonts w:ascii="Times New Roman" w:hAnsi="Times New Roman" w:cs="Times New Roman" w:eastAsia="Times New Roman" w:hint="default"/>
                <w:sz w:val="18"/>
                <w:szCs w:val="18"/>
              </w:rPr>
            </w:pPr>
            <w:r>
              <w:rPr>
                <w:rFonts w:ascii="Times New Roman" w:hAnsi="Times New Roman"/>
                <w:sz w:val="18"/>
              </w:rPr>
              <w:t>Ниш</w:t>
            </w:r>
            <w:r>
              <w:rPr>
                <w:rFonts w:ascii="Times New Roman" w:hAnsi="Times New Roman"/>
                <w:sz w:val="18"/>
              </w:rPr>
              <w:t>-</w:t>
            </w:r>
            <w:r>
              <w:rPr>
                <w:rFonts w:ascii="Times New Roman" w:hAnsi="Times New Roman"/>
                <w:sz w:val="18"/>
              </w:rPr>
              <w:t>Београд</w:t>
            </w:r>
            <w:r>
              <w:rPr>
                <w:rFonts w:ascii="Times New Roman" w:hAnsi="Times New Roman"/>
                <w:sz w:val="18"/>
              </w:rPr>
              <w:t>-</w:t>
            </w:r>
            <w:r>
              <w:rPr>
                <w:rFonts w:ascii="Times New Roman" w:hAnsi="Times New Roman"/>
                <w:sz w:val="18"/>
              </w:rPr>
              <w:t>Ниш</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07" w:right="107"/>
              <w:jc w:val="center"/>
              <w:rPr>
                <w:rFonts w:ascii="Times New Roman" w:hAnsi="Times New Roman" w:cs="Times New Roman" w:eastAsia="Times New Roman" w:hint="default"/>
                <w:sz w:val="18"/>
                <w:szCs w:val="18"/>
              </w:rPr>
            </w:pPr>
            <w:r>
              <w:rPr>
                <w:rFonts w:ascii="Times New Roman"/>
                <w:sz w:val="18"/>
              </w:rPr>
              <w:t>06.50</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29" w:right="130"/>
              <w:jc w:val="center"/>
              <w:rPr>
                <w:rFonts w:ascii="Times New Roman" w:hAnsi="Times New Roman" w:cs="Times New Roman" w:eastAsia="Times New Roman" w:hint="default"/>
                <w:sz w:val="18"/>
                <w:szCs w:val="18"/>
              </w:rPr>
            </w:pPr>
            <w:r>
              <w:rPr>
                <w:rFonts w:ascii="Times New Roman"/>
                <w:sz w:val="18"/>
              </w:rPr>
              <w:t>19.13</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31" w:right="131"/>
              <w:jc w:val="center"/>
              <w:rPr>
                <w:rFonts w:ascii="Times New Roman" w:hAnsi="Times New Roman" w:cs="Times New Roman" w:eastAsia="Times New Roman" w:hint="default"/>
                <w:sz w:val="18"/>
                <w:szCs w:val="18"/>
              </w:rPr>
            </w:pPr>
            <w:r>
              <w:rPr>
                <w:rFonts w:ascii="Times New Roman"/>
                <w:sz w:val="18"/>
              </w:rPr>
              <w:t>10.23</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03" w:right="203"/>
              <w:jc w:val="center"/>
              <w:rPr>
                <w:rFonts w:ascii="Times New Roman" w:hAnsi="Times New Roman" w:cs="Times New Roman" w:eastAsia="Times New Roman" w:hint="default"/>
                <w:sz w:val="18"/>
                <w:szCs w:val="18"/>
              </w:rPr>
            </w:pPr>
            <w:r>
              <w:rPr>
                <w:rFonts w:ascii="Times New Roman"/>
                <w:sz w:val="18"/>
              </w:rPr>
              <w:t>11.23</w:t>
            </w:r>
          </w:p>
        </w:tc>
        <w:tc>
          <w:tcPr>
            <w:tcW w:w="679"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1" w:right="22"/>
              <w:jc w:val="center"/>
              <w:rPr>
                <w:rFonts w:ascii="Times New Roman" w:hAnsi="Times New Roman" w:cs="Times New Roman" w:eastAsia="Times New Roman" w:hint="default"/>
                <w:sz w:val="18"/>
                <w:szCs w:val="18"/>
              </w:rPr>
            </w:pPr>
            <w:r>
              <w:rPr>
                <w:rFonts w:ascii="Times New Roman"/>
                <w:sz w:val="18"/>
              </w:rPr>
              <w:t>06.00</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61" w:right="61"/>
              <w:jc w:val="center"/>
              <w:rPr>
                <w:rFonts w:ascii="Times New Roman" w:hAnsi="Times New Roman" w:cs="Times New Roman" w:eastAsia="Times New Roman" w:hint="default"/>
                <w:sz w:val="18"/>
                <w:szCs w:val="18"/>
              </w:rPr>
            </w:pPr>
            <w:r>
              <w:rPr>
                <w:rFonts w:ascii="Times New Roman"/>
                <w:sz w:val="18"/>
              </w:rPr>
              <w:t>21.00</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357" w:right="205"/>
              <w:jc w:val="left"/>
              <w:rPr>
                <w:rFonts w:ascii="Times New Roman" w:hAnsi="Times New Roman" w:cs="Times New Roman" w:eastAsia="Times New Roman" w:hint="default"/>
                <w:sz w:val="18"/>
                <w:szCs w:val="18"/>
              </w:rPr>
            </w:pPr>
            <w:r>
              <w:rPr>
                <w:rFonts w:ascii="Times New Roman"/>
                <w:sz w:val="18"/>
              </w:rPr>
              <w:t>15.00</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right="23"/>
              <w:jc w:val="right"/>
              <w:rPr>
                <w:rFonts w:ascii="Times New Roman" w:hAnsi="Times New Roman" w:cs="Times New Roman" w:eastAsia="Times New Roman" w:hint="default"/>
                <w:sz w:val="18"/>
                <w:szCs w:val="18"/>
              </w:rPr>
            </w:pPr>
            <w:r>
              <w:rPr>
                <w:rFonts w:ascii="Times New Roman" w:hAnsi="Times New Roman"/>
                <w:spacing w:val="-1"/>
                <w:sz w:val="18"/>
              </w:rPr>
              <w:t>пуна</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right="21"/>
              <w:jc w:val="right"/>
              <w:rPr>
                <w:rFonts w:ascii="Times New Roman" w:hAnsi="Times New Roman" w:cs="Times New Roman" w:eastAsia="Times New Roman" w:hint="default"/>
                <w:sz w:val="18"/>
                <w:szCs w:val="18"/>
              </w:rPr>
            </w:pPr>
            <w:r>
              <w:rPr>
                <w:rFonts w:ascii="Times New Roman" w:hAnsi="Times New Roman"/>
                <w:spacing w:val="-1"/>
                <w:sz w:val="18"/>
              </w:rPr>
              <w:t>пола</w:t>
            </w:r>
          </w:p>
        </w:tc>
      </w:tr>
      <w:tr>
        <w:trPr>
          <w:trHeight w:val="300" w:hRule="exact"/>
        </w:trPr>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1" w:right="0"/>
              <w:jc w:val="left"/>
              <w:rPr>
                <w:rFonts w:ascii="Times New Roman" w:hAnsi="Times New Roman" w:cs="Times New Roman" w:eastAsia="Times New Roman" w:hint="default"/>
                <w:sz w:val="18"/>
                <w:szCs w:val="18"/>
              </w:rPr>
            </w:pPr>
            <w:r>
              <w:rPr>
                <w:rFonts w:ascii="Times New Roman"/>
                <w:sz w:val="18"/>
              </w:rPr>
              <w:t>26.01.2014</w:t>
            </w:r>
          </w:p>
        </w:tc>
        <w:tc>
          <w:tcPr>
            <w:tcW w:w="1589"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0" w:right="81"/>
              <w:jc w:val="center"/>
              <w:rPr>
                <w:rFonts w:ascii="Times New Roman" w:hAnsi="Times New Roman" w:cs="Times New Roman" w:eastAsia="Times New Roman" w:hint="default"/>
                <w:sz w:val="18"/>
                <w:szCs w:val="18"/>
              </w:rPr>
            </w:pPr>
            <w:r>
              <w:rPr>
                <w:rFonts w:ascii="Times New Roman" w:hAnsi="Times New Roman"/>
                <w:sz w:val="18"/>
              </w:rPr>
              <w:t>Ниш</w:t>
            </w:r>
            <w:r>
              <w:rPr>
                <w:rFonts w:ascii="Times New Roman" w:hAnsi="Times New Roman"/>
                <w:sz w:val="18"/>
              </w:rPr>
              <w:t>-</w:t>
            </w:r>
            <w:r>
              <w:rPr>
                <w:rFonts w:ascii="Times New Roman" w:hAnsi="Times New Roman"/>
                <w:sz w:val="18"/>
              </w:rPr>
              <w:t>Београд</w:t>
            </w:r>
            <w:r>
              <w:rPr>
                <w:rFonts w:ascii="Times New Roman" w:hAnsi="Times New Roman"/>
                <w:sz w:val="18"/>
              </w:rPr>
              <w:t>-</w:t>
            </w:r>
            <w:r>
              <w:rPr>
                <w:rFonts w:ascii="Times New Roman" w:hAnsi="Times New Roman"/>
                <w:sz w:val="18"/>
              </w:rPr>
              <w:t>Ниш</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07" w:right="107"/>
              <w:jc w:val="center"/>
              <w:rPr>
                <w:rFonts w:ascii="Times New Roman" w:hAnsi="Times New Roman" w:cs="Times New Roman" w:eastAsia="Times New Roman" w:hint="default"/>
                <w:sz w:val="18"/>
                <w:szCs w:val="18"/>
              </w:rPr>
            </w:pPr>
            <w:r>
              <w:rPr>
                <w:rFonts w:ascii="Times New Roman"/>
                <w:sz w:val="18"/>
              </w:rPr>
              <w:t>07.34</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29" w:right="130"/>
              <w:jc w:val="center"/>
              <w:rPr>
                <w:rFonts w:ascii="Times New Roman" w:hAnsi="Times New Roman" w:cs="Times New Roman" w:eastAsia="Times New Roman" w:hint="default"/>
                <w:sz w:val="18"/>
                <w:szCs w:val="18"/>
              </w:rPr>
            </w:pPr>
            <w:r>
              <w:rPr>
                <w:rFonts w:ascii="Times New Roman"/>
                <w:sz w:val="18"/>
              </w:rPr>
              <w:t>14.54</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31" w:right="131"/>
              <w:jc w:val="center"/>
              <w:rPr>
                <w:rFonts w:ascii="Times New Roman" w:hAnsi="Times New Roman" w:cs="Times New Roman" w:eastAsia="Times New Roman" w:hint="default"/>
                <w:sz w:val="18"/>
                <w:szCs w:val="18"/>
              </w:rPr>
            </w:pPr>
            <w:r>
              <w:rPr>
                <w:rFonts w:ascii="Times New Roman"/>
                <w:sz w:val="18"/>
              </w:rPr>
              <w:t>07.20</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03" w:right="203"/>
              <w:jc w:val="center"/>
              <w:rPr>
                <w:rFonts w:ascii="Times New Roman" w:hAnsi="Times New Roman" w:cs="Times New Roman" w:eastAsia="Times New Roman" w:hint="default"/>
                <w:sz w:val="18"/>
                <w:szCs w:val="18"/>
              </w:rPr>
            </w:pPr>
            <w:r>
              <w:rPr>
                <w:rFonts w:ascii="Times New Roman"/>
                <w:sz w:val="18"/>
              </w:rPr>
              <w:t>08.20</w:t>
            </w:r>
          </w:p>
        </w:tc>
        <w:tc>
          <w:tcPr>
            <w:tcW w:w="679"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1" w:right="22"/>
              <w:jc w:val="center"/>
              <w:rPr>
                <w:rFonts w:ascii="Times New Roman" w:hAnsi="Times New Roman" w:cs="Times New Roman" w:eastAsia="Times New Roman" w:hint="default"/>
                <w:sz w:val="18"/>
                <w:szCs w:val="18"/>
              </w:rPr>
            </w:pPr>
            <w:r>
              <w:rPr>
                <w:rFonts w:ascii="Times New Roman"/>
                <w:sz w:val="18"/>
              </w:rPr>
              <w:t>07.00</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61" w:right="61"/>
              <w:jc w:val="center"/>
              <w:rPr>
                <w:rFonts w:ascii="Times New Roman" w:hAnsi="Times New Roman" w:cs="Times New Roman" w:eastAsia="Times New Roman" w:hint="default"/>
                <w:sz w:val="18"/>
                <w:szCs w:val="18"/>
              </w:rPr>
            </w:pPr>
            <w:r>
              <w:rPr>
                <w:rFonts w:ascii="Times New Roman"/>
                <w:sz w:val="18"/>
              </w:rPr>
              <w:t>20.00</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357" w:right="205"/>
              <w:jc w:val="left"/>
              <w:rPr>
                <w:rFonts w:ascii="Times New Roman" w:hAnsi="Times New Roman" w:cs="Times New Roman" w:eastAsia="Times New Roman" w:hint="default"/>
                <w:sz w:val="18"/>
                <w:szCs w:val="18"/>
              </w:rPr>
            </w:pPr>
            <w:r>
              <w:rPr>
                <w:rFonts w:ascii="Times New Roman"/>
                <w:sz w:val="18"/>
              </w:rPr>
              <w:t>13.00</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right="23"/>
              <w:jc w:val="right"/>
              <w:rPr>
                <w:rFonts w:ascii="Times New Roman" w:hAnsi="Times New Roman" w:cs="Times New Roman" w:eastAsia="Times New Roman" w:hint="default"/>
                <w:sz w:val="18"/>
                <w:szCs w:val="18"/>
              </w:rPr>
            </w:pPr>
            <w:r>
              <w:rPr>
                <w:rFonts w:ascii="Times New Roman" w:hAnsi="Times New Roman"/>
                <w:spacing w:val="-1"/>
                <w:sz w:val="18"/>
              </w:rPr>
              <w:t>пуна</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right="21"/>
              <w:jc w:val="right"/>
              <w:rPr>
                <w:rFonts w:ascii="Times New Roman" w:hAnsi="Times New Roman" w:cs="Times New Roman" w:eastAsia="Times New Roman" w:hint="default"/>
                <w:sz w:val="18"/>
                <w:szCs w:val="18"/>
              </w:rPr>
            </w:pPr>
            <w:r>
              <w:rPr>
                <w:rFonts w:ascii="Times New Roman" w:hAnsi="Times New Roman"/>
                <w:spacing w:val="-1"/>
                <w:sz w:val="18"/>
              </w:rPr>
              <w:t>пола</w:t>
            </w:r>
          </w:p>
        </w:tc>
      </w:tr>
      <w:tr>
        <w:trPr>
          <w:trHeight w:val="300" w:hRule="exact"/>
        </w:trPr>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1" w:right="0"/>
              <w:jc w:val="left"/>
              <w:rPr>
                <w:rFonts w:ascii="Times New Roman" w:hAnsi="Times New Roman" w:cs="Times New Roman" w:eastAsia="Times New Roman" w:hint="default"/>
                <w:sz w:val="18"/>
                <w:szCs w:val="18"/>
              </w:rPr>
            </w:pPr>
            <w:r>
              <w:rPr>
                <w:rFonts w:ascii="Times New Roman"/>
                <w:sz w:val="18"/>
              </w:rPr>
              <w:t>24.07.2014</w:t>
            </w:r>
          </w:p>
        </w:tc>
        <w:tc>
          <w:tcPr>
            <w:tcW w:w="1589"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0" w:right="81"/>
              <w:jc w:val="center"/>
              <w:rPr>
                <w:rFonts w:ascii="Times New Roman" w:hAnsi="Times New Roman" w:cs="Times New Roman" w:eastAsia="Times New Roman" w:hint="default"/>
                <w:sz w:val="18"/>
                <w:szCs w:val="18"/>
              </w:rPr>
            </w:pPr>
            <w:r>
              <w:rPr>
                <w:rFonts w:ascii="Times New Roman" w:hAnsi="Times New Roman"/>
                <w:sz w:val="18"/>
              </w:rPr>
              <w:t>Ниш</w:t>
            </w:r>
            <w:r>
              <w:rPr>
                <w:rFonts w:ascii="Times New Roman" w:hAnsi="Times New Roman"/>
                <w:sz w:val="18"/>
              </w:rPr>
              <w:t>-</w:t>
            </w:r>
            <w:r>
              <w:rPr>
                <w:rFonts w:ascii="Times New Roman" w:hAnsi="Times New Roman"/>
                <w:sz w:val="18"/>
              </w:rPr>
              <w:t>Београд</w:t>
            </w:r>
            <w:r>
              <w:rPr>
                <w:rFonts w:ascii="Times New Roman" w:hAnsi="Times New Roman"/>
                <w:sz w:val="18"/>
              </w:rPr>
              <w:t>-</w:t>
            </w:r>
            <w:r>
              <w:rPr>
                <w:rFonts w:ascii="Times New Roman" w:hAnsi="Times New Roman"/>
                <w:sz w:val="18"/>
              </w:rPr>
              <w:t>Ниш</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07" w:right="107"/>
              <w:jc w:val="center"/>
              <w:rPr>
                <w:rFonts w:ascii="Times New Roman" w:hAnsi="Times New Roman" w:cs="Times New Roman" w:eastAsia="Times New Roman" w:hint="default"/>
                <w:sz w:val="18"/>
                <w:szCs w:val="18"/>
              </w:rPr>
            </w:pPr>
            <w:r>
              <w:rPr>
                <w:rFonts w:ascii="Times New Roman"/>
                <w:sz w:val="18"/>
              </w:rPr>
              <w:t>07.30</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29" w:right="130"/>
              <w:jc w:val="center"/>
              <w:rPr>
                <w:rFonts w:ascii="Times New Roman" w:hAnsi="Times New Roman" w:cs="Times New Roman" w:eastAsia="Times New Roman" w:hint="default"/>
                <w:sz w:val="18"/>
                <w:szCs w:val="18"/>
              </w:rPr>
            </w:pPr>
            <w:r>
              <w:rPr>
                <w:rFonts w:ascii="Times New Roman"/>
                <w:sz w:val="18"/>
              </w:rPr>
              <w:t>16.33</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31" w:right="131"/>
              <w:jc w:val="center"/>
              <w:rPr>
                <w:rFonts w:ascii="Times New Roman" w:hAnsi="Times New Roman" w:cs="Times New Roman" w:eastAsia="Times New Roman" w:hint="default"/>
                <w:sz w:val="18"/>
                <w:szCs w:val="18"/>
              </w:rPr>
            </w:pPr>
            <w:r>
              <w:rPr>
                <w:rFonts w:ascii="Times New Roman"/>
                <w:sz w:val="18"/>
              </w:rPr>
              <w:t>09.03</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03" w:right="203"/>
              <w:jc w:val="center"/>
              <w:rPr>
                <w:rFonts w:ascii="Times New Roman" w:hAnsi="Times New Roman" w:cs="Times New Roman" w:eastAsia="Times New Roman" w:hint="default"/>
                <w:sz w:val="18"/>
                <w:szCs w:val="18"/>
              </w:rPr>
            </w:pPr>
            <w:r>
              <w:rPr>
                <w:rFonts w:ascii="Times New Roman"/>
                <w:sz w:val="18"/>
              </w:rPr>
              <w:t>10.03</w:t>
            </w:r>
          </w:p>
        </w:tc>
        <w:tc>
          <w:tcPr>
            <w:tcW w:w="679"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1" w:right="22"/>
              <w:jc w:val="center"/>
              <w:rPr>
                <w:rFonts w:ascii="Times New Roman" w:hAnsi="Times New Roman" w:cs="Times New Roman" w:eastAsia="Times New Roman" w:hint="default"/>
                <w:sz w:val="18"/>
                <w:szCs w:val="18"/>
              </w:rPr>
            </w:pPr>
            <w:r>
              <w:rPr>
                <w:rFonts w:ascii="Times New Roman"/>
                <w:sz w:val="18"/>
              </w:rPr>
              <w:t>07.00</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61" w:right="61"/>
              <w:jc w:val="center"/>
              <w:rPr>
                <w:rFonts w:ascii="Times New Roman" w:hAnsi="Times New Roman" w:cs="Times New Roman" w:eastAsia="Times New Roman" w:hint="default"/>
                <w:sz w:val="18"/>
                <w:szCs w:val="18"/>
              </w:rPr>
            </w:pPr>
            <w:r>
              <w:rPr>
                <w:rFonts w:ascii="Times New Roman"/>
                <w:sz w:val="18"/>
              </w:rPr>
              <w:t>20.00</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357" w:right="205"/>
              <w:jc w:val="left"/>
              <w:rPr>
                <w:rFonts w:ascii="Times New Roman" w:hAnsi="Times New Roman" w:cs="Times New Roman" w:eastAsia="Times New Roman" w:hint="default"/>
                <w:sz w:val="18"/>
                <w:szCs w:val="18"/>
              </w:rPr>
            </w:pPr>
            <w:r>
              <w:rPr>
                <w:rFonts w:ascii="Times New Roman"/>
                <w:sz w:val="18"/>
              </w:rPr>
              <w:t>13.00</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right="23"/>
              <w:jc w:val="right"/>
              <w:rPr>
                <w:rFonts w:ascii="Times New Roman" w:hAnsi="Times New Roman" w:cs="Times New Roman" w:eastAsia="Times New Roman" w:hint="default"/>
                <w:sz w:val="18"/>
                <w:szCs w:val="18"/>
              </w:rPr>
            </w:pPr>
            <w:r>
              <w:rPr>
                <w:rFonts w:ascii="Times New Roman" w:hAnsi="Times New Roman"/>
                <w:spacing w:val="-1"/>
                <w:sz w:val="18"/>
              </w:rPr>
              <w:t>пуна</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right="21"/>
              <w:jc w:val="right"/>
              <w:rPr>
                <w:rFonts w:ascii="Times New Roman" w:hAnsi="Times New Roman" w:cs="Times New Roman" w:eastAsia="Times New Roman" w:hint="default"/>
                <w:sz w:val="18"/>
                <w:szCs w:val="18"/>
              </w:rPr>
            </w:pPr>
            <w:r>
              <w:rPr>
                <w:rFonts w:ascii="Times New Roman" w:hAnsi="Times New Roman"/>
                <w:spacing w:val="-1"/>
                <w:sz w:val="18"/>
              </w:rPr>
              <w:t>пола</w:t>
            </w:r>
          </w:p>
        </w:tc>
      </w:tr>
      <w:tr>
        <w:trPr>
          <w:trHeight w:val="300" w:hRule="exact"/>
        </w:trPr>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1" w:right="0"/>
              <w:jc w:val="left"/>
              <w:rPr>
                <w:rFonts w:ascii="Times New Roman" w:hAnsi="Times New Roman" w:cs="Times New Roman" w:eastAsia="Times New Roman" w:hint="default"/>
                <w:sz w:val="18"/>
                <w:szCs w:val="18"/>
              </w:rPr>
            </w:pPr>
            <w:r>
              <w:rPr>
                <w:rFonts w:ascii="Times New Roman"/>
                <w:sz w:val="18"/>
              </w:rPr>
              <w:t>03.10.2014</w:t>
            </w:r>
          </w:p>
        </w:tc>
        <w:tc>
          <w:tcPr>
            <w:tcW w:w="1589"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0" w:right="81"/>
              <w:jc w:val="center"/>
              <w:rPr>
                <w:rFonts w:ascii="Times New Roman" w:hAnsi="Times New Roman" w:cs="Times New Roman" w:eastAsia="Times New Roman" w:hint="default"/>
                <w:sz w:val="18"/>
                <w:szCs w:val="18"/>
              </w:rPr>
            </w:pPr>
            <w:r>
              <w:rPr>
                <w:rFonts w:ascii="Times New Roman" w:hAnsi="Times New Roman"/>
                <w:sz w:val="18"/>
              </w:rPr>
              <w:t>Ниш</w:t>
            </w:r>
            <w:r>
              <w:rPr>
                <w:rFonts w:ascii="Times New Roman" w:hAnsi="Times New Roman"/>
                <w:sz w:val="18"/>
              </w:rPr>
              <w:t>-</w:t>
            </w:r>
            <w:r>
              <w:rPr>
                <w:rFonts w:ascii="Times New Roman" w:hAnsi="Times New Roman"/>
                <w:sz w:val="18"/>
              </w:rPr>
              <w:t>Београд</w:t>
            </w:r>
            <w:r>
              <w:rPr>
                <w:rFonts w:ascii="Times New Roman" w:hAnsi="Times New Roman"/>
                <w:sz w:val="18"/>
              </w:rPr>
              <w:t>-</w:t>
            </w:r>
            <w:r>
              <w:rPr>
                <w:rFonts w:ascii="Times New Roman" w:hAnsi="Times New Roman"/>
                <w:sz w:val="18"/>
              </w:rPr>
              <w:t>Ниш</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07" w:right="107"/>
              <w:jc w:val="center"/>
              <w:rPr>
                <w:rFonts w:ascii="Times New Roman" w:hAnsi="Times New Roman" w:cs="Times New Roman" w:eastAsia="Times New Roman" w:hint="default"/>
                <w:sz w:val="18"/>
                <w:szCs w:val="18"/>
              </w:rPr>
            </w:pPr>
            <w:r>
              <w:rPr>
                <w:rFonts w:ascii="Times New Roman"/>
                <w:sz w:val="18"/>
              </w:rPr>
              <w:t>09.32</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29" w:right="130"/>
              <w:jc w:val="center"/>
              <w:rPr>
                <w:rFonts w:ascii="Times New Roman" w:hAnsi="Times New Roman" w:cs="Times New Roman" w:eastAsia="Times New Roman" w:hint="default"/>
                <w:sz w:val="18"/>
                <w:szCs w:val="18"/>
              </w:rPr>
            </w:pPr>
            <w:r>
              <w:rPr>
                <w:rFonts w:ascii="Times New Roman"/>
                <w:sz w:val="18"/>
              </w:rPr>
              <w:t>14.49</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31" w:right="131"/>
              <w:jc w:val="center"/>
              <w:rPr>
                <w:rFonts w:ascii="Times New Roman" w:hAnsi="Times New Roman" w:cs="Times New Roman" w:eastAsia="Times New Roman" w:hint="default"/>
                <w:sz w:val="18"/>
                <w:szCs w:val="18"/>
              </w:rPr>
            </w:pPr>
            <w:r>
              <w:rPr>
                <w:rFonts w:ascii="Times New Roman"/>
                <w:sz w:val="18"/>
              </w:rPr>
              <w:t>05.17</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03" w:right="203"/>
              <w:jc w:val="center"/>
              <w:rPr>
                <w:rFonts w:ascii="Times New Roman" w:hAnsi="Times New Roman" w:cs="Times New Roman" w:eastAsia="Times New Roman" w:hint="default"/>
                <w:sz w:val="18"/>
                <w:szCs w:val="18"/>
              </w:rPr>
            </w:pPr>
            <w:r>
              <w:rPr>
                <w:rFonts w:ascii="Times New Roman"/>
                <w:sz w:val="18"/>
              </w:rPr>
              <w:t>06.17</w:t>
            </w:r>
          </w:p>
        </w:tc>
        <w:tc>
          <w:tcPr>
            <w:tcW w:w="679"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1" w:right="22"/>
              <w:jc w:val="center"/>
              <w:rPr>
                <w:rFonts w:ascii="Times New Roman" w:hAnsi="Times New Roman" w:cs="Times New Roman" w:eastAsia="Times New Roman" w:hint="default"/>
                <w:sz w:val="18"/>
                <w:szCs w:val="18"/>
              </w:rPr>
            </w:pPr>
            <w:r>
              <w:rPr>
                <w:rFonts w:ascii="Times New Roman"/>
                <w:sz w:val="18"/>
              </w:rPr>
              <w:t>07.30</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61" w:right="61"/>
              <w:jc w:val="center"/>
              <w:rPr>
                <w:rFonts w:ascii="Times New Roman" w:hAnsi="Times New Roman" w:cs="Times New Roman" w:eastAsia="Times New Roman" w:hint="default"/>
                <w:sz w:val="18"/>
                <w:szCs w:val="18"/>
              </w:rPr>
            </w:pPr>
            <w:r>
              <w:rPr>
                <w:rFonts w:ascii="Times New Roman"/>
                <w:sz w:val="18"/>
              </w:rPr>
              <w:t>20.00</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357" w:right="205"/>
              <w:jc w:val="left"/>
              <w:rPr>
                <w:rFonts w:ascii="Times New Roman" w:hAnsi="Times New Roman" w:cs="Times New Roman" w:eastAsia="Times New Roman" w:hint="default"/>
                <w:sz w:val="18"/>
                <w:szCs w:val="18"/>
              </w:rPr>
            </w:pPr>
            <w:r>
              <w:rPr>
                <w:rFonts w:ascii="Times New Roman"/>
                <w:sz w:val="18"/>
              </w:rPr>
              <w:t>12.30</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right="23"/>
              <w:jc w:val="right"/>
              <w:rPr>
                <w:rFonts w:ascii="Times New Roman" w:hAnsi="Times New Roman" w:cs="Times New Roman" w:eastAsia="Times New Roman" w:hint="default"/>
                <w:sz w:val="18"/>
                <w:szCs w:val="18"/>
              </w:rPr>
            </w:pPr>
            <w:r>
              <w:rPr>
                <w:rFonts w:ascii="Times New Roman" w:hAnsi="Times New Roman"/>
                <w:spacing w:val="-1"/>
                <w:sz w:val="18"/>
              </w:rPr>
              <w:t>пуна</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right="23"/>
              <w:jc w:val="right"/>
              <w:rPr>
                <w:rFonts w:ascii="Times New Roman" w:hAnsi="Times New Roman" w:cs="Times New Roman" w:eastAsia="Times New Roman" w:hint="default"/>
                <w:sz w:val="18"/>
                <w:szCs w:val="18"/>
              </w:rPr>
            </w:pPr>
            <w:r>
              <w:rPr>
                <w:rFonts w:ascii="Times New Roman"/>
                <w:sz w:val="18"/>
              </w:rPr>
              <w:t>0</w:t>
            </w:r>
          </w:p>
        </w:tc>
      </w:tr>
      <w:tr>
        <w:trPr>
          <w:trHeight w:val="301" w:hRule="exact"/>
        </w:trPr>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1" w:right="0"/>
              <w:jc w:val="left"/>
              <w:rPr>
                <w:rFonts w:ascii="Times New Roman" w:hAnsi="Times New Roman" w:cs="Times New Roman" w:eastAsia="Times New Roman" w:hint="default"/>
                <w:sz w:val="18"/>
                <w:szCs w:val="18"/>
              </w:rPr>
            </w:pPr>
            <w:r>
              <w:rPr>
                <w:rFonts w:ascii="Times New Roman"/>
                <w:sz w:val="18"/>
              </w:rPr>
              <w:t>13.10.2014</w:t>
            </w:r>
          </w:p>
        </w:tc>
        <w:tc>
          <w:tcPr>
            <w:tcW w:w="1589"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0" w:right="81"/>
              <w:jc w:val="center"/>
              <w:rPr>
                <w:rFonts w:ascii="Times New Roman" w:hAnsi="Times New Roman" w:cs="Times New Roman" w:eastAsia="Times New Roman" w:hint="default"/>
                <w:sz w:val="18"/>
                <w:szCs w:val="18"/>
              </w:rPr>
            </w:pPr>
            <w:r>
              <w:rPr>
                <w:rFonts w:ascii="Times New Roman" w:hAnsi="Times New Roman"/>
                <w:sz w:val="18"/>
              </w:rPr>
              <w:t>Ниш</w:t>
            </w:r>
            <w:r>
              <w:rPr>
                <w:rFonts w:ascii="Times New Roman" w:hAnsi="Times New Roman"/>
                <w:sz w:val="18"/>
              </w:rPr>
              <w:t>-</w:t>
            </w:r>
            <w:r>
              <w:rPr>
                <w:rFonts w:ascii="Times New Roman" w:hAnsi="Times New Roman"/>
                <w:sz w:val="18"/>
              </w:rPr>
              <w:t>Београд</w:t>
            </w:r>
            <w:r>
              <w:rPr>
                <w:rFonts w:ascii="Times New Roman" w:hAnsi="Times New Roman"/>
                <w:sz w:val="18"/>
              </w:rPr>
              <w:t>-</w:t>
            </w:r>
            <w:r>
              <w:rPr>
                <w:rFonts w:ascii="Times New Roman" w:hAnsi="Times New Roman"/>
                <w:sz w:val="18"/>
              </w:rPr>
              <w:t>Ниш</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07" w:right="107"/>
              <w:jc w:val="center"/>
              <w:rPr>
                <w:rFonts w:ascii="Times New Roman" w:hAnsi="Times New Roman" w:cs="Times New Roman" w:eastAsia="Times New Roman" w:hint="default"/>
                <w:sz w:val="18"/>
                <w:szCs w:val="18"/>
              </w:rPr>
            </w:pPr>
            <w:r>
              <w:rPr>
                <w:rFonts w:ascii="Times New Roman"/>
                <w:sz w:val="18"/>
              </w:rPr>
              <w:t>03.13</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29" w:right="130"/>
              <w:jc w:val="center"/>
              <w:rPr>
                <w:rFonts w:ascii="Times New Roman" w:hAnsi="Times New Roman" w:cs="Times New Roman" w:eastAsia="Times New Roman" w:hint="default"/>
                <w:sz w:val="18"/>
                <w:szCs w:val="18"/>
              </w:rPr>
            </w:pPr>
            <w:r>
              <w:rPr>
                <w:rFonts w:ascii="Times New Roman"/>
                <w:sz w:val="18"/>
              </w:rPr>
              <w:t>08.18</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31" w:right="131"/>
              <w:jc w:val="center"/>
              <w:rPr>
                <w:rFonts w:ascii="Times New Roman" w:hAnsi="Times New Roman" w:cs="Times New Roman" w:eastAsia="Times New Roman" w:hint="default"/>
                <w:sz w:val="18"/>
                <w:szCs w:val="18"/>
              </w:rPr>
            </w:pPr>
            <w:r>
              <w:rPr>
                <w:rFonts w:ascii="Times New Roman"/>
                <w:sz w:val="18"/>
              </w:rPr>
              <w:t>05.05</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03" w:right="203"/>
              <w:jc w:val="center"/>
              <w:rPr>
                <w:rFonts w:ascii="Times New Roman" w:hAnsi="Times New Roman" w:cs="Times New Roman" w:eastAsia="Times New Roman" w:hint="default"/>
                <w:sz w:val="18"/>
                <w:szCs w:val="18"/>
              </w:rPr>
            </w:pPr>
            <w:r>
              <w:rPr>
                <w:rFonts w:ascii="Times New Roman"/>
                <w:sz w:val="18"/>
              </w:rPr>
              <w:t>06.05</w:t>
            </w:r>
          </w:p>
        </w:tc>
        <w:tc>
          <w:tcPr>
            <w:tcW w:w="679"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1" w:right="22"/>
              <w:jc w:val="center"/>
              <w:rPr>
                <w:rFonts w:ascii="Times New Roman" w:hAnsi="Times New Roman" w:cs="Times New Roman" w:eastAsia="Times New Roman" w:hint="default"/>
                <w:sz w:val="18"/>
                <w:szCs w:val="18"/>
              </w:rPr>
            </w:pPr>
            <w:r>
              <w:rPr>
                <w:rFonts w:ascii="Times New Roman"/>
                <w:sz w:val="18"/>
              </w:rPr>
              <w:t>02.00</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61" w:right="61"/>
              <w:jc w:val="center"/>
              <w:rPr>
                <w:rFonts w:ascii="Times New Roman" w:hAnsi="Times New Roman" w:cs="Times New Roman" w:eastAsia="Times New Roman" w:hint="default"/>
                <w:sz w:val="18"/>
                <w:szCs w:val="18"/>
              </w:rPr>
            </w:pPr>
            <w:r>
              <w:rPr>
                <w:rFonts w:ascii="Times New Roman"/>
                <w:sz w:val="18"/>
              </w:rPr>
              <w:t>16.00</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357" w:right="205"/>
              <w:jc w:val="left"/>
              <w:rPr>
                <w:rFonts w:ascii="Times New Roman" w:hAnsi="Times New Roman" w:cs="Times New Roman" w:eastAsia="Times New Roman" w:hint="default"/>
                <w:sz w:val="18"/>
                <w:szCs w:val="18"/>
              </w:rPr>
            </w:pPr>
            <w:r>
              <w:rPr>
                <w:rFonts w:ascii="Times New Roman"/>
                <w:sz w:val="18"/>
              </w:rPr>
              <w:t>14.00</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right="23"/>
              <w:jc w:val="right"/>
              <w:rPr>
                <w:rFonts w:ascii="Times New Roman" w:hAnsi="Times New Roman" w:cs="Times New Roman" w:eastAsia="Times New Roman" w:hint="default"/>
                <w:sz w:val="18"/>
                <w:szCs w:val="18"/>
              </w:rPr>
            </w:pPr>
            <w:r>
              <w:rPr>
                <w:rFonts w:ascii="Times New Roman" w:hAnsi="Times New Roman"/>
                <w:spacing w:val="-1"/>
                <w:sz w:val="18"/>
              </w:rPr>
              <w:t>пуна</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right="23"/>
              <w:jc w:val="right"/>
              <w:rPr>
                <w:rFonts w:ascii="Times New Roman" w:hAnsi="Times New Roman" w:cs="Times New Roman" w:eastAsia="Times New Roman" w:hint="default"/>
                <w:sz w:val="18"/>
                <w:szCs w:val="18"/>
              </w:rPr>
            </w:pPr>
            <w:r>
              <w:rPr>
                <w:rFonts w:ascii="Times New Roman"/>
                <w:sz w:val="18"/>
              </w:rPr>
              <w:t>0</w:t>
            </w:r>
          </w:p>
        </w:tc>
      </w:tr>
      <w:tr>
        <w:trPr>
          <w:trHeight w:val="300" w:hRule="exact"/>
        </w:trPr>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1" w:right="0"/>
              <w:jc w:val="left"/>
              <w:rPr>
                <w:rFonts w:ascii="Times New Roman" w:hAnsi="Times New Roman" w:cs="Times New Roman" w:eastAsia="Times New Roman" w:hint="default"/>
                <w:sz w:val="18"/>
                <w:szCs w:val="18"/>
              </w:rPr>
            </w:pPr>
            <w:r>
              <w:rPr>
                <w:rFonts w:ascii="Times New Roman"/>
                <w:sz w:val="18"/>
              </w:rPr>
              <w:t>17.10.2014</w:t>
            </w:r>
          </w:p>
        </w:tc>
        <w:tc>
          <w:tcPr>
            <w:tcW w:w="1589"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0" w:right="81"/>
              <w:jc w:val="center"/>
              <w:rPr>
                <w:rFonts w:ascii="Times New Roman" w:hAnsi="Times New Roman" w:cs="Times New Roman" w:eastAsia="Times New Roman" w:hint="default"/>
                <w:sz w:val="18"/>
                <w:szCs w:val="18"/>
              </w:rPr>
            </w:pPr>
            <w:r>
              <w:rPr>
                <w:rFonts w:ascii="Times New Roman" w:hAnsi="Times New Roman"/>
                <w:sz w:val="18"/>
              </w:rPr>
              <w:t>Ниш</w:t>
            </w:r>
            <w:r>
              <w:rPr>
                <w:rFonts w:ascii="Times New Roman" w:hAnsi="Times New Roman"/>
                <w:sz w:val="18"/>
              </w:rPr>
              <w:t>-</w:t>
            </w:r>
            <w:r>
              <w:rPr>
                <w:rFonts w:ascii="Times New Roman" w:hAnsi="Times New Roman"/>
                <w:sz w:val="18"/>
              </w:rPr>
              <w:t>Београд</w:t>
            </w:r>
            <w:r>
              <w:rPr>
                <w:rFonts w:ascii="Times New Roman" w:hAnsi="Times New Roman"/>
                <w:sz w:val="18"/>
              </w:rPr>
              <w:t>-</w:t>
            </w:r>
            <w:r>
              <w:rPr>
                <w:rFonts w:ascii="Times New Roman" w:hAnsi="Times New Roman"/>
                <w:sz w:val="18"/>
              </w:rPr>
              <w:t>Ниш</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07" w:right="107"/>
              <w:jc w:val="center"/>
              <w:rPr>
                <w:rFonts w:ascii="Times New Roman" w:hAnsi="Times New Roman" w:cs="Times New Roman" w:eastAsia="Times New Roman" w:hint="default"/>
                <w:sz w:val="18"/>
                <w:szCs w:val="18"/>
              </w:rPr>
            </w:pPr>
            <w:r>
              <w:rPr>
                <w:rFonts w:ascii="Times New Roman"/>
                <w:sz w:val="18"/>
              </w:rPr>
              <w:t>09.32</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29" w:right="130"/>
              <w:jc w:val="center"/>
              <w:rPr>
                <w:rFonts w:ascii="Times New Roman" w:hAnsi="Times New Roman" w:cs="Times New Roman" w:eastAsia="Times New Roman" w:hint="default"/>
                <w:sz w:val="18"/>
                <w:szCs w:val="18"/>
              </w:rPr>
            </w:pPr>
            <w:r>
              <w:rPr>
                <w:rFonts w:ascii="Times New Roman"/>
                <w:sz w:val="18"/>
              </w:rPr>
              <w:t>16.37</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31" w:right="131"/>
              <w:jc w:val="center"/>
              <w:rPr>
                <w:rFonts w:ascii="Times New Roman" w:hAnsi="Times New Roman" w:cs="Times New Roman" w:eastAsia="Times New Roman" w:hint="default"/>
                <w:sz w:val="18"/>
                <w:szCs w:val="18"/>
              </w:rPr>
            </w:pPr>
            <w:r>
              <w:rPr>
                <w:rFonts w:ascii="Times New Roman"/>
                <w:sz w:val="18"/>
              </w:rPr>
              <w:t>07.05</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03" w:right="203"/>
              <w:jc w:val="center"/>
              <w:rPr>
                <w:rFonts w:ascii="Times New Roman" w:hAnsi="Times New Roman" w:cs="Times New Roman" w:eastAsia="Times New Roman" w:hint="default"/>
                <w:sz w:val="18"/>
                <w:szCs w:val="18"/>
              </w:rPr>
            </w:pPr>
            <w:r>
              <w:rPr>
                <w:rFonts w:ascii="Times New Roman"/>
                <w:sz w:val="18"/>
              </w:rPr>
              <w:t>08.05</w:t>
            </w:r>
          </w:p>
        </w:tc>
        <w:tc>
          <w:tcPr>
            <w:tcW w:w="679"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1" w:right="22"/>
              <w:jc w:val="center"/>
              <w:rPr>
                <w:rFonts w:ascii="Times New Roman" w:hAnsi="Times New Roman" w:cs="Times New Roman" w:eastAsia="Times New Roman" w:hint="default"/>
                <w:sz w:val="18"/>
                <w:szCs w:val="18"/>
              </w:rPr>
            </w:pPr>
            <w:r>
              <w:rPr>
                <w:rFonts w:ascii="Times New Roman"/>
                <w:sz w:val="18"/>
              </w:rPr>
              <w:t>07.30</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61" w:right="61"/>
              <w:jc w:val="center"/>
              <w:rPr>
                <w:rFonts w:ascii="Times New Roman" w:hAnsi="Times New Roman" w:cs="Times New Roman" w:eastAsia="Times New Roman" w:hint="default"/>
                <w:sz w:val="18"/>
                <w:szCs w:val="18"/>
              </w:rPr>
            </w:pPr>
            <w:r>
              <w:rPr>
                <w:rFonts w:ascii="Times New Roman"/>
                <w:sz w:val="18"/>
              </w:rPr>
              <w:t>20.00</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357" w:right="205"/>
              <w:jc w:val="left"/>
              <w:rPr>
                <w:rFonts w:ascii="Times New Roman" w:hAnsi="Times New Roman" w:cs="Times New Roman" w:eastAsia="Times New Roman" w:hint="default"/>
                <w:sz w:val="18"/>
                <w:szCs w:val="18"/>
              </w:rPr>
            </w:pPr>
            <w:r>
              <w:rPr>
                <w:rFonts w:ascii="Times New Roman"/>
                <w:sz w:val="18"/>
              </w:rPr>
              <w:t>12.30</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right="23"/>
              <w:jc w:val="right"/>
              <w:rPr>
                <w:rFonts w:ascii="Times New Roman" w:hAnsi="Times New Roman" w:cs="Times New Roman" w:eastAsia="Times New Roman" w:hint="default"/>
                <w:sz w:val="18"/>
                <w:szCs w:val="18"/>
              </w:rPr>
            </w:pPr>
            <w:r>
              <w:rPr>
                <w:rFonts w:ascii="Times New Roman" w:hAnsi="Times New Roman"/>
                <w:spacing w:val="-1"/>
                <w:sz w:val="18"/>
              </w:rPr>
              <w:t>пуна</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right="21"/>
              <w:jc w:val="right"/>
              <w:rPr>
                <w:rFonts w:ascii="Times New Roman" w:hAnsi="Times New Roman" w:cs="Times New Roman" w:eastAsia="Times New Roman" w:hint="default"/>
                <w:sz w:val="18"/>
                <w:szCs w:val="18"/>
              </w:rPr>
            </w:pPr>
            <w:r>
              <w:rPr>
                <w:rFonts w:ascii="Times New Roman" w:hAnsi="Times New Roman"/>
                <w:spacing w:val="-1"/>
                <w:sz w:val="18"/>
              </w:rPr>
              <w:t>пола</w:t>
            </w:r>
          </w:p>
        </w:tc>
      </w:tr>
      <w:tr>
        <w:trPr>
          <w:trHeight w:val="300" w:hRule="exact"/>
        </w:trPr>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1" w:right="0"/>
              <w:jc w:val="left"/>
              <w:rPr>
                <w:rFonts w:ascii="Times New Roman" w:hAnsi="Times New Roman" w:cs="Times New Roman" w:eastAsia="Times New Roman" w:hint="default"/>
                <w:sz w:val="18"/>
                <w:szCs w:val="18"/>
              </w:rPr>
            </w:pPr>
            <w:r>
              <w:rPr>
                <w:rFonts w:ascii="Times New Roman"/>
                <w:sz w:val="18"/>
              </w:rPr>
              <w:t>22.10.2014</w:t>
            </w:r>
          </w:p>
        </w:tc>
        <w:tc>
          <w:tcPr>
            <w:tcW w:w="1589"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0" w:right="81"/>
              <w:jc w:val="center"/>
              <w:rPr>
                <w:rFonts w:ascii="Times New Roman" w:hAnsi="Times New Roman" w:cs="Times New Roman" w:eastAsia="Times New Roman" w:hint="default"/>
                <w:sz w:val="18"/>
                <w:szCs w:val="18"/>
              </w:rPr>
            </w:pPr>
            <w:r>
              <w:rPr>
                <w:rFonts w:ascii="Times New Roman" w:hAnsi="Times New Roman"/>
                <w:sz w:val="18"/>
              </w:rPr>
              <w:t>Ниш</w:t>
            </w:r>
            <w:r>
              <w:rPr>
                <w:rFonts w:ascii="Times New Roman" w:hAnsi="Times New Roman"/>
                <w:sz w:val="18"/>
              </w:rPr>
              <w:t>-</w:t>
            </w:r>
            <w:r>
              <w:rPr>
                <w:rFonts w:ascii="Times New Roman" w:hAnsi="Times New Roman"/>
                <w:sz w:val="18"/>
              </w:rPr>
              <w:t>Београд</w:t>
            </w:r>
            <w:r>
              <w:rPr>
                <w:rFonts w:ascii="Times New Roman" w:hAnsi="Times New Roman"/>
                <w:sz w:val="18"/>
              </w:rPr>
              <w:t>-</w:t>
            </w:r>
            <w:r>
              <w:rPr>
                <w:rFonts w:ascii="Times New Roman" w:hAnsi="Times New Roman"/>
                <w:sz w:val="18"/>
              </w:rPr>
              <w:t>Ниш</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07" w:right="107"/>
              <w:jc w:val="center"/>
              <w:rPr>
                <w:rFonts w:ascii="Times New Roman" w:hAnsi="Times New Roman" w:cs="Times New Roman" w:eastAsia="Times New Roman" w:hint="default"/>
                <w:sz w:val="18"/>
                <w:szCs w:val="18"/>
              </w:rPr>
            </w:pPr>
            <w:r>
              <w:rPr>
                <w:rFonts w:ascii="Times New Roman"/>
                <w:sz w:val="18"/>
              </w:rPr>
              <w:t>10.57</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29" w:right="130"/>
              <w:jc w:val="center"/>
              <w:rPr>
                <w:rFonts w:ascii="Times New Roman" w:hAnsi="Times New Roman" w:cs="Times New Roman" w:eastAsia="Times New Roman" w:hint="default"/>
                <w:sz w:val="18"/>
                <w:szCs w:val="18"/>
              </w:rPr>
            </w:pPr>
            <w:r>
              <w:rPr>
                <w:rFonts w:ascii="Times New Roman"/>
                <w:sz w:val="18"/>
              </w:rPr>
              <w:t>16.59</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31" w:right="131"/>
              <w:jc w:val="center"/>
              <w:rPr>
                <w:rFonts w:ascii="Times New Roman" w:hAnsi="Times New Roman" w:cs="Times New Roman" w:eastAsia="Times New Roman" w:hint="default"/>
                <w:sz w:val="18"/>
                <w:szCs w:val="18"/>
              </w:rPr>
            </w:pPr>
            <w:r>
              <w:rPr>
                <w:rFonts w:ascii="Times New Roman"/>
                <w:sz w:val="18"/>
              </w:rPr>
              <w:t>06.02</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03" w:right="203"/>
              <w:jc w:val="center"/>
              <w:rPr>
                <w:rFonts w:ascii="Times New Roman" w:hAnsi="Times New Roman" w:cs="Times New Roman" w:eastAsia="Times New Roman" w:hint="default"/>
                <w:sz w:val="18"/>
                <w:szCs w:val="18"/>
              </w:rPr>
            </w:pPr>
            <w:r>
              <w:rPr>
                <w:rFonts w:ascii="Times New Roman"/>
                <w:sz w:val="18"/>
              </w:rPr>
              <w:t>07.02</w:t>
            </w:r>
          </w:p>
        </w:tc>
        <w:tc>
          <w:tcPr>
            <w:tcW w:w="679"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1" w:right="22"/>
              <w:jc w:val="center"/>
              <w:rPr>
                <w:rFonts w:ascii="Times New Roman" w:hAnsi="Times New Roman" w:cs="Times New Roman" w:eastAsia="Times New Roman" w:hint="default"/>
                <w:sz w:val="18"/>
                <w:szCs w:val="18"/>
              </w:rPr>
            </w:pPr>
            <w:r>
              <w:rPr>
                <w:rFonts w:ascii="Times New Roman"/>
                <w:sz w:val="18"/>
              </w:rPr>
              <w:t>07.30</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61" w:right="61"/>
              <w:jc w:val="center"/>
              <w:rPr>
                <w:rFonts w:ascii="Times New Roman" w:hAnsi="Times New Roman" w:cs="Times New Roman" w:eastAsia="Times New Roman" w:hint="default"/>
                <w:sz w:val="18"/>
                <w:szCs w:val="18"/>
              </w:rPr>
            </w:pPr>
            <w:r>
              <w:rPr>
                <w:rFonts w:ascii="Times New Roman"/>
                <w:sz w:val="18"/>
              </w:rPr>
              <w:t>21.00</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357" w:right="205"/>
              <w:jc w:val="left"/>
              <w:rPr>
                <w:rFonts w:ascii="Times New Roman" w:hAnsi="Times New Roman" w:cs="Times New Roman" w:eastAsia="Times New Roman" w:hint="default"/>
                <w:sz w:val="18"/>
                <w:szCs w:val="18"/>
              </w:rPr>
            </w:pPr>
            <w:r>
              <w:rPr>
                <w:rFonts w:ascii="Times New Roman"/>
                <w:sz w:val="18"/>
              </w:rPr>
              <w:t>13.30</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right="23"/>
              <w:jc w:val="right"/>
              <w:rPr>
                <w:rFonts w:ascii="Times New Roman" w:hAnsi="Times New Roman" w:cs="Times New Roman" w:eastAsia="Times New Roman" w:hint="default"/>
                <w:sz w:val="18"/>
                <w:szCs w:val="18"/>
              </w:rPr>
            </w:pPr>
            <w:r>
              <w:rPr>
                <w:rFonts w:ascii="Times New Roman" w:hAnsi="Times New Roman"/>
                <w:spacing w:val="-1"/>
                <w:sz w:val="18"/>
              </w:rPr>
              <w:t>пуна</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right="23"/>
              <w:jc w:val="right"/>
              <w:rPr>
                <w:rFonts w:ascii="Times New Roman" w:hAnsi="Times New Roman" w:cs="Times New Roman" w:eastAsia="Times New Roman" w:hint="default"/>
                <w:sz w:val="18"/>
                <w:szCs w:val="18"/>
              </w:rPr>
            </w:pPr>
            <w:r>
              <w:rPr>
                <w:rFonts w:ascii="Times New Roman"/>
                <w:sz w:val="18"/>
              </w:rPr>
              <w:t>0</w:t>
            </w:r>
          </w:p>
        </w:tc>
      </w:tr>
      <w:tr>
        <w:trPr>
          <w:trHeight w:val="300" w:hRule="exact"/>
        </w:trPr>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1" w:right="0"/>
              <w:jc w:val="left"/>
              <w:rPr>
                <w:rFonts w:ascii="Times New Roman" w:hAnsi="Times New Roman" w:cs="Times New Roman" w:eastAsia="Times New Roman" w:hint="default"/>
                <w:sz w:val="18"/>
                <w:szCs w:val="18"/>
              </w:rPr>
            </w:pPr>
            <w:r>
              <w:rPr>
                <w:rFonts w:ascii="Times New Roman"/>
                <w:sz w:val="18"/>
              </w:rPr>
              <w:t>26.10.2014</w:t>
            </w:r>
          </w:p>
        </w:tc>
        <w:tc>
          <w:tcPr>
            <w:tcW w:w="1589"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0" w:right="81"/>
              <w:jc w:val="center"/>
              <w:rPr>
                <w:rFonts w:ascii="Times New Roman" w:hAnsi="Times New Roman" w:cs="Times New Roman" w:eastAsia="Times New Roman" w:hint="default"/>
                <w:sz w:val="18"/>
                <w:szCs w:val="18"/>
              </w:rPr>
            </w:pPr>
            <w:r>
              <w:rPr>
                <w:rFonts w:ascii="Times New Roman" w:hAnsi="Times New Roman"/>
                <w:sz w:val="18"/>
              </w:rPr>
              <w:t>Ниш</w:t>
            </w:r>
            <w:r>
              <w:rPr>
                <w:rFonts w:ascii="Times New Roman" w:hAnsi="Times New Roman"/>
                <w:sz w:val="18"/>
              </w:rPr>
              <w:t>-</w:t>
            </w:r>
            <w:r>
              <w:rPr>
                <w:rFonts w:ascii="Times New Roman" w:hAnsi="Times New Roman"/>
                <w:sz w:val="18"/>
              </w:rPr>
              <w:t>Београд</w:t>
            </w:r>
            <w:r>
              <w:rPr>
                <w:rFonts w:ascii="Times New Roman" w:hAnsi="Times New Roman"/>
                <w:sz w:val="18"/>
              </w:rPr>
              <w:t>-</w:t>
            </w:r>
            <w:r>
              <w:rPr>
                <w:rFonts w:ascii="Times New Roman" w:hAnsi="Times New Roman"/>
                <w:sz w:val="18"/>
              </w:rPr>
              <w:t>Ниш</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07" w:right="107"/>
              <w:jc w:val="center"/>
              <w:rPr>
                <w:rFonts w:ascii="Times New Roman" w:hAnsi="Times New Roman" w:cs="Times New Roman" w:eastAsia="Times New Roman" w:hint="default"/>
                <w:sz w:val="18"/>
                <w:szCs w:val="18"/>
              </w:rPr>
            </w:pPr>
            <w:r>
              <w:rPr>
                <w:rFonts w:ascii="Times New Roman"/>
                <w:sz w:val="18"/>
              </w:rPr>
              <w:t>11.32</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29" w:right="130"/>
              <w:jc w:val="center"/>
              <w:rPr>
                <w:rFonts w:ascii="Times New Roman" w:hAnsi="Times New Roman" w:cs="Times New Roman" w:eastAsia="Times New Roman" w:hint="default"/>
                <w:sz w:val="18"/>
                <w:szCs w:val="18"/>
              </w:rPr>
            </w:pPr>
            <w:r>
              <w:rPr>
                <w:rFonts w:ascii="Times New Roman"/>
                <w:sz w:val="18"/>
              </w:rPr>
              <w:t>17.41</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31" w:right="131"/>
              <w:jc w:val="center"/>
              <w:rPr>
                <w:rFonts w:ascii="Times New Roman" w:hAnsi="Times New Roman" w:cs="Times New Roman" w:eastAsia="Times New Roman" w:hint="default"/>
                <w:sz w:val="18"/>
                <w:szCs w:val="18"/>
              </w:rPr>
            </w:pPr>
            <w:r>
              <w:rPr>
                <w:rFonts w:ascii="Times New Roman"/>
                <w:sz w:val="18"/>
              </w:rPr>
              <w:t>06.09</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03" w:right="203"/>
              <w:jc w:val="center"/>
              <w:rPr>
                <w:rFonts w:ascii="Times New Roman" w:hAnsi="Times New Roman" w:cs="Times New Roman" w:eastAsia="Times New Roman" w:hint="default"/>
                <w:sz w:val="18"/>
                <w:szCs w:val="18"/>
              </w:rPr>
            </w:pPr>
            <w:r>
              <w:rPr>
                <w:rFonts w:ascii="Times New Roman"/>
                <w:sz w:val="18"/>
              </w:rPr>
              <w:t>07.09</w:t>
            </w:r>
          </w:p>
        </w:tc>
        <w:tc>
          <w:tcPr>
            <w:tcW w:w="679"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1" w:right="22"/>
              <w:jc w:val="center"/>
              <w:rPr>
                <w:rFonts w:ascii="Times New Roman" w:hAnsi="Times New Roman" w:cs="Times New Roman" w:eastAsia="Times New Roman" w:hint="default"/>
                <w:sz w:val="18"/>
                <w:szCs w:val="18"/>
              </w:rPr>
            </w:pPr>
            <w:r>
              <w:rPr>
                <w:rFonts w:ascii="Times New Roman"/>
                <w:sz w:val="18"/>
              </w:rPr>
              <w:t>08.00</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61" w:right="61"/>
              <w:jc w:val="center"/>
              <w:rPr>
                <w:rFonts w:ascii="Times New Roman" w:hAnsi="Times New Roman" w:cs="Times New Roman" w:eastAsia="Times New Roman" w:hint="default"/>
                <w:sz w:val="18"/>
                <w:szCs w:val="18"/>
              </w:rPr>
            </w:pPr>
            <w:r>
              <w:rPr>
                <w:rFonts w:ascii="Times New Roman"/>
                <w:sz w:val="18"/>
              </w:rPr>
              <w:t>21.00</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357" w:right="205"/>
              <w:jc w:val="left"/>
              <w:rPr>
                <w:rFonts w:ascii="Times New Roman" w:hAnsi="Times New Roman" w:cs="Times New Roman" w:eastAsia="Times New Roman" w:hint="default"/>
                <w:sz w:val="18"/>
                <w:szCs w:val="18"/>
              </w:rPr>
            </w:pPr>
            <w:r>
              <w:rPr>
                <w:rFonts w:ascii="Times New Roman"/>
                <w:sz w:val="18"/>
              </w:rPr>
              <w:t>13.00</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right="23"/>
              <w:jc w:val="right"/>
              <w:rPr>
                <w:rFonts w:ascii="Times New Roman" w:hAnsi="Times New Roman" w:cs="Times New Roman" w:eastAsia="Times New Roman" w:hint="default"/>
                <w:sz w:val="18"/>
                <w:szCs w:val="18"/>
              </w:rPr>
            </w:pPr>
            <w:r>
              <w:rPr>
                <w:rFonts w:ascii="Times New Roman" w:hAnsi="Times New Roman"/>
                <w:spacing w:val="-1"/>
                <w:sz w:val="18"/>
              </w:rPr>
              <w:t>пуна</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right="23"/>
              <w:jc w:val="right"/>
              <w:rPr>
                <w:rFonts w:ascii="Times New Roman" w:hAnsi="Times New Roman" w:cs="Times New Roman" w:eastAsia="Times New Roman" w:hint="default"/>
                <w:sz w:val="18"/>
                <w:szCs w:val="18"/>
              </w:rPr>
            </w:pPr>
            <w:r>
              <w:rPr>
                <w:rFonts w:ascii="Times New Roman"/>
                <w:sz w:val="18"/>
              </w:rPr>
              <w:t>0</w:t>
            </w:r>
          </w:p>
        </w:tc>
      </w:tr>
      <w:tr>
        <w:trPr>
          <w:trHeight w:val="300" w:hRule="exact"/>
        </w:trPr>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1" w:right="0"/>
              <w:jc w:val="left"/>
              <w:rPr>
                <w:rFonts w:ascii="Times New Roman" w:hAnsi="Times New Roman" w:cs="Times New Roman" w:eastAsia="Times New Roman" w:hint="default"/>
                <w:sz w:val="18"/>
                <w:szCs w:val="18"/>
              </w:rPr>
            </w:pPr>
            <w:r>
              <w:rPr>
                <w:rFonts w:ascii="Times New Roman"/>
                <w:sz w:val="18"/>
              </w:rPr>
              <w:t>03.12.2014</w:t>
            </w:r>
          </w:p>
        </w:tc>
        <w:tc>
          <w:tcPr>
            <w:tcW w:w="1589"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0" w:right="81"/>
              <w:jc w:val="center"/>
              <w:rPr>
                <w:rFonts w:ascii="Times New Roman" w:hAnsi="Times New Roman" w:cs="Times New Roman" w:eastAsia="Times New Roman" w:hint="default"/>
                <w:sz w:val="18"/>
                <w:szCs w:val="18"/>
              </w:rPr>
            </w:pPr>
            <w:r>
              <w:rPr>
                <w:rFonts w:ascii="Times New Roman" w:hAnsi="Times New Roman"/>
                <w:sz w:val="18"/>
              </w:rPr>
              <w:t>Ниш</w:t>
            </w:r>
            <w:r>
              <w:rPr>
                <w:rFonts w:ascii="Times New Roman" w:hAnsi="Times New Roman"/>
                <w:sz w:val="18"/>
              </w:rPr>
              <w:t>-</w:t>
            </w:r>
            <w:r>
              <w:rPr>
                <w:rFonts w:ascii="Times New Roman" w:hAnsi="Times New Roman"/>
                <w:sz w:val="18"/>
              </w:rPr>
              <w:t>Београд</w:t>
            </w:r>
            <w:r>
              <w:rPr>
                <w:rFonts w:ascii="Times New Roman" w:hAnsi="Times New Roman"/>
                <w:sz w:val="18"/>
              </w:rPr>
              <w:t>-</w:t>
            </w:r>
            <w:r>
              <w:rPr>
                <w:rFonts w:ascii="Times New Roman" w:hAnsi="Times New Roman"/>
                <w:sz w:val="18"/>
              </w:rPr>
              <w:t>Ниш</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07" w:right="107"/>
              <w:jc w:val="center"/>
              <w:rPr>
                <w:rFonts w:ascii="Times New Roman" w:hAnsi="Times New Roman" w:cs="Times New Roman" w:eastAsia="Times New Roman" w:hint="default"/>
                <w:sz w:val="18"/>
                <w:szCs w:val="18"/>
              </w:rPr>
            </w:pPr>
            <w:r>
              <w:rPr>
                <w:rFonts w:ascii="Times New Roman"/>
                <w:sz w:val="18"/>
              </w:rPr>
              <w:t>09.27</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29" w:right="130"/>
              <w:jc w:val="center"/>
              <w:rPr>
                <w:rFonts w:ascii="Times New Roman" w:hAnsi="Times New Roman" w:cs="Times New Roman" w:eastAsia="Times New Roman" w:hint="default"/>
                <w:sz w:val="18"/>
                <w:szCs w:val="18"/>
              </w:rPr>
            </w:pPr>
            <w:r>
              <w:rPr>
                <w:rFonts w:ascii="Times New Roman"/>
                <w:sz w:val="18"/>
              </w:rPr>
              <w:t>19.01</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31" w:right="131"/>
              <w:jc w:val="center"/>
              <w:rPr>
                <w:rFonts w:ascii="Times New Roman" w:hAnsi="Times New Roman" w:cs="Times New Roman" w:eastAsia="Times New Roman" w:hint="default"/>
                <w:sz w:val="18"/>
                <w:szCs w:val="18"/>
              </w:rPr>
            </w:pPr>
            <w:r>
              <w:rPr>
                <w:rFonts w:ascii="Times New Roman"/>
                <w:sz w:val="18"/>
              </w:rPr>
              <w:t>09.34</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03" w:right="203"/>
              <w:jc w:val="center"/>
              <w:rPr>
                <w:rFonts w:ascii="Times New Roman" w:hAnsi="Times New Roman" w:cs="Times New Roman" w:eastAsia="Times New Roman" w:hint="default"/>
                <w:sz w:val="18"/>
                <w:szCs w:val="18"/>
              </w:rPr>
            </w:pPr>
            <w:r>
              <w:rPr>
                <w:rFonts w:ascii="Times New Roman"/>
                <w:sz w:val="18"/>
              </w:rPr>
              <w:t>10.34</w:t>
            </w:r>
          </w:p>
        </w:tc>
        <w:tc>
          <w:tcPr>
            <w:tcW w:w="679"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1" w:right="22"/>
              <w:jc w:val="center"/>
              <w:rPr>
                <w:rFonts w:ascii="Times New Roman" w:hAnsi="Times New Roman" w:cs="Times New Roman" w:eastAsia="Times New Roman" w:hint="default"/>
                <w:sz w:val="18"/>
                <w:szCs w:val="18"/>
              </w:rPr>
            </w:pPr>
            <w:r>
              <w:rPr>
                <w:rFonts w:ascii="Times New Roman"/>
                <w:sz w:val="18"/>
              </w:rPr>
              <w:t>07.30</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61" w:right="61"/>
              <w:jc w:val="center"/>
              <w:rPr>
                <w:rFonts w:ascii="Times New Roman" w:hAnsi="Times New Roman" w:cs="Times New Roman" w:eastAsia="Times New Roman" w:hint="default"/>
                <w:sz w:val="18"/>
                <w:szCs w:val="18"/>
              </w:rPr>
            </w:pPr>
            <w:r>
              <w:rPr>
                <w:rFonts w:ascii="Times New Roman"/>
                <w:sz w:val="18"/>
              </w:rPr>
              <w:t>20.00</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357" w:right="205"/>
              <w:jc w:val="left"/>
              <w:rPr>
                <w:rFonts w:ascii="Times New Roman" w:hAnsi="Times New Roman" w:cs="Times New Roman" w:eastAsia="Times New Roman" w:hint="default"/>
                <w:sz w:val="18"/>
                <w:szCs w:val="18"/>
              </w:rPr>
            </w:pPr>
            <w:r>
              <w:rPr>
                <w:rFonts w:ascii="Times New Roman"/>
                <w:sz w:val="18"/>
              </w:rPr>
              <w:t>12.30</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right="23"/>
              <w:jc w:val="right"/>
              <w:rPr>
                <w:rFonts w:ascii="Times New Roman" w:hAnsi="Times New Roman" w:cs="Times New Roman" w:eastAsia="Times New Roman" w:hint="default"/>
                <w:sz w:val="18"/>
                <w:szCs w:val="18"/>
              </w:rPr>
            </w:pPr>
            <w:r>
              <w:rPr>
                <w:rFonts w:ascii="Times New Roman" w:hAnsi="Times New Roman"/>
                <w:spacing w:val="-1"/>
                <w:sz w:val="18"/>
              </w:rPr>
              <w:t>пуна</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right="21"/>
              <w:jc w:val="right"/>
              <w:rPr>
                <w:rFonts w:ascii="Times New Roman" w:hAnsi="Times New Roman" w:cs="Times New Roman" w:eastAsia="Times New Roman" w:hint="default"/>
                <w:sz w:val="18"/>
                <w:szCs w:val="18"/>
              </w:rPr>
            </w:pPr>
            <w:r>
              <w:rPr>
                <w:rFonts w:ascii="Times New Roman" w:hAnsi="Times New Roman"/>
                <w:spacing w:val="-1"/>
                <w:sz w:val="18"/>
              </w:rPr>
              <w:t>пола</w:t>
            </w:r>
          </w:p>
        </w:tc>
      </w:tr>
      <w:tr>
        <w:trPr>
          <w:trHeight w:val="389" w:hRule="exact"/>
        </w:trPr>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1" w:right="0"/>
              <w:jc w:val="left"/>
              <w:rPr>
                <w:rFonts w:ascii="Times New Roman" w:hAnsi="Times New Roman" w:cs="Times New Roman" w:eastAsia="Times New Roman" w:hint="default"/>
                <w:sz w:val="18"/>
                <w:szCs w:val="18"/>
              </w:rPr>
            </w:pPr>
            <w:r>
              <w:rPr>
                <w:rFonts w:ascii="Times New Roman"/>
                <w:sz w:val="18"/>
              </w:rPr>
              <w:t>04.12.2014</w:t>
            </w:r>
          </w:p>
        </w:tc>
        <w:tc>
          <w:tcPr>
            <w:tcW w:w="1589"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0" w:right="81"/>
              <w:jc w:val="center"/>
              <w:rPr>
                <w:rFonts w:ascii="Times New Roman" w:hAnsi="Times New Roman" w:cs="Times New Roman" w:eastAsia="Times New Roman" w:hint="default"/>
                <w:sz w:val="18"/>
                <w:szCs w:val="18"/>
              </w:rPr>
            </w:pPr>
            <w:r>
              <w:rPr>
                <w:rFonts w:ascii="Times New Roman" w:hAnsi="Times New Roman"/>
                <w:sz w:val="18"/>
              </w:rPr>
              <w:t>Ниш</w:t>
            </w:r>
            <w:r>
              <w:rPr>
                <w:rFonts w:ascii="Times New Roman" w:hAnsi="Times New Roman"/>
                <w:sz w:val="18"/>
              </w:rPr>
              <w:t>-</w:t>
            </w:r>
            <w:r>
              <w:rPr>
                <w:rFonts w:ascii="Times New Roman" w:hAnsi="Times New Roman"/>
                <w:sz w:val="18"/>
              </w:rPr>
              <w:t>Београд</w:t>
            </w:r>
            <w:r>
              <w:rPr>
                <w:rFonts w:ascii="Times New Roman" w:hAnsi="Times New Roman"/>
                <w:sz w:val="18"/>
              </w:rPr>
              <w:t>-</w:t>
            </w:r>
            <w:r>
              <w:rPr>
                <w:rFonts w:ascii="Times New Roman" w:hAnsi="Times New Roman"/>
                <w:sz w:val="18"/>
              </w:rPr>
              <w:t>Ниш</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07" w:right="107"/>
              <w:jc w:val="center"/>
              <w:rPr>
                <w:rFonts w:ascii="Times New Roman" w:hAnsi="Times New Roman" w:cs="Times New Roman" w:eastAsia="Times New Roman" w:hint="default"/>
                <w:sz w:val="18"/>
                <w:szCs w:val="18"/>
              </w:rPr>
            </w:pPr>
            <w:r>
              <w:rPr>
                <w:rFonts w:ascii="Times New Roman"/>
                <w:sz w:val="18"/>
              </w:rPr>
              <w:t>18.16</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29" w:right="130"/>
              <w:jc w:val="center"/>
              <w:rPr>
                <w:rFonts w:ascii="Times New Roman" w:hAnsi="Times New Roman" w:cs="Times New Roman" w:eastAsia="Times New Roman" w:hint="default"/>
                <w:sz w:val="18"/>
                <w:szCs w:val="18"/>
              </w:rPr>
            </w:pPr>
            <w:r>
              <w:rPr>
                <w:rFonts w:ascii="Times New Roman"/>
                <w:sz w:val="18"/>
              </w:rPr>
              <w:t>00.12</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131" w:right="131"/>
              <w:jc w:val="center"/>
              <w:rPr>
                <w:rFonts w:ascii="Times New Roman" w:hAnsi="Times New Roman" w:cs="Times New Roman" w:eastAsia="Times New Roman" w:hint="default"/>
                <w:sz w:val="18"/>
                <w:szCs w:val="18"/>
              </w:rPr>
            </w:pPr>
            <w:r>
              <w:rPr>
                <w:rFonts w:ascii="Times New Roman"/>
                <w:sz w:val="18"/>
              </w:rPr>
              <w:t>05.56</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03" w:right="203"/>
              <w:jc w:val="center"/>
              <w:rPr>
                <w:rFonts w:ascii="Times New Roman" w:hAnsi="Times New Roman" w:cs="Times New Roman" w:eastAsia="Times New Roman" w:hint="default"/>
                <w:sz w:val="18"/>
                <w:szCs w:val="18"/>
              </w:rPr>
            </w:pPr>
            <w:r>
              <w:rPr>
                <w:rFonts w:ascii="Times New Roman"/>
                <w:sz w:val="18"/>
              </w:rPr>
              <w:t>06.56</w:t>
            </w:r>
          </w:p>
        </w:tc>
        <w:tc>
          <w:tcPr>
            <w:tcW w:w="679"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1" w:right="22"/>
              <w:jc w:val="center"/>
              <w:rPr>
                <w:rFonts w:ascii="Times New Roman" w:hAnsi="Times New Roman" w:cs="Times New Roman" w:eastAsia="Times New Roman" w:hint="default"/>
                <w:sz w:val="18"/>
                <w:szCs w:val="18"/>
              </w:rPr>
            </w:pPr>
            <w:r>
              <w:rPr>
                <w:rFonts w:ascii="Times New Roman"/>
                <w:sz w:val="18"/>
              </w:rPr>
              <w:t>07.30</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61" w:right="61"/>
              <w:jc w:val="center"/>
              <w:rPr>
                <w:rFonts w:ascii="Times New Roman" w:hAnsi="Times New Roman" w:cs="Times New Roman" w:eastAsia="Times New Roman" w:hint="default"/>
                <w:sz w:val="18"/>
                <w:szCs w:val="18"/>
              </w:rPr>
            </w:pPr>
            <w:r>
              <w:rPr>
                <w:rFonts w:ascii="Times New Roman"/>
                <w:sz w:val="18"/>
              </w:rPr>
              <w:t>01.00</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357" w:right="205"/>
              <w:jc w:val="left"/>
              <w:rPr>
                <w:rFonts w:ascii="Times New Roman" w:hAnsi="Times New Roman" w:cs="Times New Roman" w:eastAsia="Times New Roman" w:hint="default"/>
                <w:sz w:val="18"/>
                <w:szCs w:val="18"/>
              </w:rPr>
            </w:pPr>
            <w:r>
              <w:rPr>
                <w:rFonts w:ascii="Times New Roman"/>
                <w:sz w:val="18"/>
              </w:rPr>
              <w:t>17.30</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right="23"/>
              <w:jc w:val="right"/>
              <w:rPr>
                <w:rFonts w:ascii="Times New Roman" w:hAnsi="Times New Roman" w:cs="Times New Roman" w:eastAsia="Times New Roman" w:hint="default"/>
                <w:sz w:val="18"/>
                <w:szCs w:val="18"/>
              </w:rPr>
            </w:pPr>
            <w:r>
              <w:rPr>
                <w:rFonts w:ascii="Times New Roman" w:hAnsi="Times New Roman"/>
                <w:spacing w:val="-1"/>
                <w:sz w:val="18"/>
              </w:rPr>
              <w:t>пуна</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right="23"/>
              <w:jc w:val="right"/>
              <w:rPr>
                <w:rFonts w:ascii="Times New Roman" w:hAnsi="Times New Roman" w:cs="Times New Roman" w:eastAsia="Times New Roman" w:hint="default"/>
                <w:sz w:val="18"/>
                <w:szCs w:val="18"/>
              </w:rPr>
            </w:pPr>
            <w:r>
              <w:rPr>
                <w:rFonts w:ascii="Times New Roman"/>
                <w:sz w:val="18"/>
              </w:rPr>
              <w:t>0</w:t>
            </w:r>
          </w:p>
        </w:tc>
      </w:tr>
      <w:tr>
        <w:trPr>
          <w:trHeight w:val="427" w:hRule="exact"/>
        </w:trPr>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02" w:lineRule="exact"/>
              <w:ind w:left="21" w:right="0"/>
              <w:jc w:val="left"/>
              <w:rPr>
                <w:rFonts w:ascii="Times New Roman" w:hAnsi="Times New Roman" w:cs="Times New Roman" w:eastAsia="Times New Roman" w:hint="default"/>
                <w:sz w:val="18"/>
                <w:szCs w:val="18"/>
              </w:rPr>
            </w:pPr>
            <w:r>
              <w:rPr>
                <w:rFonts w:ascii="Times New Roman"/>
                <w:sz w:val="18"/>
              </w:rPr>
              <w:t>09.12.2014</w:t>
            </w:r>
          </w:p>
        </w:tc>
        <w:tc>
          <w:tcPr>
            <w:tcW w:w="1589" w:type="dxa"/>
            <w:vMerge w:val="restart"/>
            <w:tcBorders>
              <w:top w:val="single" w:sz="6" w:space="0" w:color="000000"/>
              <w:left w:val="single" w:sz="6" w:space="0" w:color="000000"/>
              <w:right w:val="single" w:sz="6" w:space="0" w:color="000000"/>
            </w:tcBorders>
          </w:tcPr>
          <w:p>
            <w:pPr>
              <w:pStyle w:val="TableParagraph"/>
              <w:spacing w:line="202" w:lineRule="exact"/>
              <w:ind w:left="21" w:right="0"/>
              <w:jc w:val="left"/>
              <w:rPr>
                <w:rFonts w:ascii="Times New Roman" w:hAnsi="Times New Roman" w:cs="Times New Roman" w:eastAsia="Times New Roman" w:hint="default"/>
                <w:sz w:val="18"/>
                <w:szCs w:val="18"/>
              </w:rPr>
            </w:pPr>
            <w:r>
              <w:rPr>
                <w:rFonts w:ascii="Times New Roman" w:hAnsi="Times New Roman"/>
                <w:sz w:val="18"/>
              </w:rPr>
              <w:t>Ниш</w:t>
            </w:r>
            <w:r>
              <w:rPr>
                <w:rFonts w:ascii="Times New Roman" w:hAnsi="Times New Roman"/>
                <w:sz w:val="18"/>
              </w:rPr>
              <w:t>-</w:t>
            </w:r>
            <w:r>
              <w:rPr>
                <w:rFonts w:ascii="Times New Roman" w:hAnsi="Times New Roman"/>
                <w:sz w:val="18"/>
              </w:rPr>
              <w:t>Београд</w:t>
            </w:r>
            <w:r>
              <w:rPr>
                <w:rFonts w:ascii="Times New Roman" w:hAnsi="Times New Roman"/>
                <w:sz w:val="18"/>
              </w:rPr>
              <w:t>-</w:t>
            </w:r>
            <w:r>
              <w:rPr>
                <w:rFonts w:ascii="Times New Roman" w:hAnsi="Times New Roman"/>
                <w:sz w:val="18"/>
              </w:rPr>
              <w:t>Ниш</w:t>
            </w:r>
          </w:p>
        </w:tc>
        <w:tc>
          <w:tcPr>
            <w:tcW w:w="660" w:type="dxa"/>
            <w:vMerge w:val="restart"/>
            <w:tcBorders>
              <w:top w:val="single" w:sz="6" w:space="0" w:color="000000"/>
              <w:left w:val="single" w:sz="6" w:space="0" w:color="000000"/>
              <w:right w:val="single" w:sz="6" w:space="0" w:color="000000"/>
            </w:tcBorders>
          </w:tcPr>
          <w:p>
            <w:pPr>
              <w:pStyle w:val="TableParagraph"/>
              <w:spacing w:line="202" w:lineRule="exact"/>
              <w:ind w:left="23" w:right="123"/>
              <w:jc w:val="left"/>
              <w:rPr>
                <w:rFonts w:ascii="Times New Roman" w:hAnsi="Times New Roman" w:cs="Times New Roman" w:eastAsia="Times New Roman" w:hint="default"/>
                <w:sz w:val="18"/>
                <w:szCs w:val="18"/>
              </w:rPr>
            </w:pPr>
            <w:r>
              <w:rPr>
                <w:rFonts w:ascii="Times New Roman"/>
                <w:sz w:val="18"/>
              </w:rPr>
              <w:t>08.55</w:t>
            </w:r>
          </w:p>
        </w:tc>
        <w:tc>
          <w:tcPr>
            <w:tcW w:w="708" w:type="dxa"/>
            <w:vMerge w:val="restart"/>
            <w:tcBorders>
              <w:top w:val="single" w:sz="6" w:space="0" w:color="000000"/>
              <w:left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8"/>
                <w:szCs w:val="18"/>
              </w:rPr>
            </w:pPr>
          </w:p>
          <w:p>
            <w:pPr>
              <w:pStyle w:val="TableParagraph"/>
              <w:spacing w:line="240" w:lineRule="auto" w:before="11"/>
              <w:ind w:right="0"/>
              <w:jc w:val="left"/>
              <w:rPr>
                <w:rFonts w:ascii="Times New Roman" w:hAnsi="Times New Roman" w:cs="Times New Roman" w:eastAsia="Times New Roman" w:hint="default"/>
                <w:sz w:val="18"/>
                <w:szCs w:val="18"/>
              </w:rPr>
            </w:pPr>
          </w:p>
          <w:p>
            <w:pPr>
              <w:pStyle w:val="TableParagraph"/>
              <w:spacing w:line="240" w:lineRule="auto"/>
              <w:ind w:left="141" w:right="0"/>
              <w:jc w:val="left"/>
              <w:rPr>
                <w:rFonts w:ascii="Times New Roman" w:hAnsi="Times New Roman" w:cs="Times New Roman" w:eastAsia="Times New Roman" w:hint="default"/>
                <w:sz w:val="18"/>
                <w:szCs w:val="18"/>
              </w:rPr>
            </w:pPr>
            <w:r>
              <w:rPr>
                <w:rFonts w:ascii="Times New Roman"/>
                <w:sz w:val="18"/>
              </w:rPr>
              <w:t>20.18</w:t>
            </w:r>
          </w:p>
        </w:tc>
        <w:tc>
          <w:tcPr>
            <w:tcW w:w="708" w:type="dxa"/>
            <w:vMerge w:val="restart"/>
            <w:tcBorders>
              <w:top w:val="single" w:sz="6" w:space="0" w:color="000000"/>
              <w:left w:val="single" w:sz="6" w:space="0" w:color="000000"/>
              <w:right w:val="single" w:sz="6" w:space="0" w:color="000000"/>
            </w:tcBorders>
          </w:tcPr>
          <w:p>
            <w:pPr>
              <w:pStyle w:val="TableParagraph"/>
              <w:spacing w:line="202" w:lineRule="exact"/>
              <w:ind w:left="23" w:right="174"/>
              <w:jc w:val="left"/>
              <w:rPr>
                <w:rFonts w:ascii="Times New Roman" w:hAnsi="Times New Roman" w:cs="Times New Roman" w:eastAsia="Times New Roman" w:hint="default"/>
                <w:sz w:val="18"/>
                <w:szCs w:val="18"/>
              </w:rPr>
            </w:pPr>
            <w:r>
              <w:rPr>
                <w:rFonts w:ascii="Times New Roman"/>
                <w:sz w:val="18"/>
              </w:rPr>
              <w:t>32.23</w:t>
            </w:r>
          </w:p>
        </w:tc>
        <w:tc>
          <w:tcPr>
            <w:tcW w:w="852" w:type="dxa"/>
            <w:vMerge w:val="restart"/>
            <w:tcBorders>
              <w:top w:val="single" w:sz="6" w:space="0" w:color="000000"/>
              <w:left w:val="single" w:sz="6" w:space="0" w:color="000000"/>
              <w:right w:val="single" w:sz="6" w:space="0" w:color="000000"/>
            </w:tcBorders>
          </w:tcPr>
          <w:p>
            <w:pPr>
              <w:pStyle w:val="TableParagraph"/>
              <w:spacing w:line="202" w:lineRule="exact"/>
              <w:ind w:left="23" w:right="123"/>
              <w:jc w:val="left"/>
              <w:rPr>
                <w:rFonts w:ascii="Times New Roman" w:hAnsi="Times New Roman" w:cs="Times New Roman" w:eastAsia="Times New Roman" w:hint="default"/>
                <w:sz w:val="18"/>
                <w:szCs w:val="18"/>
              </w:rPr>
            </w:pPr>
            <w:r>
              <w:rPr>
                <w:rFonts w:ascii="Times New Roman"/>
                <w:sz w:val="18"/>
              </w:rPr>
              <w:t>33.23</w:t>
            </w:r>
          </w:p>
        </w:tc>
        <w:tc>
          <w:tcPr>
            <w:tcW w:w="679" w:type="dxa"/>
            <w:vMerge w:val="restart"/>
            <w:tcBorders>
              <w:top w:val="single" w:sz="6" w:space="0" w:color="000000"/>
              <w:left w:val="single" w:sz="6" w:space="0" w:color="000000"/>
              <w:right w:val="single" w:sz="6" w:space="0" w:color="000000"/>
            </w:tcBorders>
          </w:tcPr>
          <w:p>
            <w:pPr>
              <w:pStyle w:val="TableParagraph"/>
              <w:spacing w:line="202" w:lineRule="exact"/>
              <w:ind w:left="21" w:right="100"/>
              <w:jc w:val="left"/>
              <w:rPr>
                <w:rFonts w:ascii="Times New Roman" w:hAnsi="Times New Roman" w:cs="Times New Roman" w:eastAsia="Times New Roman" w:hint="default"/>
                <w:sz w:val="18"/>
                <w:szCs w:val="18"/>
              </w:rPr>
            </w:pPr>
            <w:r>
              <w:rPr>
                <w:rFonts w:ascii="Times New Roman"/>
                <w:sz w:val="18"/>
              </w:rPr>
              <w:t>07.30</w:t>
            </w:r>
          </w:p>
        </w:tc>
        <w:tc>
          <w:tcPr>
            <w:tcW w:w="850" w:type="dxa"/>
            <w:vMerge w:val="restart"/>
            <w:tcBorders>
              <w:top w:val="single" w:sz="6" w:space="0" w:color="000000"/>
              <w:left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18"/>
                <w:szCs w:val="18"/>
              </w:rPr>
            </w:pPr>
          </w:p>
          <w:p>
            <w:pPr>
              <w:pStyle w:val="TableParagraph"/>
              <w:spacing w:line="240" w:lineRule="auto" w:before="11"/>
              <w:ind w:right="0"/>
              <w:jc w:val="left"/>
              <w:rPr>
                <w:rFonts w:ascii="Times New Roman" w:hAnsi="Times New Roman" w:cs="Times New Roman" w:eastAsia="Times New Roman" w:hint="default"/>
                <w:sz w:val="18"/>
                <w:szCs w:val="18"/>
              </w:rPr>
            </w:pPr>
          </w:p>
          <w:p>
            <w:pPr>
              <w:pStyle w:val="TableParagraph"/>
              <w:spacing w:line="240" w:lineRule="auto"/>
              <w:ind w:left="213" w:right="0"/>
              <w:jc w:val="left"/>
              <w:rPr>
                <w:rFonts w:ascii="Times New Roman" w:hAnsi="Times New Roman" w:cs="Times New Roman" w:eastAsia="Times New Roman" w:hint="default"/>
                <w:sz w:val="18"/>
                <w:szCs w:val="18"/>
              </w:rPr>
            </w:pPr>
            <w:r>
              <w:rPr>
                <w:rFonts w:ascii="Times New Roman"/>
                <w:sz w:val="18"/>
              </w:rPr>
              <w:t>21.00</w:t>
            </w:r>
          </w:p>
        </w:tc>
        <w:tc>
          <w:tcPr>
            <w:tcW w:w="1135" w:type="dxa"/>
            <w:vMerge w:val="restart"/>
            <w:tcBorders>
              <w:top w:val="single" w:sz="6" w:space="0" w:color="000000"/>
              <w:left w:val="single" w:sz="6" w:space="0" w:color="000000"/>
              <w:right w:val="single" w:sz="6" w:space="0" w:color="000000"/>
            </w:tcBorders>
          </w:tcPr>
          <w:p>
            <w:pPr>
              <w:pStyle w:val="TableParagraph"/>
              <w:spacing w:line="202" w:lineRule="exact"/>
              <w:ind w:left="24" w:right="205"/>
              <w:jc w:val="left"/>
              <w:rPr>
                <w:rFonts w:ascii="Times New Roman" w:hAnsi="Times New Roman" w:cs="Times New Roman" w:eastAsia="Times New Roman" w:hint="default"/>
                <w:sz w:val="18"/>
                <w:szCs w:val="18"/>
              </w:rPr>
            </w:pPr>
            <w:r>
              <w:rPr>
                <w:rFonts w:ascii="Times New Roman"/>
                <w:sz w:val="18"/>
              </w:rPr>
              <w:t>37.30</w:t>
            </w:r>
          </w:p>
        </w:tc>
        <w:tc>
          <w:tcPr>
            <w:tcW w:w="708" w:type="dxa"/>
            <w:vMerge w:val="restart"/>
            <w:tcBorders>
              <w:top w:val="single" w:sz="6" w:space="0" w:color="000000"/>
              <w:left w:val="single" w:sz="6" w:space="0" w:color="000000"/>
              <w:right w:val="single" w:sz="6" w:space="0" w:color="000000"/>
            </w:tcBorders>
          </w:tcPr>
          <w:p>
            <w:pPr>
              <w:pStyle w:val="TableParagraph"/>
              <w:spacing w:line="240" w:lineRule="auto"/>
              <w:ind w:left="307" w:right="16" w:firstLine="108"/>
              <w:jc w:val="left"/>
              <w:rPr>
                <w:rFonts w:ascii="Times New Roman" w:hAnsi="Times New Roman" w:cs="Times New Roman" w:eastAsia="Times New Roman" w:hint="default"/>
                <w:sz w:val="18"/>
                <w:szCs w:val="18"/>
              </w:rPr>
            </w:pPr>
            <w:r>
              <w:rPr>
                <w:rFonts w:ascii="Times New Roman" w:hAnsi="Times New Roman"/>
                <w:sz w:val="18"/>
              </w:rPr>
              <w:t>две пуне</w:t>
            </w:r>
          </w:p>
        </w:tc>
        <w:tc>
          <w:tcPr>
            <w:tcW w:w="708" w:type="dxa"/>
            <w:tcBorders>
              <w:top w:val="single" w:sz="6" w:space="0" w:color="000000"/>
              <w:left w:val="single" w:sz="6" w:space="0" w:color="000000"/>
              <w:bottom w:val="nil" w:sz="6" w:space="0" w:color="auto"/>
              <w:right w:val="single" w:sz="6" w:space="0" w:color="000000"/>
            </w:tcBorders>
          </w:tcPr>
          <w:p>
            <w:pPr>
              <w:pStyle w:val="TableParagraph"/>
              <w:spacing w:line="202" w:lineRule="exact"/>
              <w:ind w:right="23"/>
              <w:jc w:val="right"/>
              <w:rPr>
                <w:rFonts w:ascii="Times New Roman" w:hAnsi="Times New Roman" w:cs="Times New Roman" w:eastAsia="Times New Roman" w:hint="default"/>
                <w:sz w:val="18"/>
                <w:szCs w:val="18"/>
              </w:rPr>
            </w:pPr>
            <w:r>
              <w:rPr>
                <w:rFonts w:ascii="Times New Roman" w:hAnsi="Times New Roman"/>
                <w:spacing w:val="-1"/>
                <w:sz w:val="18"/>
              </w:rPr>
              <w:t>пуна</w:t>
            </w:r>
          </w:p>
        </w:tc>
      </w:tr>
      <w:tr>
        <w:trPr>
          <w:trHeight w:val="223" w:hRule="exact"/>
        </w:trPr>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ind w:left="21" w:right="0"/>
              <w:jc w:val="left"/>
              <w:rPr>
                <w:rFonts w:ascii="Times New Roman" w:hAnsi="Times New Roman" w:cs="Times New Roman" w:eastAsia="Times New Roman" w:hint="default"/>
                <w:sz w:val="18"/>
                <w:szCs w:val="18"/>
              </w:rPr>
            </w:pPr>
            <w:r>
              <w:rPr>
                <w:rFonts w:ascii="Times New Roman"/>
                <w:sz w:val="18"/>
              </w:rPr>
              <w:t>10.12.2014</w:t>
            </w:r>
          </w:p>
        </w:tc>
        <w:tc>
          <w:tcPr>
            <w:tcW w:w="1589" w:type="dxa"/>
            <w:vMerge/>
            <w:tcBorders>
              <w:left w:val="single" w:sz="6" w:space="0" w:color="000000"/>
              <w:bottom w:val="single" w:sz="6" w:space="0" w:color="000000"/>
              <w:right w:val="single" w:sz="6" w:space="0" w:color="000000"/>
            </w:tcBorders>
          </w:tcPr>
          <w:p>
            <w:pPr/>
          </w:p>
        </w:tc>
        <w:tc>
          <w:tcPr>
            <w:tcW w:w="660" w:type="dxa"/>
            <w:vMerge/>
            <w:tcBorders>
              <w:left w:val="single" w:sz="6" w:space="0" w:color="000000"/>
              <w:bottom w:val="single" w:sz="6" w:space="0" w:color="000000"/>
              <w:right w:val="single" w:sz="6" w:space="0" w:color="000000"/>
            </w:tcBorders>
          </w:tcPr>
          <w:p>
            <w:pPr/>
          </w:p>
        </w:tc>
        <w:tc>
          <w:tcPr>
            <w:tcW w:w="708" w:type="dxa"/>
            <w:vMerge/>
            <w:tcBorders>
              <w:left w:val="single" w:sz="6" w:space="0" w:color="000000"/>
              <w:bottom w:val="single" w:sz="6" w:space="0" w:color="000000"/>
              <w:right w:val="single" w:sz="6" w:space="0" w:color="000000"/>
            </w:tcBorders>
          </w:tcPr>
          <w:p>
            <w:pPr/>
          </w:p>
        </w:tc>
        <w:tc>
          <w:tcPr>
            <w:tcW w:w="708" w:type="dxa"/>
            <w:vMerge/>
            <w:tcBorders>
              <w:left w:val="single" w:sz="6" w:space="0" w:color="000000"/>
              <w:bottom w:val="single" w:sz="6" w:space="0" w:color="000000"/>
              <w:right w:val="single" w:sz="6" w:space="0" w:color="000000"/>
            </w:tcBorders>
          </w:tcPr>
          <w:p>
            <w:pPr/>
          </w:p>
        </w:tc>
        <w:tc>
          <w:tcPr>
            <w:tcW w:w="852" w:type="dxa"/>
            <w:vMerge/>
            <w:tcBorders>
              <w:left w:val="single" w:sz="6" w:space="0" w:color="000000"/>
              <w:bottom w:val="single" w:sz="6" w:space="0" w:color="000000"/>
              <w:right w:val="single" w:sz="6" w:space="0" w:color="000000"/>
            </w:tcBorders>
          </w:tcPr>
          <w:p>
            <w:pPr/>
          </w:p>
        </w:tc>
        <w:tc>
          <w:tcPr>
            <w:tcW w:w="679" w:type="dxa"/>
            <w:vMerge/>
            <w:tcBorders>
              <w:left w:val="single" w:sz="6" w:space="0" w:color="000000"/>
              <w:bottom w:val="single" w:sz="6" w:space="0" w:color="000000"/>
              <w:right w:val="single" w:sz="6" w:space="0" w:color="000000"/>
            </w:tcBorders>
          </w:tcPr>
          <w:p>
            <w:pPr/>
          </w:p>
        </w:tc>
        <w:tc>
          <w:tcPr>
            <w:tcW w:w="850" w:type="dxa"/>
            <w:vMerge/>
            <w:tcBorders>
              <w:left w:val="single" w:sz="6" w:space="0" w:color="000000"/>
              <w:bottom w:val="single" w:sz="6" w:space="0" w:color="000000"/>
              <w:right w:val="single" w:sz="6" w:space="0" w:color="000000"/>
            </w:tcBorders>
          </w:tcPr>
          <w:p>
            <w:pPr/>
          </w:p>
        </w:tc>
        <w:tc>
          <w:tcPr>
            <w:tcW w:w="1135" w:type="dxa"/>
            <w:vMerge/>
            <w:tcBorders>
              <w:left w:val="single" w:sz="6" w:space="0" w:color="000000"/>
              <w:bottom w:val="single" w:sz="6" w:space="0" w:color="000000"/>
              <w:right w:val="single" w:sz="6" w:space="0" w:color="000000"/>
            </w:tcBorders>
          </w:tcPr>
          <w:p>
            <w:pPr/>
          </w:p>
        </w:tc>
        <w:tc>
          <w:tcPr>
            <w:tcW w:w="708" w:type="dxa"/>
            <w:vMerge/>
            <w:tcBorders>
              <w:left w:val="single" w:sz="6" w:space="0" w:color="000000"/>
              <w:bottom w:val="single" w:sz="6" w:space="0" w:color="000000"/>
              <w:right w:val="single" w:sz="6" w:space="0" w:color="000000"/>
            </w:tcBorders>
          </w:tcPr>
          <w:p>
            <w:pPr/>
          </w:p>
        </w:tc>
        <w:tc>
          <w:tcPr>
            <w:tcW w:w="708" w:type="dxa"/>
            <w:tcBorders>
              <w:top w:val="nil" w:sz="6" w:space="0" w:color="auto"/>
              <w:left w:val="single" w:sz="6" w:space="0" w:color="000000"/>
              <w:bottom w:val="single" w:sz="6" w:space="0" w:color="000000"/>
              <w:right w:val="single" w:sz="6" w:space="0" w:color="000000"/>
            </w:tcBorders>
          </w:tcPr>
          <w:p>
            <w:pPr>
              <w:pStyle w:val="TableParagraph"/>
              <w:spacing w:line="240" w:lineRule="auto" w:before="4"/>
              <w:ind w:right="21"/>
              <w:jc w:val="right"/>
              <w:rPr>
                <w:rFonts w:ascii="Times New Roman" w:hAnsi="Times New Roman" w:cs="Times New Roman" w:eastAsia="Times New Roman" w:hint="default"/>
                <w:sz w:val="18"/>
                <w:szCs w:val="18"/>
              </w:rPr>
            </w:pPr>
            <w:r>
              <w:rPr>
                <w:rFonts w:ascii="Times New Roman" w:hAnsi="Times New Roman"/>
                <w:spacing w:val="-1"/>
                <w:sz w:val="18"/>
              </w:rPr>
              <w:t>пола</w:t>
            </w:r>
          </w:p>
        </w:tc>
      </w:tr>
      <w:tr>
        <w:trPr>
          <w:trHeight w:val="300" w:hRule="exact"/>
        </w:trPr>
        <w:tc>
          <w:tcPr>
            <w:tcW w:w="900" w:type="dxa"/>
            <w:tcBorders>
              <w:top w:val="single" w:sz="6" w:space="0" w:color="000000"/>
              <w:left w:val="single" w:sz="6" w:space="0" w:color="000000"/>
              <w:bottom w:val="single" w:sz="6" w:space="0" w:color="000000"/>
              <w:right w:val="single" w:sz="6" w:space="0" w:color="000000"/>
            </w:tcBorders>
          </w:tcPr>
          <w:p>
            <w:pPr>
              <w:pStyle w:val="TableParagraph"/>
              <w:spacing w:line="202" w:lineRule="exact"/>
              <w:ind w:left="21" w:right="0"/>
              <w:jc w:val="left"/>
              <w:rPr>
                <w:rFonts w:ascii="Times New Roman" w:hAnsi="Times New Roman" w:cs="Times New Roman" w:eastAsia="Times New Roman" w:hint="default"/>
                <w:sz w:val="18"/>
                <w:szCs w:val="18"/>
              </w:rPr>
            </w:pPr>
            <w:r>
              <w:rPr>
                <w:rFonts w:ascii="Times New Roman"/>
                <w:sz w:val="18"/>
              </w:rPr>
              <w:t>12.12.2014</w:t>
            </w:r>
          </w:p>
        </w:tc>
        <w:tc>
          <w:tcPr>
            <w:tcW w:w="1589" w:type="dxa"/>
            <w:tcBorders>
              <w:top w:val="single" w:sz="6" w:space="0" w:color="000000"/>
              <w:left w:val="single" w:sz="6" w:space="0" w:color="000000"/>
              <w:bottom w:val="single" w:sz="6" w:space="0" w:color="000000"/>
              <w:right w:val="single" w:sz="6" w:space="0" w:color="000000"/>
            </w:tcBorders>
          </w:tcPr>
          <w:p>
            <w:pPr>
              <w:pStyle w:val="TableParagraph"/>
              <w:spacing w:line="202" w:lineRule="exact"/>
              <w:ind w:left="10" w:right="81"/>
              <w:jc w:val="center"/>
              <w:rPr>
                <w:rFonts w:ascii="Times New Roman" w:hAnsi="Times New Roman" w:cs="Times New Roman" w:eastAsia="Times New Roman" w:hint="default"/>
                <w:sz w:val="18"/>
                <w:szCs w:val="18"/>
              </w:rPr>
            </w:pPr>
            <w:r>
              <w:rPr>
                <w:rFonts w:ascii="Times New Roman" w:hAnsi="Times New Roman"/>
                <w:sz w:val="18"/>
              </w:rPr>
              <w:t>Ниш</w:t>
            </w:r>
            <w:r>
              <w:rPr>
                <w:rFonts w:ascii="Times New Roman" w:hAnsi="Times New Roman"/>
                <w:sz w:val="18"/>
              </w:rPr>
              <w:t>-</w:t>
            </w:r>
            <w:r>
              <w:rPr>
                <w:rFonts w:ascii="Times New Roman" w:hAnsi="Times New Roman"/>
                <w:sz w:val="18"/>
              </w:rPr>
              <w:t>Београд</w:t>
            </w:r>
            <w:r>
              <w:rPr>
                <w:rFonts w:ascii="Times New Roman" w:hAnsi="Times New Roman"/>
                <w:sz w:val="18"/>
              </w:rPr>
              <w:t>-</w:t>
            </w:r>
            <w:r>
              <w:rPr>
                <w:rFonts w:ascii="Times New Roman" w:hAnsi="Times New Roman"/>
                <w:sz w:val="18"/>
              </w:rPr>
              <w:t>Ниш</w:t>
            </w:r>
          </w:p>
        </w:tc>
        <w:tc>
          <w:tcPr>
            <w:tcW w:w="660" w:type="dxa"/>
            <w:tcBorders>
              <w:top w:val="single" w:sz="6" w:space="0" w:color="000000"/>
              <w:left w:val="single" w:sz="6" w:space="0" w:color="000000"/>
              <w:bottom w:val="single" w:sz="6" w:space="0" w:color="000000"/>
              <w:right w:val="single" w:sz="6" w:space="0" w:color="000000"/>
            </w:tcBorders>
          </w:tcPr>
          <w:p>
            <w:pPr>
              <w:pStyle w:val="TableParagraph"/>
              <w:spacing w:line="202" w:lineRule="exact"/>
              <w:ind w:left="107" w:right="107"/>
              <w:jc w:val="center"/>
              <w:rPr>
                <w:rFonts w:ascii="Times New Roman" w:hAnsi="Times New Roman" w:cs="Times New Roman" w:eastAsia="Times New Roman" w:hint="default"/>
                <w:sz w:val="18"/>
                <w:szCs w:val="18"/>
              </w:rPr>
            </w:pPr>
            <w:r>
              <w:rPr>
                <w:rFonts w:ascii="Times New Roman"/>
                <w:sz w:val="18"/>
              </w:rPr>
              <w:t>07.56</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2" w:lineRule="exact"/>
              <w:ind w:left="129" w:right="130"/>
              <w:jc w:val="center"/>
              <w:rPr>
                <w:rFonts w:ascii="Times New Roman" w:hAnsi="Times New Roman" w:cs="Times New Roman" w:eastAsia="Times New Roman" w:hint="default"/>
                <w:sz w:val="18"/>
                <w:szCs w:val="18"/>
              </w:rPr>
            </w:pPr>
            <w:r>
              <w:rPr>
                <w:rFonts w:ascii="Times New Roman"/>
                <w:sz w:val="18"/>
              </w:rPr>
              <w:t>17.11</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2" w:lineRule="exact"/>
              <w:ind w:left="131" w:right="131"/>
              <w:jc w:val="center"/>
              <w:rPr>
                <w:rFonts w:ascii="Times New Roman" w:hAnsi="Times New Roman" w:cs="Times New Roman" w:eastAsia="Times New Roman" w:hint="default"/>
                <w:sz w:val="18"/>
                <w:szCs w:val="18"/>
              </w:rPr>
            </w:pPr>
            <w:r>
              <w:rPr>
                <w:rFonts w:ascii="Times New Roman"/>
                <w:sz w:val="18"/>
              </w:rPr>
              <w:t>09.07</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line="202" w:lineRule="exact"/>
              <w:ind w:left="203" w:right="203"/>
              <w:jc w:val="center"/>
              <w:rPr>
                <w:rFonts w:ascii="Times New Roman" w:hAnsi="Times New Roman" w:cs="Times New Roman" w:eastAsia="Times New Roman" w:hint="default"/>
                <w:sz w:val="18"/>
                <w:szCs w:val="18"/>
              </w:rPr>
            </w:pPr>
            <w:r>
              <w:rPr>
                <w:rFonts w:ascii="Times New Roman"/>
                <w:sz w:val="18"/>
              </w:rPr>
              <w:t>10.07</w:t>
            </w:r>
          </w:p>
        </w:tc>
        <w:tc>
          <w:tcPr>
            <w:tcW w:w="679" w:type="dxa"/>
            <w:tcBorders>
              <w:top w:val="single" w:sz="6" w:space="0" w:color="000000"/>
              <w:left w:val="single" w:sz="6" w:space="0" w:color="000000"/>
              <w:bottom w:val="single" w:sz="6" w:space="0" w:color="000000"/>
              <w:right w:val="single" w:sz="6" w:space="0" w:color="000000"/>
            </w:tcBorders>
          </w:tcPr>
          <w:p>
            <w:pPr>
              <w:pStyle w:val="TableParagraph"/>
              <w:spacing w:line="202" w:lineRule="exact"/>
              <w:ind w:left="21" w:right="22"/>
              <w:jc w:val="center"/>
              <w:rPr>
                <w:rFonts w:ascii="Times New Roman" w:hAnsi="Times New Roman" w:cs="Times New Roman" w:eastAsia="Times New Roman" w:hint="default"/>
                <w:sz w:val="18"/>
                <w:szCs w:val="18"/>
              </w:rPr>
            </w:pPr>
            <w:r>
              <w:rPr>
                <w:rFonts w:ascii="Times New Roman"/>
                <w:sz w:val="18"/>
              </w:rPr>
              <w:t>07.30</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spacing w:line="202" w:lineRule="exact"/>
              <w:ind w:left="61" w:right="61"/>
              <w:jc w:val="center"/>
              <w:rPr>
                <w:rFonts w:ascii="Times New Roman" w:hAnsi="Times New Roman" w:cs="Times New Roman" w:eastAsia="Times New Roman" w:hint="default"/>
                <w:sz w:val="18"/>
                <w:szCs w:val="18"/>
              </w:rPr>
            </w:pPr>
            <w:r>
              <w:rPr>
                <w:rFonts w:ascii="Times New Roman"/>
                <w:sz w:val="18"/>
              </w:rPr>
              <w:t>20.30</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line="202" w:lineRule="exact"/>
              <w:ind w:left="357" w:right="205"/>
              <w:jc w:val="left"/>
              <w:rPr>
                <w:rFonts w:ascii="Times New Roman" w:hAnsi="Times New Roman" w:cs="Times New Roman" w:eastAsia="Times New Roman" w:hint="default"/>
                <w:sz w:val="18"/>
                <w:szCs w:val="18"/>
              </w:rPr>
            </w:pPr>
            <w:r>
              <w:rPr>
                <w:rFonts w:ascii="Times New Roman"/>
                <w:sz w:val="18"/>
              </w:rPr>
              <w:t>13.00</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2" w:lineRule="exact"/>
              <w:ind w:right="23"/>
              <w:jc w:val="right"/>
              <w:rPr>
                <w:rFonts w:ascii="Times New Roman" w:hAnsi="Times New Roman" w:cs="Times New Roman" w:eastAsia="Times New Roman" w:hint="default"/>
                <w:sz w:val="18"/>
                <w:szCs w:val="18"/>
              </w:rPr>
            </w:pPr>
            <w:r>
              <w:rPr>
                <w:rFonts w:ascii="Times New Roman" w:hAnsi="Times New Roman"/>
                <w:spacing w:val="-1"/>
                <w:sz w:val="18"/>
              </w:rPr>
              <w:t>пуна</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2" w:lineRule="exact"/>
              <w:ind w:right="21"/>
              <w:jc w:val="right"/>
              <w:rPr>
                <w:rFonts w:ascii="Times New Roman" w:hAnsi="Times New Roman" w:cs="Times New Roman" w:eastAsia="Times New Roman" w:hint="default"/>
                <w:sz w:val="18"/>
                <w:szCs w:val="18"/>
              </w:rPr>
            </w:pPr>
            <w:r>
              <w:rPr>
                <w:rFonts w:ascii="Times New Roman" w:hAnsi="Times New Roman"/>
                <w:spacing w:val="-1"/>
                <w:sz w:val="18"/>
              </w:rPr>
              <w:t>пола</w:t>
            </w:r>
          </w:p>
        </w:tc>
      </w:tr>
      <w:tr>
        <w:trPr>
          <w:trHeight w:val="300" w:hRule="exact"/>
        </w:trPr>
        <w:tc>
          <w:tcPr>
            <w:tcW w:w="8082" w:type="dxa"/>
            <w:gridSpan w:val="9"/>
            <w:tcBorders>
              <w:top w:val="single" w:sz="6" w:space="0" w:color="000000"/>
              <w:left w:val="single" w:sz="6" w:space="0" w:color="000000"/>
              <w:bottom w:val="single" w:sz="6" w:space="0" w:color="000000"/>
              <w:right w:val="single" w:sz="6" w:space="0" w:color="000000"/>
            </w:tcBorders>
          </w:tcPr>
          <w:p>
            <w:pPr>
              <w:pStyle w:val="TableParagraph"/>
              <w:spacing w:line="202" w:lineRule="exact"/>
              <w:ind w:left="21" w:right="0"/>
              <w:jc w:val="left"/>
              <w:rPr>
                <w:rFonts w:ascii="Times New Roman" w:hAnsi="Times New Roman" w:cs="Times New Roman" w:eastAsia="Times New Roman" w:hint="default"/>
                <w:sz w:val="18"/>
                <w:szCs w:val="18"/>
              </w:rPr>
            </w:pPr>
            <w:r>
              <w:rPr>
                <w:rFonts w:ascii="Times New Roman" w:hAnsi="Times New Roman"/>
                <w:sz w:val="18"/>
              </w:rPr>
              <w:t>укупно</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2" w:lineRule="exact"/>
              <w:ind w:right="22"/>
              <w:jc w:val="right"/>
              <w:rPr>
                <w:rFonts w:ascii="Times New Roman" w:hAnsi="Times New Roman" w:cs="Times New Roman" w:eastAsia="Times New Roman" w:hint="default"/>
                <w:sz w:val="18"/>
                <w:szCs w:val="18"/>
              </w:rPr>
            </w:pPr>
            <w:r>
              <w:rPr>
                <w:rFonts w:ascii="Times New Roman"/>
                <w:sz w:val="18"/>
              </w:rPr>
              <w:t>44</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02" w:lineRule="exact"/>
              <w:ind w:right="19"/>
              <w:jc w:val="right"/>
              <w:rPr>
                <w:rFonts w:ascii="Times New Roman" w:hAnsi="Times New Roman" w:cs="Times New Roman" w:eastAsia="Times New Roman" w:hint="default"/>
                <w:sz w:val="18"/>
                <w:szCs w:val="18"/>
              </w:rPr>
            </w:pPr>
            <w:r>
              <w:rPr>
                <w:rFonts w:ascii="Times New Roman"/>
                <w:sz w:val="18"/>
              </w:rPr>
              <w:t>17</w:t>
            </w:r>
          </w:p>
        </w:tc>
      </w:tr>
    </w:tbl>
    <w:p>
      <w:pPr>
        <w:pStyle w:val="Heading2"/>
        <w:spacing w:line="240" w:lineRule="auto" w:before="0"/>
        <w:ind w:left="400" w:right="176"/>
        <w:jc w:val="both"/>
        <w:rPr>
          <w:b w:val="0"/>
          <w:bCs w:val="0"/>
          <w:i w:val="0"/>
        </w:rPr>
      </w:pPr>
      <w:r>
        <w:rPr>
          <w:i/>
        </w:rPr>
        <w:t>Препоручује се одговорним лицима да интерним контролним поступцима онемогуће обрачун и исплату у случају када путни налог не садржи све потребне податке, непостојања писаног извештаја о обављеном службеном путовању, правдање путних налога врше у прописаном року, обезбеде да се сваки расход заснива на валидној рачуноводственој исправи, исплату дневница за службено путовање врше само за потребе обављања службеног посла запосленог ван места редовног запослења.</w:t>
      </w:r>
      <w:r>
        <w:rPr>
          <w:b w:val="0"/>
          <w:i w:val="0"/>
        </w:rPr>
      </w:r>
    </w:p>
    <w:p>
      <w:pPr>
        <w:pStyle w:val="BodyText"/>
        <w:spacing w:line="240" w:lineRule="auto"/>
        <w:ind w:left="400" w:right="174" w:firstLine="566"/>
        <w:jc w:val="both"/>
      </w:pPr>
      <w:r>
        <w:rPr>
          <w:rFonts w:ascii="Times New Roman" w:hAnsi="Times New Roman"/>
        </w:rPr>
      </w:r>
      <w:r>
        <w:rPr>
          <w:rFonts w:ascii="Times New Roman" w:hAnsi="Times New Roman"/>
          <w:spacing w:val="-60"/>
          <w:u w:val="single" w:color="000000"/>
        </w:rPr>
        <w:t> </w:t>
      </w:r>
      <w:r>
        <w:rPr>
          <w:u w:val="single" w:color="000000"/>
        </w:rPr>
        <w:t>Трошкови службених путовања у иностранству, синтетички конто 4222</w:t>
      </w:r>
      <w:r>
        <w:rPr>
          <w:rFonts w:ascii="Times New Roman" w:hAnsi="Times New Roman"/>
          <w:u w:val="single" w:color="000000"/>
        </w:rPr>
        <w:t>00 </w:t>
      </w:r>
      <w:r>
        <w:rPr>
          <w:rFonts w:ascii="Times New Roman" w:hAnsi="Times New Roman"/>
        </w:rPr>
      </w:r>
      <w:r>
        <w:rPr>
          <w:rFonts w:ascii="Times New Roman" w:hAnsi="Times New Roman"/>
          <w:b/>
        </w:rPr>
        <w:t>- </w:t>
      </w:r>
      <w:r>
        <w:rPr/>
        <w:t>На овом конту исказани су расходи у износу од 136 хиљада динара (дневнице 33 хиљаде динара и остали трошкови за пословна путовања у иностранству у износу од 103 хиљаде</w:t>
      </w:r>
      <w:r>
        <w:rPr>
          <w:spacing w:val="-26"/>
        </w:rPr>
        <w:t> </w:t>
      </w:r>
      <w:r>
        <w:rPr/>
        <w:t>динара).</w:t>
      </w:r>
    </w:p>
    <w:p>
      <w:pPr>
        <w:pStyle w:val="Heading1"/>
        <w:spacing w:line="275" w:lineRule="exact"/>
        <w:ind w:left="966" w:right="0"/>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32"/>
        </w:numPr>
        <w:tabs>
          <w:tab w:pos="543" w:val="left" w:leader="none"/>
        </w:tabs>
        <w:spacing w:line="240" w:lineRule="auto" w:before="0" w:after="0"/>
        <w:ind w:left="400" w:right="175" w:firstLine="0"/>
        <w:jc w:val="both"/>
        <w:rPr>
          <w:rFonts w:ascii="Times New Roman" w:hAnsi="Times New Roman" w:cs="Times New Roman" w:eastAsia="Times New Roman" w:hint="default"/>
          <w:sz w:val="24"/>
          <w:szCs w:val="24"/>
        </w:rPr>
      </w:pPr>
      <w:r>
        <w:rPr>
          <w:rFonts w:ascii="Times New Roman" w:hAnsi="Times New Roman"/>
          <w:sz w:val="24"/>
        </w:rPr>
        <w:t>Путни налог за службени пут шефа Одсека за заштиту животне средине у Тирану по Решењу Градоначелника број 1011/2014</w:t>
      </w:r>
      <w:r>
        <w:rPr>
          <w:rFonts w:ascii="Times New Roman" w:hAnsi="Times New Roman"/>
          <w:sz w:val="24"/>
        </w:rPr>
        <w:t>-</w:t>
      </w:r>
      <w:r>
        <w:rPr>
          <w:rFonts w:ascii="Times New Roman" w:hAnsi="Times New Roman"/>
          <w:sz w:val="24"/>
        </w:rPr>
        <w:t>01 од 24.03.2014. године и обрачун по путном налогу, у поступку ревизије на захтев ревизора, није дат на увид, нити је достављена изјава запосленог којом се одриче права на исплату дневнице за службено путовање у иностранство.</w:t>
      </w:r>
    </w:p>
    <w:p>
      <w:pPr>
        <w:pStyle w:val="ListParagraph"/>
        <w:numPr>
          <w:ilvl w:val="0"/>
          <w:numId w:val="32"/>
        </w:numPr>
        <w:tabs>
          <w:tab w:pos="543" w:val="left" w:leader="none"/>
        </w:tabs>
        <w:spacing w:line="240" w:lineRule="auto" w:before="2" w:after="0"/>
        <w:ind w:left="400" w:right="178" w:firstLine="0"/>
        <w:jc w:val="both"/>
        <w:rPr>
          <w:rFonts w:ascii="Times New Roman" w:hAnsi="Times New Roman" w:cs="Times New Roman" w:eastAsia="Times New Roman" w:hint="default"/>
          <w:sz w:val="24"/>
          <w:szCs w:val="24"/>
        </w:rPr>
      </w:pPr>
      <w:r>
        <w:rPr>
          <w:rFonts w:ascii="Times New Roman" w:hAnsi="Times New Roman"/>
          <w:sz w:val="24"/>
        </w:rPr>
        <w:t>Повраћај дела исплаћене аконтације за службено путовање у Тирану обављено у периоду од 31.03.2014. године до 02.04.2014. године, по обрачуну путног налога  за возача број </w:t>
      </w:r>
      <w:r>
        <w:rPr>
          <w:rFonts w:ascii="Times New Roman" w:hAnsi="Times New Roman"/>
          <w:sz w:val="24"/>
        </w:rPr>
        <w:t>114-1-</w:t>
      </w:r>
      <w:r>
        <w:rPr>
          <w:rFonts w:ascii="Times New Roman" w:hAnsi="Times New Roman"/>
          <w:sz w:val="24"/>
        </w:rPr>
        <w:t>247/2014 од 25.03.2014. године у износу од 15 америчких долара извршен је дана 22.04.2014. године и у износу од 120 евра дана 29.04.2014. године, односно у року дужем од седам дана по обављеном путовању, што је супротно члану 30. Уредбе о накнади трошова и отпремнини државних службеника и намештеника и  </w:t>
      </w:r>
      <w:r>
        <w:rPr>
          <w:rFonts w:ascii="Times New Roman" w:hAnsi="Times New Roman"/>
          <w:spacing w:val="37"/>
          <w:sz w:val="24"/>
        </w:rPr>
        <w:t> </w:t>
      </w:r>
      <w:r>
        <w:rPr>
          <w:rFonts w:ascii="Times New Roman" w:hAnsi="Times New Roman"/>
          <w:sz w:val="24"/>
        </w:rPr>
        <w:t>члану</w:t>
      </w:r>
    </w:p>
    <w:p>
      <w:pPr>
        <w:pStyle w:val="BodyText"/>
        <w:spacing w:line="240" w:lineRule="auto"/>
        <w:ind w:left="400" w:right="0"/>
        <w:jc w:val="both"/>
      </w:pPr>
      <w:r>
        <w:rPr/>
        <w:t>37.   Одлуке   о   накнадама,   додацима   на   плату   и   другим   примањима    </w:t>
      </w:r>
      <w:r>
        <w:rPr>
          <w:spacing w:val="2"/>
        </w:rPr>
        <w:t> </w:t>
      </w:r>
      <w:r>
        <w:rPr/>
        <w:t>изабраних,</w:t>
      </w:r>
    </w:p>
    <w:p>
      <w:pPr>
        <w:spacing w:after="0" w:line="240" w:lineRule="auto"/>
        <w:jc w:val="both"/>
        <w:sectPr>
          <w:pgSz w:w="12240" w:h="15840"/>
          <w:pgMar w:header="740" w:footer="1274" w:top="1280" w:bottom="1460" w:left="1160" w:right="1260"/>
        </w:sectPr>
      </w:pPr>
    </w:p>
    <w:p>
      <w:pPr>
        <w:pStyle w:val="BodyText"/>
        <w:spacing w:line="240" w:lineRule="auto" w:before="122"/>
        <w:ind w:right="177"/>
        <w:jc w:val="both"/>
      </w:pPr>
      <w:r>
        <w:rPr/>
        <w:t>постављених и запослених лица у органима и службама града (извештај не садржи датум састављања).</w:t>
      </w:r>
    </w:p>
    <w:p>
      <w:pPr>
        <w:pStyle w:val="ListParagraph"/>
        <w:numPr>
          <w:ilvl w:val="0"/>
          <w:numId w:val="9"/>
        </w:numPr>
        <w:tabs>
          <w:tab w:pos="303"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Повраћај девизних средстава по обављеном службеном путовању у Тирану на име неискоришћене аконтације, у износу од 15 америчких долара и 120 евра  није евидентиран у пословним књигама града Ниша нити је за дане када је извршен повраћај састављен дневник девизне благајне, већ се девизна средства налазе у благајни (што је утврђено годишњим пописом за 2014. годину али и пописом благајне извршеним дана 04.06.2015. године од стране ревизора), што је супротно члану 16. Уредбе о буџетском рачуноводству.</w:t>
      </w:r>
    </w:p>
    <w:p>
      <w:pPr>
        <w:pStyle w:val="ListParagraph"/>
        <w:numPr>
          <w:ilvl w:val="0"/>
          <w:numId w:val="9"/>
        </w:numPr>
        <w:tabs>
          <w:tab w:pos="303" w:val="left" w:leader="none"/>
        </w:tabs>
        <w:spacing w:line="240" w:lineRule="auto" w:before="2"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За извршени повраћај у благајну девизних средстава по обављеном службеном путовању у Тирану од стране запосленог, као рачуноводствена исправа састављен је налог благајни исплатите, уместо налог благајни наплатите јер је запослени неискоришћену аконтацију у девизама</w:t>
      </w:r>
      <w:r>
        <w:rPr>
          <w:rFonts w:ascii="Times New Roman" w:hAnsi="Times New Roman"/>
          <w:spacing w:val="-20"/>
          <w:sz w:val="24"/>
        </w:rPr>
        <w:t> </w:t>
      </w:r>
      <w:r>
        <w:rPr>
          <w:rFonts w:ascii="Times New Roman" w:hAnsi="Times New Roman"/>
          <w:sz w:val="24"/>
        </w:rPr>
        <w:t>вратио.</w:t>
      </w:r>
    </w:p>
    <w:p>
      <w:pPr>
        <w:pStyle w:val="ListParagraph"/>
        <w:numPr>
          <w:ilvl w:val="0"/>
          <w:numId w:val="9"/>
        </w:numPr>
        <w:tabs>
          <w:tab w:pos="303" w:val="left" w:leader="none"/>
        </w:tabs>
        <w:spacing w:line="240" w:lineRule="auto" w:before="2"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Расход на име трошкова дневница за службено путовање у иностранство евидентиран је у моменту купопродаје девиза (уплатом са рачуна извршења буџета на рачун банке за куповину девиза дана 13.10. и 03.11.2014. године), уместо у моменту исплате аконтације запосленом са благајне, што је супротно члану 56. Закона о буџетском систему и члану 5. Уредбе о буџетском</w:t>
      </w:r>
      <w:r>
        <w:rPr>
          <w:rFonts w:ascii="Times New Roman" w:hAnsi="Times New Roman"/>
          <w:spacing w:val="-11"/>
          <w:sz w:val="24"/>
        </w:rPr>
        <w:t> </w:t>
      </w:r>
      <w:r>
        <w:rPr>
          <w:rFonts w:ascii="Times New Roman" w:hAnsi="Times New Roman"/>
          <w:sz w:val="24"/>
        </w:rPr>
        <w:t>рачуноводству.</w:t>
      </w:r>
    </w:p>
    <w:p>
      <w:pPr>
        <w:pStyle w:val="Heading2"/>
        <w:spacing w:line="240" w:lineRule="auto"/>
        <w:ind w:right="173" w:firstLine="578"/>
        <w:jc w:val="both"/>
        <w:rPr>
          <w:b w:val="0"/>
          <w:bCs w:val="0"/>
          <w:i w:val="0"/>
        </w:rPr>
      </w:pPr>
      <w:r>
        <w:rPr>
          <w:i/>
        </w:rPr>
        <w:t>Препоручује се одговорним лицима да интерним контролним поступцима онемогуће обрачун и исплату у случају када путни налог не садржи све потребне податке, затим писани извештај о обављеном службеном путовању, правдање путних налога врше у прописаном року, обезбеде да се сваки расход из буџета заснива на валидној рачуноводственој исправи, обезбеде правилну примену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ListParagraph"/>
        <w:numPr>
          <w:ilvl w:val="4"/>
          <w:numId w:val="31"/>
        </w:numPr>
        <w:tabs>
          <w:tab w:pos="1006" w:val="left" w:leader="none"/>
        </w:tabs>
        <w:spacing w:line="240" w:lineRule="auto" w:before="134" w:after="0"/>
        <w:ind w:left="160" w:right="176" w:firstLine="578"/>
        <w:jc w:val="both"/>
        <w:rPr>
          <w:rFonts w:ascii="Times New Roman" w:hAnsi="Times New Roman" w:cs="Times New Roman" w:eastAsia="Times New Roman" w:hint="default"/>
          <w:sz w:val="24"/>
          <w:szCs w:val="24"/>
        </w:rPr>
      </w:pPr>
      <w:r>
        <w:rPr>
          <w:rFonts w:ascii="Times New Roman" w:hAnsi="Times New Roman"/>
          <w:b/>
          <w:sz w:val="24"/>
        </w:rPr>
        <w:t>Управа за образовање </w:t>
      </w:r>
      <w:r>
        <w:rPr>
          <w:rFonts w:ascii="Times New Roman" w:hAnsi="Times New Roman"/>
          <w:sz w:val="24"/>
        </w:rPr>
        <w:t>- </w:t>
      </w:r>
      <w:r>
        <w:rPr>
          <w:rFonts w:ascii="Times New Roman" w:hAnsi="Times New Roman"/>
          <w:sz w:val="24"/>
        </w:rPr>
        <w:t>Исказано је извршење у укупном износу од 635 хиљада динара и то из средстава из осталих извора. Исказани расход се у износу од 570 хиљада динара односи на индиректног корисника ПУ Пчелица</w:t>
      </w:r>
      <w:r>
        <w:rPr>
          <w:rFonts w:ascii="Times New Roman" w:hAnsi="Times New Roman"/>
          <w:sz w:val="24"/>
        </w:rPr>
        <w:t>, </w:t>
      </w:r>
      <w:r>
        <w:rPr>
          <w:rFonts w:ascii="Times New Roman" w:hAnsi="Times New Roman"/>
          <w:sz w:val="24"/>
        </w:rPr>
        <w:t>у износу од 33 хиљаде динара на Дечији центар и у износу од 32 хиљаде динара код Регионалног центра за професионални развој запослених у</w:t>
      </w:r>
      <w:r>
        <w:rPr>
          <w:rFonts w:ascii="Times New Roman" w:hAnsi="Times New Roman"/>
          <w:spacing w:val="-13"/>
          <w:sz w:val="24"/>
        </w:rPr>
        <w:t> </w:t>
      </w:r>
      <w:r>
        <w:rPr>
          <w:rFonts w:ascii="Times New Roman" w:hAnsi="Times New Roman"/>
          <w:sz w:val="24"/>
        </w:rPr>
        <w:t>образовању.</w:t>
      </w:r>
    </w:p>
    <w:p>
      <w:pPr>
        <w:pStyle w:val="BodyText"/>
        <w:spacing w:line="240" w:lineRule="auto"/>
        <w:ind w:right="177" w:firstLine="578"/>
        <w:jc w:val="both"/>
      </w:pPr>
      <w:r>
        <w:rPr>
          <w:rFonts w:ascii="Times New Roman" w:hAnsi="Times New Roman" w:cs="Times New Roman" w:eastAsia="Times New Roman" w:hint="default"/>
          <w:b/>
          <w:bCs/>
        </w:rPr>
        <w:t>4а) ПУ Пчелица </w:t>
      </w:r>
      <w:r>
        <w:rPr/>
        <w:t>– Исказан је расход у износу од 570 хиљада динара и то на терет буџета Републике у износу од 162 хиљаде динара и из осталих извора у износу од 408 хиљада</w:t>
      </w:r>
      <w:r>
        <w:rPr>
          <w:spacing w:val="-3"/>
        </w:rPr>
        <w:t> </w:t>
      </w:r>
      <w:r>
        <w:rPr/>
        <w:t>динара.</w:t>
      </w:r>
    </w:p>
    <w:p>
      <w:pPr>
        <w:pStyle w:val="BodyText"/>
        <w:spacing w:line="240" w:lineRule="auto"/>
        <w:ind w:right="174" w:firstLine="578"/>
        <w:jc w:val="both"/>
        <w:rPr>
          <w:rFonts w:ascii="Times New Roman" w:hAnsi="Times New Roman" w:cs="Times New Roman" w:eastAsia="Times New Roman" w:hint="default"/>
        </w:rPr>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Трошкови службених путовања у земљи, синтетички конто 422100 </w:t>
      </w:r>
      <w:r>
        <w:rPr/>
        <w:t>– Исказан је </w:t>
      </w:r>
      <w:r>
        <w:rPr/>
        <w:t>расход у износу од 570 хиљада динара и то из средстава из осталих извора, од којих за трошкове дневница (исхране) на службеном путу у износу од 289 хиљада</w:t>
      </w:r>
      <w:r>
        <w:rPr>
          <w:spacing w:val="-16"/>
        </w:rPr>
        <w:t> </w:t>
      </w:r>
      <w:r>
        <w:rPr/>
        <w:t>динара</w:t>
      </w:r>
      <w:r>
        <w:rPr>
          <w:rFonts w:ascii="Times New Roman" w:hAnsi="Times New Roman" w:cs="Times New Roman" w:eastAsia="Times New Roman" w:hint="default"/>
        </w:rPr>
        <w:t>.</w:t>
      </w:r>
    </w:p>
    <w:p>
      <w:pPr>
        <w:pStyle w:val="BodyText"/>
        <w:spacing w:line="240" w:lineRule="auto"/>
        <w:ind w:right="181" w:firstLine="566"/>
        <w:jc w:val="both"/>
      </w:pPr>
      <w:r>
        <w:rPr/>
        <w:t>Исплата накнаде запосленима на име дневнице за време проведено на службеном путу у земљи у 2014. години у ПУ Пчелица вршена је на основу Одлуке директора број 2955 од 12.04.2013. године.</w:t>
      </w:r>
    </w:p>
    <w:p>
      <w:pPr>
        <w:pStyle w:val="BodyText"/>
        <w:spacing w:line="240" w:lineRule="auto"/>
        <w:ind w:right="183" w:firstLine="566"/>
        <w:jc w:val="both"/>
      </w:pPr>
      <w:r>
        <w:rPr/>
        <w:t>ПУ Пчелица је у 2015. години регулисала право запосленог на накнаду путних трошкова за службено путовање у земљи и иностранству доношењем Правилника о накнади путних трошкова за службено путовање у земљи и иностранству од стране Управног одбора, број 568 од 29.01.2015.</w:t>
      </w:r>
      <w:r>
        <w:rPr>
          <w:spacing w:val="-4"/>
        </w:rPr>
        <w:t> </w:t>
      </w:r>
      <w:r>
        <w:rPr/>
        <w:t>године.</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84" w:firstLine="0"/>
        <w:jc w:val="both"/>
        <w:rPr>
          <w:rFonts w:ascii="Times New Roman" w:hAnsi="Times New Roman" w:cs="Times New Roman" w:eastAsia="Times New Roman" w:hint="default"/>
          <w:sz w:val="24"/>
          <w:szCs w:val="24"/>
        </w:rPr>
      </w:pPr>
      <w:r>
        <w:rPr>
          <w:rFonts w:ascii="Times New Roman" w:hAnsi="Times New Roman"/>
          <w:sz w:val="24"/>
        </w:rPr>
        <w:t>Више је исказан расход за трошкове службених путовања у износу од 108 хиљада динара</w:t>
      </w:r>
      <w:r>
        <w:rPr>
          <w:rFonts w:ascii="Times New Roman" w:hAnsi="Times New Roman"/>
          <w:spacing w:val="36"/>
          <w:sz w:val="24"/>
        </w:rPr>
        <w:t> </w:t>
      </w:r>
      <w:r>
        <w:rPr>
          <w:rFonts w:ascii="Times New Roman" w:hAnsi="Times New Roman"/>
          <w:sz w:val="24"/>
        </w:rPr>
        <w:t>јер</w:t>
      </w:r>
      <w:r>
        <w:rPr>
          <w:rFonts w:ascii="Times New Roman" w:hAnsi="Times New Roman"/>
          <w:spacing w:val="36"/>
          <w:sz w:val="24"/>
        </w:rPr>
        <w:t> </w:t>
      </w:r>
      <w:r>
        <w:rPr>
          <w:rFonts w:ascii="Times New Roman" w:hAnsi="Times New Roman"/>
          <w:sz w:val="24"/>
        </w:rPr>
        <w:t>је</w:t>
      </w:r>
      <w:r>
        <w:rPr>
          <w:rFonts w:ascii="Times New Roman" w:hAnsi="Times New Roman"/>
          <w:spacing w:val="39"/>
          <w:sz w:val="24"/>
        </w:rPr>
        <w:t> </w:t>
      </w:r>
      <w:r>
        <w:rPr>
          <w:rFonts w:ascii="Times New Roman" w:hAnsi="Times New Roman"/>
          <w:sz w:val="24"/>
        </w:rPr>
        <w:t>евидентирање</w:t>
      </w:r>
      <w:r>
        <w:rPr>
          <w:rFonts w:ascii="Times New Roman" w:hAnsi="Times New Roman"/>
          <w:spacing w:val="37"/>
          <w:sz w:val="24"/>
        </w:rPr>
        <w:t> </w:t>
      </w:r>
      <w:r>
        <w:rPr>
          <w:rFonts w:ascii="Times New Roman" w:hAnsi="Times New Roman"/>
          <w:sz w:val="24"/>
        </w:rPr>
        <w:t>трошкова</w:t>
      </w:r>
      <w:r>
        <w:rPr>
          <w:rFonts w:ascii="Times New Roman" w:hAnsi="Times New Roman"/>
          <w:spacing w:val="35"/>
          <w:sz w:val="24"/>
        </w:rPr>
        <w:t> </w:t>
      </w:r>
      <w:r>
        <w:rPr>
          <w:rFonts w:ascii="Times New Roman" w:hAnsi="Times New Roman"/>
          <w:sz w:val="24"/>
        </w:rPr>
        <w:t>извршено</w:t>
      </w:r>
      <w:r>
        <w:rPr>
          <w:rFonts w:ascii="Times New Roman" w:hAnsi="Times New Roman"/>
          <w:spacing w:val="37"/>
          <w:sz w:val="24"/>
        </w:rPr>
        <w:t> </w:t>
      </w:r>
      <w:r>
        <w:rPr>
          <w:rFonts w:ascii="Times New Roman" w:hAnsi="Times New Roman"/>
          <w:sz w:val="24"/>
        </w:rPr>
        <w:t>по</w:t>
      </w:r>
      <w:r>
        <w:rPr>
          <w:rFonts w:ascii="Times New Roman" w:hAnsi="Times New Roman"/>
          <w:spacing w:val="37"/>
          <w:sz w:val="24"/>
        </w:rPr>
        <w:t> </w:t>
      </w:r>
      <w:r>
        <w:rPr>
          <w:rFonts w:ascii="Times New Roman" w:hAnsi="Times New Roman"/>
          <w:sz w:val="24"/>
        </w:rPr>
        <w:t>коначном</w:t>
      </w:r>
      <w:r>
        <w:rPr>
          <w:rFonts w:ascii="Times New Roman" w:hAnsi="Times New Roman"/>
          <w:spacing w:val="36"/>
          <w:sz w:val="24"/>
        </w:rPr>
        <w:t> </w:t>
      </w:r>
      <w:r>
        <w:rPr>
          <w:rFonts w:ascii="Times New Roman" w:hAnsi="Times New Roman"/>
          <w:sz w:val="24"/>
        </w:rPr>
        <w:t>обрачуну</w:t>
      </w:r>
      <w:r>
        <w:rPr>
          <w:rFonts w:ascii="Times New Roman" w:hAnsi="Times New Roman"/>
          <w:spacing w:val="34"/>
          <w:sz w:val="24"/>
        </w:rPr>
        <w:t> </w:t>
      </w:r>
      <w:r>
        <w:rPr>
          <w:rFonts w:ascii="Times New Roman" w:hAnsi="Times New Roman"/>
          <w:sz w:val="24"/>
        </w:rPr>
        <w:t>путног</w:t>
      </w:r>
      <w:r>
        <w:rPr>
          <w:rFonts w:ascii="Times New Roman" w:hAnsi="Times New Roman"/>
          <w:spacing w:val="37"/>
          <w:sz w:val="24"/>
        </w:rPr>
        <w:t> </w:t>
      </w:r>
      <w:r>
        <w:rPr>
          <w:rFonts w:ascii="Times New Roman" w:hAnsi="Times New Roman"/>
          <w:sz w:val="24"/>
        </w:rPr>
        <w:t>налога,</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83"/>
        <w:jc w:val="both"/>
      </w:pPr>
      <w:r>
        <w:rPr/>
        <w:t>уместо у моменту исплате аконтације за службени пут, што је супротно члану 9. Уредбе  о буџетском</w:t>
      </w:r>
      <w:r>
        <w:rPr>
          <w:spacing w:val="-13"/>
        </w:rPr>
        <w:t> </w:t>
      </w:r>
      <w:r>
        <w:rPr/>
        <w:t>рачуноводству.</w:t>
      </w:r>
    </w:p>
    <w:p>
      <w:pPr>
        <w:pStyle w:val="ListParagraph"/>
        <w:numPr>
          <w:ilvl w:val="0"/>
          <w:numId w:val="9"/>
        </w:numPr>
        <w:tabs>
          <w:tab w:pos="303" w:val="left" w:leader="none"/>
        </w:tabs>
        <w:spacing w:line="237" w:lineRule="auto" w:before="4"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Одлуком директора о праву запослених на дневницу за време проведено на службеном путу у земљи није утврђена висина припадајуће дневнице запосленом у случају обезбеђене исхране на службеном</w:t>
      </w:r>
      <w:r>
        <w:rPr>
          <w:rFonts w:ascii="Times New Roman" w:hAnsi="Times New Roman"/>
          <w:spacing w:val="-13"/>
          <w:sz w:val="24"/>
        </w:rPr>
        <w:t> </w:t>
      </w:r>
      <w:r>
        <w:rPr>
          <w:rFonts w:ascii="Times New Roman" w:hAnsi="Times New Roman"/>
          <w:sz w:val="24"/>
        </w:rPr>
        <w:t>путу.</w:t>
      </w:r>
    </w:p>
    <w:p>
      <w:pPr>
        <w:pStyle w:val="ListParagraph"/>
        <w:numPr>
          <w:ilvl w:val="0"/>
          <w:numId w:val="9"/>
        </w:numPr>
        <w:tabs>
          <w:tab w:pos="303" w:val="left" w:leader="none"/>
        </w:tabs>
        <w:spacing w:line="240" w:lineRule="auto" w:before="2"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Одобравање исплате путних рачуна није извршено од стране</w:t>
      </w:r>
      <w:r>
        <w:rPr>
          <w:rFonts w:ascii="Times New Roman" w:hAnsi="Times New Roman"/>
          <w:spacing w:val="-23"/>
          <w:sz w:val="24"/>
        </w:rPr>
        <w:t> </w:t>
      </w:r>
      <w:r>
        <w:rPr>
          <w:rFonts w:ascii="Times New Roman" w:hAnsi="Times New Roman"/>
          <w:sz w:val="24"/>
        </w:rPr>
        <w:t>налогодавца.</w:t>
      </w:r>
    </w:p>
    <w:p>
      <w:pPr>
        <w:pStyle w:val="Heading2"/>
        <w:spacing w:line="240" w:lineRule="auto" w:before="1"/>
        <w:ind w:right="177"/>
        <w:jc w:val="both"/>
        <w:rPr>
          <w:rFonts w:ascii="Times New Roman" w:hAnsi="Times New Roman" w:cs="Times New Roman" w:eastAsia="Times New Roman" w:hint="default"/>
          <w:b w:val="0"/>
          <w:bCs w:val="0"/>
          <w:i w:val="0"/>
        </w:rPr>
      </w:pPr>
      <w:r>
        <w:rPr>
          <w:i/>
        </w:rPr>
        <w:t>Препоручује се одговорним лицима да: евидентирање расхода у пословним књигама врше хронолошки и ажурно, интерним контролним поступцима онемогуће обрачун и исплату у случају кад налог за службено путовање не садржи све прописане</w:t>
      </w:r>
      <w:r>
        <w:rPr>
          <w:i/>
          <w:spacing w:val="-5"/>
        </w:rPr>
        <w:t> </w:t>
      </w:r>
      <w:r>
        <w:rPr>
          <w:i/>
        </w:rPr>
        <w:t>елементе</w:t>
      </w:r>
      <w:r>
        <w:rPr>
          <w:rFonts w:ascii="Times New Roman" w:hAnsi="Times New Roman"/>
          <w:i/>
        </w:rPr>
        <w:t>.</w:t>
      </w:r>
      <w:r>
        <w:rPr>
          <w:rFonts w:ascii="Times New Roman" w:hAnsi="Times New Roman"/>
          <w:b w:val="0"/>
          <w:i w:val="0"/>
        </w:rPr>
      </w:r>
    </w:p>
    <w:p>
      <w:pPr>
        <w:pStyle w:val="ListParagraph"/>
        <w:numPr>
          <w:ilvl w:val="4"/>
          <w:numId w:val="31"/>
        </w:numPr>
        <w:tabs>
          <w:tab w:pos="1030" w:val="left" w:leader="none"/>
        </w:tabs>
        <w:spacing w:line="240" w:lineRule="auto" w:before="135" w:after="0"/>
        <w:ind w:left="160" w:right="174" w:firstLine="566"/>
        <w:jc w:val="both"/>
        <w:rPr>
          <w:rFonts w:ascii="Times New Roman" w:hAnsi="Times New Roman" w:cs="Times New Roman" w:eastAsia="Times New Roman" w:hint="default"/>
          <w:sz w:val="24"/>
          <w:szCs w:val="24"/>
        </w:rPr>
      </w:pPr>
      <w:r>
        <w:rPr>
          <w:rFonts w:ascii="Times New Roman" w:hAnsi="Times New Roman"/>
          <w:b/>
          <w:sz w:val="24"/>
        </w:rPr>
        <w:t>Управа за пољопривреду и развој села </w:t>
      </w:r>
      <w:r>
        <w:rPr>
          <w:rFonts w:ascii="Times New Roman" w:hAnsi="Times New Roman"/>
          <w:sz w:val="24"/>
        </w:rPr>
        <w:t>- </w:t>
      </w:r>
      <w:r>
        <w:rPr>
          <w:rFonts w:ascii="Times New Roman" w:hAnsi="Times New Roman"/>
          <w:sz w:val="24"/>
        </w:rPr>
        <w:t>Исказано је извршење у укупном иносу од 581 хиљаде динара и то из буџета града у износу од 408 хиљада динара и из осталих извора у износу од 173 хиљаде динара. Исказан је расход за: трошкове службених путовања у земљи у износу од 408 хиљада динара и остале трошкове транспорта у износу од 173 хиљаде</w:t>
      </w:r>
      <w:r>
        <w:rPr>
          <w:rFonts w:ascii="Times New Roman" w:hAnsi="Times New Roman"/>
          <w:spacing w:val="-13"/>
          <w:sz w:val="24"/>
        </w:rPr>
        <w:t> </w:t>
      </w:r>
      <w:r>
        <w:rPr>
          <w:rFonts w:ascii="Times New Roman" w:hAnsi="Times New Roman"/>
          <w:sz w:val="24"/>
        </w:rPr>
        <w:t>динара.</w:t>
      </w:r>
    </w:p>
    <w:p>
      <w:pPr>
        <w:pStyle w:val="BodyText"/>
        <w:spacing w:line="240" w:lineRule="auto"/>
        <w:ind w:right="175" w:firstLine="566"/>
        <w:jc w:val="right"/>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Трошкови службених путовања у земљи, синтетички конто 422100 </w:t>
      </w:r>
      <w:r>
        <w:rPr/>
      </w:r>
      <w:r>
        <w:rPr>
          <w:rFonts w:ascii="Times New Roman" w:hAnsi="Times New Roman" w:cs="Times New Roman" w:eastAsia="Times New Roman" w:hint="default"/>
          <w:b/>
          <w:bCs/>
        </w:rPr>
        <w:t>-</w:t>
      </w:r>
      <w:r>
        <w:rPr>
          <w:rFonts w:ascii="Times New Roman" w:hAnsi="Times New Roman" w:cs="Times New Roman" w:eastAsia="Times New Roman" w:hint="default"/>
          <w:b/>
          <w:bCs/>
          <w:spacing w:val="51"/>
        </w:rPr>
        <w:t> </w:t>
      </w:r>
      <w:r>
        <w:rPr/>
        <w:t>Исказани</w:t>
      </w:r>
      <w:r>
        <w:rPr>
          <w:spacing w:val="32"/>
        </w:rPr>
        <w:t> </w:t>
      </w:r>
      <w:r>
        <w:rPr/>
        <w:t>су</w:t>
      </w:r>
      <w:r>
        <w:rPr/>
        <w:t> расходи у износу од </w:t>
      </w:r>
      <w:r>
        <w:rPr>
          <w:rFonts w:ascii="Times New Roman" w:hAnsi="Times New Roman" w:cs="Times New Roman" w:eastAsia="Times New Roman" w:hint="default"/>
        </w:rPr>
        <w:t>408 </w:t>
      </w:r>
      <w:r>
        <w:rPr/>
        <w:t>хиљада динара за трошкове превоза на службеном путу</w:t>
      </w:r>
      <w:r>
        <w:rPr>
          <w:spacing w:val="-19"/>
        </w:rPr>
        <w:t> </w:t>
      </w:r>
      <w:r>
        <w:rPr/>
        <w:t>у</w:t>
      </w:r>
      <w:r>
        <w:rPr>
          <w:spacing w:val="-6"/>
        </w:rPr>
        <w:t> </w:t>
      </w:r>
      <w:r>
        <w:rPr/>
        <w:t>земљи.</w:t>
      </w:r>
      <w:r>
        <w:rPr/>
        <w:t> </w:t>
      </w:r>
      <w:r>
        <w:rPr>
          <w:rFonts w:ascii="Times New Roman" w:hAnsi="Times New Roman" w:cs="Times New Roman" w:eastAsia="Times New Roman" w:hint="default"/>
          <w:b/>
          <w:bCs/>
        </w:rPr>
        <w:t>На основу ревизије узорковане документације утврђено је </w:t>
      </w:r>
      <w:r>
        <w:rPr/>
        <w:t>да</w:t>
      </w:r>
      <w:r>
        <w:rPr>
          <w:spacing w:val="51"/>
        </w:rPr>
        <w:t> </w:t>
      </w:r>
      <w:r>
        <w:rPr/>
        <w:t>је</w:t>
      </w:r>
      <w:r>
        <w:rPr>
          <w:spacing w:val="57"/>
        </w:rPr>
        <w:t> </w:t>
      </w:r>
      <w:r>
        <w:rPr/>
        <w:t>неправилно</w:t>
      </w:r>
      <w:r>
        <w:rPr/>
        <w:t> евидентиран расход у износу од 273 хиљаде динара за услуге организованог</w:t>
      </w:r>
      <w:r>
        <w:rPr>
          <w:spacing w:val="-12"/>
        </w:rPr>
        <w:t> </w:t>
      </w:r>
      <w:r>
        <w:rPr/>
        <w:t>превоза</w:t>
      </w:r>
      <w:r>
        <w:rPr>
          <w:spacing w:val="-1"/>
        </w:rPr>
        <w:t> </w:t>
      </w:r>
      <w:r>
        <w:rPr/>
        <w:t>ради</w:t>
      </w:r>
      <w:r>
        <w:rPr>
          <w:w w:val="100"/>
        </w:rPr>
        <w:t> </w:t>
      </w:r>
      <w:r>
        <w:rPr/>
        <w:t>посете сајма пољопривреде, уместо на групи 423000 – услуге по уговору,</w:t>
      </w:r>
      <w:r>
        <w:rPr>
          <w:spacing w:val="3"/>
        </w:rPr>
        <w:t> </w:t>
      </w:r>
      <w:r>
        <w:rPr/>
        <w:t>што </w:t>
      </w:r>
      <w:r>
        <w:rPr>
          <w:spacing w:val="20"/>
        </w:rPr>
        <w:t> </w:t>
      </w:r>
      <w:r>
        <w:rPr/>
        <w:t>је</w:t>
      </w:r>
      <w:r>
        <w:rPr>
          <w:w w:val="100"/>
        </w:rPr>
        <w:t> </w:t>
      </w:r>
      <w:r>
        <w:rPr/>
        <w:t>супротно  члану  9.  Уредбе  о  буџетском  рачуноводству  и  Правилнику  о </w:t>
      </w:r>
      <w:r>
        <w:rPr>
          <w:spacing w:val="9"/>
        </w:rPr>
        <w:t> </w:t>
      </w:r>
      <w:r>
        <w:rPr/>
        <w:t>стандардном</w:t>
      </w:r>
    </w:p>
    <w:p>
      <w:pPr>
        <w:pStyle w:val="BodyText"/>
        <w:spacing w:line="240" w:lineRule="auto"/>
        <w:ind w:right="0"/>
        <w:jc w:val="both"/>
      </w:pPr>
      <w:r>
        <w:rPr/>
        <w:t>класификационом оквиру и контном плану за буџетски</w:t>
      </w:r>
      <w:r>
        <w:rPr>
          <w:spacing w:val="-29"/>
        </w:rPr>
        <w:t> </w:t>
      </w:r>
      <w:r>
        <w:rPr/>
        <w:t>систем.</w:t>
      </w:r>
    </w:p>
    <w:p>
      <w:pPr>
        <w:pStyle w:val="Heading2"/>
        <w:spacing w:line="240" w:lineRule="auto"/>
        <w:ind w:right="172"/>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ListParagraph"/>
        <w:numPr>
          <w:ilvl w:val="4"/>
          <w:numId w:val="31"/>
        </w:numPr>
        <w:tabs>
          <w:tab w:pos="998" w:val="left" w:leader="none"/>
        </w:tabs>
        <w:spacing w:line="240" w:lineRule="auto" w:before="134" w:after="0"/>
        <w:ind w:left="160" w:right="174" w:firstLine="566"/>
        <w:jc w:val="both"/>
        <w:rPr>
          <w:rFonts w:ascii="Times New Roman" w:hAnsi="Times New Roman" w:cs="Times New Roman" w:eastAsia="Times New Roman" w:hint="default"/>
          <w:sz w:val="24"/>
          <w:szCs w:val="24"/>
        </w:rPr>
      </w:pPr>
      <w:r>
        <w:rPr>
          <w:rFonts w:ascii="Times New Roman" w:hAnsi="Times New Roman"/>
          <w:b/>
          <w:sz w:val="24"/>
        </w:rPr>
        <w:t>Управа за комуналне делатности, енергетику и саобраћај </w:t>
      </w:r>
      <w:r>
        <w:rPr>
          <w:rFonts w:ascii="Times New Roman" w:hAnsi="Times New Roman"/>
          <w:b/>
          <w:sz w:val="24"/>
        </w:rPr>
        <w:t>- </w:t>
      </w:r>
      <w:r>
        <w:rPr>
          <w:rFonts w:ascii="Times New Roman" w:hAnsi="Times New Roman"/>
          <w:sz w:val="24"/>
        </w:rPr>
        <w:t>Исказан је расход у износу од 67 хиљада динара и то из буџета града, за индиректног буџетског корисника ЈП</w:t>
      </w:r>
      <w:r>
        <w:rPr>
          <w:rFonts w:ascii="Times New Roman" w:hAnsi="Times New Roman"/>
          <w:spacing w:val="-3"/>
          <w:sz w:val="24"/>
        </w:rPr>
        <w:t> </w:t>
      </w:r>
      <w:r>
        <w:rPr>
          <w:rFonts w:ascii="Times New Roman" w:hAnsi="Times New Roman"/>
          <w:sz w:val="24"/>
        </w:rPr>
        <w:t>Дирекција</w:t>
      </w:r>
      <w:r>
        <w:rPr>
          <w:rFonts w:ascii="Times New Roman" w:hAnsi="Times New Roman"/>
          <w:sz w:val="24"/>
        </w:rPr>
        <w:t>.</w:t>
      </w:r>
    </w:p>
    <w:p>
      <w:pPr>
        <w:pStyle w:val="BodyText"/>
        <w:spacing w:line="240" w:lineRule="auto"/>
        <w:ind w:right="176" w:firstLine="566"/>
        <w:jc w:val="both"/>
        <w:rPr>
          <w:rFonts w:ascii="Times New Roman" w:hAnsi="Times New Roman" w:cs="Times New Roman" w:eastAsia="Times New Roman" w:hint="default"/>
        </w:rPr>
      </w:pPr>
      <w:r>
        <w:rPr>
          <w:rFonts w:ascii="Times New Roman" w:hAnsi="Times New Roman"/>
          <w:b/>
        </w:rPr>
        <w:t>6а) ЈП Дирекција </w:t>
      </w:r>
      <w:r>
        <w:rPr>
          <w:rFonts w:ascii="Times New Roman" w:hAnsi="Times New Roman"/>
        </w:rPr>
        <w:t>- </w:t>
      </w:r>
      <w:r>
        <w:rPr/>
        <w:t>Исказано је извршење у укупном износу од </w:t>
      </w:r>
      <w:r>
        <w:rPr>
          <w:rFonts w:ascii="Times New Roman" w:hAnsi="Times New Roman"/>
        </w:rPr>
        <w:t>67 </w:t>
      </w:r>
      <w:r>
        <w:rPr/>
        <w:t>хиљада динара и то за трошкове службених путовања у</w:t>
      </w:r>
      <w:r>
        <w:rPr>
          <w:spacing w:val="-11"/>
        </w:rPr>
        <w:t> </w:t>
      </w:r>
      <w:r>
        <w:rPr/>
        <w:t>земљи</w:t>
      </w:r>
      <w:r>
        <w:rPr>
          <w:rFonts w:ascii="Times New Roman" w:hAnsi="Times New Roman"/>
        </w:rPr>
        <w:t>.</w:t>
      </w:r>
    </w:p>
    <w:p>
      <w:pPr>
        <w:pStyle w:val="BodyText"/>
        <w:spacing w:line="240" w:lineRule="auto"/>
        <w:ind w:right="175" w:firstLine="566"/>
        <w:jc w:val="both"/>
      </w:pPr>
      <w:r>
        <w:rPr/>
        <w:t>Накнада трошкова путовања за време проведено на службеном путу у земљи и иностранству, уређена је Посебним колективним уговором за јавна и јавна комунална предузећа чији је оснивач град Ниш од 29.</w:t>
      </w:r>
      <w:r>
        <w:rPr>
          <w:rFonts w:ascii="Times New Roman" w:hAnsi="Times New Roman"/>
        </w:rPr>
        <w:t>0</w:t>
      </w:r>
      <w:r>
        <w:rPr/>
        <w:t>7.2014. године, тако да запосленом припада накнада за службени пут у земљи у висини од 5% просечне месечне зараде по  запосленом у Републици Србији, према последњем објављеном податку надлежног органа за статистику. Директор ЈП Дирекциј</w:t>
      </w:r>
      <w:r>
        <w:rPr>
          <w:rFonts w:ascii="Times New Roman" w:hAnsi="Times New Roman"/>
        </w:rPr>
        <w:t>a </w:t>
      </w:r>
      <w:r>
        <w:rPr/>
        <w:t>је дана 28.</w:t>
      </w:r>
      <w:r>
        <w:rPr>
          <w:rFonts w:ascii="Times New Roman" w:hAnsi="Times New Roman"/>
        </w:rPr>
        <w:t>0</w:t>
      </w:r>
      <w:r>
        <w:rPr/>
        <w:t>5.2013. године упутио благајнику обавештење да висина дневнице за службени пут у земљи од </w:t>
      </w:r>
      <w:r>
        <w:rPr>
          <w:rFonts w:ascii="Times New Roman" w:hAnsi="Times New Roman"/>
        </w:rPr>
        <w:t>03.06.2013. </w:t>
      </w:r>
      <w:r>
        <w:rPr/>
        <w:t>године износи две хиљаде динара. На основу овог обавештења запосленима је дневница  у 2014. години исплаћивана у истом</w:t>
      </w:r>
      <w:r>
        <w:rPr>
          <w:spacing w:val="-20"/>
        </w:rPr>
        <w:t> </w:t>
      </w:r>
      <w:r>
        <w:rPr/>
        <w:t>износу.</w:t>
      </w:r>
    </w:p>
    <w:p>
      <w:pPr>
        <w:pStyle w:val="BodyText"/>
        <w:spacing w:line="240" w:lineRule="auto"/>
        <w:ind w:right="176" w:firstLine="566"/>
        <w:jc w:val="both"/>
      </w:pPr>
      <w:r>
        <w:rPr>
          <w:rFonts w:ascii="Times New Roman" w:hAnsi="Times New Roman"/>
          <w:b/>
        </w:rPr>
        <w:t>На основу ревизије узорковане документације, утврђено је </w:t>
      </w:r>
      <w:r>
        <w:rPr/>
        <w:t>да је дневница за службено путовање није исплаћивана запосленима у износу од 5% од просечне месечне зараде по запосленом у Републици Србији, што је супротно члану 26. Посебног колективног уговора за јавна и јавна комунална предузећа чији је оснивач град</w:t>
      </w:r>
      <w:r>
        <w:rPr>
          <w:spacing w:val="-21"/>
        </w:rPr>
        <w:t> </w:t>
      </w:r>
      <w:r>
        <w:rPr/>
        <w:t>Ниш.</w:t>
      </w:r>
    </w:p>
    <w:p>
      <w:pPr>
        <w:pStyle w:val="Heading2"/>
        <w:spacing w:line="240" w:lineRule="auto"/>
        <w:ind w:left="726" w:right="141" w:firstLine="0"/>
        <w:jc w:val="left"/>
        <w:rPr>
          <w:rFonts w:ascii="Times New Roman" w:hAnsi="Times New Roman" w:cs="Times New Roman" w:eastAsia="Times New Roman" w:hint="default"/>
          <w:b w:val="0"/>
          <w:bCs w:val="0"/>
          <w:i w:val="0"/>
        </w:rPr>
      </w:pPr>
      <w:r>
        <w:rPr>
          <w:i/>
        </w:rPr>
        <w:t>Препоручује се одговорним лицима да примењују општа</w:t>
      </w:r>
      <w:r>
        <w:rPr>
          <w:i/>
          <w:spacing w:val="-14"/>
        </w:rPr>
        <w:t> </w:t>
      </w:r>
      <w:r>
        <w:rPr>
          <w:i/>
        </w:rPr>
        <w:t>акта</w:t>
      </w:r>
      <w:r>
        <w:rPr>
          <w:rFonts w:ascii="Times New Roman" w:hAnsi="Times New Roman"/>
          <w:i/>
        </w:rPr>
        <w:t>.</w:t>
      </w:r>
      <w:r>
        <w:rPr>
          <w:rFonts w:ascii="Times New Roman" w:hAnsi="Times New Roman"/>
          <w:b w:val="0"/>
          <w:i w:val="0"/>
        </w:rPr>
      </w:r>
    </w:p>
    <w:p>
      <w:pPr>
        <w:spacing w:after="0" w:line="240" w:lineRule="auto"/>
        <w:jc w:val="left"/>
        <w:rPr>
          <w:rFonts w:ascii="Times New Roman" w:hAnsi="Times New Roman" w:cs="Times New Roman" w:eastAsia="Times New Roman" w:hint="default"/>
        </w:rPr>
        <w:sectPr>
          <w:pgSz w:w="12240" w:h="15840"/>
          <w:pgMar w:header="740" w:footer="1274" w:top="1280" w:bottom="1460" w:left="1400" w:right="1260"/>
        </w:sectPr>
      </w:pPr>
    </w:p>
    <w:p>
      <w:pPr>
        <w:pStyle w:val="Heading1"/>
        <w:numPr>
          <w:ilvl w:val="3"/>
          <w:numId w:val="31"/>
        </w:numPr>
        <w:tabs>
          <w:tab w:pos="1001" w:val="left" w:leader="none"/>
        </w:tabs>
        <w:spacing w:line="274" w:lineRule="exact" w:before="126" w:after="0"/>
        <w:ind w:left="1000" w:right="0" w:hanging="840"/>
        <w:jc w:val="left"/>
        <w:rPr>
          <w:b w:val="0"/>
          <w:bCs w:val="0"/>
        </w:rPr>
      </w:pPr>
      <w:bookmarkStart w:name="_bookmark18" w:id="33"/>
      <w:bookmarkEnd w:id="33"/>
      <w:r>
        <w:rPr>
          <w:b w:val="0"/>
        </w:rPr>
      </w:r>
      <w:bookmarkStart w:name="_bookmark18" w:id="34"/>
      <w:bookmarkEnd w:id="34"/>
      <w:r>
        <w:rPr/>
        <w:t>У</w:t>
      </w:r>
      <w:r>
        <w:rPr/>
        <w:t>слуге по уговору, група</w:t>
      </w:r>
      <w:r>
        <w:rPr>
          <w:spacing w:val="-4"/>
        </w:rPr>
        <w:t> </w:t>
      </w:r>
      <w:r>
        <w:rPr/>
        <w:t>423000</w:t>
      </w:r>
      <w:r>
        <w:rPr>
          <w:b w:val="0"/>
        </w:rPr>
      </w:r>
    </w:p>
    <w:p>
      <w:pPr>
        <w:pStyle w:val="BodyText"/>
        <w:spacing w:line="240" w:lineRule="auto"/>
        <w:ind w:right="253" w:firstLine="566"/>
        <w:jc w:val="both"/>
      </w:pPr>
      <w:r>
        <w:rPr/>
        <w:t>Група 42</w:t>
      </w:r>
      <w:r>
        <w:rPr>
          <w:rFonts w:ascii="Times New Roman" w:hAnsi="Times New Roman" w:cs="Times New Roman" w:eastAsia="Times New Roman" w:hint="default"/>
        </w:rPr>
        <w:t>3000 </w:t>
      </w:r>
      <w:r>
        <w:rPr/>
        <w:t>– Услуге по уговору садржи синтетичка конта: административне услуге, компјутерске услуге, услуге образовања и усавршавања запослених, услуге информисања, стручне услуге, услуге за домаћинство и угоститељство, репрезентација и остале опште</w:t>
      </w:r>
      <w:r>
        <w:rPr>
          <w:spacing w:val="-8"/>
        </w:rPr>
        <w:t> </w:t>
      </w:r>
      <w:r>
        <w:rPr/>
        <w:t>услуге.</w:t>
      </w:r>
    </w:p>
    <w:p>
      <w:pPr>
        <w:spacing w:before="2" w:after="4"/>
        <w:ind w:left="0" w:right="252" w:firstLine="0"/>
        <w:jc w:val="right"/>
        <w:rPr>
          <w:rFonts w:ascii="Times New Roman" w:hAnsi="Times New Roman" w:cs="Times New Roman" w:eastAsia="Times New Roman" w:hint="default"/>
          <w:sz w:val="16"/>
          <w:szCs w:val="16"/>
        </w:rPr>
      </w:pPr>
      <w:r>
        <w:rPr>
          <w:rFonts w:ascii="Times New Roman" w:hAnsi="Times New Roman"/>
          <w:sz w:val="16"/>
        </w:rPr>
        <w:t>( </w:t>
      </w:r>
      <w:r>
        <w:rPr>
          <w:rFonts w:ascii="Times New Roman" w:hAnsi="Times New Roman"/>
          <w:sz w:val="16"/>
        </w:rPr>
        <w:t>у хиљадама</w:t>
      </w:r>
      <w:r>
        <w:rPr>
          <w:rFonts w:ascii="Times New Roman" w:hAnsi="Times New Roman"/>
          <w:spacing w:val="-3"/>
          <w:sz w:val="16"/>
        </w:rPr>
        <w:t> </w:t>
      </w:r>
      <w:r>
        <w:rPr>
          <w:rFonts w:ascii="Times New Roman" w:hAnsi="Times New Roman"/>
          <w:sz w:val="16"/>
        </w:rPr>
        <w:t>динара</w:t>
      </w:r>
      <w:r>
        <w:rPr>
          <w:rFonts w:ascii="Times New Roman" w:hAnsi="Times New Roman"/>
          <w:sz w:val="16"/>
        </w:rPr>
        <w:t>)</w:t>
      </w:r>
    </w:p>
    <w:tbl>
      <w:tblPr>
        <w:tblW w:w="0" w:type="auto"/>
        <w:jc w:val="left"/>
        <w:tblInd w:w="141" w:type="dxa"/>
        <w:tblLayout w:type="fixed"/>
        <w:tblCellMar>
          <w:top w:w="0" w:type="dxa"/>
          <w:left w:w="0" w:type="dxa"/>
          <w:bottom w:w="0" w:type="dxa"/>
          <w:right w:w="0" w:type="dxa"/>
        </w:tblCellMar>
        <w:tblLook w:val="01E0"/>
      </w:tblPr>
      <w:tblGrid>
        <w:gridCol w:w="876"/>
        <w:gridCol w:w="2542"/>
        <w:gridCol w:w="960"/>
        <w:gridCol w:w="1351"/>
        <w:gridCol w:w="1045"/>
        <w:gridCol w:w="936"/>
        <w:gridCol w:w="848"/>
        <w:gridCol w:w="845"/>
      </w:tblGrid>
      <w:tr>
        <w:trPr>
          <w:trHeight w:val="50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247" w:right="178" w:hanging="58"/>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6"/>
              <w:ind w:left="463"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8"/>
                <w:sz w:val="18"/>
              </w:rPr>
              <w:t> </w:t>
            </w:r>
            <w:r>
              <w:rPr>
                <w:rFonts w:ascii="Times New Roman" w:hAnsi="Times New Roman"/>
                <w:b/>
                <w:sz w:val="18"/>
              </w:rPr>
              <w:t>корисник</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6"/>
              <w:ind w:right="103"/>
              <w:jc w:val="right"/>
              <w:rPr>
                <w:rFonts w:ascii="Times New Roman" w:hAnsi="Times New Roman" w:cs="Times New Roman" w:eastAsia="Times New Roman" w:hint="default"/>
                <w:sz w:val="18"/>
                <w:szCs w:val="18"/>
              </w:rPr>
            </w:pPr>
            <w:r>
              <w:rPr>
                <w:rFonts w:ascii="Times New Roman" w:hAnsi="Times New Roman"/>
                <w:b/>
                <w:spacing w:val="-1"/>
                <w:sz w:val="18"/>
              </w:rPr>
              <w:t>Ребаланс</w:t>
            </w:r>
            <w:r>
              <w:rPr>
                <w:rFonts w:ascii="Times New Roman" w:hAns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03" w:right="93" w:firstLine="88"/>
              <w:jc w:val="left"/>
              <w:rPr>
                <w:rFonts w:ascii="Times New Roman" w:hAnsi="Times New Roman" w:cs="Times New Roman" w:eastAsia="Times New Roman" w:hint="default"/>
                <w:sz w:val="18"/>
                <w:szCs w:val="18"/>
              </w:rPr>
            </w:pPr>
            <w:r>
              <w:rPr>
                <w:rFonts w:ascii="Times New Roman" w:hAnsi="Times New Roman"/>
                <w:b/>
                <w:sz w:val="18"/>
              </w:rPr>
              <w:t>Ребаланс са релокацијама</w:t>
            </w:r>
            <w:r>
              <w:rPr>
                <w:rFonts w:ascii="Times New Roman" w:hAnsi="Times New Roman"/>
                <w:sz w:val="18"/>
              </w:rPr>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03" w:right="93"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15" w:right="104"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02" w:right="110"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02" w:right="107"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49"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403" w:right="0"/>
              <w:jc w:val="left"/>
              <w:rPr>
                <w:rFonts w:ascii="Times New Roman" w:hAnsi="Times New Roman" w:cs="Times New Roman" w:eastAsia="Times New Roman" w:hint="default"/>
                <w:sz w:val="12"/>
                <w:szCs w:val="12"/>
              </w:rPr>
            </w:pPr>
            <w:r>
              <w:rPr>
                <w:rFonts w:ascii="Times New Roman"/>
                <w:sz w:val="12"/>
              </w:rPr>
              <w:t>1</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2"/>
              <w:jc w:val="center"/>
              <w:rPr>
                <w:rFonts w:ascii="Times New Roman" w:hAnsi="Times New Roman" w:cs="Times New Roman" w:eastAsia="Times New Roman" w:hint="default"/>
                <w:sz w:val="12"/>
                <w:szCs w:val="12"/>
              </w:rPr>
            </w:pPr>
            <w:r>
              <w:rPr>
                <w:rFonts w:ascii="Times New Roman"/>
                <w:sz w:val="12"/>
              </w:rPr>
              <w:t>2</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4</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6</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2" w:right="0"/>
              <w:jc w:val="center"/>
              <w:rPr>
                <w:rFonts w:ascii="Times New Roman" w:hAnsi="Times New Roman" w:cs="Times New Roman" w:eastAsia="Times New Roman" w:hint="default"/>
                <w:sz w:val="12"/>
                <w:szCs w:val="12"/>
              </w:rPr>
            </w:pPr>
            <w:r>
              <w:rPr>
                <w:rFonts w:ascii="Times New Roman"/>
                <w:sz w:val="12"/>
              </w:rPr>
              <w:t>8</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1</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Скупштина</w:t>
            </w:r>
            <w:r>
              <w:rPr>
                <w:rFonts w:ascii="Times New Roman" w:hAnsi="Times New Roman"/>
                <w:spacing w:val="-5"/>
                <w:sz w:val="18"/>
              </w:rPr>
              <w:t> </w:t>
            </w:r>
            <w:r>
              <w:rPr>
                <w:rFonts w:ascii="Times New Roman" w:hAnsi="Times New Roman"/>
                <w:sz w:val="18"/>
              </w:rPr>
              <w:t>града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2.500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2.500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1.484</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1.984</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79,36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133,69</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2</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Градоначелник</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7.195</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7.195</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5.380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3.351</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46,57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7"/>
              <w:jc w:val="right"/>
              <w:rPr>
                <w:rFonts w:ascii="Times New Roman" w:hAnsi="Times New Roman" w:cs="Times New Roman" w:eastAsia="Times New Roman" w:hint="default"/>
                <w:sz w:val="18"/>
                <w:szCs w:val="18"/>
              </w:rPr>
            </w:pPr>
            <w:r>
              <w:rPr>
                <w:rFonts w:ascii="Times New Roman"/>
                <w:sz w:val="18"/>
              </w:rPr>
              <w:t>62,29</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86" w:right="0"/>
              <w:jc w:val="left"/>
              <w:rPr>
                <w:rFonts w:ascii="Times New Roman" w:hAnsi="Times New Roman" w:cs="Times New Roman" w:eastAsia="Times New Roman" w:hint="default"/>
                <w:sz w:val="18"/>
                <w:szCs w:val="18"/>
              </w:rPr>
            </w:pPr>
            <w:r>
              <w:rPr>
                <w:rFonts w:ascii="Times New Roman"/>
                <w:sz w:val="18"/>
              </w:rPr>
              <w:t>3</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Градско</w:t>
            </w:r>
            <w:r>
              <w:rPr>
                <w:rFonts w:ascii="Times New Roman" w:hAnsi="Times New Roman"/>
                <w:spacing w:val="-5"/>
                <w:sz w:val="18"/>
              </w:rPr>
              <w:t> </w:t>
            </w:r>
            <w:r>
              <w:rPr>
                <w:rFonts w:ascii="Times New Roman" w:hAnsi="Times New Roman"/>
                <w:sz w:val="18"/>
              </w:rPr>
              <w:t>веће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1.000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1.000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392</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392</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39,20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7"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386" w:right="0"/>
              <w:jc w:val="left"/>
              <w:rPr>
                <w:rFonts w:ascii="Times New Roman" w:hAnsi="Times New Roman" w:cs="Times New Roman" w:eastAsia="Times New Roman" w:hint="default"/>
                <w:sz w:val="18"/>
                <w:szCs w:val="18"/>
              </w:rPr>
            </w:pPr>
            <w:r>
              <w:rPr>
                <w:rFonts w:ascii="Times New Roman"/>
                <w:sz w:val="18"/>
              </w:rPr>
              <w:t>4</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8"/>
                <w:sz w:val="18"/>
              </w:rPr>
              <w:t> </w:t>
            </w:r>
            <w:r>
              <w:rPr>
                <w:rFonts w:ascii="Times New Roman" w:hAnsi="Times New Roman"/>
                <w:sz w:val="18"/>
              </w:rPr>
              <w:t>финансије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pacing w:val="-1"/>
                <w:sz w:val="18"/>
              </w:rPr>
              <w:t>43.815</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pacing w:val="-1"/>
                <w:sz w:val="18"/>
              </w:rPr>
              <w:t>43.815</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pacing w:val="-1"/>
                <w:sz w:val="18"/>
              </w:rPr>
              <w:t>39.402</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pacing w:val="-1"/>
                <w:sz w:val="18"/>
              </w:rPr>
              <w:t>32.628</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z w:val="18"/>
              </w:rPr>
              <w:t>74,47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97"/>
              <w:jc w:val="right"/>
              <w:rPr>
                <w:rFonts w:ascii="Times New Roman" w:hAnsi="Times New Roman" w:cs="Times New Roman" w:eastAsia="Times New Roman" w:hint="default"/>
                <w:sz w:val="18"/>
                <w:szCs w:val="18"/>
              </w:rPr>
            </w:pPr>
            <w:r>
              <w:rPr>
                <w:rFonts w:ascii="Times New Roman"/>
                <w:sz w:val="18"/>
              </w:rPr>
              <w:t>82,81</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5</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деч, соц и здр.</w:t>
            </w:r>
            <w:r>
              <w:rPr>
                <w:rFonts w:ascii="Times New Roman" w:hAnsi="Times New Roman"/>
                <w:spacing w:val="-8"/>
                <w:sz w:val="18"/>
              </w:rPr>
              <w:t> </w:t>
            </w:r>
            <w:r>
              <w:rPr>
                <w:rFonts w:ascii="Times New Roman" w:hAnsi="Times New Roman"/>
                <w:sz w:val="18"/>
              </w:rPr>
              <w:t>заш</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4.467</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4.467</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2.444</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2.444</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54,71</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6</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5"/>
                <w:sz w:val="18"/>
              </w:rPr>
              <w:t> </w:t>
            </w:r>
            <w:r>
              <w:rPr>
                <w:rFonts w:ascii="Times New Roman" w:hAnsi="Times New Roman"/>
                <w:sz w:val="18"/>
              </w:rPr>
              <w:t>образовање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12.435</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17.135</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6.612</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7.012</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40,92</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106,05</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hAnsi="Times New Roman"/>
                <w:sz w:val="18"/>
              </w:rPr>
              <w:t>6а</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Дечији</w:t>
            </w:r>
            <w:r>
              <w:rPr>
                <w:rFonts w:ascii="Times New Roman" w:hAnsi="Times New Roman"/>
                <w:spacing w:val="-5"/>
                <w:sz w:val="18"/>
              </w:rPr>
              <w:t> </w:t>
            </w:r>
            <w:r>
              <w:rPr>
                <w:rFonts w:ascii="Times New Roman" w:hAnsi="Times New Roman"/>
                <w:sz w:val="18"/>
              </w:rPr>
              <w:t>центар</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600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600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643</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1.060</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176,67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164,85</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9"/>
              <w:jc w:val="right"/>
              <w:rPr>
                <w:rFonts w:ascii="Times New Roman" w:hAnsi="Times New Roman" w:cs="Times New Roman" w:eastAsia="Times New Roman" w:hint="default"/>
                <w:sz w:val="18"/>
                <w:szCs w:val="18"/>
              </w:rPr>
            </w:pPr>
            <w:r>
              <w:rPr>
                <w:rFonts w:ascii="Times New Roman" w:hAnsi="Times New Roman"/>
                <w:sz w:val="18"/>
              </w:rPr>
              <w:t>6б</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ПУ</w:t>
            </w:r>
            <w:r>
              <w:rPr>
                <w:rFonts w:ascii="Times New Roman" w:hAnsi="Times New Roman"/>
                <w:spacing w:val="-5"/>
                <w:sz w:val="18"/>
              </w:rPr>
              <w:t> </w:t>
            </w:r>
            <w:r>
              <w:rPr>
                <w:rFonts w:ascii="Times New Roman" w:hAnsi="Times New Roman"/>
                <w:sz w:val="18"/>
              </w:rPr>
              <w:t>Пчелица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7.585</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12.285</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4.410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4.393</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35,76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7"/>
              <w:jc w:val="right"/>
              <w:rPr>
                <w:rFonts w:ascii="Times New Roman" w:hAnsi="Times New Roman" w:cs="Times New Roman" w:eastAsia="Times New Roman" w:hint="default"/>
                <w:sz w:val="18"/>
                <w:szCs w:val="18"/>
              </w:rPr>
            </w:pPr>
            <w:r>
              <w:rPr>
                <w:rFonts w:ascii="Times New Roman"/>
                <w:sz w:val="18"/>
              </w:rPr>
              <w:t>99,61</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7</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6"/>
                <w:sz w:val="18"/>
              </w:rPr>
              <w:t> </w:t>
            </w:r>
            <w:r>
              <w:rPr>
                <w:rFonts w:ascii="Times New Roman" w:hAnsi="Times New Roman"/>
                <w:sz w:val="18"/>
              </w:rPr>
              <w:t>културу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66.711</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67.446</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40.646</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44.541</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66,04</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109,58</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hAnsi="Times New Roman"/>
                <w:sz w:val="18"/>
              </w:rPr>
              <w:t>7а</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Нишки културни</w:t>
            </w:r>
            <w:r>
              <w:rPr>
                <w:rFonts w:ascii="Times New Roman" w:hAnsi="Times New Roman"/>
                <w:spacing w:val="-11"/>
                <w:sz w:val="18"/>
              </w:rPr>
              <w:t> </w:t>
            </w:r>
            <w:r>
              <w:rPr>
                <w:rFonts w:ascii="Times New Roman" w:hAnsi="Times New Roman"/>
                <w:sz w:val="18"/>
              </w:rPr>
              <w:t>центар</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28.144</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28.144</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21.598</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25.365</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90,13</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117,44</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hAnsi="Times New Roman"/>
                <w:sz w:val="18"/>
              </w:rPr>
              <w:t>7б</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Нишки симфонијски</w:t>
            </w:r>
            <w:r>
              <w:rPr>
                <w:rFonts w:ascii="Times New Roman" w:hAnsi="Times New Roman"/>
                <w:spacing w:val="-4"/>
                <w:sz w:val="18"/>
              </w:rPr>
              <w:t> </w:t>
            </w:r>
            <w:r>
              <w:rPr>
                <w:rFonts w:ascii="Times New Roman" w:hAnsi="Times New Roman"/>
                <w:sz w:val="18"/>
              </w:rPr>
              <w:t>орк</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1.815</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1.815</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1.503</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1.631</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89,86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108,52</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8</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омладину и</w:t>
            </w:r>
            <w:r>
              <w:rPr>
                <w:rFonts w:ascii="Times New Roman" w:hAnsi="Times New Roman"/>
                <w:spacing w:val="-8"/>
                <w:sz w:val="18"/>
              </w:rPr>
              <w:t> </w:t>
            </w:r>
            <w:r>
              <w:rPr>
                <w:rFonts w:ascii="Times New Roman" w:hAnsi="Times New Roman"/>
                <w:sz w:val="18"/>
              </w:rPr>
              <w:t>спорт</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7.347</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7.347</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3.038</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2.042</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27,79</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7"/>
              <w:jc w:val="right"/>
              <w:rPr>
                <w:rFonts w:ascii="Times New Roman" w:hAnsi="Times New Roman" w:cs="Times New Roman" w:eastAsia="Times New Roman" w:hint="default"/>
                <w:sz w:val="18"/>
                <w:szCs w:val="18"/>
              </w:rPr>
            </w:pPr>
            <w:r>
              <w:rPr>
                <w:rFonts w:ascii="Times New Roman"/>
                <w:sz w:val="18"/>
              </w:rPr>
              <w:t>67,22</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86" w:right="0"/>
              <w:jc w:val="left"/>
              <w:rPr>
                <w:rFonts w:ascii="Times New Roman" w:hAnsi="Times New Roman" w:cs="Times New Roman" w:eastAsia="Times New Roman" w:hint="default"/>
                <w:sz w:val="18"/>
                <w:szCs w:val="18"/>
              </w:rPr>
            </w:pPr>
            <w:r>
              <w:rPr>
                <w:rFonts w:ascii="Times New Roman"/>
                <w:sz w:val="18"/>
              </w:rPr>
              <w:t>9</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7"/>
                <w:sz w:val="18"/>
              </w:rPr>
              <w:t> </w:t>
            </w:r>
            <w:r>
              <w:rPr>
                <w:rFonts w:ascii="Times New Roman" w:hAnsi="Times New Roman"/>
                <w:sz w:val="18"/>
              </w:rPr>
              <w:t>ком</w:t>
            </w:r>
            <w:r>
              <w:rPr>
                <w:rFonts w:ascii="Times New Roman" w:hAnsi="Times New Roman"/>
                <w:sz w:val="18"/>
              </w:rPr>
              <w:t>.</w:t>
            </w:r>
            <w:r>
              <w:rPr>
                <w:rFonts w:ascii="Times New Roman" w:hAnsi="Times New Roman"/>
                <w:sz w:val="18"/>
              </w:rPr>
              <w:t>делатности</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pacing w:val="-1"/>
                <w:sz w:val="18"/>
              </w:rPr>
              <w:t>469.697</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469.697</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pacing w:val="-1"/>
                <w:sz w:val="18"/>
              </w:rPr>
              <w:t>319.706</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319.259</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67,97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7"/>
              <w:jc w:val="right"/>
              <w:rPr>
                <w:rFonts w:ascii="Times New Roman" w:hAnsi="Times New Roman" w:cs="Times New Roman" w:eastAsia="Times New Roman" w:hint="default"/>
                <w:sz w:val="18"/>
                <w:szCs w:val="18"/>
              </w:rPr>
            </w:pPr>
            <w:r>
              <w:rPr>
                <w:rFonts w:ascii="Times New Roman"/>
                <w:sz w:val="18"/>
              </w:rPr>
              <w:t>99,86</w:t>
            </w:r>
          </w:p>
        </w:tc>
      </w:tr>
      <w:tr>
        <w:trPr>
          <w:trHeight w:val="264"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9"/>
              <w:jc w:val="right"/>
              <w:rPr>
                <w:rFonts w:ascii="Times New Roman" w:hAnsi="Times New Roman" w:cs="Times New Roman" w:eastAsia="Times New Roman" w:hint="default"/>
                <w:sz w:val="18"/>
                <w:szCs w:val="18"/>
              </w:rPr>
            </w:pPr>
            <w:r>
              <w:rPr>
                <w:rFonts w:ascii="Times New Roman" w:hAnsi="Times New Roman"/>
                <w:sz w:val="18"/>
              </w:rPr>
              <w:t>9а</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03" w:right="0"/>
              <w:jc w:val="left"/>
              <w:rPr>
                <w:rFonts w:ascii="Times New Roman" w:hAnsi="Times New Roman" w:cs="Times New Roman" w:eastAsia="Times New Roman" w:hint="default"/>
                <w:sz w:val="18"/>
                <w:szCs w:val="18"/>
              </w:rPr>
            </w:pPr>
            <w:r>
              <w:rPr>
                <w:rFonts w:ascii="Times New Roman" w:hAnsi="Times New Roman"/>
                <w:sz w:val="18"/>
              </w:rPr>
              <w:t>ЈП</w:t>
            </w:r>
            <w:r>
              <w:rPr>
                <w:rFonts w:ascii="Times New Roman" w:hAnsi="Times New Roman"/>
                <w:spacing w:val="-6"/>
                <w:sz w:val="18"/>
              </w:rPr>
              <w:t> </w:t>
            </w:r>
            <w:r>
              <w:rPr>
                <w:rFonts w:ascii="Times New Roman" w:hAnsi="Times New Roman"/>
                <w:sz w:val="18"/>
              </w:rPr>
              <w:t>Дирекција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3.000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3.000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8"/>
              <w:jc w:val="right"/>
              <w:rPr>
                <w:rFonts w:ascii="Times New Roman" w:hAnsi="Times New Roman" w:cs="Times New Roman" w:eastAsia="Times New Roman" w:hint="default"/>
                <w:sz w:val="18"/>
                <w:szCs w:val="18"/>
              </w:rPr>
            </w:pPr>
            <w:r>
              <w:rPr>
                <w:rFonts w:ascii="Times New Roman"/>
                <w:sz w:val="18"/>
              </w:rPr>
              <w:t>995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1.440</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48,00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8"/>
              <w:jc w:val="right"/>
              <w:rPr>
                <w:rFonts w:ascii="Times New Roman" w:hAnsi="Times New Roman" w:cs="Times New Roman" w:eastAsia="Times New Roman" w:hint="default"/>
                <w:sz w:val="18"/>
                <w:szCs w:val="18"/>
              </w:rPr>
            </w:pPr>
            <w:r>
              <w:rPr>
                <w:rFonts w:ascii="Times New Roman"/>
                <w:spacing w:val="-1"/>
                <w:sz w:val="18"/>
              </w:rPr>
              <w:t>144,72</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43" w:right="178"/>
              <w:jc w:val="left"/>
              <w:rPr>
                <w:rFonts w:ascii="Times New Roman" w:hAnsi="Times New Roman" w:cs="Times New Roman" w:eastAsia="Times New Roman" w:hint="default"/>
                <w:sz w:val="18"/>
                <w:szCs w:val="18"/>
              </w:rPr>
            </w:pPr>
            <w:r>
              <w:rPr>
                <w:rFonts w:ascii="Times New Roman"/>
                <w:sz w:val="18"/>
              </w:rPr>
              <w:t>10</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4"/>
                <w:sz w:val="18"/>
              </w:rPr>
              <w:t> </w:t>
            </w:r>
            <w:r>
              <w:rPr>
                <w:rFonts w:ascii="Times New Roman" w:hAnsi="Times New Roman"/>
                <w:sz w:val="18"/>
              </w:rPr>
              <w:t>привреду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15.585</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15.585</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40.735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44.113</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283,05</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108,29</w:t>
            </w:r>
          </w:p>
        </w:tc>
      </w:tr>
      <w:tr>
        <w:trPr>
          <w:trHeight w:val="264"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6"/>
              <w:jc w:val="right"/>
              <w:rPr>
                <w:rFonts w:ascii="Times New Roman" w:hAnsi="Times New Roman" w:cs="Times New Roman" w:eastAsia="Times New Roman" w:hint="default"/>
                <w:sz w:val="18"/>
                <w:szCs w:val="18"/>
              </w:rPr>
            </w:pPr>
            <w:r>
              <w:rPr>
                <w:rFonts w:ascii="Times New Roman" w:hAnsi="Times New Roman"/>
                <w:sz w:val="18"/>
              </w:rPr>
              <w:t>10а</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03" w:right="0"/>
              <w:jc w:val="left"/>
              <w:rPr>
                <w:rFonts w:ascii="Times New Roman" w:hAnsi="Times New Roman" w:cs="Times New Roman" w:eastAsia="Times New Roman" w:hint="default"/>
                <w:sz w:val="18"/>
                <w:szCs w:val="18"/>
              </w:rPr>
            </w:pPr>
            <w:r>
              <w:rPr>
                <w:rFonts w:ascii="Times New Roman" w:hAnsi="Times New Roman"/>
                <w:sz w:val="18"/>
              </w:rPr>
              <w:t>ТОН</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pacing w:val="-1"/>
                <w:sz w:val="18"/>
              </w:rPr>
              <w:t>14.585</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pacing w:val="-1"/>
                <w:sz w:val="18"/>
              </w:rPr>
              <w:t>14.585</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pacing w:val="-1"/>
                <w:sz w:val="18"/>
              </w:rPr>
              <w:t>40.232</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pacing w:val="-1"/>
                <w:sz w:val="18"/>
              </w:rPr>
              <w:t>40.232</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8"/>
                <w:szCs w:val="18"/>
              </w:rPr>
            </w:pPr>
            <w:r>
              <w:rPr>
                <w:rFonts w:ascii="Times New Roman"/>
                <w:spacing w:val="-1"/>
                <w:sz w:val="18"/>
              </w:rPr>
              <w:t>275,85</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8"/>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43" w:right="178"/>
              <w:jc w:val="left"/>
              <w:rPr>
                <w:rFonts w:ascii="Times New Roman" w:hAnsi="Times New Roman" w:cs="Times New Roman" w:eastAsia="Times New Roman" w:hint="default"/>
                <w:sz w:val="18"/>
                <w:szCs w:val="18"/>
              </w:rPr>
            </w:pPr>
            <w:r>
              <w:rPr>
                <w:rFonts w:ascii="Times New Roman"/>
                <w:sz w:val="18"/>
              </w:rPr>
              <w:t>11</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5"/>
                <w:sz w:val="18"/>
              </w:rPr>
              <w:t> </w:t>
            </w:r>
            <w:r>
              <w:rPr>
                <w:rFonts w:ascii="Times New Roman" w:hAnsi="Times New Roman"/>
                <w:sz w:val="18"/>
              </w:rPr>
              <w:t>пољопривреду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42.850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42.850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9.075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9.298</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21,70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102,46</w:t>
            </w:r>
          </w:p>
        </w:tc>
      </w:tr>
      <w:tr>
        <w:trPr>
          <w:trHeight w:val="219"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43" w:right="178"/>
              <w:jc w:val="left"/>
              <w:rPr>
                <w:rFonts w:ascii="Times New Roman" w:hAnsi="Times New Roman" w:cs="Times New Roman" w:eastAsia="Times New Roman" w:hint="default"/>
                <w:sz w:val="18"/>
                <w:szCs w:val="18"/>
              </w:rPr>
            </w:pPr>
            <w:r>
              <w:rPr>
                <w:rFonts w:ascii="Times New Roman"/>
                <w:sz w:val="18"/>
              </w:rPr>
              <w:t>12</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Служба за одржавање и</w:t>
            </w:r>
            <w:r>
              <w:rPr>
                <w:rFonts w:ascii="Times New Roman" w:hAnsi="Times New Roman"/>
                <w:spacing w:val="-5"/>
                <w:sz w:val="18"/>
              </w:rPr>
              <w:t> </w:t>
            </w:r>
            <w:r>
              <w:rPr>
                <w:rFonts w:ascii="Times New Roman" w:hAnsi="Times New Roman"/>
                <w:sz w:val="18"/>
              </w:rPr>
              <w:t>ИКТ</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18.764</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18.764</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9.946</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4.184</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22,30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7"/>
              <w:jc w:val="right"/>
              <w:rPr>
                <w:rFonts w:ascii="Times New Roman" w:hAnsi="Times New Roman" w:cs="Times New Roman" w:eastAsia="Times New Roman" w:hint="default"/>
                <w:sz w:val="18"/>
                <w:szCs w:val="18"/>
              </w:rPr>
            </w:pPr>
            <w:r>
              <w:rPr>
                <w:rFonts w:ascii="Times New Roman"/>
                <w:sz w:val="18"/>
              </w:rPr>
              <w:t>42,07</w:t>
            </w:r>
          </w:p>
        </w:tc>
      </w:tr>
      <w:tr>
        <w:trPr>
          <w:trHeight w:val="216" w:hRule="exact"/>
        </w:trPr>
        <w:tc>
          <w:tcPr>
            <w:tcW w:w="3418"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676" w:right="0"/>
              <w:jc w:val="left"/>
              <w:rPr>
                <w:rFonts w:ascii="Times New Roman" w:hAnsi="Times New Roman" w:cs="Times New Roman" w:eastAsia="Times New Roman" w:hint="default"/>
                <w:sz w:val="18"/>
                <w:szCs w:val="18"/>
              </w:rPr>
            </w:pPr>
            <w:r>
              <w:rPr>
                <w:rFonts w:ascii="Times New Roman" w:hAnsi="Times New Roman"/>
                <w:b/>
                <w:sz w:val="18"/>
              </w:rPr>
              <w:t>Укупно корисници</w:t>
            </w:r>
            <w:r>
              <w:rPr>
                <w:rFonts w:ascii="Times New Roman" w:hAnsi="Times New Roman"/>
                <w:b/>
                <w:spacing w:val="-2"/>
                <w:sz w:val="18"/>
              </w:rPr>
              <w:t> </w:t>
            </w:r>
            <w:r>
              <w:rPr>
                <w:rFonts w:ascii="Times New Roman" w:hAnsi="Times New Roman"/>
                <w:b/>
                <w:sz w:val="18"/>
              </w:rPr>
              <w:t>(1</w:t>
            </w:r>
            <w:r>
              <w:rPr>
                <w:rFonts w:ascii="Times New Roman" w:hAnsi="Times New Roman"/>
                <w:b/>
                <w:sz w:val="18"/>
              </w:rPr>
              <w:t>-12)</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pacing w:val="-1"/>
                <w:sz w:val="18"/>
              </w:rPr>
              <w:t>692.366</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697.801</w:t>
            </w:r>
            <w:r>
              <w:rPr>
                <w:rFonts w:ascii="Times New Roman"/>
                <w:spacing w:val="-1"/>
                <w:sz w:val="18"/>
              </w:rPr>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pacing w:val="-1"/>
                <w:sz w:val="18"/>
              </w:rPr>
              <w:t>478.860</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471.248</w:t>
            </w:r>
            <w:r>
              <w:rPr>
                <w:rFonts w:ascii="Times New Roman"/>
                <w:spacing w:val="-1"/>
                <w:sz w:val="18"/>
              </w:rPr>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67,53</w:t>
            </w:r>
            <w:r>
              <w:rPr>
                <w:rFonts w:asci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97"/>
              <w:jc w:val="right"/>
              <w:rPr>
                <w:rFonts w:ascii="Times New Roman" w:hAnsi="Times New Roman" w:cs="Times New Roman" w:eastAsia="Times New Roman" w:hint="default"/>
                <w:sz w:val="18"/>
                <w:szCs w:val="18"/>
              </w:rPr>
            </w:pPr>
            <w:r>
              <w:rPr>
                <w:rFonts w:ascii="Times New Roman"/>
                <w:b/>
                <w:sz w:val="18"/>
              </w:rPr>
              <w:t>98,41</w:t>
            </w:r>
            <w:r>
              <w:rPr>
                <w:rFonts w:ascii="Times New Roman"/>
                <w:sz w:val="18"/>
              </w:rPr>
            </w:r>
          </w:p>
        </w:tc>
      </w:tr>
      <w:tr>
        <w:trPr>
          <w:trHeight w:val="218" w:hRule="exact"/>
        </w:trPr>
        <w:tc>
          <w:tcPr>
            <w:tcW w:w="3418"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571" w:right="0"/>
              <w:jc w:val="left"/>
              <w:rPr>
                <w:rFonts w:ascii="Times New Roman" w:hAnsi="Times New Roman" w:cs="Times New Roman" w:eastAsia="Times New Roman" w:hint="default"/>
                <w:sz w:val="18"/>
                <w:szCs w:val="18"/>
              </w:rPr>
            </w:pPr>
            <w:r>
              <w:rPr>
                <w:rFonts w:ascii="Times New Roman" w:hAnsi="Times New Roman"/>
                <w:b/>
                <w:sz w:val="18"/>
              </w:rPr>
              <w:t>Укупно Град </w:t>
            </w:r>
            <w:r>
              <w:rPr>
                <w:rFonts w:ascii="Times New Roman" w:hAnsi="Times New Roman"/>
                <w:b/>
                <w:sz w:val="18"/>
              </w:rPr>
              <w:t>- </w:t>
            </w:r>
            <w:r>
              <w:rPr>
                <w:rFonts w:ascii="Times New Roman" w:hAnsi="Times New Roman"/>
                <w:b/>
                <w:sz w:val="18"/>
              </w:rPr>
              <w:t>група</w:t>
            </w:r>
            <w:r>
              <w:rPr>
                <w:rFonts w:ascii="Times New Roman" w:hAnsi="Times New Roman"/>
                <w:b/>
                <w:spacing w:val="-4"/>
                <w:sz w:val="18"/>
              </w:rPr>
              <w:t> </w:t>
            </w:r>
            <w:r>
              <w:rPr>
                <w:rFonts w:ascii="Times New Roman" w:hAnsi="Times New Roman"/>
                <w:b/>
                <w:sz w:val="18"/>
              </w:rPr>
              <w:t>423000</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pacing w:val="-1"/>
                <w:sz w:val="18"/>
              </w:rPr>
              <w:t>696.755</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702.190</w:t>
            </w:r>
            <w:r>
              <w:rPr>
                <w:rFonts w:ascii="Times New Roman"/>
                <w:spacing w:val="-1"/>
                <w:sz w:val="18"/>
              </w:rPr>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pacing w:val="-1"/>
                <w:sz w:val="18"/>
              </w:rPr>
              <w:t>480.108</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472.496</w:t>
            </w:r>
            <w:r>
              <w:rPr>
                <w:rFonts w:ascii="Times New Roman"/>
                <w:spacing w:val="-1"/>
                <w:sz w:val="18"/>
              </w:rPr>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67,29</w:t>
            </w:r>
            <w:r>
              <w:rPr>
                <w:rFonts w:asci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97"/>
              <w:jc w:val="right"/>
              <w:rPr>
                <w:rFonts w:ascii="Times New Roman" w:hAnsi="Times New Roman" w:cs="Times New Roman" w:eastAsia="Times New Roman" w:hint="default"/>
                <w:sz w:val="18"/>
                <w:szCs w:val="18"/>
              </w:rPr>
            </w:pPr>
            <w:r>
              <w:rPr>
                <w:rFonts w:ascii="Times New Roman"/>
                <w:b/>
                <w:sz w:val="18"/>
              </w:rPr>
              <w:t>98,41</w:t>
            </w:r>
            <w:r>
              <w:rPr>
                <w:rFonts w:ascii="Times New Roman"/>
                <w:sz w:val="18"/>
              </w:rPr>
            </w:r>
          </w:p>
        </w:tc>
      </w:tr>
    </w:tbl>
    <w:p>
      <w:pPr>
        <w:pStyle w:val="BodyText"/>
        <w:spacing w:line="240" w:lineRule="auto"/>
        <w:ind w:right="256" w:firstLine="566"/>
        <w:jc w:val="both"/>
      </w:pPr>
      <w:r>
        <w:rPr/>
        <w:t>Исказано је извршење у укупном износу од </w:t>
      </w:r>
      <w:r>
        <w:rPr>
          <w:rFonts w:ascii="Times New Roman" w:hAnsi="Times New Roman"/>
        </w:rPr>
        <w:t>480.108 </w:t>
      </w:r>
      <w:r>
        <w:rPr/>
        <w:t>хиљада динара и то на терет буџета Града у износу од 424.102 хиљаде динара, из буџета Републике у износу од 1.196 хиљада динара, из донација у износу од 743 хиљаде динара и из осталих извора у износу од</w:t>
      </w:r>
      <w:r>
        <w:rPr>
          <w:spacing w:val="22"/>
        </w:rPr>
        <w:t> </w:t>
      </w:r>
      <w:r>
        <w:rPr/>
        <w:t>54.067</w:t>
      </w:r>
      <w:r>
        <w:rPr>
          <w:spacing w:val="21"/>
        </w:rPr>
        <w:t> </w:t>
      </w:r>
      <w:r>
        <w:rPr/>
        <w:t>хиљада</w:t>
      </w:r>
      <w:r>
        <w:rPr>
          <w:spacing w:val="21"/>
        </w:rPr>
        <w:t> </w:t>
      </w:r>
      <w:r>
        <w:rPr/>
        <w:t>динара.</w:t>
      </w:r>
      <w:r>
        <w:rPr>
          <w:spacing w:val="24"/>
        </w:rPr>
        <w:t> </w:t>
      </w:r>
      <w:r>
        <w:rPr/>
        <w:t>Исказани</w:t>
      </w:r>
      <w:r>
        <w:rPr>
          <w:spacing w:val="22"/>
        </w:rPr>
        <w:t> </w:t>
      </w:r>
      <w:r>
        <w:rPr/>
        <w:t>су</w:t>
      </w:r>
      <w:r>
        <w:rPr>
          <w:spacing w:val="17"/>
        </w:rPr>
        <w:t> </w:t>
      </w:r>
      <w:r>
        <w:rPr/>
        <w:t>расходи</w:t>
      </w:r>
      <w:r>
        <w:rPr>
          <w:spacing w:val="22"/>
        </w:rPr>
        <w:t> </w:t>
      </w:r>
      <w:r>
        <w:rPr/>
        <w:t>за:</w:t>
      </w:r>
      <w:r>
        <w:rPr>
          <w:spacing w:val="25"/>
        </w:rPr>
        <w:t> </w:t>
      </w:r>
      <w:r>
        <w:rPr/>
        <w:t>административне</w:t>
      </w:r>
      <w:r>
        <w:rPr>
          <w:spacing w:val="20"/>
        </w:rPr>
        <w:t> </w:t>
      </w:r>
      <w:r>
        <w:rPr/>
        <w:t>услуге</w:t>
      </w:r>
      <w:r>
        <w:rPr>
          <w:spacing w:val="25"/>
        </w:rPr>
        <w:t> </w:t>
      </w:r>
      <w:r>
        <w:rPr/>
        <w:t>у</w:t>
      </w:r>
      <w:r>
        <w:rPr>
          <w:spacing w:val="17"/>
        </w:rPr>
        <w:t> </w:t>
      </w:r>
      <w:r>
        <w:rPr/>
        <w:t>износу</w:t>
      </w:r>
      <w:r>
        <w:rPr>
          <w:spacing w:val="17"/>
        </w:rPr>
        <w:t> </w:t>
      </w:r>
      <w:r>
        <w:rPr/>
        <w:t>од</w:t>
      </w:r>
    </w:p>
    <w:p>
      <w:pPr>
        <w:pStyle w:val="BodyText"/>
        <w:spacing w:line="240" w:lineRule="auto"/>
        <w:ind w:right="261"/>
        <w:jc w:val="both"/>
      </w:pPr>
      <w:r>
        <w:rPr/>
        <w:t>311 хиљада динара, компјутерске услуге у износу од 4.865 хиљада динара, услуге образовања и усавршавања запослених у износу од 1.870 хиљада динара, услуге информисања у износу од 23.475 хиљада динара, стручне услуге у износу од 35.100 хиљада динара, услуге за домаћинство и угоститељство у износу од 10.127 хиљада динара, репрезентацију у износу од 6.901 хиљаде динара и остале опште услуге у износу од 397.459 хиљада</w:t>
      </w:r>
      <w:r>
        <w:rPr>
          <w:spacing w:val="-5"/>
        </w:rPr>
        <w:t> </w:t>
      </w:r>
      <w:r>
        <w:rPr/>
        <w:t>динара.</w:t>
      </w:r>
    </w:p>
    <w:p>
      <w:pPr>
        <w:pStyle w:val="ListParagraph"/>
        <w:numPr>
          <w:ilvl w:val="0"/>
          <w:numId w:val="33"/>
        </w:numPr>
        <w:tabs>
          <w:tab w:pos="1013" w:val="left" w:leader="none"/>
        </w:tabs>
        <w:spacing w:line="240" w:lineRule="auto" w:before="137" w:after="0"/>
        <w:ind w:left="160" w:right="261" w:firstLine="566"/>
        <w:jc w:val="both"/>
        <w:rPr>
          <w:rFonts w:ascii="Times New Roman" w:hAnsi="Times New Roman" w:cs="Times New Roman" w:eastAsia="Times New Roman" w:hint="default"/>
          <w:sz w:val="24"/>
          <w:szCs w:val="24"/>
        </w:rPr>
      </w:pPr>
      <w:r>
        <w:rPr>
          <w:rFonts w:ascii="Times New Roman" w:hAnsi="Times New Roman"/>
          <w:b/>
          <w:sz w:val="24"/>
        </w:rPr>
        <w:t>Скупштина града </w:t>
      </w:r>
      <w:r>
        <w:rPr>
          <w:rFonts w:ascii="Times New Roman" w:hAnsi="Times New Roman"/>
          <w:sz w:val="24"/>
        </w:rPr>
        <w:t>- </w:t>
      </w:r>
      <w:r>
        <w:rPr>
          <w:rFonts w:ascii="Times New Roman" w:hAnsi="Times New Roman"/>
          <w:sz w:val="24"/>
        </w:rPr>
        <w:t>Исказано је извршење у укупном износу од 1.484 хиљаде динара. Исказани су расходи за: услуге информисања у износу од 213 хиљада динара, стручне услуге у износу од 1.005 хиљада динара и репрезентацију у износу од  266 хиљада</w:t>
      </w:r>
      <w:r>
        <w:rPr>
          <w:rFonts w:ascii="Times New Roman" w:hAnsi="Times New Roman"/>
          <w:spacing w:val="-3"/>
          <w:sz w:val="24"/>
        </w:rPr>
        <w:t> </w:t>
      </w:r>
      <w:r>
        <w:rPr>
          <w:rFonts w:ascii="Times New Roman" w:hAnsi="Times New Roman"/>
          <w:sz w:val="24"/>
        </w:rPr>
        <w:t>динара.</w:t>
      </w:r>
    </w:p>
    <w:p>
      <w:pPr>
        <w:pStyle w:val="BodyText"/>
        <w:spacing w:line="240" w:lineRule="auto"/>
        <w:ind w:right="253" w:firstLine="566"/>
        <w:jc w:val="both"/>
        <w:rPr>
          <w:rFonts w:ascii="Times New Roman" w:hAnsi="Times New Roman" w:cs="Times New Roman" w:eastAsia="Times New Roman" w:hint="default"/>
        </w:rPr>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Објављивање тендера и информативних огласа, субаналитички конто 423432 </w:t>
      </w:r>
      <w:r>
        <w:rPr/>
        <w:t>– </w:t>
      </w:r>
      <w:r>
        <w:rPr/>
        <w:t>Исказан је расход у износу од 70 хиљада динара и то по рачуну број 43/1035 „Народне новине“ доо Ниш од 31.12.2013. године на име новогодишње</w:t>
      </w:r>
      <w:r>
        <w:rPr>
          <w:spacing w:val="-13"/>
        </w:rPr>
        <w:t> </w:t>
      </w:r>
      <w:r>
        <w:rPr/>
        <w:t>честитке</w:t>
      </w:r>
      <w:r>
        <w:rPr>
          <w:rFonts w:ascii="Times New Roman" w:hAnsi="Times New Roman" w:cs="Times New Roman" w:eastAsia="Times New Roman" w:hint="default"/>
        </w:rPr>
        <w:t>.</w:t>
      </w:r>
    </w:p>
    <w:p>
      <w:pPr>
        <w:pStyle w:val="Heading1"/>
        <w:spacing w:line="275" w:lineRule="exact"/>
        <w:ind w:right="253"/>
        <w:jc w:val="left"/>
        <w:rPr>
          <w:b w:val="0"/>
          <w:bCs w:val="0"/>
        </w:rPr>
      </w:pPr>
      <w:r>
        <w:rPr/>
        <w:t>На основу ревизије узорковане документације утврђено</w:t>
      </w:r>
      <w:r>
        <w:rPr>
          <w:spacing w:val="-12"/>
        </w:rPr>
        <w:t> </w:t>
      </w:r>
      <w:r>
        <w:rPr/>
        <w:t>је:</w:t>
      </w:r>
      <w:r>
        <w:rPr>
          <w:b w:val="0"/>
        </w:rPr>
      </w:r>
    </w:p>
    <w:p>
      <w:pPr>
        <w:pStyle w:val="ListParagraph"/>
        <w:numPr>
          <w:ilvl w:val="0"/>
          <w:numId w:val="9"/>
        </w:numPr>
        <w:tabs>
          <w:tab w:pos="303" w:val="left" w:leader="none"/>
        </w:tabs>
        <w:spacing w:line="240" w:lineRule="auto" w:before="0" w:after="0"/>
        <w:ind w:left="160" w:right="253" w:firstLine="0"/>
        <w:jc w:val="both"/>
        <w:rPr>
          <w:rFonts w:ascii="Times New Roman" w:hAnsi="Times New Roman" w:cs="Times New Roman" w:eastAsia="Times New Roman" w:hint="default"/>
          <w:sz w:val="24"/>
          <w:szCs w:val="24"/>
        </w:rPr>
      </w:pPr>
      <w:r>
        <w:rPr>
          <w:rFonts w:ascii="Times New Roman" w:hAnsi="Times New Roman"/>
          <w:sz w:val="24"/>
        </w:rPr>
        <w:t>Извршен је расход у износу од 70 хиљада динара на име новогодишње честитке по рачуну број 43/1035 од </w:t>
      </w:r>
      <w:r>
        <w:rPr>
          <w:rFonts w:ascii="Times New Roman" w:hAnsi="Times New Roman"/>
          <w:sz w:val="24"/>
        </w:rPr>
        <w:t>31.12.2013</w:t>
      </w:r>
      <w:r>
        <w:rPr>
          <w:rFonts w:ascii="Times New Roman" w:hAnsi="Times New Roman"/>
          <w:sz w:val="24"/>
        </w:rPr>
        <w:t>. године који не садржи потпис лица одговорног за насталу пословну промену и поднетом Захтеву за плаћање број 18 од 16.01.2014. године који није оверен потписима лица за одобрење плаћања из   </w:t>
      </w:r>
      <w:r>
        <w:rPr>
          <w:rFonts w:ascii="Times New Roman" w:hAnsi="Times New Roman"/>
          <w:spacing w:val="18"/>
          <w:sz w:val="24"/>
        </w:rPr>
        <w:t> </w:t>
      </w:r>
      <w:r>
        <w:rPr>
          <w:rFonts w:ascii="Times New Roman" w:hAnsi="Times New Roman"/>
          <w:sz w:val="24"/>
        </w:rPr>
        <w:t>Управе за финансије, изворне</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180"/>
        </w:sectPr>
      </w:pPr>
    </w:p>
    <w:p>
      <w:pPr>
        <w:pStyle w:val="BodyText"/>
        <w:spacing w:line="240" w:lineRule="auto" w:before="122"/>
        <w:ind w:right="187"/>
        <w:jc w:val="both"/>
      </w:pPr>
      <w:r>
        <w:rPr/>
        <w:t>приходе локалне самоуправе и јавне набавке, што је супротно члану 58. Закона о буџетском систему и члану 16. Уредбе о буџетском</w:t>
      </w:r>
      <w:r>
        <w:rPr>
          <w:spacing w:val="-23"/>
        </w:rPr>
        <w:t> </w:t>
      </w:r>
      <w:r>
        <w:rPr/>
        <w:t>рачуноводству.</w:t>
      </w:r>
    </w:p>
    <w:p>
      <w:pPr>
        <w:pStyle w:val="ListParagraph"/>
        <w:numPr>
          <w:ilvl w:val="0"/>
          <w:numId w:val="9"/>
        </w:numPr>
        <w:tabs>
          <w:tab w:pos="303" w:val="left" w:leader="none"/>
        </w:tabs>
        <w:spacing w:line="237" w:lineRule="auto" w:before="4"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Измирење новчаних обавеза по рачуну број 43/1035 од </w:t>
      </w:r>
      <w:r>
        <w:rPr>
          <w:rFonts w:ascii="Times New Roman" w:hAnsi="Times New Roman"/>
          <w:sz w:val="24"/>
        </w:rPr>
        <w:t>31.12.2013</w:t>
      </w:r>
      <w:r>
        <w:rPr>
          <w:rFonts w:ascii="Times New Roman" w:hAnsi="Times New Roman"/>
          <w:sz w:val="24"/>
        </w:rPr>
        <w:t>. године није вршено  у року од 45 дана, већ са закашњењем, што је супротно члану 4. Закона о роковима измирења новчаних обавеза у комерцијалним</w:t>
      </w:r>
      <w:r>
        <w:rPr>
          <w:rFonts w:ascii="Times New Roman" w:hAnsi="Times New Roman"/>
          <w:spacing w:val="-18"/>
          <w:sz w:val="24"/>
        </w:rPr>
        <w:t> </w:t>
      </w:r>
      <w:r>
        <w:rPr>
          <w:rFonts w:ascii="Times New Roman" w:hAnsi="Times New Roman"/>
          <w:sz w:val="24"/>
        </w:rPr>
        <w:t>трансакцијама</w:t>
      </w:r>
      <w:r>
        <w:rPr>
          <w:rFonts w:ascii="Times New Roman" w:hAnsi="Times New Roman"/>
          <w:sz w:val="24"/>
        </w:rPr>
        <w:t>.</w:t>
      </w:r>
    </w:p>
    <w:p>
      <w:pPr>
        <w:pStyle w:val="Heading2"/>
        <w:spacing w:line="240" w:lineRule="auto"/>
        <w:ind w:right="174"/>
        <w:jc w:val="both"/>
        <w:rPr>
          <w:rFonts w:ascii="Times New Roman" w:hAnsi="Times New Roman" w:cs="Times New Roman" w:eastAsia="Times New Roman" w:hint="default"/>
          <w:b w:val="0"/>
          <w:bCs w:val="0"/>
          <w:i w:val="0"/>
        </w:rPr>
      </w:pPr>
      <w:r>
        <w:rPr>
          <w:i/>
        </w:rPr>
        <w:t>Препоручује се одговорним лицима да за сваки расход из буџета обезбеде  валидну документацију и обавезе измирују у прописаном</w:t>
      </w:r>
      <w:r>
        <w:rPr>
          <w:i/>
          <w:spacing w:val="-16"/>
        </w:rPr>
        <w:t> </w:t>
      </w:r>
      <w:r>
        <w:rPr>
          <w:i/>
        </w:rPr>
        <w:t>року</w:t>
      </w:r>
      <w:r>
        <w:rPr>
          <w:rFonts w:ascii="Times New Roman" w:hAnsi="Times New Roman"/>
          <w:i/>
        </w:rPr>
        <w:t>.</w:t>
      </w:r>
      <w:r>
        <w:rPr>
          <w:rFonts w:ascii="Times New Roman" w:hAnsi="Times New Roman"/>
          <w:b w:val="0"/>
          <w:i w:val="0"/>
        </w:rPr>
      </w:r>
    </w:p>
    <w:p>
      <w:pPr>
        <w:pStyle w:val="BodyText"/>
        <w:spacing w:line="240" w:lineRule="auto"/>
        <w:ind w:right="175"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Накнаде члановима управних, надзорних одбора и комисија, субаналитички конто </w:t>
      </w:r>
      <w:r>
        <w:rPr/>
      </w:r>
      <w:r>
        <w:rPr/>
      </w:r>
      <w:r>
        <w:rPr>
          <w:rFonts w:ascii="Times New Roman" w:hAnsi="Times New Roman" w:cs="Times New Roman" w:eastAsia="Times New Roman" w:hint="default"/>
        </w:rPr>
      </w:r>
      <w:r>
        <w:rPr>
          <w:rFonts w:ascii="Times New Roman" w:hAnsi="Times New Roman" w:cs="Times New Roman" w:eastAsia="Times New Roman" w:hint="default"/>
          <w:u w:val="single" w:color="000000"/>
        </w:rPr>
        <w:t>423591 </w:t>
      </w:r>
      <w:r>
        <w:rPr>
          <w:rFonts w:ascii="Times New Roman" w:hAnsi="Times New Roman" w:cs="Times New Roman" w:eastAsia="Times New Roman" w:hint="default"/>
        </w:rPr>
      </w:r>
      <w:r>
        <w:rPr/>
        <w:t>– Исказан је расход у износу од 752 хиљаде динара, за накнаде члановима радних тела Скупштине града и</w:t>
      </w:r>
      <w:r>
        <w:rPr>
          <w:spacing w:val="-10"/>
        </w:rPr>
        <w:t> </w:t>
      </w:r>
      <w:r>
        <w:rPr/>
        <w:t>комисија.</w:t>
      </w:r>
    </w:p>
    <w:p>
      <w:pPr>
        <w:pStyle w:val="BodyText"/>
        <w:spacing w:line="240" w:lineRule="auto"/>
        <w:ind w:right="173" w:firstLine="566"/>
        <w:jc w:val="both"/>
      </w:pPr>
      <w:r>
        <w:rPr/>
        <w:t>Исплата накнаде члановима комисија регулисана је Одлуком о накнадама одборника, чланова радних тела и одборничких група у Скупштини града, којом је регулисано да члан радног тела има право на накнаду за присуство и рад у дане одржавања седнице радног тела Скупштине града у износу од 2,5% од просечне месечне зараде по запосленом у привреди Републике према последњем објављеном податку републичког органа надлежног за послове</w:t>
      </w:r>
      <w:r>
        <w:rPr>
          <w:spacing w:val="-15"/>
        </w:rPr>
        <w:t> </w:t>
      </w:r>
      <w:r>
        <w:rPr/>
        <w:t>статистике.</w:t>
      </w:r>
    </w:p>
    <w:p>
      <w:pPr>
        <w:pStyle w:val="BodyText"/>
        <w:spacing w:line="240" w:lineRule="auto"/>
        <w:ind w:right="170" w:firstLine="566"/>
        <w:jc w:val="both"/>
        <w:rPr>
          <w:rFonts w:ascii="Times New Roman" w:hAnsi="Times New Roman" w:cs="Times New Roman" w:eastAsia="Times New Roman" w:hint="default"/>
        </w:rPr>
      </w:pPr>
      <w:r>
        <w:rPr/>
        <w:t>Узорковане су исплате и то: Комисији за планове у износу од 664 хиљаде динара </w:t>
      </w:r>
      <w:r>
        <w:rPr>
          <w:rFonts w:ascii="Times New Roman" w:hAnsi="Times New Roman"/>
        </w:rPr>
        <w:t>(</w:t>
      </w:r>
      <w:r>
        <w:rPr/>
        <w:t>у апсолутном износу од по 3.040,00 динара у нето износу по седници</w:t>
      </w:r>
      <w:r>
        <w:rPr>
          <w:rFonts w:ascii="Times New Roman" w:hAnsi="Times New Roman"/>
        </w:rPr>
        <w:t>), </w:t>
      </w:r>
      <w:r>
        <w:rPr/>
        <w:t>Комисији за именовање директора јавних и јавно комуналних предузећа града Ниша у износу од 43 хиљаде динара </w:t>
      </w:r>
      <w:r>
        <w:rPr>
          <w:rFonts w:ascii="Times New Roman" w:hAnsi="Times New Roman"/>
        </w:rPr>
        <w:t>(</w:t>
      </w:r>
      <w:r>
        <w:rPr/>
        <w:t>у апсолутном износу од по 1.279,00 динара по седници) и Одбору за именовање у износу од 15 хиљада динара за седницу одржану у 2013. години </w:t>
      </w:r>
      <w:r>
        <w:rPr>
          <w:rFonts w:ascii="Times New Roman" w:hAnsi="Times New Roman"/>
        </w:rPr>
        <w:t>(</w:t>
      </w:r>
      <w:r>
        <w:rPr/>
        <w:t>у апсолутном нето износу од по </w:t>
      </w:r>
      <w:r>
        <w:rPr>
          <w:rFonts w:ascii="Times New Roman" w:hAnsi="Times New Roman"/>
        </w:rPr>
        <w:t>1.605,00 </w:t>
      </w:r>
      <w:r>
        <w:rPr/>
        <w:t>динара по члану</w:t>
      </w:r>
      <w:r>
        <w:rPr>
          <w:spacing w:val="-17"/>
        </w:rPr>
        <w:t> </w:t>
      </w:r>
      <w:r>
        <w:rPr/>
        <w:t>комисије</w:t>
      </w:r>
      <w:r>
        <w:rPr>
          <w:rFonts w:ascii="Times New Roman" w:hAnsi="Times New Roman"/>
        </w:rPr>
        <w:t>).</w:t>
      </w:r>
    </w:p>
    <w:p>
      <w:pPr>
        <w:pStyle w:val="Heading1"/>
        <w:spacing w:line="275" w:lineRule="exact"/>
        <w:ind w:left="786"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41" w:val="left" w:leader="none"/>
        </w:tabs>
        <w:spacing w:line="240" w:lineRule="auto" w:before="0" w:after="0"/>
        <w:ind w:left="160" w:right="168" w:firstLine="0"/>
        <w:jc w:val="both"/>
        <w:rPr>
          <w:rFonts w:ascii="Times New Roman" w:hAnsi="Times New Roman" w:cs="Times New Roman" w:eastAsia="Times New Roman" w:hint="default"/>
          <w:sz w:val="24"/>
          <w:szCs w:val="24"/>
        </w:rPr>
      </w:pPr>
      <w:r>
        <w:rPr>
          <w:rFonts w:ascii="Times New Roman" w:hAnsi="Times New Roman"/>
          <w:sz w:val="24"/>
        </w:rPr>
        <w:t>Исплата накнаде члановима радних тела Скупштине извршена је и то</w:t>
      </w:r>
      <w:r>
        <w:rPr>
          <w:rFonts w:ascii="Times New Roman" w:hAnsi="Times New Roman"/>
          <w:sz w:val="24"/>
        </w:rPr>
        <w:t>: </w:t>
      </w:r>
      <w:r>
        <w:rPr>
          <w:rFonts w:ascii="Times New Roman" w:hAnsi="Times New Roman"/>
          <w:sz w:val="24"/>
        </w:rPr>
        <w:t>Комисији за планове у износу од 5% просечне зараде у Републици Србији за јули 2013. године </w:t>
      </w:r>
      <w:r>
        <w:rPr>
          <w:rFonts w:ascii="Times New Roman" w:hAnsi="Times New Roman"/>
          <w:sz w:val="24"/>
        </w:rPr>
        <w:t>(</w:t>
      </w:r>
      <w:r>
        <w:rPr>
          <w:rFonts w:ascii="Times New Roman" w:hAnsi="Times New Roman"/>
          <w:sz w:val="24"/>
        </w:rPr>
        <w:t>у апсолутном нето износу од по 3.040,00 динара по седници</w:t>
      </w:r>
      <w:r>
        <w:rPr>
          <w:rFonts w:ascii="Times New Roman" w:hAnsi="Times New Roman"/>
          <w:sz w:val="24"/>
        </w:rPr>
        <w:t>) </w:t>
      </w:r>
      <w:r>
        <w:rPr>
          <w:rFonts w:ascii="Times New Roman" w:hAnsi="Times New Roman"/>
          <w:sz w:val="24"/>
        </w:rPr>
        <w:t>и Одбору за именовање у износу од </w:t>
      </w:r>
      <w:r>
        <w:rPr>
          <w:rFonts w:ascii="Times New Roman" w:hAnsi="Times New Roman"/>
          <w:sz w:val="24"/>
        </w:rPr>
        <w:t>2,5% </w:t>
      </w:r>
      <w:r>
        <w:rPr>
          <w:rFonts w:ascii="Times New Roman" w:hAnsi="Times New Roman"/>
          <w:sz w:val="24"/>
        </w:rPr>
        <w:t>просечне зараде у Републици Србији за април 2013. године </w:t>
      </w:r>
      <w:r>
        <w:rPr>
          <w:rFonts w:ascii="Times New Roman" w:hAnsi="Times New Roman"/>
          <w:sz w:val="24"/>
        </w:rPr>
        <w:t>(</w:t>
      </w:r>
      <w:r>
        <w:rPr>
          <w:rFonts w:ascii="Times New Roman" w:hAnsi="Times New Roman"/>
          <w:sz w:val="24"/>
        </w:rPr>
        <w:t>у апсолутном нето износу од по 1.605,00 динара по седници), што је супротно члану 9. Одлуке о накнадама одборника, чланова радних тела и одборничких група у Скупштини Града</w:t>
      </w:r>
      <w:r>
        <w:rPr>
          <w:rFonts w:ascii="Times New Roman" w:hAnsi="Times New Roman"/>
          <w:sz w:val="24"/>
        </w:rPr>
        <w:t>, </w:t>
      </w:r>
      <w:r>
        <w:rPr>
          <w:rFonts w:ascii="Times New Roman" w:hAnsi="Times New Roman"/>
          <w:sz w:val="24"/>
        </w:rPr>
        <w:t>који је регулисао наканду у висини од 2,5% од просечне месечне зараде по запосленом у привреди Републике према последњем објављеном податку републичког органа надлежног за послове статистике </w:t>
      </w:r>
      <w:r>
        <w:rPr>
          <w:rFonts w:ascii="Times New Roman" w:hAnsi="Times New Roman"/>
          <w:sz w:val="24"/>
        </w:rPr>
        <w:t>(</w:t>
      </w:r>
      <w:r>
        <w:rPr>
          <w:rFonts w:ascii="Times New Roman" w:hAnsi="Times New Roman"/>
          <w:sz w:val="24"/>
        </w:rPr>
        <w:t>у апсолутном нето износу од по 1.279,00 динара по седници).</w:t>
      </w:r>
    </w:p>
    <w:p>
      <w:pPr>
        <w:pStyle w:val="ListParagraph"/>
        <w:numPr>
          <w:ilvl w:val="0"/>
          <w:numId w:val="9"/>
        </w:numPr>
        <w:tabs>
          <w:tab w:pos="303" w:val="left" w:leader="none"/>
        </w:tabs>
        <w:spacing w:line="237" w:lineRule="auto" w:before="4"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Расход за исплату дневница члановима Комисије за планове и Одбора за именовање извршен је у укупном износу од 65 хиљада динара више од прописаног, односно без основа, што је супротно члану 56. и 58. Закона о буџетском</w:t>
      </w:r>
      <w:r>
        <w:rPr>
          <w:rFonts w:ascii="Times New Roman" w:hAnsi="Times New Roman"/>
          <w:spacing w:val="-21"/>
          <w:sz w:val="24"/>
        </w:rPr>
        <w:t> </w:t>
      </w:r>
      <w:r>
        <w:rPr>
          <w:rFonts w:ascii="Times New Roman" w:hAnsi="Times New Roman"/>
          <w:sz w:val="24"/>
        </w:rPr>
        <w:t>систему.</w:t>
      </w:r>
    </w:p>
    <w:p>
      <w:pPr>
        <w:pStyle w:val="Heading2"/>
        <w:spacing w:line="240" w:lineRule="auto"/>
        <w:ind w:right="176"/>
        <w:jc w:val="both"/>
        <w:rPr>
          <w:b w:val="0"/>
          <w:bCs w:val="0"/>
          <w:i w:val="0"/>
        </w:rPr>
      </w:pPr>
      <w:r>
        <w:rPr>
          <w:i/>
        </w:rPr>
        <w:t>Препоручује се одговорним лицима да обезбеде правилну примену интерних аката и обезбеде основ за сваки расход из</w:t>
      </w:r>
      <w:r>
        <w:rPr>
          <w:i/>
          <w:spacing w:val="-9"/>
        </w:rPr>
        <w:t> </w:t>
      </w:r>
      <w:r>
        <w:rPr>
          <w:i/>
        </w:rPr>
        <w:t>буџета.</w:t>
      </w:r>
      <w:r>
        <w:rPr>
          <w:b w:val="0"/>
          <w:i w:val="0"/>
        </w:rPr>
      </w:r>
    </w:p>
    <w:p>
      <w:pPr>
        <w:pStyle w:val="ListParagraph"/>
        <w:numPr>
          <w:ilvl w:val="0"/>
          <w:numId w:val="33"/>
        </w:numPr>
        <w:tabs>
          <w:tab w:pos="1013" w:val="left" w:leader="none"/>
        </w:tabs>
        <w:spacing w:line="240" w:lineRule="auto" w:before="132" w:after="0"/>
        <w:ind w:left="160" w:right="179" w:firstLine="566"/>
        <w:jc w:val="both"/>
        <w:rPr>
          <w:rFonts w:ascii="Times New Roman" w:hAnsi="Times New Roman" w:cs="Times New Roman" w:eastAsia="Times New Roman" w:hint="default"/>
          <w:sz w:val="24"/>
          <w:szCs w:val="24"/>
        </w:rPr>
      </w:pPr>
      <w:r>
        <w:rPr>
          <w:rFonts w:ascii="Times New Roman" w:hAnsi="Times New Roman"/>
          <w:b/>
          <w:sz w:val="24"/>
        </w:rPr>
        <w:t>Градоначелник </w:t>
      </w:r>
      <w:r>
        <w:rPr>
          <w:rFonts w:ascii="Times New Roman" w:hAnsi="Times New Roman"/>
          <w:b/>
          <w:sz w:val="24"/>
        </w:rPr>
        <w:t>- </w:t>
      </w:r>
      <w:r>
        <w:rPr>
          <w:rFonts w:ascii="Times New Roman" w:hAnsi="Times New Roman"/>
          <w:sz w:val="24"/>
        </w:rPr>
        <w:t>Исказано је извршење у укупном износу од 5.380 хиљада динара из буџета града. Исказан је расход за: компјутерске услуге у износу од четири хиљаде динара, услуге информисања у износу од 948 хиљада динара, стручне услуге у износу од 78 хиљада динара, услуге за домаћинство и угоститељство у износу од 94 хиљаде динара, репрезентацију у износу од 1.196 хиљада динара и остале опште услуге у износу од 3.060 хиљада</w:t>
      </w:r>
      <w:r>
        <w:rPr>
          <w:rFonts w:ascii="Times New Roman" w:hAnsi="Times New Roman"/>
          <w:spacing w:val="-7"/>
          <w:sz w:val="24"/>
        </w:rPr>
        <w:t> </w:t>
      </w:r>
      <w:r>
        <w:rPr>
          <w:rFonts w:ascii="Times New Roman" w:hAnsi="Times New Roman"/>
          <w:sz w:val="24"/>
        </w:rPr>
        <w:t>динара.</w:t>
      </w:r>
    </w:p>
    <w:p>
      <w:pPr>
        <w:pStyle w:val="BodyText"/>
        <w:spacing w:line="240" w:lineRule="auto"/>
        <w:ind w:right="173"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Услуге информисања јавности, субаналитички конто 423421 </w:t>
      </w:r>
      <w:r>
        <w:rPr/>
        <w:t>– Исказан је расход у </w:t>
      </w:r>
      <w:r>
        <w:rPr/>
        <w:t>износу од 522 хиљаде</w:t>
      </w:r>
      <w:r>
        <w:rPr>
          <w:spacing w:val="-7"/>
        </w:rPr>
        <w:t> </w:t>
      </w:r>
      <w:r>
        <w:rPr/>
        <w:t>динара.</w:t>
      </w:r>
    </w:p>
    <w:p>
      <w:pPr>
        <w:spacing w:after="0" w:line="240" w:lineRule="auto"/>
        <w:jc w:val="both"/>
        <w:sectPr>
          <w:pgSz w:w="12240" w:h="15840"/>
          <w:pgMar w:header="740" w:footer="1274" w:top="1280" w:bottom="1460" w:left="1400" w:right="1260"/>
        </w:sectPr>
      </w:pPr>
    </w:p>
    <w:p>
      <w:pPr>
        <w:pStyle w:val="Heading1"/>
        <w:spacing w:line="275" w:lineRule="exact" w:before="126"/>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Извршен је расход у укупном износу од 211 хиљада динара на име услуге „clipping“ сервиса по рачунима „Ninamedia kliping“ доо Нови Сад број 4</w:t>
      </w:r>
      <w:r>
        <w:rPr>
          <w:rFonts w:ascii="Times New Roman" w:hAnsi="Times New Roman" w:cs="Times New Roman" w:eastAsia="Times New Roman" w:hint="default"/>
          <w:sz w:val="24"/>
          <w:szCs w:val="24"/>
        </w:rPr>
        <w:t>-5094-2012 03.12.2012. </w:t>
      </w:r>
      <w:r>
        <w:rPr>
          <w:rFonts w:ascii="Times New Roman" w:hAnsi="Times New Roman" w:cs="Times New Roman" w:eastAsia="Times New Roman" w:hint="default"/>
          <w:sz w:val="24"/>
          <w:szCs w:val="24"/>
        </w:rPr>
        <w:t>године; 4</w:t>
      </w:r>
      <w:r>
        <w:rPr>
          <w:rFonts w:ascii="Times New Roman" w:hAnsi="Times New Roman" w:cs="Times New Roman" w:eastAsia="Times New Roman" w:hint="default"/>
          <w:sz w:val="24"/>
          <w:szCs w:val="24"/>
        </w:rPr>
        <w:t>-62-</w:t>
      </w:r>
      <w:r>
        <w:rPr>
          <w:rFonts w:ascii="Times New Roman" w:hAnsi="Times New Roman" w:cs="Times New Roman" w:eastAsia="Times New Roman" w:hint="default"/>
          <w:sz w:val="24"/>
          <w:szCs w:val="24"/>
        </w:rPr>
        <w:t>2013 од 04.01.2013. године; број 4</w:t>
      </w:r>
      <w:r>
        <w:rPr>
          <w:rFonts w:ascii="Times New Roman" w:hAnsi="Times New Roman" w:cs="Times New Roman" w:eastAsia="Times New Roman" w:hint="default"/>
          <w:sz w:val="24"/>
          <w:szCs w:val="24"/>
        </w:rPr>
        <w:t>-702-</w:t>
      </w:r>
      <w:r>
        <w:rPr>
          <w:rFonts w:ascii="Times New Roman" w:hAnsi="Times New Roman" w:cs="Times New Roman" w:eastAsia="Times New Roman" w:hint="default"/>
          <w:sz w:val="24"/>
          <w:szCs w:val="24"/>
        </w:rPr>
        <w:t>2013 од 01.02.2013. године и број 4</w:t>
      </w:r>
      <w:r>
        <w:rPr>
          <w:rFonts w:ascii="Times New Roman" w:hAnsi="Times New Roman" w:cs="Times New Roman" w:eastAsia="Times New Roman" w:hint="default"/>
          <w:sz w:val="24"/>
          <w:szCs w:val="24"/>
        </w:rPr>
        <w:t>- 990-2</w:t>
      </w:r>
      <w:r>
        <w:rPr>
          <w:rFonts w:ascii="Times New Roman" w:hAnsi="Times New Roman" w:cs="Times New Roman" w:eastAsia="Times New Roman" w:hint="default"/>
          <w:sz w:val="24"/>
          <w:szCs w:val="24"/>
        </w:rPr>
        <w:t>013 од 11.03.2013. године који нису потписани од стране лица које је исправу контролисало и лица одговорног за насталу пословну промену, што је супротно члану 58. Закона о буџетском систему и члану 16. Уредбе о буџетском</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рачуноводству</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40" w:lineRule="auto" w:before="2" w:after="0"/>
        <w:ind w:left="160" w:right="18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је евидентиран расход у износу од 64 хиљаде динара по основу принудне наплате, уместо на групи 483000 – новчане казне и пенали по решењу судова, што је супротно члану 9. Уредбе о буџетском рачуновоству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26"/>
          <w:sz w:val="24"/>
          <w:szCs w:val="24"/>
        </w:rPr>
        <w:t> </w:t>
      </w:r>
      <w:r>
        <w:rPr>
          <w:rFonts w:ascii="Times New Roman" w:hAnsi="Times New Roman" w:cs="Times New Roman" w:eastAsia="Times New Roman" w:hint="default"/>
          <w:sz w:val="24"/>
          <w:szCs w:val="24"/>
        </w:rPr>
        <w:t>систем.</w:t>
      </w:r>
    </w:p>
    <w:p>
      <w:pPr>
        <w:pStyle w:val="Heading2"/>
        <w:spacing w:line="240" w:lineRule="auto"/>
        <w:ind w:right="176"/>
        <w:jc w:val="both"/>
        <w:rPr>
          <w:rFonts w:ascii="Times New Roman" w:hAnsi="Times New Roman" w:cs="Times New Roman" w:eastAsia="Times New Roman" w:hint="default"/>
          <w:b w:val="0"/>
          <w:bCs w:val="0"/>
          <w:i w:val="0"/>
        </w:rPr>
      </w:pPr>
      <w:r>
        <w:rPr>
          <w:i/>
        </w:rPr>
        <w:t>Препоручује се одговорним лицима да обезбеде за сваки расход из буџета  валидну документацију и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3"/>
        </w:rPr>
        <w:t> </w:t>
      </w:r>
      <w:r>
        <w:rPr>
          <w:i/>
        </w:rPr>
        <w:t>систем</w:t>
      </w:r>
      <w:r>
        <w:rPr>
          <w:rFonts w:ascii="Times New Roman" w:hAnsi="Times New Roman"/>
          <w:i/>
        </w:rPr>
        <w:t>.</w:t>
      </w:r>
      <w:r>
        <w:rPr>
          <w:rFonts w:ascii="Times New Roman" w:hAnsi="Times New Roman"/>
          <w:b w:val="0"/>
          <w:i w:val="0"/>
        </w:rPr>
      </w:r>
    </w:p>
    <w:p>
      <w:pPr>
        <w:pStyle w:val="BodyText"/>
        <w:spacing w:line="240" w:lineRule="auto"/>
        <w:ind w:right="179"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Објављивање тендера и информативних огласа, субаналитички конто 423432 </w:t>
      </w:r>
      <w:r>
        <w:rPr/>
        <w:t>– </w:t>
      </w:r>
      <w:r>
        <w:rPr/>
        <w:t>Исказан је расход у износу од 94 хиљаде</w:t>
      </w:r>
      <w:r>
        <w:rPr>
          <w:spacing w:val="-15"/>
        </w:rPr>
        <w:t> </w:t>
      </w:r>
      <w:r>
        <w:rPr/>
        <w:t>динара.</w:t>
      </w:r>
    </w:p>
    <w:p>
      <w:pPr>
        <w:pStyle w:val="BodyText"/>
        <w:spacing w:line="240" w:lineRule="auto"/>
        <w:ind w:right="172" w:firstLine="566"/>
        <w:jc w:val="both"/>
      </w:pPr>
      <w:r>
        <w:rPr>
          <w:rFonts w:ascii="Times New Roman" w:hAnsi="Times New Roman"/>
          <w:b/>
        </w:rPr>
        <w:t>На основу ревизије узорковане документације утврђено је </w:t>
      </w:r>
      <w:r>
        <w:rPr/>
        <w:t>да је евидентиран расход у износу од 60 хиљада динара на име огласа по рачуну број 27/85 од 06.02.2014. године који није оверен потписом лица које је исправу контролисало и лица одговорног за насталу пословну промену и без потписа одговорних лица Управе за финансије на захтеву за пренос средстава, што је супротно члану 58. Закона о буџетском систему и члану 16. Уредбе о буџетском</w:t>
      </w:r>
      <w:r>
        <w:rPr>
          <w:spacing w:val="-12"/>
        </w:rPr>
        <w:t> </w:t>
      </w:r>
      <w:r>
        <w:rPr/>
        <w:t>рачуноводству.</w:t>
      </w:r>
    </w:p>
    <w:p>
      <w:pPr>
        <w:pStyle w:val="Heading2"/>
        <w:spacing w:line="240" w:lineRule="auto"/>
        <w:ind w:right="176"/>
        <w:jc w:val="both"/>
        <w:rPr>
          <w:rFonts w:ascii="Times New Roman" w:hAnsi="Times New Roman" w:cs="Times New Roman" w:eastAsia="Times New Roman" w:hint="default"/>
          <w:b w:val="0"/>
          <w:bCs w:val="0"/>
          <w:i w:val="0"/>
        </w:rPr>
      </w:pPr>
      <w:r>
        <w:rPr>
          <w:i/>
        </w:rPr>
        <w:t>Препоручује се одговорним лицима да обезбеде за сваки расход из буџета  валидну</w:t>
      </w:r>
      <w:r>
        <w:rPr>
          <w:i/>
          <w:spacing w:val="-9"/>
        </w:rPr>
        <w:t> </w:t>
      </w:r>
      <w:r>
        <w:rPr>
          <w:i/>
        </w:rPr>
        <w:t>документацију</w:t>
      </w:r>
      <w:r>
        <w:rPr>
          <w:rFonts w:ascii="Times New Roman" w:hAnsi="Times New Roman"/>
          <w:i/>
        </w:rPr>
        <w:t>.</w:t>
      </w:r>
      <w:r>
        <w:rPr>
          <w:rFonts w:ascii="Times New Roman" w:hAnsi="Times New Roman"/>
          <w:b w:val="0"/>
          <w:i w:val="0"/>
        </w:rPr>
      </w:r>
    </w:p>
    <w:p>
      <w:pPr>
        <w:pStyle w:val="BodyText"/>
        <w:spacing w:line="240" w:lineRule="auto"/>
        <w:ind w:right="180" w:firstLine="566"/>
        <w:jc w:val="both"/>
        <w:rPr>
          <w:rFonts w:ascii="Times New Roman" w:hAnsi="Times New Roman" w:cs="Times New Roman" w:eastAsia="Times New Roman" w:hint="default"/>
        </w:rPr>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Репрезентација, субаналитички конто 423711 </w:t>
      </w:r>
      <w:r>
        <w:rPr/>
        <w:t>– Исказан је расход у износу од 842 </w:t>
      </w:r>
      <w:r>
        <w:rPr/>
        <w:t>хиљаде динара, од којих се на угоститељске услуге односи 704 хиљаде</w:t>
      </w:r>
      <w:r>
        <w:rPr>
          <w:spacing w:val="-18"/>
        </w:rPr>
        <w:t> </w:t>
      </w:r>
      <w:r>
        <w:rPr/>
        <w:t>динара</w:t>
      </w:r>
      <w:r>
        <w:rPr>
          <w:rFonts w:ascii="Times New Roman" w:hAnsi="Times New Roman" w:cs="Times New Roman" w:eastAsia="Times New Roman" w:hint="default"/>
        </w:rPr>
        <w:t>.</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Уговори о коришћењу услуга ресторана број 2602/2012</w:t>
      </w:r>
      <w:r>
        <w:rPr>
          <w:rFonts w:ascii="Times New Roman" w:hAnsi="Times New Roman" w:cs="Times New Roman" w:eastAsia="Times New Roman" w:hint="default"/>
          <w:sz w:val="24"/>
          <w:szCs w:val="24"/>
        </w:rPr>
        <w:t>-01 </w:t>
      </w:r>
      <w:r>
        <w:rPr>
          <w:rFonts w:ascii="Times New Roman" w:hAnsi="Times New Roman" w:cs="Times New Roman" w:eastAsia="Times New Roman" w:hint="default"/>
          <w:sz w:val="24"/>
          <w:szCs w:val="24"/>
        </w:rPr>
        <w:t>који је Градоначелник града Ниша закључио са „Нишлијска механа“ пр Ниш и 2603/2012</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24.08.2012. године, који је Градоначелник града Ниша закључио са „</w:t>
      </w:r>
      <w:r>
        <w:rPr>
          <w:rFonts w:ascii="Times New Roman" w:hAnsi="Times New Roman" w:cs="Times New Roman" w:eastAsia="Times New Roman" w:hint="default"/>
          <w:sz w:val="24"/>
          <w:szCs w:val="24"/>
        </w:rPr>
        <w:t>Tami-</w:t>
      </w:r>
      <w:r>
        <w:rPr>
          <w:rFonts w:ascii="Times New Roman" w:hAnsi="Times New Roman" w:cs="Times New Roman" w:eastAsia="Times New Roman" w:hint="default"/>
          <w:sz w:val="24"/>
          <w:szCs w:val="24"/>
        </w:rPr>
        <w:t>trade“ доо Хотел „Tami residence“ доо Ниш не садрже вредност уговорених услуга, што је супротно члану  56. и 58. Закона  о буџетском</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систему.</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Извршен је расход у износу од 426 хиљада динара по поднетим захтевима за плаћање број 35 од 06.02.2014. године у износу од 300 хиљада динара, број 43 од 10.02.2014. године у износу од 63 хиљаде динара, број 106 од 24.02.2014. године у износу од 48 хиљада динара и број 107 од 24.02.2014. године у износу од 15 хиљада динара који нису одобрени потписима одговорних лица из Управе за финансије, изворне приходе локалне самоуправе и јавна набавке, што је супротно члану 58. Закона о буџетском систему и члану 16. Уредбе о буџетском</w:t>
      </w:r>
      <w:r>
        <w:rPr>
          <w:rFonts w:ascii="Times New Roman" w:hAnsi="Times New Roman"/>
          <w:spacing w:val="-12"/>
          <w:sz w:val="24"/>
        </w:rPr>
        <w:t> </w:t>
      </w:r>
      <w:r>
        <w:rPr>
          <w:rFonts w:ascii="Times New Roman" w:hAnsi="Times New Roman"/>
          <w:sz w:val="24"/>
        </w:rPr>
        <w:t>рачуноводству.</w:t>
      </w:r>
    </w:p>
    <w:p>
      <w:pPr>
        <w:pStyle w:val="ListParagraph"/>
        <w:numPr>
          <w:ilvl w:val="0"/>
          <w:numId w:val="9"/>
        </w:numPr>
        <w:tabs>
          <w:tab w:pos="303"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Решењима Градоначелника о коришћењу средстава распоређених финансијским планом број 106 и 107 од 24.02.2014. године, који прате захтеве за плаћање, као основ преноса средстава наведен је Уговор о коришћењу услуга ресторана који је закључен између Скупштине града Ниша (коју заступа Председник Скупштине града) и Установе за стандард студената Републике Србије „Студентски центар“ Ниш број 06</w:t>
      </w:r>
      <w:r>
        <w:rPr>
          <w:rFonts w:ascii="Times New Roman" w:hAnsi="Times New Roman" w:cs="Times New Roman" w:eastAsia="Times New Roman" w:hint="default"/>
          <w:sz w:val="24"/>
          <w:szCs w:val="24"/>
        </w:rPr>
        <w:t>-475/2012-02 </w:t>
      </w:r>
      <w:r>
        <w:rPr>
          <w:rFonts w:ascii="Times New Roman" w:hAnsi="Times New Roman" w:cs="Times New Roman" w:eastAsia="Times New Roman" w:hint="default"/>
          <w:sz w:val="24"/>
          <w:szCs w:val="24"/>
        </w:rPr>
        <w:t>од 03.12.2012. године.</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ListParagraph"/>
        <w:numPr>
          <w:ilvl w:val="0"/>
          <w:numId w:val="9"/>
        </w:numPr>
        <w:tabs>
          <w:tab w:pos="303" w:val="left" w:leader="none"/>
        </w:tabs>
        <w:spacing w:line="240" w:lineRule="auto" w:before="124"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Неправилно је евидентиран расход у износу од 704 хиљаде динара за угоститељске услуге на синтетичком конту 423700</w:t>
      </w:r>
      <w:r>
        <w:rPr>
          <w:rFonts w:ascii="Times New Roman" w:hAnsi="Times New Roman"/>
          <w:sz w:val="24"/>
        </w:rPr>
        <w:t>-</w:t>
      </w:r>
      <w:r>
        <w:rPr>
          <w:rFonts w:ascii="Times New Roman" w:hAnsi="Times New Roman"/>
          <w:sz w:val="24"/>
        </w:rPr>
        <w:t>репрезентација, уместо на синтетичком конту </w:t>
      </w:r>
      <w:r>
        <w:rPr>
          <w:rFonts w:ascii="Times New Roman" w:hAnsi="Times New Roman"/>
          <w:sz w:val="24"/>
        </w:rPr>
        <w:t>423600-</w:t>
      </w:r>
      <w:r>
        <w:rPr>
          <w:rFonts w:ascii="Times New Roman" w:hAnsi="Times New Roman"/>
          <w:sz w:val="24"/>
        </w:rPr>
        <w:t>услуге за домаћинство и угоститељство, што је супротно Правилнику о стандардном класификационом оквиру и контном плану за буџетски</w:t>
      </w:r>
      <w:r>
        <w:rPr>
          <w:rFonts w:ascii="Times New Roman" w:hAnsi="Times New Roman"/>
          <w:spacing w:val="-28"/>
          <w:sz w:val="24"/>
        </w:rPr>
        <w:t> </w:t>
      </w:r>
      <w:r>
        <w:rPr>
          <w:rFonts w:ascii="Times New Roman" w:hAnsi="Times New Roman"/>
          <w:sz w:val="24"/>
        </w:rPr>
        <w:t>систем.</w:t>
      </w:r>
    </w:p>
    <w:p>
      <w:pPr>
        <w:pStyle w:val="Heading2"/>
        <w:spacing w:line="240" w:lineRule="auto"/>
        <w:ind w:right="173"/>
        <w:jc w:val="both"/>
        <w:rPr>
          <w:rFonts w:ascii="Times New Roman" w:hAnsi="Times New Roman" w:cs="Times New Roman" w:eastAsia="Times New Roman" w:hint="default"/>
          <w:b w:val="0"/>
          <w:bCs w:val="0"/>
          <w:i w:val="0"/>
        </w:rPr>
      </w:pPr>
      <w:r>
        <w:rPr>
          <w:i/>
        </w:rPr>
        <w:t>Препоручује се одговорним лицима да уговоре вредност приликом закључења уговора, обезбеде за сваки расход из буџета валидну документацију и обезбеде правилну примену одредби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i/>
        </w:rPr>
        <w:t>.</w:t>
      </w:r>
      <w:r>
        <w:rPr>
          <w:rFonts w:ascii="Times New Roman" w:hAnsi="Times New Roman"/>
          <w:b w:val="0"/>
          <w:i w:val="0"/>
        </w:rPr>
      </w:r>
    </w:p>
    <w:p>
      <w:pPr>
        <w:pStyle w:val="BodyText"/>
        <w:spacing w:line="254" w:lineRule="exact"/>
        <w:ind w:left="726" w:right="141"/>
        <w:jc w:val="left"/>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Остале опште услуге, субаналитички конто  423911 </w:t>
      </w:r>
      <w:r>
        <w:rPr/>
        <w:t>– Исказан је расход у износу</w:t>
      </w:r>
      <w:r>
        <w:rPr>
          <w:spacing w:val="43"/>
        </w:rPr>
        <w:t> </w:t>
      </w:r>
      <w:r>
        <w:rPr/>
        <w:t>од</w:t>
      </w:r>
    </w:p>
    <w:p>
      <w:pPr>
        <w:pStyle w:val="BodyText"/>
        <w:spacing w:line="276" w:lineRule="exact" w:before="21"/>
        <w:ind w:right="175"/>
        <w:jc w:val="both"/>
      </w:pPr>
      <w:r>
        <w:rPr/>
        <w:t>3.020 хиљада динара. Одлуком о младима</w:t>
      </w:r>
      <w:r>
        <w:rPr>
          <w:rFonts w:ascii="Times New Roman" w:hAnsi="Times New Roman"/>
          <w:position w:val="11"/>
          <w:sz w:val="16"/>
        </w:rPr>
        <w:t>59 </w:t>
      </w:r>
      <w:r>
        <w:rPr/>
        <w:t>уређени су услови и начин одобравања пројеката  за  задовољавање  потреба  младих  на  територији  града  и  поступак   </w:t>
      </w:r>
      <w:r>
        <w:rPr>
          <w:spacing w:val="28"/>
        </w:rPr>
        <w:t> </w:t>
      </w:r>
      <w:r>
        <w:rPr/>
        <w:t>доделе</w:t>
      </w:r>
    </w:p>
    <w:p>
      <w:pPr>
        <w:pStyle w:val="BodyText"/>
        <w:spacing w:line="240" w:lineRule="auto"/>
        <w:ind w:right="173"/>
        <w:jc w:val="both"/>
      </w:pPr>
      <w:r>
        <w:rPr/>
        <w:t>средстава из буџета града Ниша</w:t>
      </w:r>
      <w:r>
        <w:rPr>
          <w:rFonts w:ascii="Times New Roman" w:hAnsi="Times New Roman"/>
        </w:rPr>
        <w:t>. </w:t>
      </w:r>
      <w:r>
        <w:rPr/>
        <w:t>Градоначелник града Ниша закључио је Уговоре о финансирању/суфинансирању пројекта за младе са носиоцима одобрених пројеката дана 11.08.2014. године, осим за један пројекат за који је уговор закључен дана 15.08.2014. године.</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74" w:lineRule="exact" w:before="20" w:after="0"/>
        <w:ind w:left="160" w:right="187" w:firstLine="0"/>
        <w:jc w:val="both"/>
        <w:rPr>
          <w:rFonts w:ascii="Times New Roman" w:hAnsi="Times New Roman" w:cs="Times New Roman" w:eastAsia="Times New Roman" w:hint="default"/>
          <w:sz w:val="24"/>
          <w:szCs w:val="24"/>
        </w:rPr>
      </w:pPr>
      <w:r>
        <w:rPr>
          <w:rFonts w:ascii="Times New Roman" w:hAnsi="Times New Roman"/>
          <w:sz w:val="24"/>
        </w:rPr>
        <w:t>Канцеларија за младе није донела годишњи план активности за 2014. годину, што је супротно члану 4. Одлуке о</w:t>
      </w:r>
      <w:r>
        <w:rPr>
          <w:rFonts w:ascii="Times New Roman" w:hAnsi="Times New Roman"/>
          <w:spacing w:val="-11"/>
          <w:sz w:val="24"/>
        </w:rPr>
        <w:t> </w:t>
      </w:r>
      <w:r>
        <w:rPr>
          <w:rFonts w:ascii="Times New Roman" w:hAnsi="Times New Roman"/>
          <w:sz w:val="24"/>
        </w:rPr>
        <w:t>младима.</w:t>
      </w:r>
    </w:p>
    <w:p>
      <w:pPr>
        <w:pStyle w:val="ListParagraph"/>
        <w:numPr>
          <w:ilvl w:val="0"/>
          <w:numId w:val="9"/>
        </w:numPr>
        <w:tabs>
          <w:tab w:pos="303" w:val="left" w:leader="none"/>
        </w:tabs>
        <w:spacing w:line="237" w:lineRule="auto" w:before="1"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Није испоштован рок завршетка пројеката (01.12.2014. године) предвиђен Јавним конкурсом за финансирање и суфинансирање пројеката за младе у 2014. години број </w:t>
      </w:r>
      <w:r>
        <w:rPr>
          <w:rFonts w:ascii="Times New Roman" w:hAnsi="Times New Roman"/>
          <w:sz w:val="24"/>
        </w:rPr>
        <w:t>1623-1/2014-</w:t>
      </w:r>
      <w:r>
        <w:rPr>
          <w:rFonts w:ascii="Times New Roman" w:hAnsi="Times New Roman"/>
          <w:sz w:val="24"/>
        </w:rPr>
        <w:t>01 од 07.05.2014.</w:t>
      </w:r>
      <w:r>
        <w:rPr>
          <w:rFonts w:ascii="Times New Roman" w:hAnsi="Times New Roman"/>
          <w:spacing w:val="-3"/>
          <w:sz w:val="24"/>
        </w:rPr>
        <w:t> </w:t>
      </w:r>
      <w:r>
        <w:rPr>
          <w:rFonts w:ascii="Times New Roman" w:hAnsi="Times New Roman"/>
          <w:sz w:val="24"/>
        </w:rPr>
        <w:t>године.</w:t>
      </w:r>
    </w:p>
    <w:p>
      <w:pPr>
        <w:pStyle w:val="ListParagraph"/>
        <w:numPr>
          <w:ilvl w:val="0"/>
          <w:numId w:val="9"/>
        </w:numPr>
        <w:tabs>
          <w:tab w:pos="303" w:val="left" w:leader="none"/>
        </w:tabs>
        <w:spacing w:line="240" w:lineRule="auto" w:before="3"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Није испоштован рок предаје Извештаја о реализацији пројекта „Бум инфо младих“</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што је супротно члану 3. закљученог Уговора о финансирању/суфинансирању пројекта за младе број 2795/2014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11.08.2014. године, јер је Извештај за наведени пројекат достављен 07.05.2014. године, а рок је био 30 дана по завршетку</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пројекта</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37" w:lineRule="auto" w:before="4"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Носиоци пројеката за младе приликом достављања извештаја и правдања средстава, доставили су рачуне који нису оверени сопственим печатом носиоца пројекта и нису извршили ревизију пројеката, како је то регулисано чланом 28. Одлуке о</w:t>
      </w:r>
      <w:r>
        <w:rPr>
          <w:rFonts w:ascii="Times New Roman" w:hAnsi="Times New Roman"/>
          <w:spacing w:val="-22"/>
          <w:sz w:val="24"/>
        </w:rPr>
        <w:t> </w:t>
      </w:r>
      <w:r>
        <w:rPr>
          <w:rFonts w:ascii="Times New Roman" w:hAnsi="Times New Roman"/>
          <w:sz w:val="24"/>
        </w:rPr>
        <w:t>младима.</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је евидентиран расход у укупном износу од 1.965 хиљада динара на име финансирања реализације пројеката за младе у 2014. години уместо на групи 481000 – дотације невладиним организацијама,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систем.</w:t>
      </w:r>
    </w:p>
    <w:p>
      <w:pPr>
        <w:pStyle w:val="ListParagraph"/>
        <w:numPr>
          <w:ilvl w:val="0"/>
          <w:numId w:val="9"/>
        </w:numPr>
        <w:tabs>
          <w:tab w:pos="303" w:val="left" w:leader="none"/>
        </w:tabs>
        <w:spacing w:line="237" w:lineRule="auto" w:before="4"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Расход у износу од 3.020 хиљада динара је извршен иако исти није у складу са организационом и функционалном класификацијом и надлежностима овог органа Града додељених Законом о локалној самоуправи и Статутом</w:t>
      </w:r>
      <w:r>
        <w:rPr>
          <w:rFonts w:ascii="Times New Roman" w:hAnsi="Times New Roman"/>
          <w:spacing w:val="-17"/>
          <w:sz w:val="24"/>
        </w:rPr>
        <w:t> </w:t>
      </w:r>
      <w:r>
        <w:rPr>
          <w:rFonts w:ascii="Times New Roman" w:hAnsi="Times New Roman"/>
          <w:sz w:val="24"/>
        </w:rPr>
        <w:t>Града.</w:t>
      </w:r>
    </w:p>
    <w:p>
      <w:pPr>
        <w:pStyle w:val="Heading2"/>
        <w:spacing w:line="240" w:lineRule="auto"/>
        <w:ind w:right="172"/>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интерних аката, интерним контролним поступцима онемогуће исплату уколико нису испоштовани уговорени рокови реализације пројеката и достављање Извештаја о реализацији, обезбеде правилну примену одредби Уредбе о буџетском рачуноводству и Правилника о стандардном класификационом оквиру и контном плану за буџетски систем и да обезбеде правилну примену буџетске</w:t>
      </w:r>
      <w:r>
        <w:rPr>
          <w:i/>
          <w:spacing w:val="-13"/>
        </w:rPr>
        <w:t> </w:t>
      </w:r>
      <w:r>
        <w:rPr>
          <w:i/>
        </w:rPr>
        <w:t>класификације</w:t>
      </w:r>
      <w:r>
        <w:rPr>
          <w:rFonts w:ascii="Times New Roman" w:hAnsi="Times New Roman"/>
          <w:i/>
        </w:rPr>
        <w:t>.</w:t>
      </w:r>
      <w:r>
        <w:rPr>
          <w:rFonts w:ascii="Times New Roman" w:hAnsi="Times New Roman"/>
          <w:b w:val="0"/>
          <w:i w:val="0"/>
        </w:rPr>
      </w:r>
    </w:p>
    <w:p>
      <w:pPr>
        <w:spacing w:line="240" w:lineRule="auto" w:before="0"/>
        <w:rPr>
          <w:rFonts w:ascii="Times New Roman" w:hAnsi="Times New Roman" w:cs="Times New Roman" w:eastAsia="Times New Roman" w:hint="default"/>
          <w:b/>
          <w:bCs/>
          <w:i/>
          <w:sz w:val="20"/>
          <w:szCs w:val="20"/>
        </w:rPr>
      </w:pPr>
    </w:p>
    <w:p>
      <w:pPr>
        <w:spacing w:line="240" w:lineRule="auto" w:before="0"/>
        <w:rPr>
          <w:rFonts w:ascii="Times New Roman" w:hAnsi="Times New Roman" w:cs="Times New Roman" w:eastAsia="Times New Roman" w:hint="default"/>
          <w:b/>
          <w:bCs/>
          <w:i/>
          <w:sz w:val="20"/>
          <w:szCs w:val="20"/>
        </w:rPr>
      </w:pPr>
    </w:p>
    <w:p>
      <w:pPr>
        <w:spacing w:line="240" w:lineRule="auto" w:before="0"/>
        <w:rPr>
          <w:rFonts w:ascii="Times New Roman" w:hAnsi="Times New Roman" w:cs="Times New Roman" w:eastAsia="Times New Roman" w:hint="default"/>
          <w:b/>
          <w:bCs/>
          <w:i/>
          <w:sz w:val="20"/>
          <w:szCs w:val="20"/>
        </w:rPr>
      </w:pPr>
    </w:p>
    <w:p>
      <w:pPr>
        <w:spacing w:line="240" w:lineRule="auto" w:before="8"/>
        <w:rPr>
          <w:rFonts w:ascii="Times New Roman" w:hAnsi="Times New Roman" w:cs="Times New Roman" w:eastAsia="Times New Roman" w:hint="default"/>
          <w:b/>
          <w:bCs/>
          <w:i/>
          <w:sz w:val="16"/>
          <w:szCs w:val="16"/>
        </w:rPr>
      </w:pPr>
      <w:r>
        <w:rPr/>
        <w:pict>
          <v:group style="position:absolute;margin-left:78.024002pt;margin-top:10.867236pt;width:144.050pt;height:.1pt;mso-position-horizontal-relative:page;mso-position-vertical-relative:paragraph;z-index:1768;mso-wrap-distance-left:0;mso-wrap-distance-right:0" coordorigin="1560,217" coordsize="2881,2">
            <v:shape style="position:absolute;left:1560;top:217;width:2881;height:2" coordorigin="1560,217" coordsize="2881,0" path="m1560,217l4441,217e" filled="false" stroked="true" strokeweight=".599980pt" strokecolor="#000000">
              <v:path arrowok="t"/>
            </v:shape>
            <w10:wrap type="topAndBottom"/>
          </v:group>
        </w:pict>
      </w:r>
    </w:p>
    <w:p>
      <w:pPr>
        <w:spacing w:before="52"/>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59  </w:t>
      </w:r>
      <w:r>
        <w:rPr>
          <w:rFonts w:ascii="Times New Roman" w:hAnsi="Times New Roman" w:cs="Times New Roman" w:eastAsia="Times New Roman" w:hint="default"/>
          <w:sz w:val="16"/>
          <w:szCs w:val="16"/>
        </w:rPr>
        <w:t>„Службени лист града Ниша“ број</w:t>
      </w:r>
      <w:r>
        <w:rPr>
          <w:rFonts w:ascii="Times New Roman" w:hAnsi="Times New Roman" w:cs="Times New Roman" w:eastAsia="Times New Roman" w:hint="default"/>
          <w:spacing w:val="-26"/>
          <w:sz w:val="16"/>
          <w:szCs w:val="16"/>
        </w:rPr>
        <w:t> </w:t>
      </w:r>
      <w:r>
        <w:rPr>
          <w:rFonts w:ascii="Times New Roman" w:hAnsi="Times New Roman" w:cs="Times New Roman" w:eastAsia="Times New Roman" w:hint="default"/>
          <w:sz w:val="16"/>
          <w:szCs w:val="16"/>
        </w:rPr>
        <w:t>15/2013</w:t>
      </w:r>
    </w:p>
    <w:p>
      <w:pPr>
        <w:spacing w:after="0"/>
        <w:jc w:val="left"/>
        <w:rPr>
          <w:rFonts w:ascii="Times New Roman" w:hAnsi="Times New Roman" w:cs="Times New Roman" w:eastAsia="Times New Roman" w:hint="default"/>
          <w:sz w:val="16"/>
          <w:szCs w:val="16"/>
        </w:rPr>
        <w:sectPr>
          <w:pgSz w:w="12240" w:h="15840"/>
          <w:pgMar w:header="740" w:footer="1274" w:top="1280" w:bottom="1460" w:left="1400" w:right="1260"/>
        </w:sectPr>
      </w:pPr>
    </w:p>
    <w:p>
      <w:pPr>
        <w:pStyle w:val="ListParagraph"/>
        <w:numPr>
          <w:ilvl w:val="0"/>
          <w:numId w:val="33"/>
        </w:numPr>
        <w:tabs>
          <w:tab w:pos="1013" w:val="left" w:leader="none"/>
        </w:tabs>
        <w:spacing w:line="240" w:lineRule="auto" w:before="122" w:after="0"/>
        <w:ind w:left="160" w:right="182" w:firstLine="566"/>
        <w:jc w:val="both"/>
        <w:rPr>
          <w:rFonts w:ascii="Times New Roman" w:hAnsi="Times New Roman" w:cs="Times New Roman" w:eastAsia="Times New Roman" w:hint="default"/>
          <w:sz w:val="24"/>
          <w:szCs w:val="24"/>
        </w:rPr>
      </w:pPr>
      <w:r>
        <w:rPr>
          <w:rFonts w:ascii="Times New Roman" w:hAnsi="Times New Roman"/>
          <w:b/>
          <w:sz w:val="24"/>
        </w:rPr>
        <w:t>Градско веће </w:t>
      </w:r>
      <w:r>
        <w:rPr>
          <w:rFonts w:ascii="Times New Roman" w:hAnsi="Times New Roman"/>
          <w:b/>
          <w:sz w:val="24"/>
        </w:rPr>
        <w:t>- </w:t>
      </w:r>
      <w:r>
        <w:rPr>
          <w:rFonts w:ascii="Times New Roman" w:hAnsi="Times New Roman"/>
          <w:sz w:val="24"/>
        </w:rPr>
        <w:t>Исказано је извршење у износу од 392 хиљаде динара. Исказани су расходи за услуге информисања у износу од 94 хиљаде динара и репрезентацију у износу од 298 хиљада</w:t>
      </w:r>
      <w:r>
        <w:rPr>
          <w:rFonts w:ascii="Times New Roman" w:hAnsi="Times New Roman"/>
          <w:spacing w:val="-8"/>
          <w:sz w:val="24"/>
        </w:rPr>
        <w:t> </w:t>
      </w:r>
      <w:r>
        <w:rPr>
          <w:rFonts w:ascii="Times New Roman" w:hAnsi="Times New Roman"/>
          <w:sz w:val="24"/>
        </w:rPr>
        <w:t>динара.</w:t>
      </w:r>
    </w:p>
    <w:p>
      <w:pPr>
        <w:pStyle w:val="BodyText"/>
        <w:spacing w:line="240" w:lineRule="auto"/>
        <w:ind w:right="180" w:firstLine="566"/>
        <w:jc w:val="both"/>
        <w:rPr>
          <w:rFonts w:ascii="Times New Roman" w:hAnsi="Times New Roman" w:cs="Times New Roman" w:eastAsia="Times New Roman" w:hint="default"/>
        </w:rPr>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Репрезентација, субаналитички конто 423711 </w:t>
      </w:r>
      <w:r>
        <w:rPr/>
        <w:t>– Исказан је расход у износу од 298 </w:t>
      </w:r>
      <w:r>
        <w:rPr/>
        <w:t>хиљада динара, од којих се на угоститељске услуге односи 275 хиљада</w:t>
      </w:r>
      <w:r>
        <w:rPr>
          <w:spacing w:val="-18"/>
        </w:rPr>
        <w:t> </w:t>
      </w:r>
      <w:r>
        <w:rPr/>
        <w:t>динара</w:t>
      </w:r>
      <w:r>
        <w:rPr>
          <w:rFonts w:ascii="Times New Roman" w:hAnsi="Times New Roman" w:cs="Times New Roman" w:eastAsia="Times New Roman" w:hint="default"/>
        </w:rPr>
        <w:t>.</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Уговори за пружање услуге ресторана број 712/2014</w:t>
      </w:r>
      <w:r>
        <w:rPr>
          <w:rFonts w:ascii="Times New Roman" w:hAnsi="Times New Roman" w:cs="Times New Roman" w:eastAsia="Times New Roman" w:hint="default"/>
          <w:sz w:val="24"/>
          <w:szCs w:val="24"/>
        </w:rPr>
        <w:t>-03 </w:t>
      </w:r>
      <w:r>
        <w:rPr>
          <w:rFonts w:ascii="Times New Roman" w:hAnsi="Times New Roman" w:cs="Times New Roman" w:eastAsia="Times New Roman" w:hint="default"/>
          <w:sz w:val="24"/>
          <w:szCs w:val="24"/>
        </w:rPr>
        <w:t>закљученог са „Нишлијска механа“ пр Ниш и број </w:t>
      </w:r>
      <w:r>
        <w:rPr>
          <w:rFonts w:ascii="Times New Roman" w:hAnsi="Times New Roman" w:cs="Times New Roman" w:eastAsia="Times New Roman" w:hint="default"/>
          <w:sz w:val="24"/>
          <w:szCs w:val="24"/>
        </w:rPr>
        <w:t>714/2014-</w:t>
      </w:r>
      <w:r>
        <w:rPr>
          <w:rFonts w:ascii="Times New Roman" w:hAnsi="Times New Roman" w:cs="Times New Roman" w:eastAsia="Times New Roman" w:hint="default"/>
          <w:sz w:val="24"/>
          <w:szCs w:val="24"/>
        </w:rPr>
        <w:t>03 од 30.05.2014. године закљученог са Предузећем за промет робе на велико и мало „Ленс“ доо Хотел „Александар“ Ниш, које је закључио Градоначелник, у име Градског већа, не садрже вредност уговорених услуга, што је супротно члану  5</w:t>
      </w:r>
      <w:r>
        <w:rPr>
          <w:rFonts w:ascii="Times New Roman" w:hAnsi="Times New Roman" w:cs="Times New Roman" w:eastAsia="Times New Roman" w:hint="default"/>
          <w:sz w:val="24"/>
          <w:szCs w:val="24"/>
        </w:rPr>
        <w:t>6. </w:t>
      </w:r>
      <w:r>
        <w:rPr>
          <w:rFonts w:ascii="Times New Roman" w:hAnsi="Times New Roman" w:cs="Times New Roman" w:eastAsia="Times New Roman" w:hint="default"/>
          <w:sz w:val="24"/>
          <w:szCs w:val="24"/>
        </w:rPr>
        <w:t>и 58. Закона о буџетском</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систему.</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Неправилно је евидентиран расход у износу од 275 хиљада динара за угоститељске услуге на синтетичком конту 423700</w:t>
      </w:r>
      <w:r>
        <w:rPr>
          <w:rFonts w:ascii="Times New Roman" w:hAnsi="Times New Roman"/>
          <w:sz w:val="24"/>
        </w:rPr>
        <w:t>-</w:t>
      </w:r>
      <w:r>
        <w:rPr>
          <w:rFonts w:ascii="Times New Roman" w:hAnsi="Times New Roman"/>
          <w:sz w:val="24"/>
        </w:rPr>
        <w:t>репрезентација, уместо на синтетичком конту </w:t>
      </w:r>
      <w:r>
        <w:rPr>
          <w:rFonts w:ascii="Times New Roman" w:hAnsi="Times New Roman"/>
          <w:sz w:val="24"/>
        </w:rPr>
        <w:t>423600-</w:t>
      </w:r>
      <w:r>
        <w:rPr>
          <w:rFonts w:ascii="Times New Roman" w:hAnsi="Times New Roman"/>
          <w:sz w:val="24"/>
        </w:rPr>
        <w:t>услуге за домаћинство и угоститељство, што је супротно Правилнику о стандардном класификационом оквиру и контном плану за буџетски</w:t>
      </w:r>
      <w:r>
        <w:rPr>
          <w:rFonts w:ascii="Times New Roman" w:hAnsi="Times New Roman"/>
          <w:spacing w:val="-31"/>
          <w:sz w:val="24"/>
        </w:rPr>
        <w:t> </w:t>
      </w:r>
      <w:r>
        <w:rPr>
          <w:rFonts w:ascii="Times New Roman" w:hAnsi="Times New Roman"/>
          <w:sz w:val="24"/>
        </w:rPr>
        <w:t>систем.</w:t>
      </w:r>
    </w:p>
    <w:p>
      <w:pPr>
        <w:pStyle w:val="Heading2"/>
        <w:spacing w:line="240" w:lineRule="auto"/>
        <w:ind w:right="177"/>
        <w:jc w:val="both"/>
        <w:rPr>
          <w:rFonts w:ascii="Times New Roman" w:hAnsi="Times New Roman" w:cs="Times New Roman" w:eastAsia="Times New Roman" w:hint="default"/>
          <w:b w:val="0"/>
          <w:bCs w:val="0"/>
          <w:i w:val="0"/>
        </w:rPr>
      </w:pPr>
      <w:r>
        <w:rPr>
          <w:i/>
        </w:rPr>
        <w:t>Препоручује се одговорним лицима да приликом закључења уговора уговоре вредност и обезбеде правилну примену одредби Правилника о стандардном класификационом оквиру и контном плану за буџетски</w:t>
      </w:r>
      <w:r>
        <w:rPr>
          <w:i/>
          <w:spacing w:val="-11"/>
        </w:rPr>
        <w:t> </w:t>
      </w:r>
      <w:r>
        <w:rPr>
          <w:i/>
        </w:rPr>
        <w:t>систем</w:t>
      </w:r>
      <w:r>
        <w:rPr>
          <w:rFonts w:ascii="Times New Roman" w:hAnsi="Times New Roman"/>
          <w:i/>
        </w:rPr>
        <w:t>.</w:t>
      </w:r>
      <w:r>
        <w:rPr>
          <w:rFonts w:ascii="Times New Roman" w:hAnsi="Times New Roman"/>
          <w:b w:val="0"/>
          <w:i w:val="0"/>
        </w:rPr>
      </w:r>
    </w:p>
    <w:p>
      <w:pPr>
        <w:pStyle w:val="ListParagraph"/>
        <w:numPr>
          <w:ilvl w:val="0"/>
          <w:numId w:val="33"/>
        </w:numPr>
        <w:tabs>
          <w:tab w:pos="1013" w:val="left" w:leader="none"/>
        </w:tabs>
        <w:spacing w:line="240" w:lineRule="auto" w:before="139" w:after="0"/>
        <w:ind w:left="160" w:right="174" w:firstLine="566"/>
        <w:jc w:val="both"/>
        <w:rPr>
          <w:rFonts w:ascii="Times New Roman" w:hAnsi="Times New Roman" w:cs="Times New Roman" w:eastAsia="Times New Roman" w:hint="default"/>
          <w:sz w:val="24"/>
          <w:szCs w:val="24"/>
        </w:rPr>
      </w:pPr>
      <w:r>
        <w:rPr>
          <w:rFonts w:ascii="Times New Roman" w:hAnsi="Times New Roman"/>
          <w:b/>
          <w:sz w:val="24"/>
        </w:rPr>
        <w:t>Управа за финансије, изворне приходе локалне самоуправе и јавне набавке </w:t>
      </w:r>
      <w:r>
        <w:rPr>
          <w:rFonts w:ascii="Times New Roman" w:hAnsi="Times New Roman"/>
          <w:b/>
          <w:sz w:val="24"/>
        </w:rPr>
        <w:t>- </w:t>
      </w:r>
      <w:r>
        <w:rPr>
          <w:rFonts w:ascii="Times New Roman" w:hAnsi="Times New Roman"/>
          <w:sz w:val="24"/>
        </w:rPr>
        <w:t>Исказано је извршење у укупном износу од 39.402 хиљаде динара. Исказани су расходи за: компјутерске услуге у износу од 839 хиљада динара, услуге образовања и усавршавања запослених у износу од 612 хиљада динара, услуге информисања у износу од 718 хиљада динара, стручне услуге у износу од 20.352 хиљаде динара и остале опште услуге у износу од 16.881 хиљаде</w:t>
      </w:r>
      <w:r>
        <w:rPr>
          <w:rFonts w:ascii="Times New Roman" w:hAnsi="Times New Roman"/>
          <w:spacing w:val="-10"/>
          <w:sz w:val="24"/>
        </w:rPr>
        <w:t> </w:t>
      </w:r>
      <w:r>
        <w:rPr>
          <w:rFonts w:ascii="Times New Roman" w:hAnsi="Times New Roman"/>
          <w:sz w:val="24"/>
        </w:rPr>
        <w:t>динара.</w:t>
      </w:r>
    </w:p>
    <w:p>
      <w:pPr>
        <w:spacing w:before="0"/>
        <w:ind w:left="160" w:right="170" w:firstLine="566"/>
        <w:jc w:val="both"/>
        <w:rPr>
          <w:rFonts w:ascii="Times New Roman" w:hAnsi="Times New Roman" w:cs="Times New Roman" w:eastAsia="Times New Roman" w:hint="default"/>
          <w:sz w:val="22"/>
          <w:szCs w:val="22"/>
        </w:rPr>
      </w:pPr>
      <w:r>
        <w:rPr>
          <w:rFonts w:ascii="Times New Roman" w:hAnsi="Times New Roman" w:cs="Times New Roman" w:eastAsia="Times New Roman" w:hint="default"/>
          <w:sz w:val="24"/>
          <w:szCs w:val="24"/>
        </w:rPr>
      </w:r>
      <w:r>
        <w:rPr>
          <w:rFonts w:ascii="Times New Roman" w:hAnsi="Times New Roman" w:cs="Times New Roman" w:eastAsia="Times New Roman" w:hint="default"/>
          <w:spacing w:val="-60"/>
          <w:sz w:val="24"/>
          <w:szCs w:val="24"/>
          <w:u w:val="single" w:color="000000"/>
        </w:rPr>
        <w:t> </w:t>
      </w:r>
      <w:r>
        <w:rPr>
          <w:rFonts w:ascii="Times New Roman" w:hAnsi="Times New Roman" w:cs="Times New Roman" w:eastAsia="Times New Roman" w:hint="default"/>
          <w:sz w:val="24"/>
          <w:szCs w:val="24"/>
          <w:u w:val="single" w:color="000000"/>
        </w:rPr>
        <w:t>Остале компјутерске услуге, субаналитички конто 423291</w:t>
      </w:r>
      <w:r>
        <w:rPr>
          <w:rFonts w:ascii="Times New Roman" w:hAnsi="Times New Roman" w:cs="Times New Roman" w:eastAsia="Times New Roman" w:hint="default"/>
          <w:sz w:val="24"/>
          <w:szCs w:val="24"/>
        </w:rPr>
      </w:r>
      <w:r>
        <w:rPr>
          <w:rFonts w:ascii="Times New Roman" w:hAnsi="Times New Roman" w:cs="Times New Roman" w:eastAsia="Times New Roman" w:hint="default"/>
          <w:b/>
          <w:bCs/>
          <w:sz w:val="24"/>
          <w:szCs w:val="24"/>
        </w:rPr>
        <w:t>- </w:t>
      </w:r>
      <w:r>
        <w:rPr>
          <w:rFonts w:ascii="Times New Roman" w:hAnsi="Times New Roman" w:cs="Times New Roman" w:eastAsia="Times New Roman" w:hint="default"/>
          <w:sz w:val="24"/>
          <w:szCs w:val="24"/>
        </w:rPr>
        <w:t>Исказан је расход у износу од </w:t>
      </w:r>
      <w:r>
        <w:rPr>
          <w:rFonts w:ascii="Times New Roman" w:hAnsi="Times New Roman" w:cs="Times New Roman" w:eastAsia="Times New Roman" w:hint="default"/>
          <w:sz w:val="24"/>
          <w:szCs w:val="24"/>
        </w:rPr>
        <w:t>675 </w:t>
      </w:r>
      <w:r>
        <w:rPr>
          <w:rFonts w:ascii="Times New Roman" w:hAnsi="Times New Roman" w:cs="Times New Roman" w:eastAsia="Times New Roman" w:hint="default"/>
          <w:sz w:val="24"/>
          <w:szCs w:val="24"/>
        </w:rPr>
        <w:t>хиљада динара. </w:t>
      </w:r>
      <w:r>
        <w:rPr>
          <w:rFonts w:ascii="Times New Roman" w:hAnsi="Times New Roman" w:cs="Times New Roman" w:eastAsia="Times New Roman" w:hint="default"/>
          <w:sz w:val="22"/>
          <w:szCs w:val="22"/>
        </w:rPr>
        <w:t>За услугу одржавања информационог система локалне пореске </w:t>
      </w:r>
      <w:r>
        <w:rPr>
          <w:rFonts w:ascii="Times New Roman" w:hAnsi="Times New Roman" w:cs="Times New Roman" w:eastAsia="Times New Roman" w:hint="default"/>
          <w:sz w:val="22"/>
          <w:szCs w:val="22"/>
        </w:rPr>
        <w:t>администрације, на основу Уговора закљученог са Институтом „Михајло Пупин“ Београд број </w:t>
      </w:r>
      <w:r>
        <w:rPr>
          <w:rFonts w:ascii="Times New Roman" w:hAnsi="Times New Roman" w:cs="Times New Roman" w:eastAsia="Times New Roman" w:hint="default"/>
          <w:sz w:val="22"/>
          <w:szCs w:val="22"/>
        </w:rPr>
        <w:t>872/1-</w:t>
      </w:r>
      <w:r>
        <w:rPr>
          <w:rFonts w:ascii="Times New Roman" w:hAnsi="Times New Roman" w:cs="Times New Roman" w:eastAsia="Times New Roman" w:hint="default"/>
          <w:sz w:val="22"/>
          <w:szCs w:val="22"/>
        </w:rPr>
        <w:t>09 од 28.04.2009. године и Анекса 1 основног Уговора број 11</w:t>
      </w:r>
      <w:r>
        <w:rPr>
          <w:rFonts w:ascii="Times New Roman" w:hAnsi="Times New Roman" w:cs="Times New Roman" w:eastAsia="Times New Roman" w:hint="default"/>
          <w:sz w:val="22"/>
          <w:szCs w:val="22"/>
        </w:rPr>
        <w:t>-</w:t>
      </w:r>
      <w:r>
        <w:rPr>
          <w:rFonts w:ascii="Times New Roman" w:hAnsi="Times New Roman" w:cs="Times New Roman" w:eastAsia="Times New Roman" w:hint="default"/>
          <w:sz w:val="22"/>
          <w:szCs w:val="22"/>
        </w:rPr>
        <w:t>530/2011 од 31.03.2011. године  извршен је расход у износу од 669 хиљада</w:t>
      </w:r>
      <w:r>
        <w:rPr>
          <w:rFonts w:ascii="Times New Roman" w:hAnsi="Times New Roman" w:cs="Times New Roman" w:eastAsia="Times New Roman" w:hint="default"/>
          <w:spacing w:val="-6"/>
          <w:sz w:val="22"/>
          <w:szCs w:val="22"/>
        </w:rPr>
        <w:t> </w:t>
      </w:r>
      <w:r>
        <w:rPr>
          <w:rFonts w:ascii="Times New Roman" w:hAnsi="Times New Roman" w:cs="Times New Roman" w:eastAsia="Times New Roman" w:hint="default"/>
          <w:sz w:val="22"/>
          <w:szCs w:val="22"/>
        </w:rPr>
        <w:t>динара.</w:t>
      </w:r>
    </w:p>
    <w:p>
      <w:pPr>
        <w:pStyle w:val="Heading1"/>
        <w:spacing w:line="275" w:lineRule="exact" w:before="4"/>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41"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Измирење новчаних обавеза по рачунима Института „Михајло Пупин“ Београд број 90018605 од 31.12.2013. године и број 90018809 од 31.01.2014. године за одржавање информационог система локалне пореске администрације није вршено у року од 45 дана, већ са закашњењем, што је супротно члану 4. Закона о роковима измирења новчаних обавеза у комерцијалним</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трансакцијама.</w:t>
      </w:r>
    </w:p>
    <w:p>
      <w:pPr>
        <w:pStyle w:val="ListParagraph"/>
        <w:numPr>
          <w:ilvl w:val="0"/>
          <w:numId w:val="9"/>
        </w:numPr>
        <w:tabs>
          <w:tab w:pos="303" w:val="left" w:leader="none"/>
        </w:tabs>
        <w:spacing w:line="237" w:lineRule="auto" w:before="4"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У пословним књигама обавезе по рачунима за услуге одржавања информационог система локалне пореске администрације евидентиране су у тренутку њиховог измирења, што је супротно члану 16. Уредбе о буџетском</w:t>
      </w:r>
      <w:r>
        <w:rPr>
          <w:rFonts w:ascii="Times New Roman" w:hAnsi="Times New Roman"/>
          <w:spacing w:val="-19"/>
          <w:sz w:val="24"/>
        </w:rPr>
        <w:t> </w:t>
      </w:r>
      <w:r>
        <w:rPr>
          <w:rFonts w:ascii="Times New Roman" w:hAnsi="Times New Roman"/>
          <w:sz w:val="24"/>
        </w:rPr>
        <w:t>рачуноводству.</w:t>
      </w:r>
    </w:p>
    <w:p>
      <w:pPr>
        <w:pStyle w:val="ListParagraph"/>
        <w:numPr>
          <w:ilvl w:val="0"/>
          <w:numId w:val="9"/>
        </w:numPr>
        <w:tabs>
          <w:tab w:pos="303"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Рачуни Института „Михајло Пупин“ Београд број 90018605 од 31.12.2013. године за одржавање система за децембар 2013. године у износу од 51 хиљаде динара и број 90018809 од 31.01.2014. године за одржавање система за јануар у износу од 56 хиљада динара нису потписани од стране лица које је исправу контролисало и лица одговорног  за насталу пословну промену</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што је супротно члану 58. Закона о буџетском систему и члану 16. Уредбе о буџетском</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рачуноводству.</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Heading2"/>
        <w:spacing w:line="240" w:lineRule="auto" w:before="126"/>
        <w:ind w:right="177"/>
        <w:jc w:val="both"/>
        <w:rPr>
          <w:b w:val="0"/>
          <w:bCs w:val="0"/>
          <w:i w:val="0"/>
        </w:rPr>
      </w:pPr>
      <w:r>
        <w:rPr>
          <w:i/>
        </w:rPr>
        <w:t>Препоручује се одговорним лицима да обавезе измирују у законском року, обавезе евидентирају у прописаним роковима и обезбеде за сваки расход из буџета валидну документацију.</w:t>
      </w:r>
      <w:r>
        <w:rPr>
          <w:b w:val="0"/>
          <w:i w:val="0"/>
        </w:rPr>
      </w:r>
    </w:p>
    <w:p>
      <w:pPr>
        <w:pStyle w:val="BodyText"/>
        <w:spacing w:line="240" w:lineRule="auto"/>
        <w:ind w:right="170" w:firstLine="566"/>
        <w:jc w:val="both"/>
      </w:pPr>
      <w:r>
        <w:rPr>
          <w:rFonts w:ascii="Times New Roman" w:hAnsi="Times New Roman"/>
        </w:rPr>
      </w:r>
      <w:r>
        <w:rPr>
          <w:rFonts w:ascii="Times New Roman" w:hAnsi="Times New Roman"/>
          <w:spacing w:val="-60"/>
          <w:u w:val="single" w:color="000000"/>
        </w:rPr>
        <w:t> </w:t>
      </w:r>
      <w:r>
        <w:rPr>
          <w:u w:val="single" w:color="000000"/>
        </w:rPr>
        <w:t>Издаци за стручне испите, субаналитички конто 423391 </w:t>
      </w:r>
      <w:r>
        <w:rPr/>
      </w:r>
      <w:r>
        <w:rPr>
          <w:rFonts w:ascii="Times New Roman" w:hAnsi="Times New Roman"/>
          <w:b/>
        </w:rPr>
        <w:t>- </w:t>
      </w:r>
      <w:r>
        <w:rPr/>
        <w:t>Исказани су расходи у износу од </w:t>
      </w:r>
      <w:r>
        <w:rPr>
          <w:rFonts w:ascii="Times New Roman" w:hAnsi="Times New Roman"/>
        </w:rPr>
        <w:t>434 </w:t>
      </w:r>
      <w:r>
        <w:rPr/>
        <w:t>хиљаде</w:t>
      </w:r>
      <w:r>
        <w:rPr>
          <w:spacing w:val="-7"/>
        </w:rPr>
        <w:t> </w:t>
      </w:r>
      <w:r>
        <w:rPr/>
        <w:t>динара.</w:t>
      </w:r>
    </w:p>
    <w:p>
      <w:pPr>
        <w:pStyle w:val="BodyText"/>
        <w:spacing w:line="240" w:lineRule="auto"/>
        <w:ind w:left="726" w:right="141"/>
        <w:jc w:val="left"/>
        <w:rPr>
          <w:rFonts w:ascii="Times New Roman" w:hAnsi="Times New Roman" w:cs="Times New Roman" w:eastAsia="Times New Roman" w:hint="default"/>
        </w:rPr>
      </w:pPr>
      <w:r>
        <w:rPr/>
        <w:t>На основу ревизије узорковане документације нису утврђене</w:t>
      </w:r>
      <w:r>
        <w:rPr>
          <w:spacing w:val="-17"/>
        </w:rPr>
        <w:t> </w:t>
      </w:r>
      <w:r>
        <w:rPr/>
        <w:t>неправилности</w:t>
      </w:r>
      <w:r>
        <w:rPr>
          <w:rFonts w:ascii="Times New Roman" w:hAnsi="Times New Roman"/>
          <w:i/>
        </w:rPr>
        <w:t>.</w:t>
      </w:r>
      <w:r>
        <w:rPr>
          <w:rFonts w:ascii="Times New Roman" w:hAnsi="Times New Roman"/>
        </w:rPr>
      </w:r>
    </w:p>
    <w:p>
      <w:pPr>
        <w:pStyle w:val="BodyText"/>
        <w:spacing w:line="240" w:lineRule="auto"/>
        <w:ind w:right="179"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Објављивање тендера и информативних огласа, субаналитички конто 423432 </w:t>
      </w:r>
      <w:r>
        <w:rPr/>
        <w:t>– </w:t>
      </w:r>
      <w:r>
        <w:rPr/>
        <w:t>Исказан је расход у износу од 718 хиљада</w:t>
      </w:r>
      <w:r>
        <w:rPr>
          <w:spacing w:val="-15"/>
        </w:rPr>
        <w:t> </w:t>
      </w:r>
      <w:r>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41" w:val="left" w:leader="none"/>
        </w:tabs>
        <w:spacing w:line="240" w:lineRule="auto" w:before="0" w:after="0"/>
        <w:ind w:left="160" w:right="171" w:firstLine="0"/>
        <w:jc w:val="both"/>
        <w:rPr>
          <w:rFonts w:ascii="Times New Roman" w:hAnsi="Times New Roman" w:cs="Times New Roman" w:eastAsia="Times New Roman" w:hint="default"/>
          <w:sz w:val="24"/>
          <w:szCs w:val="24"/>
        </w:rPr>
      </w:pPr>
      <w:r>
        <w:rPr>
          <w:rFonts w:ascii="Times New Roman" w:hAnsi="Times New Roman"/>
          <w:sz w:val="24"/>
        </w:rPr>
        <w:t>Захтеви за плаћање: број 261 од 11.04.2014. године поднет </w:t>
      </w:r>
      <w:r>
        <w:rPr>
          <w:rFonts w:ascii="Times New Roman" w:hAnsi="Times New Roman"/>
          <w:spacing w:val="3"/>
          <w:sz w:val="24"/>
        </w:rPr>
        <w:t>од </w:t>
      </w:r>
      <w:r>
        <w:rPr>
          <w:rFonts w:ascii="Times New Roman" w:hAnsi="Times New Roman"/>
          <w:sz w:val="24"/>
        </w:rPr>
        <w:t>стране Управе за </w:t>
      </w:r>
      <w:r>
        <w:rPr>
          <w:rFonts w:ascii="Times New Roman" w:hAnsi="Times New Roman"/>
          <w:sz w:val="24"/>
        </w:rPr>
        <w:t>планирање у износу од 13 хиљада динара, број 191 од 28.02.2014. године поднет  од стране Управе за имовину на износ од 176 хиљада динара и број 195 од 03.03.2014. године поднет од стране Управе за образовање на износ од 42 хиљаде динара </w:t>
      </w:r>
      <w:r>
        <w:rPr>
          <w:rFonts w:ascii="Times New Roman" w:hAnsi="Times New Roman"/>
          <w:spacing w:val="2"/>
          <w:sz w:val="24"/>
        </w:rPr>
        <w:t>нису </w:t>
      </w:r>
      <w:r>
        <w:rPr>
          <w:rFonts w:ascii="Times New Roman" w:hAnsi="Times New Roman"/>
          <w:spacing w:val="2"/>
          <w:sz w:val="24"/>
        </w:rPr>
      </w:r>
      <w:r>
        <w:rPr>
          <w:rFonts w:ascii="Times New Roman" w:hAnsi="Times New Roman"/>
          <w:sz w:val="24"/>
        </w:rPr>
        <w:t>оверени потписима одговорних лица Управе за финансије</w:t>
      </w:r>
      <w:r>
        <w:rPr>
          <w:rFonts w:ascii="Times New Roman" w:hAnsi="Times New Roman"/>
          <w:sz w:val="24"/>
        </w:rPr>
        <w:t>, </w:t>
      </w:r>
      <w:r>
        <w:rPr>
          <w:rFonts w:ascii="Times New Roman" w:hAnsi="Times New Roman"/>
          <w:sz w:val="24"/>
        </w:rPr>
        <w:t>а са њене позиције се врши плаћање, што је супротно члану 58. Закона о буџетском систему</w:t>
      </w:r>
      <w:r>
        <w:rPr>
          <w:rFonts w:ascii="Times New Roman" w:hAnsi="Times New Roman"/>
          <w:sz w:val="24"/>
        </w:rPr>
        <w:t>, </w:t>
      </w:r>
      <w:r>
        <w:rPr>
          <w:rFonts w:ascii="Times New Roman" w:hAnsi="Times New Roman"/>
          <w:sz w:val="24"/>
        </w:rPr>
        <w:t>члану 16. Уредбе о буџетском рачуноводству и Упутству о раду трезора града</w:t>
      </w:r>
      <w:r>
        <w:rPr>
          <w:rFonts w:ascii="Times New Roman" w:hAnsi="Times New Roman"/>
          <w:spacing w:val="-20"/>
          <w:sz w:val="24"/>
        </w:rPr>
        <w:t> </w:t>
      </w:r>
      <w:r>
        <w:rPr>
          <w:rFonts w:ascii="Times New Roman" w:hAnsi="Times New Roman"/>
          <w:sz w:val="24"/>
        </w:rPr>
        <w:t>Ниша.</w:t>
      </w:r>
    </w:p>
    <w:p>
      <w:pPr>
        <w:pStyle w:val="ListParagraph"/>
        <w:numPr>
          <w:ilvl w:val="0"/>
          <w:numId w:val="9"/>
        </w:numPr>
        <w:tabs>
          <w:tab w:pos="341"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Измирење новчаних обавеза по рачунима „Народне новине“ доо Ниш број 27/159 од 05.03.2014. године, 27/160 од 05.03.2014. године, 27/233 од 01.04.2014. године, 27/234 од 01.04.2014. године, 27/60 од 31.01.2014. године, 27/99 од 11.02.2014. године, 27/98 од 11.02.2014. године, 27/61 од 31.01.2014. године, 27/59 од 31.01.2014. године за услуге оглашавања није вршено у року од 45 дана, већ са закашњењем, дана 22.07.2014. године, што је супротно члану 4. Закона о роковима измирења новчаних обавеза у  комерцијалним</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трансакцијама.</w:t>
      </w:r>
    </w:p>
    <w:p>
      <w:pPr>
        <w:pStyle w:val="ListParagraph"/>
        <w:numPr>
          <w:ilvl w:val="0"/>
          <w:numId w:val="9"/>
        </w:numPr>
        <w:tabs>
          <w:tab w:pos="341"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Рачуни издати од „Народне новине“ доо Ниш у укупном износу од </w:t>
      </w:r>
      <w:r>
        <w:rPr>
          <w:rFonts w:ascii="Times New Roman" w:hAnsi="Times New Roman" w:cs="Times New Roman" w:eastAsia="Times New Roman" w:hint="default"/>
          <w:sz w:val="24"/>
          <w:szCs w:val="24"/>
        </w:rPr>
        <w:t>91 </w:t>
      </w:r>
      <w:r>
        <w:rPr>
          <w:rFonts w:ascii="Times New Roman" w:hAnsi="Times New Roman" w:cs="Times New Roman" w:eastAsia="Times New Roman" w:hint="default"/>
          <w:sz w:val="24"/>
          <w:szCs w:val="24"/>
        </w:rPr>
        <w:t>хиљаде динара број 27/159 од 05.03.2014. године, 27/160 од 05.03.2014. године, 27/233 од 01.04.2014. године, 27/234 од 01.04.2014. године, 27/60 од 31.01.2014. године, 27/99 од 11.02.2014. године, 27/98 од 11.02.2014. године и 27/61 од 31.01.2014. године за услугу оглашавања нису оверени потписима лица које је исправу контролисало и лица одговорног за насталу пословну промену, што је супротно члану 58. Закона о буџетском систему и члану 16. Уредбе о буџетском</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рачуноводству</w:t>
      </w:r>
      <w:r>
        <w:rPr>
          <w:rFonts w:ascii="Times New Roman" w:hAnsi="Times New Roman" w:cs="Times New Roman" w:eastAsia="Times New Roman" w:hint="default"/>
          <w:sz w:val="24"/>
          <w:szCs w:val="24"/>
        </w:rPr>
        <w:t>.</w:t>
      </w:r>
    </w:p>
    <w:p>
      <w:pPr>
        <w:pStyle w:val="Heading2"/>
        <w:spacing w:line="240" w:lineRule="auto"/>
        <w:ind w:right="177"/>
        <w:jc w:val="both"/>
        <w:rPr>
          <w:b w:val="0"/>
          <w:bCs w:val="0"/>
          <w:i w:val="0"/>
        </w:rPr>
      </w:pPr>
      <w:r>
        <w:rPr>
          <w:i/>
        </w:rPr>
        <w:t>Препоручује се одговорним лицима да обезбеде за сваки расход из буџета  валидну документацију и обавезе измирују у законском</w:t>
      </w:r>
      <w:r>
        <w:rPr>
          <w:i/>
          <w:spacing w:val="-18"/>
        </w:rPr>
        <w:t> </w:t>
      </w:r>
      <w:r>
        <w:rPr>
          <w:i/>
        </w:rPr>
        <w:t>року.</w:t>
      </w:r>
      <w:r>
        <w:rPr>
          <w:b w:val="0"/>
          <w:i w:val="0"/>
        </w:rPr>
      </w:r>
    </w:p>
    <w:p>
      <w:pPr>
        <w:pStyle w:val="BodyText"/>
        <w:spacing w:line="240" w:lineRule="auto"/>
        <w:ind w:right="170" w:firstLine="566"/>
        <w:jc w:val="both"/>
        <w:rPr>
          <w:rFonts w:ascii="Times New Roman" w:hAnsi="Times New Roman" w:cs="Times New Roman" w:eastAsia="Times New Roman" w:hint="default"/>
        </w:rPr>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Остале стручне услуге, субаналитички конто 423599 </w:t>
      </w:r>
      <w:r>
        <w:rPr/>
        <w:t>– Исказан је расход у износу  </w:t>
      </w:r>
      <w:r>
        <w:rPr/>
        <w:t>од 19.878 хиљада динара од којих за исплаћене</w:t>
      </w:r>
      <w:r>
        <w:rPr>
          <w:rFonts w:ascii="Times New Roman" w:hAnsi="Times New Roman" w:cs="Times New Roman" w:eastAsia="Times New Roman" w:hint="default"/>
        </w:rPr>
        <w:t>: </w:t>
      </w:r>
      <w:r>
        <w:rPr/>
        <w:t>накнаде у укупном износу од 19.259 хиљада динара по уговорима о привременим и повременим пословима, накнаде по основу допунског рада у укупном износу од 293 хиљаде динара и накнаде по основу уговора о делу у укупном износу од 300 хиљада</w:t>
      </w:r>
      <w:r>
        <w:rPr>
          <w:spacing w:val="-15"/>
        </w:rPr>
        <w:t> </w:t>
      </w:r>
      <w:r>
        <w:rPr/>
        <w:t>динара</w:t>
      </w:r>
      <w:r>
        <w:rPr>
          <w:rFonts w:ascii="Times New Roman" w:hAnsi="Times New Roman" w:cs="Times New Roman" w:eastAsia="Times New Roman" w:hint="default"/>
        </w:rPr>
        <w:t>.</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Извршен је расход у износу од 19.259 хиљада динара на име накнаде за обављање повремених и привремених послова који по својој суштини нису повремени и привремени, већ такви да трају дуже од 120 радних дана у календарској години, што је супротно члану 197. Закона о раду и члану 56. Закона о буџетском систему. Нпр: код Управе за имовину и инспекцијске послове: оперативно технички послови везани за вођење евиденције о откупу станова, оперативно технички послови везани за  прибављање документације од Службе за катастар, послови вођења евиденције и уноса података</w:t>
      </w:r>
      <w:r>
        <w:rPr>
          <w:rFonts w:ascii="Times New Roman" w:hAnsi="Times New Roman"/>
          <w:spacing w:val="25"/>
          <w:sz w:val="24"/>
        </w:rPr>
        <w:t> </w:t>
      </w:r>
      <w:r>
        <w:rPr>
          <w:rFonts w:ascii="Times New Roman" w:hAnsi="Times New Roman"/>
          <w:sz w:val="24"/>
        </w:rPr>
        <w:t>о</w:t>
      </w:r>
      <w:r>
        <w:rPr>
          <w:rFonts w:ascii="Times New Roman" w:hAnsi="Times New Roman"/>
          <w:spacing w:val="26"/>
          <w:sz w:val="24"/>
        </w:rPr>
        <w:t> </w:t>
      </w:r>
      <w:r>
        <w:rPr>
          <w:rFonts w:ascii="Times New Roman" w:hAnsi="Times New Roman"/>
          <w:sz w:val="24"/>
        </w:rPr>
        <w:t>стварима</w:t>
      </w:r>
      <w:r>
        <w:rPr>
          <w:rFonts w:ascii="Times New Roman" w:hAnsi="Times New Roman"/>
          <w:spacing w:val="28"/>
          <w:sz w:val="24"/>
        </w:rPr>
        <w:t> </w:t>
      </w:r>
      <w:r>
        <w:rPr>
          <w:rFonts w:ascii="Times New Roman" w:hAnsi="Times New Roman"/>
          <w:sz w:val="24"/>
        </w:rPr>
        <w:t>у</w:t>
      </w:r>
      <w:r>
        <w:rPr>
          <w:rFonts w:ascii="Times New Roman" w:hAnsi="Times New Roman"/>
          <w:spacing w:val="21"/>
          <w:sz w:val="24"/>
        </w:rPr>
        <w:t> </w:t>
      </w:r>
      <w:r>
        <w:rPr>
          <w:rFonts w:ascii="Times New Roman" w:hAnsi="Times New Roman"/>
          <w:sz w:val="24"/>
        </w:rPr>
        <w:t>државној</w:t>
      </w:r>
      <w:r>
        <w:rPr>
          <w:rFonts w:ascii="Times New Roman" w:hAnsi="Times New Roman"/>
          <w:spacing w:val="27"/>
          <w:sz w:val="24"/>
        </w:rPr>
        <w:t> </w:t>
      </w:r>
      <w:r>
        <w:rPr>
          <w:rFonts w:ascii="Times New Roman" w:hAnsi="Times New Roman"/>
          <w:sz w:val="24"/>
        </w:rPr>
        <w:t>својини;</w:t>
      </w:r>
      <w:r>
        <w:rPr>
          <w:rFonts w:ascii="Times New Roman" w:hAnsi="Times New Roman"/>
          <w:spacing w:val="27"/>
          <w:sz w:val="24"/>
        </w:rPr>
        <w:t> </w:t>
      </w:r>
      <w:r>
        <w:rPr>
          <w:rFonts w:ascii="Times New Roman" w:hAnsi="Times New Roman"/>
          <w:sz w:val="24"/>
        </w:rPr>
        <w:t>код</w:t>
      </w:r>
      <w:r>
        <w:rPr>
          <w:rFonts w:ascii="Times New Roman" w:hAnsi="Times New Roman"/>
          <w:spacing w:val="29"/>
          <w:sz w:val="24"/>
        </w:rPr>
        <w:t> </w:t>
      </w:r>
      <w:r>
        <w:rPr>
          <w:rFonts w:ascii="Times New Roman" w:hAnsi="Times New Roman"/>
          <w:sz w:val="24"/>
        </w:rPr>
        <w:t>Управе</w:t>
      </w:r>
      <w:r>
        <w:rPr>
          <w:rFonts w:ascii="Times New Roman" w:hAnsi="Times New Roman"/>
          <w:spacing w:val="25"/>
          <w:sz w:val="24"/>
        </w:rPr>
        <w:t> </w:t>
      </w:r>
      <w:r>
        <w:rPr>
          <w:rFonts w:ascii="Times New Roman" w:hAnsi="Times New Roman"/>
          <w:sz w:val="24"/>
        </w:rPr>
        <w:t>за</w:t>
      </w:r>
      <w:r>
        <w:rPr>
          <w:rFonts w:ascii="Times New Roman" w:hAnsi="Times New Roman"/>
          <w:spacing w:val="25"/>
          <w:sz w:val="24"/>
        </w:rPr>
        <w:t> </w:t>
      </w:r>
      <w:r>
        <w:rPr>
          <w:rFonts w:ascii="Times New Roman" w:hAnsi="Times New Roman"/>
          <w:sz w:val="24"/>
        </w:rPr>
        <w:t>финансије:</w:t>
      </w:r>
      <w:r>
        <w:rPr>
          <w:rFonts w:ascii="Times New Roman" w:hAnsi="Times New Roman"/>
          <w:spacing w:val="24"/>
          <w:sz w:val="24"/>
        </w:rPr>
        <w:t> </w:t>
      </w:r>
      <w:r>
        <w:rPr>
          <w:rFonts w:ascii="Times New Roman" w:hAnsi="Times New Roman"/>
          <w:sz w:val="24"/>
        </w:rPr>
        <w:t>послови</w:t>
      </w:r>
      <w:r>
        <w:rPr>
          <w:rFonts w:ascii="Times New Roman" w:hAnsi="Times New Roman"/>
          <w:spacing w:val="27"/>
          <w:sz w:val="24"/>
        </w:rPr>
        <w:t> </w:t>
      </w:r>
      <w:r>
        <w:rPr>
          <w:rFonts w:ascii="Times New Roman" w:hAnsi="Times New Roman"/>
          <w:sz w:val="24"/>
        </w:rPr>
        <w:t>планирања</w:t>
      </w:r>
    </w:p>
    <w:p>
      <w:pPr>
        <w:spacing w:after="0" w:line="240" w:lineRule="auto"/>
        <w:jc w:val="both"/>
        <w:rPr>
          <w:rFonts w:ascii="Times New Roman" w:hAnsi="Times New Roman" w:cs="Times New Roman" w:eastAsia="Times New Roman" w:hint="default"/>
          <w:sz w:val="24"/>
          <w:szCs w:val="24"/>
        </w:rPr>
        <w:sectPr>
          <w:footerReference w:type="default" r:id="rId66"/>
          <w:pgSz w:w="12240" w:h="15840"/>
          <w:pgMar w:footer="1274" w:header="740" w:top="1280" w:bottom="1460" w:left="1400" w:right="1260"/>
          <w:pgNumType w:start="110"/>
        </w:sectPr>
      </w:pPr>
    </w:p>
    <w:p>
      <w:pPr>
        <w:pStyle w:val="BodyText"/>
        <w:spacing w:line="240" w:lineRule="auto" w:before="122"/>
        <w:ind w:right="175"/>
        <w:jc w:val="both"/>
      </w:pPr>
      <w:r>
        <w:rPr/>
        <w:t>јавних набавки за потребе наручиоца, послови обраде захтева за плаћање и трансфер средстава и пратеће документације корисника буџетских средстава и провере исправности трансакције и тачности класификације; код Управе за дечију, социјалну и примарну здравствену заштиту: административни послови, послови  анализе прикупљених података и провера испуњености услова у вези са остваривањем права пратиоца као и израда решења пратиоцима оболелих лица или лица ометених у развоју; код Градског јавног правобранилаштва: послови везани за прикупљање потребних података за комуникацију и сарадњу са јавним предузећима, установама, службама градске управе, као и послови достављања аката правним и физичким лицима и  судовима и прибављање аката од истих и послови копирања и умножавања аката; оперативно технички послови везани за исељење из бесправно усељених станова у власништву града и</w:t>
      </w:r>
      <w:r>
        <w:rPr>
          <w:spacing w:val="-7"/>
        </w:rPr>
        <w:t> </w:t>
      </w:r>
      <w:r>
        <w:rPr/>
        <w:t>др.</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Уговор о привременим и повременим пословима број 377/2014</w:t>
      </w:r>
      <w:r>
        <w:rPr>
          <w:rFonts w:ascii="Times New Roman" w:hAnsi="Times New Roman"/>
          <w:sz w:val="24"/>
        </w:rPr>
        <w:t>-</w:t>
      </w:r>
      <w:r>
        <w:rPr>
          <w:rFonts w:ascii="Times New Roman" w:hAnsi="Times New Roman"/>
          <w:sz w:val="24"/>
        </w:rPr>
        <w:t>08 од 06.03.2014. године закључен између Службе за послове Градоначелника и физичког лица за обављање послова организације и мониторинг рада Виртуелног матичара за дијаспору у циљу несметаног функционисања Виртуелног матичара за период обављања послова од 07.02.2014. године до 31.07.2014. године закључен је дана 06.03.2014. године, месец дана касније у односу на почетак периода</w:t>
      </w:r>
      <w:r>
        <w:rPr>
          <w:rFonts w:ascii="Times New Roman" w:hAnsi="Times New Roman"/>
          <w:spacing w:val="-15"/>
          <w:sz w:val="24"/>
        </w:rPr>
        <w:t> </w:t>
      </w:r>
      <w:r>
        <w:rPr>
          <w:rFonts w:ascii="Times New Roman" w:hAnsi="Times New Roman"/>
          <w:sz w:val="24"/>
        </w:rPr>
        <w:t>ангажовања.</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Уговори о привременим и повременим пословима број </w:t>
      </w:r>
      <w:r>
        <w:rPr>
          <w:rFonts w:ascii="Times New Roman" w:hAnsi="Times New Roman"/>
          <w:sz w:val="24"/>
        </w:rPr>
        <w:t>1050-1/2014-</w:t>
      </w:r>
      <w:r>
        <w:rPr>
          <w:rFonts w:ascii="Times New Roman" w:hAnsi="Times New Roman"/>
          <w:sz w:val="24"/>
        </w:rPr>
        <w:t>08 од 08.07.2014. године, број 1050</w:t>
      </w:r>
      <w:r>
        <w:rPr>
          <w:rFonts w:ascii="Times New Roman" w:hAnsi="Times New Roman"/>
          <w:sz w:val="24"/>
        </w:rPr>
        <w:t>-2/2014-</w:t>
      </w:r>
      <w:r>
        <w:rPr>
          <w:rFonts w:ascii="Times New Roman" w:hAnsi="Times New Roman"/>
          <w:sz w:val="24"/>
        </w:rPr>
        <w:t>08 од 08.07.2014. године, број 1050</w:t>
      </w:r>
      <w:r>
        <w:rPr>
          <w:rFonts w:ascii="Times New Roman" w:hAnsi="Times New Roman"/>
          <w:sz w:val="24"/>
        </w:rPr>
        <w:t>-3/2014-</w:t>
      </w:r>
      <w:r>
        <w:rPr>
          <w:rFonts w:ascii="Times New Roman" w:hAnsi="Times New Roman"/>
          <w:sz w:val="24"/>
        </w:rPr>
        <w:t>08 од 08.07.2014. године закључени између Управе за имовину и инспекцијске послове  и физичких лица  за период обављања послова од </w:t>
      </w:r>
      <w:r>
        <w:rPr>
          <w:rFonts w:ascii="Times New Roman" w:hAnsi="Times New Roman"/>
          <w:sz w:val="24"/>
        </w:rPr>
        <w:t>01.07.2014</w:t>
      </w:r>
      <w:r>
        <w:rPr>
          <w:rFonts w:ascii="Times New Roman" w:hAnsi="Times New Roman"/>
          <w:sz w:val="24"/>
        </w:rPr>
        <w:t>. године до </w:t>
      </w:r>
      <w:r>
        <w:rPr>
          <w:rFonts w:ascii="Times New Roman" w:hAnsi="Times New Roman"/>
          <w:sz w:val="24"/>
        </w:rPr>
        <w:t>16.12.2014</w:t>
      </w:r>
      <w:r>
        <w:rPr>
          <w:rFonts w:ascii="Times New Roman" w:hAnsi="Times New Roman"/>
          <w:sz w:val="24"/>
        </w:rPr>
        <w:t>. године закључени су дана </w:t>
      </w:r>
      <w:r>
        <w:rPr>
          <w:rFonts w:ascii="Times New Roman" w:hAnsi="Times New Roman"/>
          <w:sz w:val="24"/>
        </w:rPr>
        <w:t>08.07</w:t>
      </w:r>
      <w:r>
        <w:rPr>
          <w:rFonts w:ascii="Times New Roman" w:hAnsi="Times New Roman"/>
          <w:sz w:val="24"/>
        </w:rPr>
        <w:t>.2014. године, касније у односу на почетак периода</w:t>
      </w:r>
      <w:r>
        <w:rPr>
          <w:rFonts w:ascii="Times New Roman" w:hAnsi="Times New Roman"/>
          <w:spacing w:val="-16"/>
          <w:sz w:val="24"/>
        </w:rPr>
        <w:t> </w:t>
      </w:r>
      <w:r>
        <w:rPr>
          <w:rFonts w:ascii="Times New Roman" w:hAnsi="Times New Roman"/>
          <w:sz w:val="24"/>
        </w:rPr>
        <w:t>ангажовања.</w:t>
      </w:r>
    </w:p>
    <w:p>
      <w:pPr>
        <w:pStyle w:val="ListParagraph"/>
        <w:numPr>
          <w:ilvl w:val="0"/>
          <w:numId w:val="9"/>
        </w:numPr>
        <w:tabs>
          <w:tab w:pos="303" w:val="left" w:leader="none"/>
        </w:tabs>
        <w:spacing w:line="274" w:lineRule="exact" w:before="24" w:after="0"/>
        <w:ind w:left="160" w:right="185" w:firstLine="0"/>
        <w:jc w:val="both"/>
        <w:rPr>
          <w:rFonts w:ascii="Times New Roman" w:hAnsi="Times New Roman" w:cs="Times New Roman" w:eastAsia="Times New Roman" w:hint="default"/>
          <w:sz w:val="24"/>
          <w:szCs w:val="24"/>
        </w:rPr>
      </w:pPr>
      <w:r>
        <w:rPr>
          <w:rFonts w:ascii="Times New Roman" w:hAnsi="Times New Roman"/>
          <w:sz w:val="24"/>
        </w:rPr>
        <w:t>Извршен је расход у укупном износу од 394 хиљаде динара на име накнаде по Уговорима о привременим и повременим пословима и</w:t>
      </w:r>
      <w:r>
        <w:rPr>
          <w:rFonts w:ascii="Times New Roman" w:hAnsi="Times New Roman"/>
          <w:spacing w:val="-14"/>
          <w:sz w:val="24"/>
        </w:rPr>
        <w:t> </w:t>
      </w:r>
      <w:r>
        <w:rPr>
          <w:rFonts w:ascii="Times New Roman" w:hAnsi="Times New Roman"/>
          <w:sz w:val="24"/>
        </w:rPr>
        <w:t>то:</w:t>
      </w:r>
    </w:p>
    <w:p>
      <w:pPr>
        <w:pStyle w:val="ListParagraph"/>
        <w:numPr>
          <w:ilvl w:val="0"/>
          <w:numId w:val="12"/>
        </w:numPr>
        <w:tabs>
          <w:tab w:pos="358"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број </w:t>
      </w:r>
      <w:r>
        <w:rPr>
          <w:rFonts w:ascii="Times New Roman" w:hAnsi="Times New Roman"/>
          <w:sz w:val="24"/>
        </w:rPr>
        <w:t>377/2014-</w:t>
      </w:r>
      <w:r>
        <w:rPr>
          <w:rFonts w:ascii="Times New Roman" w:hAnsi="Times New Roman"/>
          <w:sz w:val="24"/>
        </w:rPr>
        <w:t>08 од 06.03.2014. године за месец јули 2014. године у износу од 71 хиљаде динара по Захтеву за плаћање Службе за послове Градоначелника број 625 од 07.08.2014. године,</w:t>
      </w:r>
    </w:p>
    <w:p>
      <w:pPr>
        <w:pStyle w:val="ListParagraph"/>
        <w:numPr>
          <w:ilvl w:val="0"/>
          <w:numId w:val="12"/>
        </w:numPr>
        <w:tabs>
          <w:tab w:pos="358"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број </w:t>
      </w:r>
      <w:r>
        <w:rPr>
          <w:rFonts w:ascii="Times New Roman" w:hAnsi="Times New Roman"/>
          <w:sz w:val="24"/>
        </w:rPr>
        <w:t>979/2014-</w:t>
      </w:r>
      <w:r>
        <w:rPr>
          <w:rFonts w:ascii="Times New Roman" w:hAnsi="Times New Roman"/>
          <w:sz w:val="24"/>
        </w:rPr>
        <w:t>08 од </w:t>
      </w:r>
      <w:r>
        <w:rPr>
          <w:rFonts w:ascii="Times New Roman" w:hAnsi="Times New Roman"/>
          <w:sz w:val="24"/>
        </w:rPr>
        <w:t>01.07.2014</w:t>
      </w:r>
      <w:r>
        <w:rPr>
          <w:rFonts w:ascii="Times New Roman" w:hAnsi="Times New Roman"/>
          <w:sz w:val="24"/>
        </w:rPr>
        <w:t>. године за месец јули 2014. године у износу од 71 хиљаде динара по Захтеву за плаћање Службе за послове Градоначелника број 626 од 07.08.2014. године,</w:t>
      </w:r>
    </w:p>
    <w:p>
      <w:pPr>
        <w:pStyle w:val="ListParagraph"/>
        <w:numPr>
          <w:ilvl w:val="0"/>
          <w:numId w:val="12"/>
        </w:numPr>
        <w:tabs>
          <w:tab w:pos="358"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број </w:t>
      </w:r>
      <w:r>
        <w:rPr>
          <w:rFonts w:ascii="Times New Roman" w:hAnsi="Times New Roman"/>
          <w:sz w:val="24"/>
        </w:rPr>
        <w:t>973/2014-</w:t>
      </w:r>
      <w:r>
        <w:rPr>
          <w:rFonts w:ascii="Times New Roman" w:hAnsi="Times New Roman"/>
          <w:sz w:val="24"/>
        </w:rPr>
        <w:t>08 од </w:t>
      </w:r>
      <w:r>
        <w:rPr>
          <w:rFonts w:ascii="Times New Roman" w:hAnsi="Times New Roman"/>
          <w:sz w:val="24"/>
        </w:rPr>
        <w:t>01.07</w:t>
      </w:r>
      <w:r>
        <w:rPr>
          <w:rFonts w:ascii="Times New Roman" w:hAnsi="Times New Roman"/>
          <w:sz w:val="24"/>
        </w:rPr>
        <w:t>.2014. године за месец јули 2014. године у износу од 56 хиљада динара по Захтеву за плаћање Службе за послове Градоначелника број 624 од 07.08.2014. године,</w:t>
      </w:r>
    </w:p>
    <w:p>
      <w:pPr>
        <w:pStyle w:val="ListParagraph"/>
        <w:numPr>
          <w:ilvl w:val="0"/>
          <w:numId w:val="12"/>
        </w:numPr>
        <w:tabs>
          <w:tab w:pos="303" w:val="left" w:leader="none"/>
        </w:tabs>
        <w:spacing w:line="240" w:lineRule="auto" w:before="0" w:after="0"/>
        <w:ind w:left="160" w:right="185" w:firstLine="0"/>
        <w:jc w:val="both"/>
        <w:rPr>
          <w:rFonts w:ascii="Times New Roman" w:hAnsi="Times New Roman" w:cs="Times New Roman" w:eastAsia="Times New Roman" w:hint="default"/>
          <w:sz w:val="24"/>
          <w:szCs w:val="24"/>
        </w:rPr>
      </w:pPr>
      <w:r>
        <w:rPr>
          <w:rFonts w:ascii="Times New Roman" w:hAnsi="Times New Roman"/>
          <w:sz w:val="24"/>
        </w:rPr>
        <w:t>број 353/2014</w:t>
      </w:r>
      <w:r>
        <w:rPr>
          <w:rFonts w:ascii="Times New Roman" w:hAnsi="Times New Roman"/>
          <w:sz w:val="24"/>
        </w:rPr>
        <w:t>-</w:t>
      </w:r>
      <w:r>
        <w:rPr>
          <w:rFonts w:ascii="Times New Roman" w:hAnsi="Times New Roman"/>
          <w:sz w:val="24"/>
        </w:rPr>
        <w:t>08 од 28.02.2014. године у износу од 71 хиљаде динара по Захтеву Управе за имовину и инспекцијске послове број 3325/2014</w:t>
      </w:r>
      <w:r>
        <w:rPr>
          <w:rFonts w:ascii="Times New Roman" w:hAnsi="Times New Roman"/>
          <w:sz w:val="24"/>
        </w:rPr>
        <w:t>-</w:t>
      </w:r>
      <w:r>
        <w:rPr>
          <w:rFonts w:ascii="Times New Roman" w:hAnsi="Times New Roman"/>
          <w:sz w:val="24"/>
        </w:rPr>
        <w:t>04 од 06.08.2014.</w:t>
      </w:r>
      <w:r>
        <w:rPr>
          <w:rFonts w:ascii="Times New Roman" w:hAnsi="Times New Roman"/>
          <w:spacing w:val="-15"/>
          <w:sz w:val="24"/>
        </w:rPr>
        <w:t> </w:t>
      </w:r>
      <w:r>
        <w:rPr>
          <w:rFonts w:ascii="Times New Roman" w:hAnsi="Times New Roman"/>
          <w:sz w:val="24"/>
        </w:rPr>
        <w:t>године,</w:t>
      </w:r>
    </w:p>
    <w:p>
      <w:pPr>
        <w:pStyle w:val="ListParagraph"/>
        <w:numPr>
          <w:ilvl w:val="0"/>
          <w:numId w:val="12"/>
        </w:numPr>
        <w:tabs>
          <w:tab w:pos="339"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број 1050</w:t>
      </w:r>
      <w:r>
        <w:rPr>
          <w:rFonts w:ascii="Times New Roman" w:hAnsi="Times New Roman"/>
          <w:sz w:val="24"/>
        </w:rPr>
        <w:t>-1/2014-</w:t>
      </w:r>
      <w:r>
        <w:rPr>
          <w:rFonts w:ascii="Times New Roman" w:hAnsi="Times New Roman"/>
          <w:sz w:val="24"/>
        </w:rPr>
        <w:t>08 од 08.07.2014. године у износу од 54 хиљаде динара по Захтеву Управе за имовину и инспекцијске послове број 3326/2014</w:t>
      </w:r>
      <w:r>
        <w:rPr>
          <w:rFonts w:ascii="Times New Roman" w:hAnsi="Times New Roman"/>
          <w:sz w:val="24"/>
        </w:rPr>
        <w:t>-</w:t>
      </w:r>
      <w:r>
        <w:rPr>
          <w:rFonts w:ascii="Times New Roman" w:hAnsi="Times New Roman"/>
          <w:sz w:val="24"/>
        </w:rPr>
        <w:t>04 од 06.08.2014.</w:t>
      </w:r>
      <w:r>
        <w:rPr>
          <w:rFonts w:ascii="Times New Roman" w:hAnsi="Times New Roman"/>
          <w:spacing w:val="-13"/>
          <w:sz w:val="24"/>
        </w:rPr>
        <w:t> </w:t>
      </w:r>
      <w:r>
        <w:rPr>
          <w:rFonts w:ascii="Times New Roman" w:hAnsi="Times New Roman"/>
          <w:sz w:val="24"/>
        </w:rPr>
        <w:t>године,</w:t>
      </w:r>
    </w:p>
    <w:p>
      <w:pPr>
        <w:pStyle w:val="ListParagraph"/>
        <w:numPr>
          <w:ilvl w:val="0"/>
          <w:numId w:val="12"/>
        </w:numPr>
        <w:tabs>
          <w:tab w:pos="339"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број 1050</w:t>
      </w:r>
      <w:r>
        <w:rPr>
          <w:rFonts w:ascii="Times New Roman" w:hAnsi="Times New Roman"/>
          <w:sz w:val="24"/>
        </w:rPr>
        <w:t>-2/2014-</w:t>
      </w:r>
      <w:r>
        <w:rPr>
          <w:rFonts w:ascii="Times New Roman" w:hAnsi="Times New Roman"/>
          <w:sz w:val="24"/>
        </w:rPr>
        <w:t>08 од 08.07.2014. године у износу од 71 хиљаде динара по Захтеву Управе за имовину и инспекцијске послове број 3327/2014</w:t>
      </w:r>
      <w:r>
        <w:rPr>
          <w:rFonts w:ascii="Times New Roman" w:hAnsi="Times New Roman"/>
          <w:sz w:val="24"/>
        </w:rPr>
        <w:t>-</w:t>
      </w:r>
      <w:r>
        <w:rPr>
          <w:rFonts w:ascii="Times New Roman" w:hAnsi="Times New Roman"/>
          <w:sz w:val="24"/>
        </w:rPr>
        <w:t>04 од 06.08.2014.</w:t>
      </w:r>
      <w:r>
        <w:rPr>
          <w:rFonts w:ascii="Times New Roman" w:hAnsi="Times New Roman"/>
          <w:spacing w:val="-13"/>
          <w:sz w:val="24"/>
        </w:rPr>
        <w:t> </w:t>
      </w:r>
      <w:r>
        <w:rPr>
          <w:rFonts w:ascii="Times New Roman" w:hAnsi="Times New Roman"/>
          <w:sz w:val="24"/>
        </w:rPr>
        <w:t>године,</w:t>
      </w:r>
    </w:p>
    <w:p>
      <w:pPr>
        <w:pStyle w:val="BodyText"/>
        <w:spacing w:line="240" w:lineRule="auto"/>
        <w:ind w:right="178"/>
        <w:jc w:val="both"/>
      </w:pPr>
      <w:r>
        <w:rPr/>
        <w:t>без потписа Захтева за плаћање од стране одговорних лица за одобрење плаћања Управе за финансије, иако се плаћање врши са позиције те управе, што је супротно члану 16. Уредбе о буџетском рачуноводству и члану 58. Закона о буџетском</w:t>
      </w:r>
      <w:r>
        <w:rPr>
          <w:spacing w:val="-21"/>
        </w:rPr>
        <w:t> </w:t>
      </w:r>
      <w:r>
        <w:rPr/>
        <w:t>систему.</w:t>
      </w:r>
    </w:p>
    <w:p>
      <w:pPr>
        <w:pStyle w:val="BodyText"/>
        <w:spacing w:line="240" w:lineRule="auto"/>
        <w:ind w:right="181" w:firstLine="566"/>
        <w:jc w:val="both"/>
        <w:rPr>
          <w:rFonts w:ascii="Times New Roman" w:hAnsi="Times New Roman" w:cs="Times New Roman" w:eastAsia="Times New Roman" w:hint="default"/>
        </w:rPr>
      </w:pPr>
      <w:r>
        <w:rPr/>
        <w:t>Према усменом објашњењу, уговори о привременим и повременим пословима </w:t>
      </w:r>
      <w:r>
        <w:rPr>
          <w:spacing w:val="3"/>
        </w:rPr>
        <w:t>су </w:t>
      </w:r>
      <w:r>
        <w:rPr>
          <w:spacing w:val="3"/>
        </w:rPr>
      </w:r>
      <w:r>
        <w:rPr/>
        <w:t>закључени ради ефикаснијег обављања послова градских управа, услед недостатка </w:t>
      </w:r>
      <w:r>
        <w:rPr/>
        <w:t>адекватних</w:t>
      </w:r>
      <w:r>
        <w:rPr>
          <w:spacing w:val="-5"/>
        </w:rPr>
        <w:t> </w:t>
      </w:r>
      <w:r>
        <w:rPr/>
        <w:t>радника</w:t>
      </w:r>
      <w:r>
        <w:rPr>
          <w:rFonts w:ascii="Times New Roman" w:hAnsi="Times New Roman"/>
        </w:rPr>
        <w:t>.</w:t>
      </w:r>
    </w:p>
    <w:p>
      <w:pPr>
        <w:spacing w:after="0" w:line="240" w:lineRule="auto"/>
        <w:jc w:val="both"/>
        <w:rPr>
          <w:rFonts w:ascii="Times New Roman" w:hAnsi="Times New Roman" w:cs="Times New Roman" w:eastAsia="Times New Roman" w:hint="default"/>
        </w:rPr>
        <w:sectPr>
          <w:pgSz w:w="12240" w:h="15840"/>
          <w:pgMar w:header="740" w:footer="1274" w:top="1280" w:bottom="1460" w:left="1400" w:right="1260"/>
        </w:sectPr>
      </w:pPr>
    </w:p>
    <w:p>
      <w:pPr>
        <w:pStyle w:val="Heading2"/>
        <w:spacing w:line="240" w:lineRule="auto" w:before="126"/>
        <w:ind w:right="175"/>
        <w:jc w:val="both"/>
        <w:rPr>
          <w:b w:val="0"/>
          <w:bCs w:val="0"/>
          <w:i w:val="0"/>
        </w:rPr>
      </w:pPr>
      <w:r>
        <w:rPr>
          <w:i/>
        </w:rPr>
        <w:t>Препоручује се одговорним лицима да уговоре закључују у складу са Законом о раду, да уговоре закључују пре почетка ангажовања лица, обезбеде за сваки расход из буџета валидну</w:t>
      </w:r>
      <w:r>
        <w:rPr>
          <w:i/>
          <w:spacing w:val="-12"/>
        </w:rPr>
        <w:t> </w:t>
      </w:r>
      <w:r>
        <w:rPr>
          <w:i/>
        </w:rPr>
        <w:t>документацију.</w:t>
      </w:r>
      <w:r>
        <w:rPr>
          <w:b w:val="0"/>
          <w:i w:val="0"/>
        </w:rPr>
      </w:r>
    </w:p>
    <w:p>
      <w:pPr>
        <w:pStyle w:val="BodyText"/>
        <w:spacing w:line="240" w:lineRule="auto"/>
        <w:ind w:right="178"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Остале опште услуге, субаналитички конто 423911 </w:t>
      </w:r>
      <w:r>
        <w:rPr/>
        <w:t>– Исказан је расход у износу од </w:t>
      </w:r>
      <w:r>
        <w:rPr/>
      </w:r>
      <w:r>
        <w:rPr>
          <w:rFonts w:ascii="Times New Roman" w:hAnsi="Times New Roman" w:cs="Times New Roman" w:eastAsia="Times New Roman" w:hint="default"/>
        </w:rPr>
        <w:t>16.881 </w:t>
      </w:r>
      <w:r>
        <w:rPr/>
        <w:t>хиљаде</w:t>
      </w:r>
      <w:r>
        <w:rPr>
          <w:spacing w:val="-4"/>
        </w:rPr>
        <w:t> </w:t>
      </w:r>
      <w:r>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74" w:lineRule="exact" w:before="20"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Извршен је расход у износу од 111 хиљада динара на име исплате накнаде по основу обављања  повремених  и  привремених  послова  преко  Студентско</w:t>
      </w:r>
      <w:r>
        <w:rPr>
          <w:rFonts w:ascii="Times New Roman" w:hAnsi="Times New Roman"/>
          <w:sz w:val="24"/>
        </w:rPr>
        <w:t>-</w:t>
      </w:r>
      <w:r>
        <w:rPr>
          <w:rFonts w:ascii="Times New Roman" w:hAnsi="Times New Roman"/>
          <w:sz w:val="24"/>
        </w:rPr>
        <w:t>омладинске</w:t>
      </w:r>
      <w:r>
        <w:rPr>
          <w:rFonts w:ascii="Times New Roman" w:hAnsi="Times New Roman"/>
          <w:spacing w:val="57"/>
          <w:sz w:val="24"/>
        </w:rPr>
        <w:t> </w:t>
      </w:r>
      <w:r>
        <w:rPr>
          <w:rFonts w:ascii="Times New Roman" w:hAnsi="Times New Roman"/>
          <w:sz w:val="24"/>
        </w:rPr>
        <w:t>задруге</w:t>
      </w:r>
    </w:p>
    <w:p>
      <w:pPr>
        <w:pStyle w:val="BodyText"/>
        <w:spacing w:line="240" w:lineRule="auto"/>
        <w:ind w:right="181"/>
        <w:jc w:val="both"/>
        <w:rPr>
          <w:rFonts w:ascii="Times New Roman" w:hAnsi="Times New Roman" w:cs="Times New Roman" w:eastAsia="Times New Roman" w:hint="default"/>
        </w:rPr>
      </w:pPr>
      <w:r>
        <w:rPr/>
        <w:t>„SKC</w:t>
      </w:r>
      <w:r>
        <w:rPr>
          <w:rFonts w:ascii="Times New Roman" w:hAnsi="Times New Roman" w:cs="Times New Roman" w:eastAsia="Times New Roman" w:hint="default"/>
        </w:rPr>
        <w:t>-</w:t>
      </w:r>
      <w:r>
        <w:rPr/>
        <w:t>Index“ Ниш, по рачунима број 015, 016, 017 и 018 од 03.02.2014. године без потписа Уговора</w:t>
      </w:r>
      <w:r>
        <w:rPr>
          <w:rFonts w:ascii="Times New Roman" w:hAnsi="Times New Roman" w:cs="Times New Roman" w:eastAsia="Times New Roman" w:hint="default"/>
        </w:rPr>
        <w:t>-</w:t>
      </w:r>
      <w:r>
        <w:rPr/>
        <w:t>упута од стране наручиоца посла и без овере печатом, на основу којих се признаје право на накнаду, што је супротно члану 56. Закона о буџетском</w:t>
      </w:r>
      <w:r>
        <w:rPr>
          <w:spacing w:val="-26"/>
        </w:rPr>
        <w:t> </w:t>
      </w:r>
      <w:r>
        <w:rPr/>
        <w:t>систему</w:t>
      </w:r>
      <w:r>
        <w:rPr>
          <w:rFonts w:ascii="Times New Roman" w:hAnsi="Times New Roman" w:cs="Times New Roman" w:eastAsia="Times New Roman" w:hint="default"/>
        </w:rPr>
        <w:t>.</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Извршен је расход у износу од 158 хиљада динара на име накнаде за обављање повремених и привремених послова преко Студентско</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омладинске задруге „SKC</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Index“ Ниш по уговорима</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упутима за рад и то: број 547 од 02.06.2014. године (рачун број 167 од 01.07.2014. године) и број 548 и 549 од 02.06.2014. године (рачун број 168 од 01.07.2014. године) за обављање административних послова а на којима није наведена цена рада, односно основ за обрачун зараде, већ је наведен број радних дана и то 25 (по сваком уговору) и укупан износ накнаде, што је супротно члану 4. и 7. Уговора о пословној сарадњи број 11</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725/2014  од 19.05.2014.</w:t>
      </w:r>
      <w:r>
        <w:rPr>
          <w:rFonts w:ascii="Times New Roman" w:hAnsi="Times New Roman" w:cs="Times New Roman" w:eastAsia="Times New Roman" w:hint="default"/>
          <w:spacing w:val="-2"/>
          <w:sz w:val="24"/>
          <w:szCs w:val="24"/>
        </w:rPr>
        <w:t> </w:t>
      </w:r>
      <w:r>
        <w:rPr>
          <w:rFonts w:ascii="Times New Roman" w:hAnsi="Times New Roman" w:cs="Times New Roman" w:eastAsia="Times New Roman" w:hint="default"/>
          <w:sz w:val="24"/>
          <w:szCs w:val="24"/>
        </w:rPr>
        <w:t>године.</w:t>
      </w:r>
    </w:p>
    <w:p>
      <w:pPr>
        <w:pStyle w:val="ListParagraph"/>
        <w:numPr>
          <w:ilvl w:val="0"/>
          <w:numId w:val="9"/>
        </w:numPr>
        <w:tabs>
          <w:tab w:pos="303" w:val="left" w:leader="none"/>
        </w:tabs>
        <w:spacing w:line="240" w:lineRule="auto" w:before="2"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Извршен је расход у износу од 157 хиљада динара на име накнаде за повремене и привремене послове преко студентско</w:t>
      </w:r>
      <w:r>
        <w:rPr>
          <w:rFonts w:ascii="Times New Roman" w:hAnsi="Times New Roman"/>
          <w:sz w:val="24"/>
        </w:rPr>
        <w:t>-</w:t>
      </w:r>
      <w:r>
        <w:rPr>
          <w:rFonts w:ascii="Times New Roman" w:hAnsi="Times New Roman"/>
          <w:sz w:val="24"/>
        </w:rPr>
        <w:t>омладинске задруге по захтеву Управе за финансије број 426 од 19.08.2014. године који није потписан од стране одговорних лица, што је супротно члану 58. Закона о буџетском систему и члану 16. Уредбе о буџетском рачуноводству.</w:t>
      </w:r>
    </w:p>
    <w:p>
      <w:pPr>
        <w:pStyle w:val="ListParagraph"/>
        <w:numPr>
          <w:ilvl w:val="0"/>
          <w:numId w:val="9"/>
        </w:numPr>
        <w:tabs>
          <w:tab w:pos="303" w:val="left" w:leader="none"/>
        </w:tabs>
        <w:spacing w:line="292" w:lineRule="exact" w:before="2"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Рачуни у укупном износу од 12.439 хиљада динара и</w:t>
      </w:r>
      <w:r>
        <w:rPr>
          <w:rFonts w:ascii="Times New Roman" w:hAnsi="Times New Roman"/>
          <w:spacing w:val="-16"/>
          <w:sz w:val="24"/>
        </w:rPr>
        <w:t> </w:t>
      </w:r>
      <w:r>
        <w:rPr>
          <w:rFonts w:ascii="Times New Roman" w:hAnsi="Times New Roman"/>
          <w:sz w:val="24"/>
        </w:rPr>
        <w:t>то:</w:t>
      </w:r>
    </w:p>
    <w:p>
      <w:pPr>
        <w:pStyle w:val="ListParagraph"/>
        <w:numPr>
          <w:ilvl w:val="0"/>
          <w:numId w:val="12"/>
        </w:numPr>
        <w:tabs>
          <w:tab w:pos="35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за обављање повремених и привремених послова у укупном износу од 426 хиљада динара: број 015, 016, 017 и 018 од 03.02.2014. године</w:t>
      </w:r>
      <w:r>
        <w:rPr>
          <w:rFonts w:ascii="Times New Roman" w:hAnsi="Times New Roman"/>
          <w:sz w:val="24"/>
        </w:rPr>
        <w:t>, </w:t>
      </w:r>
      <w:r>
        <w:rPr>
          <w:rFonts w:ascii="Times New Roman" w:hAnsi="Times New Roman"/>
          <w:sz w:val="24"/>
        </w:rPr>
        <w:t>број 167 од 01.07.2014. године</w:t>
      </w:r>
      <w:r>
        <w:rPr>
          <w:rFonts w:ascii="Times New Roman" w:hAnsi="Times New Roman"/>
          <w:sz w:val="24"/>
        </w:rPr>
        <w:t>, 168 </w:t>
      </w:r>
      <w:r>
        <w:rPr>
          <w:rFonts w:ascii="Times New Roman" w:hAnsi="Times New Roman"/>
          <w:sz w:val="24"/>
        </w:rPr>
        <w:t>од 01.07.2014. године</w:t>
      </w:r>
      <w:r>
        <w:rPr>
          <w:rFonts w:ascii="Times New Roman" w:hAnsi="Times New Roman"/>
          <w:sz w:val="24"/>
        </w:rPr>
        <w:t>, </w:t>
      </w:r>
      <w:r>
        <w:rPr>
          <w:rFonts w:ascii="Times New Roman" w:hAnsi="Times New Roman"/>
          <w:sz w:val="24"/>
        </w:rPr>
        <w:t>број 1399 од 04.08.2014. године, број 1276 од 02.08.2014. године и број 1295 од 04.08.2014.</w:t>
      </w:r>
      <w:r>
        <w:rPr>
          <w:rFonts w:ascii="Times New Roman" w:hAnsi="Times New Roman"/>
          <w:spacing w:val="1"/>
          <w:sz w:val="24"/>
        </w:rPr>
        <w:t> </w:t>
      </w:r>
      <w:r>
        <w:rPr>
          <w:rFonts w:ascii="Times New Roman" w:hAnsi="Times New Roman"/>
          <w:sz w:val="24"/>
        </w:rPr>
        <w:t>године</w:t>
      </w:r>
      <w:r>
        <w:rPr>
          <w:rFonts w:ascii="Times New Roman" w:hAnsi="Times New Roman"/>
          <w:sz w:val="24"/>
        </w:rPr>
        <w:t>;</w:t>
      </w:r>
    </w:p>
    <w:p>
      <w:pPr>
        <w:pStyle w:val="ListParagraph"/>
        <w:numPr>
          <w:ilvl w:val="0"/>
          <w:numId w:val="12"/>
        </w:numPr>
        <w:tabs>
          <w:tab w:pos="307" w:val="left" w:leader="none"/>
        </w:tabs>
        <w:spacing w:line="240" w:lineRule="auto" w:before="0"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за услугу пријема, преноса и уручења судских писама број 140007609132 од 30.06.2014. године у износу од 4.054 хиљаде</w:t>
      </w:r>
      <w:r>
        <w:rPr>
          <w:rFonts w:ascii="Times New Roman" w:hAnsi="Times New Roman"/>
          <w:spacing w:val="-11"/>
          <w:sz w:val="24"/>
        </w:rPr>
        <w:t> </w:t>
      </w:r>
      <w:r>
        <w:rPr>
          <w:rFonts w:ascii="Times New Roman" w:hAnsi="Times New Roman"/>
          <w:sz w:val="24"/>
        </w:rPr>
        <w:t>динара;</w:t>
      </w:r>
    </w:p>
    <w:p>
      <w:pPr>
        <w:pStyle w:val="ListParagraph"/>
        <w:numPr>
          <w:ilvl w:val="0"/>
          <w:numId w:val="12"/>
        </w:numPr>
        <w:tabs>
          <w:tab w:pos="303" w:val="left" w:leader="none"/>
        </w:tabs>
        <w:spacing w:line="240" w:lineRule="auto" w:before="0"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за чланарину број 1/2 од 04.02.2014. године у износу од 1.244 хиљаде динара и број </w:t>
      </w:r>
      <w:r>
        <w:rPr>
          <w:rFonts w:ascii="Times New Roman" w:hAnsi="Times New Roman"/>
          <w:sz w:val="24"/>
        </w:rPr>
        <w:t>01- 04/2014 </w:t>
      </w:r>
      <w:r>
        <w:rPr>
          <w:rFonts w:ascii="Times New Roman" w:hAnsi="Times New Roman"/>
          <w:sz w:val="24"/>
        </w:rPr>
        <w:t>од 22.04.2014. године у износу од 6.715 хиљада</w:t>
      </w:r>
      <w:r>
        <w:rPr>
          <w:rFonts w:ascii="Times New Roman" w:hAnsi="Times New Roman"/>
          <w:spacing w:val="-11"/>
          <w:sz w:val="24"/>
        </w:rPr>
        <w:t> </w:t>
      </w:r>
      <w:r>
        <w:rPr>
          <w:rFonts w:ascii="Times New Roman" w:hAnsi="Times New Roman"/>
          <w:sz w:val="24"/>
        </w:rPr>
        <w:t>динара,</w:t>
      </w:r>
    </w:p>
    <w:p>
      <w:pPr>
        <w:pStyle w:val="BodyText"/>
        <w:spacing w:line="240" w:lineRule="auto"/>
        <w:ind w:right="180"/>
        <w:jc w:val="both"/>
        <w:rPr>
          <w:rFonts w:ascii="Times New Roman" w:hAnsi="Times New Roman" w:cs="Times New Roman" w:eastAsia="Times New Roman" w:hint="default"/>
        </w:rPr>
      </w:pPr>
      <w:r>
        <w:rPr/>
        <w:t>нису оверени потписима од стране лица које је исправу контролисало и лица одговорног за насталу пословну промену, што је супротно члану 58. Закона о буџетском систему и члану 16. Уредбе о буџетском</w:t>
      </w:r>
      <w:r>
        <w:rPr>
          <w:spacing w:val="-9"/>
        </w:rPr>
        <w:t> </w:t>
      </w:r>
      <w:r>
        <w:rPr/>
        <w:t>рачуноводству</w:t>
      </w:r>
      <w:r>
        <w:rPr>
          <w:rFonts w:ascii="Times New Roman" w:hAnsi="Times New Roman"/>
        </w:rPr>
        <w:t>.</w:t>
      </w:r>
    </w:p>
    <w:p>
      <w:pPr>
        <w:pStyle w:val="ListParagraph"/>
        <w:numPr>
          <w:ilvl w:val="0"/>
          <w:numId w:val="9"/>
        </w:numPr>
        <w:tabs>
          <w:tab w:pos="303" w:val="left" w:leader="none"/>
        </w:tabs>
        <w:spacing w:line="237" w:lineRule="auto" w:before="4"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На издатим Уговорима</w:t>
      </w:r>
      <w:r>
        <w:rPr>
          <w:rFonts w:ascii="Times New Roman" w:hAnsi="Times New Roman"/>
          <w:sz w:val="24"/>
        </w:rPr>
        <w:t>-</w:t>
      </w:r>
      <w:r>
        <w:rPr>
          <w:rFonts w:ascii="Times New Roman" w:hAnsi="Times New Roman"/>
          <w:sz w:val="24"/>
        </w:rPr>
        <w:t>упутима за рад број 1399 од 02.07.2014. године, број 1457 од 09.07.2014. године, број 1396 од 02.07.2014. године није наведена цена рада по јединици мере, као ни часови ангажовања, већ је на копијама истих наведен износ</w:t>
      </w:r>
      <w:r>
        <w:rPr>
          <w:rFonts w:ascii="Times New Roman" w:hAnsi="Times New Roman"/>
          <w:spacing w:val="-27"/>
          <w:sz w:val="24"/>
        </w:rPr>
        <w:t> </w:t>
      </w:r>
      <w:r>
        <w:rPr>
          <w:rFonts w:ascii="Times New Roman" w:hAnsi="Times New Roman"/>
          <w:sz w:val="24"/>
        </w:rPr>
        <w:t>накнаде.</w:t>
      </w:r>
    </w:p>
    <w:p>
      <w:pPr>
        <w:pStyle w:val="ListParagraph"/>
        <w:numPr>
          <w:ilvl w:val="0"/>
          <w:numId w:val="9"/>
        </w:numPr>
        <w:tabs>
          <w:tab w:pos="303" w:val="left" w:leader="none"/>
        </w:tabs>
        <w:spacing w:line="237" w:lineRule="auto" w:before="5"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Неправилно је евидентиран расход у укупном износу од 7.959 хиљада динара на име чланарине Сталној конференцији градова и општина </w:t>
      </w:r>
      <w:r>
        <w:rPr>
          <w:rFonts w:ascii="Times New Roman" w:hAnsi="Times New Roman"/>
          <w:sz w:val="24"/>
        </w:rPr>
        <w:t>- </w:t>
      </w:r>
      <w:r>
        <w:rPr>
          <w:rFonts w:ascii="Times New Roman" w:hAnsi="Times New Roman"/>
          <w:sz w:val="24"/>
        </w:rPr>
        <w:t>Савез градова и општина Србије Београд  у износу од 1.244 хиљаде динара и чланарине Регионалној развојној     </w:t>
      </w:r>
      <w:r>
        <w:rPr>
          <w:rFonts w:ascii="Times New Roman" w:hAnsi="Times New Roman"/>
          <w:spacing w:val="25"/>
          <w:sz w:val="24"/>
        </w:rPr>
        <w:t> </w:t>
      </w:r>
      <w:r>
        <w:rPr>
          <w:rFonts w:ascii="Times New Roman" w:hAnsi="Times New Roman"/>
          <w:sz w:val="24"/>
        </w:rPr>
        <w:t>агенцији</w:t>
      </w:r>
    </w:p>
    <w:p>
      <w:pPr>
        <w:pStyle w:val="BodyText"/>
        <w:spacing w:line="240" w:lineRule="auto"/>
        <w:ind w:right="173"/>
        <w:jc w:val="both"/>
      </w:pPr>
      <w:r>
        <w:rPr/>
        <w:t>„Југ“ доо Ниш у износу од 6.715 хиљада динара уместо на групи 481000</w:t>
      </w:r>
      <w:r>
        <w:rPr>
          <w:rFonts w:ascii="Times New Roman" w:hAnsi="Times New Roman" w:cs="Times New Roman" w:eastAsia="Times New Roman" w:hint="default"/>
        </w:rPr>
        <w:t>- </w:t>
      </w:r>
      <w:r>
        <w:rPr/>
        <w:t>дотације невладиним организацијама, што је супротно члану 9. Уредбе  о  буџетском рачуноводству и Правилнику о стандардном класификационом оквиру и контном плану за буџетски</w:t>
      </w:r>
      <w:r>
        <w:rPr>
          <w:spacing w:val="-10"/>
        </w:rPr>
        <w:t> </w:t>
      </w:r>
      <w:r>
        <w:rPr/>
        <w:t>систем.</w:t>
      </w:r>
    </w:p>
    <w:p>
      <w:pPr>
        <w:spacing w:after="0" w:line="240" w:lineRule="auto"/>
        <w:jc w:val="both"/>
        <w:sectPr>
          <w:pgSz w:w="12240" w:h="15840"/>
          <w:pgMar w:header="740" w:footer="1274" w:top="1280" w:bottom="1460" w:left="1400" w:right="1260"/>
        </w:sectPr>
      </w:pPr>
    </w:p>
    <w:p>
      <w:pPr>
        <w:pStyle w:val="ListParagraph"/>
        <w:numPr>
          <w:ilvl w:val="0"/>
          <w:numId w:val="9"/>
        </w:numPr>
        <w:tabs>
          <w:tab w:pos="303" w:val="left" w:leader="none"/>
        </w:tabs>
        <w:spacing w:line="237" w:lineRule="auto" w:before="126" w:after="0"/>
        <w:ind w:left="160" w:right="183" w:firstLine="0"/>
        <w:jc w:val="both"/>
        <w:rPr>
          <w:rFonts w:ascii="Times New Roman" w:hAnsi="Times New Roman" w:cs="Times New Roman" w:eastAsia="Times New Roman" w:hint="default"/>
          <w:sz w:val="24"/>
          <w:szCs w:val="24"/>
        </w:rPr>
      </w:pPr>
      <w:r>
        <w:rPr>
          <w:rFonts w:ascii="Times New Roman" w:hAnsi="Times New Roman"/>
          <w:sz w:val="24"/>
        </w:rPr>
        <w:t>Одлуком о буџету града Ниша за 2014. годину није предвиђена претходна сагласност Градоначелника за ангажовање лица на обављању привремених и повремених послова преко омладинских</w:t>
      </w:r>
      <w:r>
        <w:rPr>
          <w:rFonts w:ascii="Times New Roman" w:hAnsi="Times New Roman"/>
          <w:spacing w:val="-14"/>
          <w:sz w:val="24"/>
        </w:rPr>
        <w:t> </w:t>
      </w:r>
      <w:r>
        <w:rPr>
          <w:rFonts w:ascii="Times New Roman" w:hAnsi="Times New Roman"/>
          <w:sz w:val="24"/>
        </w:rPr>
        <w:t>задруга.</w:t>
      </w:r>
    </w:p>
    <w:p>
      <w:pPr>
        <w:pStyle w:val="Heading2"/>
        <w:spacing w:line="237" w:lineRule="auto" w:before="7"/>
        <w:ind w:right="175"/>
        <w:jc w:val="both"/>
        <w:rPr>
          <w:rFonts w:ascii="Times New Roman" w:hAnsi="Times New Roman" w:cs="Times New Roman" w:eastAsia="Times New Roman" w:hint="default"/>
          <w:b w:val="0"/>
          <w:bCs w:val="0"/>
          <w:i w:val="0"/>
        </w:rPr>
      </w:pPr>
      <w:r>
        <w:rPr>
          <w:i/>
        </w:rPr>
        <w:t>Препоручује се одговорним лицима да обезбеде за сваки расход валидну документацију</w:t>
      </w:r>
      <w:r>
        <w:rPr>
          <w:rFonts w:ascii="Times New Roman" w:hAnsi="Times New Roman"/>
          <w:i/>
        </w:rPr>
        <w:t>, </w:t>
      </w:r>
      <w:r>
        <w:rPr>
          <w:i/>
        </w:rPr>
        <w:t>обезбеде правилну примену одредби Уредбе о буџетском рачуноводству и Правилника о стандардном класификационом оквиру и контном плану за буџетски систем</w:t>
      </w:r>
      <w:r>
        <w:rPr>
          <w:rFonts w:ascii="Times New Roman" w:hAnsi="Times New Roman"/>
          <w:b w:val="0"/>
          <w:i w:val="0"/>
        </w:rPr>
        <w:t>, </w:t>
      </w:r>
      <w:r>
        <w:rPr>
          <w:i/>
        </w:rPr>
        <w:t>као и одредби закључених</w:t>
      </w:r>
      <w:r>
        <w:rPr>
          <w:i/>
          <w:spacing w:val="-13"/>
        </w:rPr>
        <w:t> </w:t>
      </w:r>
      <w:r>
        <w:rPr>
          <w:i/>
        </w:rPr>
        <w:t>уговора</w:t>
      </w:r>
      <w:r>
        <w:rPr>
          <w:rFonts w:ascii="Times New Roman" w:hAnsi="Times New Roman"/>
          <w:i/>
        </w:rPr>
        <w:t>.</w:t>
      </w:r>
      <w:r>
        <w:rPr>
          <w:rFonts w:ascii="Times New Roman" w:hAnsi="Times New Roman"/>
          <w:b w:val="0"/>
          <w:i w:val="0"/>
        </w:rPr>
      </w:r>
    </w:p>
    <w:p>
      <w:pPr>
        <w:pStyle w:val="ListParagraph"/>
        <w:numPr>
          <w:ilvl w:val="0"/>
          <w:numId w:val="33"/>
        </w:numPr>
        <w:tabs>
          <w:tab w:pos="1010" w:val="left" w:leader="none"/>
        </w:tabs>
        <w:spacing w:line="240" w:lineRule="auto" w:before="137" w:after="0"/>
        <w:ind w:left="160" w:right="176"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 за дечију, социјалну и примарну здравствену заштиту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Исказано је извршење у износу од 2.444 хиљаде динара и то из буџета града у износу од 1.775 хиљада динара, из донација 474 хиљаде динара и из осталих извора у износу од 195 хиљада динара. Исказани расход се односи на директног буџетског корисника у износу од 1.033 хиљаде динара  и индиректне буџетске кориснике Установа „Сигурна кућа“ у износу  </w:t>
      </w:r>
      <w:r>
        <w:rPr>
          <w:rFonts w:ascii="Times New Roman" w:hAnsi="Times New Roman" w:cs="Times New Roman" w:eastAsia="Times New Roman" w:hint="default"/>
          <w:spacing w:val="32"/>
          <w:sz w:val="24"/>
          <w:szCs w:val="24"/>
        </w:rPr>
        <w:t> </w:t>
      </w:r>
      <w:r>
        <w:rPr>
          <w:rFonts w:ascii="Times New Roman" w:hAnsi="Times New Roman" w:cs="Times New Roman" w:eastAsia="Times New Roman" w:hint="default"/>
          <w:sz w:val="24"/>
          <w:szCs w:val="24"/>
        </w:rPr>
        <w:t>од</w:t>
      </w:r>
    </w:p>
    <w:p>
      <w:pPr>
        <w:pStyle w:val="BodyText"/>
        <w:spacing w:line="240" w:lineRule="auto"/>
        <w:ind w:right="0"/>
        <w:jc w:val="both"/>
      </w:pPr>
      <w:r>
        <w:rPr/>
        <w:t>1.129 хиљада динара и Центар „Мара“ у износу од 282 хиљаде</w:t>
      </w:r>
      <w:r>
        <w:rPr>
          <w:spacing w:val="-13"/>
        </w:rPr>
        <w:t> </w:t>
      </w:r>
      <w:r>
        <w:rPr/>
        <w:t>динара.</w:t>
      </w:r>
    </w:p>
    <w:p>
      <w:pPr>
        <w:pStyle w:val="BodyText"/>
        <w:spacing w:line="240" w:lineRule="auto"/>
        <w:ind w:right="173"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Накнаде члановима управних, надзорних одбора и комисија, субаналитички конто </w:t>
      </w:r>
      <w:r>
        <w:rPr/>
      </w:r>
      <w:r>
        <w:rPr/>
      </w:r>
      <w:r>
        <w:rPr>
          <w:rFonts w:ascii="Times New Roman" w:hAnsi="Times New Roman" w:cs="Times New Roman" w:eastAsia="Times New Roman" w:hint="default"/>
        </w:rPr>
      </w:r>
      <w:r>
        <w:rPr>
          <w:rFonts w:ascii="Times New Roman" w:hAnsi="Times New Roman" w:cs="Times New Roman" w:eastAsia="Times New Roman" w:hint="default"/>
          <w:u w:val="single" w:color="000000"/>
        </w:rPr>
        <w:t>423591 </w:t>
      </w:r>
      <w:r>
        <w:rPr>
          <w:rFonts w:ascii="Times New Roman" w:hAnsi="Times New Roman" w:cs="Times New Roman" w:eastAsia="Times New Roman" w:hint="default"/>
        </w:rPr>
      </w:r>
      <w:r>
        <w:rPr/>
        <w:t>– Исказан је расход у износу од 1.030 хиљада динара, на име накнаде члановима лекарске комисије за преглед деце ометене у развоју. Исплата је извршена на основу Решења о образовању комисије за преглед деце ометене у развоју број 2192/2005</w:t>
      </w:r>
      <w:r>
        <w:rPr>
          <w:rFonts w:ascii="Times New Roman" w:hAnsi="Times New Roman" w:cs="Times New Roman" w:eastAsia="Times New Roman" w:hint="default"/>
        </w:rPr>
        <w:t>-</w:t>
      </w:r>
      <w:r>
        <w:rPr/>
        <w:t>01 од </w:t>
      </w:r>
      <w:r>
        <w:rPr>
          <w:rFonts w:ascii="Times New Roman" w:hAnsi="Times New Roman" w:cs="Times New Roman" w:eastAsia="Times New Roman" w:hint="default"/>
        </w:rPr>
        <w:t>02.12.2005</w:t>
      </w:r>
      <w:r>
        <w:rPr/>
        <w:t>. године, којим је утврђен износ нето накнаде за рад члановима Комисије у апсолутном износу од 200</w:t>
      </w:r>
      <w:r>
        <w:rPr>
          <w:rFonts w:ascii="Times New Roman" w:hAnsi="Times New Roman" w:cs="Times New Roman" w:eastAsia="Times New Roman" w:hint="default"/>
        </w:rPr>
        <w:t>,00 </w:t>
      </w:r>
      <w:r>
        <w:rPr/>
        <w:t>динара по прегледаном детету сваком члану комисије који је учествовао у</w:t>
      </w:r>
      <w:r>
        <w:rPr>
          <w:spacing w:val="-8"/>
        </w:rPr>
        <w:t> </w:t>
      </w:r>
      <w:r>
        <w:rPr/>
        <w:t>раду.</w:t>
      </w:r>
    </w:p>
    <w:p>
      <w:pPr>
        <w:pStyle w:val="BodyText"/>
        <w:spacing w:line="240" w:lineRule="auto"/>
        <w:ind w:right="172" w:firstLine="566"/>
        <w:jc w:val="both"/>
      </w:pPr>
      <w:r>
        <w:rPr>
          <w:rFonts w:ascii="Times New Roman" w:hAnsi="Times New Roman"/>
          <w:b/>
        </w:rPr>
        <w:t>На основу ревизије узорковане документације утврђено је </w:t>
      </w:r>
      <w:r>
        <w:rPr/>
        <w:t>да је 2014. години донето Решење о образовању комисије за оцену степена психофизичке ометености детета број 07</w:t>
      </w:r>
      <w:r>
        <w:rPr>
          <w:rFonts w:ascii="Times New Roman" w:hAnsi="Times New Roman"/>
        </w:rPr>
        <w:t>-</w:t>
      </w:r>
      <w:r>
        <w:rPr/>
        <w:t>348/2014 од 07.02.2014. године, по коме је накнада за рад члановима комисије увећана на износ од 300,00 динара по прегледаном детету сваком члану комисије, што је супротно члану 17. Закона о буџету Републике Србије за 2014. годину. На основу наведеног решења није било исплата у 2014.</w:t>
      </w:r>
      <w:r>
        <w:rPr>
          <w:spacing w:val="-13"/>
        </w:rPr>
        <w:t> </w:t>
      </w:r>
      <w:r>
        <w:rPr/>
        <w:t>години.</w:t>
      </w:r>
    </w:p>
    <w:p>
      <w:pPr>
        <w:pStyle w:val="Heading2"/>
        <w:spacing w:line="240" w:lineRule="auto"/>
        <w:ind w:right="173"/>
        <w:jc w:val="both"/>
        <w:rPr>
          <w:b w:val="0"/>
          <w:bCs w:val="0"/>
          <w:i w:val="0"/>
        </w:rPr>
      </w:pPr>
      <w:r>
        <w:rPr>
          <w:i/>
        </w:rPr>
        <w:t>Препоручује се одговорним лицима да обезбеде правилну примену одредби Закона о буџету Републике</w:t>
      </w:r>
      <w:r>
        <w:rPr>
          <w:i/>
          <w:spacing w:val="-5"/>
        </w:rPr>
        <w:t> </w:t>
      </w:r>
      <w:r>
        <w:rPr>
          <w:i/>
        </w:rPr>
        <w:t>Србије.</w:t>
      </w:r>
      <w:r>
        <w:rPr>
          <w:b w:val="0"/>
          <w:i w:val="0"/>
        </w:rPr>
      </w:r>
    </w:p>
    <w:p>
      <w:pPr>
        <w:pStyle w:val="ListParagraph"/>
        <w:numPr>
          <w:ilvl w:val="0"/>
          <w:numId w:val="33"/>
        </w:numPr>
        <w:tabs>
          <w:tab w:pos="1049" w:val="left" w:leader="none"/>
        </w:tabs>
        <w:spacing w:line="240" w:lineRule="auto" w:before="134" w:after="0"/>
        <w:ind w:left="160" w:right="177"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 за образовање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Исказано је извршење у укупном износу од 6.612 хиљада динара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Исказани расход односи се на индиректне кориснике: ПУ „Пчелица“ у износу од 4.410 хиљада динара, Дечији центар у износу од 643 хиљаде динара и Регионални центар за професионални развој запослених у образовању у износу од 1.559 хиљада</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динара.</w:t>
      </w:r>
    </w:p>
    <w:p>
      <w:pPr>
        <w:pStyle w:val="BodyText"/>
        <w:spacing w:line="240" w:lineRule="auto"/>
        <w:ind w:right="172" w:firstLine="566"/>
        <w:jc w:val="both"/>
      </w:pPr>
      <w:r>
        <w:rPr>
          <w:rFonts w:ascii="Times New Roman" w:hAnsi="Times New Roman"/>
          <w:b/>
        </w:rPr>
        <w:t>6а) ПУ Пчелица </w:t>
      </w:r>
      <w:r>
        <w:rPr>
          <w:rFonts w:ascii="Times New Roman" w:hAnsi="Times New Roman"/>
          <w:b/>
        </w:rPr>
        <w:t>- </w:t>
      </w:r>
      <w:r>
        <w:rPr/>
        <w:t>Исказано је извршење у укупном износу од </w:t>
      </w:r>
      <w:r>
        <w:rPr>
          <w:rFonts w:ascii="Times New Roman" w:hAnsi="Times New Roman"/>
        </w:rPr>
        <w:t>4.410 </w:t>
      </w:r>
      <w:r>
        <w:rPr/>
        <w:t>хиљад</w:t>
      </w:r>
      <w:r>
        <w:rPr>
          <w:rFonts w:ascii="Times New Roman" w:hAnsi="Times New Roman"/>
        </w:rPr>
        <w:t>a </w:t>
      </w:r>
      <w:r>
        <w:rPr/>
        <w:t>динара и то на терет буџета Града у износу од </w:t>
      </w:r>
      <w:r>
        <w:rPr>
          <w:rFonts w:ascii="Times New Roman" w:hAnsi="Times New Roman"/>
        </w:rPr>
        <w:t>362 </w:t>
      </w:r>
      <w:r>
        <w:rPr/>
        <w:t>хиљад</w:t>
      </w:r>
      <w:r>
        <w:rPr>
          <w:rFonts w:ascii="Times New Roman" w:hAnsi="Times New Roman"/>
        </w:rPr>
        <w:t>e </w:t>
      </w:r>
      <w:r>
        <w:rPr/>
        <w:t>динара, из буџета Републике у износу од 1.196 хиљада динара и из осталих извора у износу од </w:t>
      </w:r>
      <w:r>
        <w:rPr>
          <w:rFonts w:ascii="Times New Roman" w:hAnsi="Times New Roman"/>
        </w:rPr>
        <w:t>2.852 </w:t>
      </w:r>
      <w:r>
        <w:rPr/>
        <w:t>хиљаде динара. Исказани су расходи за административне услуге у износу од </w:t>
      </w:r>
      <w:r>
        <w:rPr>
          <w:rFonts w:ascii="Times New Roman" w:hAnsi="Times New Roman"/>
        </w:rPr>
        <w:t>14 </w:t>
      </w:r>
      <w:r>
        <w:rPr/>
        <w:t>хиљада динара,  компјутерске услуге у износу од 105 хиљада динара, услуге образовања и усавршавања запослених у износу од 549 хиљада динара, услуге информисања у износу од 173 хиљаде динара, стручне услуге у износу од 79 хиљада динара, репрезентацију у износу од 405 хиљада динара и остале опште услуге у износу од 3.085 хиљада</w:t>
      </w:r>
      <w:r>
        <w:rPr>
          <w:spacing w:val="-15"/>
        </w:rPr>
        <w:t> </w:t>
      </w:r>
      <w:r>
        <w:rPr/>
        <w:t>динара.</w:t>
      </w:r>
    </w:p>
    <w:p>
      <w:pPr>
        <w:pStyle w:val="BodyText"/>
        <w:spacing w:line="240" w:lineRule="auto"/>
        <w:ind w:right="180"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Репрезентација, субаналитички конто 423711 </w:t>
      </w:r>
      <w:r>
        <w:rPr/>
      </w:r>
      <w:r>
        <w:rPr>
          <w:rFonts w:ascii="Times New Roman" w:hAnsi="Times New Roman" w:cs="Times New Roman" w:eastAsia="Times New Roman" w:hint="default"/>
          <w:i/>
        </w:rPr>
        <w:t>– </w:t>
      </w:r>
      <w:r>
        <w:rPr/>
        <w:t>Исказан је расход у износу од 405 хиљада динара из осталих</w:t>
      </w:r>
      <w:r>
        <w:rPr>
          <w:spacing w:val="-8"/>
        </w:rPr>
        <w:t> </w:t>
      </w:r>
      <w:r>
        <w:rPr/>
        <w:t>извора.</w:t>
      </w:r>
    </w:p>
    <w:p>
      <w:pPr>
        <w:spacing w:before="0"/>
        <w:ind w:left="160" w:right="176"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На основу ревизије узорковане документације утврђено је </w:t>
      </w:r>
      <w:r>
        <w:rPr>
          <w:rFonts w:ascii="Times New Roman" w:hAnsi="Times New Roman" w:cs="Times New Roman" w:eastAsia="Times New Roman" w:hint="default"/>
          <w:sz w:val="24"/>
          <w:szCs w:val="24"/>
        </w:rPr>
        <w:t>да је неправилно евидентиран расход у износу од 226 хиљада динара за лож уље уместо на групи 421000</w:t>
      </w:r>
      <w:r>
        <w:rPr>
          <w:rFonts w:ascii="Times New Roman" w:hAnsi="Times New Roman" w:cs="Times New Roman" w:eastAsia="Times New Roman" w:hint="default"/>
          <w:spacing w:val="48"/>
          <w:sz w:val="24"/>
          <w:szCs w:val="24"/>
        </w:rPr>
        <w:t> </w:t>
      </w:r>
      <w:r>
        <w:rPr>
          <w:rFonts w:ascii="Times New Roman" w:hAnsi="Times New Roman" w:cs="Times New Roman" w:eastAsia="Times New Roman" w:hint="default"/>
          <w:sz w:val="24"/>
          <w:szCs w:val="24"/>
        </w:rPr>
        <w:t>–</w:t>
      </w:r>
    </w:p>
    <w:p>
      <w:pPr>
        <w:spacing w:after="0"/>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86"/>
        <w:jc w:val="both"/>
      </w:pPr>
      <w:r>
        <w:rPr/>
        <w:t>стални трошкови, што је супротно члану 9. Уредбе о буџетском рачуноводству и Правилнику о стандардном класификационом оквиру и контном плану за буџетски систем.</w:t>
      </w:r>
    </w:p>
    <w:p>
      <w:pPr>
        <w:pStyle w:val="Heading2"/>
        <w:spacing w:line="240" w:lineRule="auto"/>
        <w:ind w:right="176"/>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класификационом оквиру и контном плану за буџетски</w:t>
      </w:r>
      <w:r>
        <w:rPr>
          <w:i/>
          <w:spacing w:val="-6"/>
        </w:rPr>
        <w:t> </w:t>
      </w:r>
      <w:r>
        <w:rPr>
          <w:i/>
        </w:rPr>
        <w:t>систем.</w:t>
      </w:r>
      <w:r>
        <w:rPr>
          <w:b w:val="0"/>
          <w:i w:val="0"/>
        </w:rPr>
      </w:r>
    </w:p>
    <w:p>
      <w:pPr>
        <w:pStyle w:val="BodyText"/>
        <w:spacing w:line="271" w:lineRule="exact"/>
        <w:ind w:left="726" w:right="141"/>
        <w:jc w:val="left"/>
      </w:pPr>
      <w:r>
        <w:rPr>
          <w:rFonts w:ascii="Times New Roman" w:hAnsi="Times New Roman"/>
        </w:rPr>
      </w:r>
      <w:r>
        <w:rPr>
          <w:rFonts w:ascii="Times New Roman" w:hAnsi="Times New Roman"/>
          <w:spacing w:val="-60"/>
          <w:u w:val="single" w:color="000000"/>
        </w:rPr>
        <w:t> </w:t>
      </w:r>
      <w:r>
        <w:rPr>
          <w:u w:val="single" w:color="000000"/>
        </w:rPr>
        <w:t>Остале опште услуге, субаналитички конто </w:t>
      </w:r>
      <w:r>
        <w:rPr>
          <w:rFonts w:ascii="Times New Roman" w:hAnsi="Times New Roman"/>
          <w:u w:val="single" w:color="000000"/>
        </w:rPr>
        <w:t>423911 </w:t>
      </w:r>
      <w:r>
        <w:rPr>
          <w:rFonts w:ascii="Times New Roman" w:hAnsi="Times New Roman"/>
        </w:rPr>
      </w:r>
      <w:r>
        <w:rPr>
          <w:rFonts w:ascii="Times New Roman" w:hAnsi="Times New Roman"/>
          <w:b/>
        </w:rPr>
        <w:t>- </w:t>
      </w:r>
      <w:r>
        <w:rPr/>
        <w:t>Исказан је расход у износу  </w:t>
      </w:r>
      <w:r>
        <w:rPr>
          <w:spacing w:val="29"/>
        </w:rPr>
        <w:t> </w:t>
      </w:r>
      <w:r>
        <w:rPr/>
        <w:t>од</w:t>
      </w:r>
    </w:p>
    <w:p>
      <w:pPr>
        <w:pStyle w:val="BodyText"/>
        <w:spacing w:line="240" w:lineRule="auto"/>
        <w:ind w:right="175"/>
        <w:jc w:val="both"/>
      </w:pPr>
      <w:r>
        <w:rPr>
          <w:rFonts w:ascii="Times New Roman" w:hAnsi="Times New Roman"/>
        </w:rPr>
        <w:t>3.085 </w:t>
      </w:r>
      <w:r>
        <w:rPr/>
        <w:t>хиљада динара и то на терет буџета града у износу од 362 хиљаде динара, из буџета Републике у износу од 736 хиљада динара и из сопствених средстава у износу од </w:t>
      </w:r>
      <w:r>
        <w:rPr>
          <w:rFonts w:ascii="Times New Roman" w:hAnsi="Times New Roman"/>
        </w:rPr>
        <w:t>1.987 </w:t>
      </w:r>
      <w:r>
        <w:rPr/>
        <w:t>хиљада</w:t>
      </w:r>
      <w:r>
        <w:rPr>
          <w:spacing w:val="-3"/>
        </w:rPr>
        <w:t> </w:t>
      </w:r>
      <w:r>
        <w:rPr/>
        <w:t>динара.</w:t>
      </w:r>
    </w:p>
    <w:p>
      <w:pPr>
        <w:pStyle w:val="BodyText"/>
        <w:spacing w:line="240" w:lineRule="auto"/>
        <w:ind w:left="726" w:right="141"/>
        <w:jc w:val="left"/>
        <w:rPr>
          <w:rFonts w:ascii="Times New Roman" w:hAnsi="Times New Roman" w:cs="Times New Roman" w:eastAsia="Times New Roman" w:hint="default"/>
        </w:rPr>
      </w:pPr>
      <w:r>
        <w:rPr/>
        <w:t>На основу ревизије узорковане документације нису утврђене</w:t>
      </w:r>
      <w:r>
        <w:rPr>
          <w:spacing w:val="-16"/>
        </w:rPr>
        <w:t> </w:t>
      </w:r>
      <w:r>
        <w:rPr/>
        <w:t>неправилности</w:t>
      </w:r>
      <w:r>
        <w:rPr>
          <w:rFonts w:ascii="Times New Roman" w:hAnsi="Times New Roman"/>
          <w:b/>
        </w:rPr>
        <w:t>.</w:t>
      </w:r>
      <w:r>
        <w:rPr>
          <w:rFonts w:ascii="Times New Roman" w:hAnsi="Times New Roman"/>
        </w:rPr>
      </w:r>
    </w:p>
    <w:p>
      <w:pPr>
        <w:pStyle w:val="ListParagraph"/>
        <w:numPr>
          <w:ilvl w:val="0"/>
          <w:numId w:val="33"/>
        </w:numPr>
        <w:tabs>
          <w:tab w:pos="1001" w:val="left" w:leader="none"/>
        </w:tabs>
        <w:spacing w:line="240" w:lineRule="auto" w:before="137" w:after="0"/>
        <w:ind w:left="160" w:right="172" w:firstLine="566"/>
        <w:jc w:val="both"/>
        <w:rPr>
          <w:rFonts w:ascii="Times New Roman" w:hAnsi="Times New Roman" w:cs="Times New Roman" w:eastAsia="Times New Roman" w:hint="default"/>
          <w:sz w:val="24"/>
          <w:szCs w:val="24"/>
        </w:rPr>
      </w:pPr>
      <w:r>
        <w:rPr>
          <w:rFonts w:ascii="Times New Roman" w:hAnsi="Times New Roman"/>
          <w:b/>
          <w:sz w:val="24"/>
        </w:rPr>
        <w:t>Управа за културу </w:t>
      </w:r>
      <w:r>
        <w:rPr>
          <w:rFonts w:ascii="Times New Roman" w:hAnsi="Times New Roman"/>
          <w:b/>
          <w:sz w:val="24"/>
        </w:rPr>
        <w:t>- </w:t>
      </w:r>
      <w:r>
        <w:rPr>
          <w:rFonts w:ascii="Times New Roman" w:hAnsi="Times New Roman"/>
          <w:sz w:val="24"/>
        </w:rPr>
        <w:t>Исказано је извршење у укупном износу од 40.646 хиљада динара и то из буџета града у износу од 33.890 хиљада динара и из осталих извора у износу од 6.756 хиљада динара. Исказани расход односи се на директног корисника у износу од 7.449 хиљада динара и на индиректне буџетске кориснике и то: Нишки културни центар у износу од </w:t>
      </w:r>
      <w:r>
        <w:rPr>
          <w:rFonts w:ascii="Times New Roman" w:hAnsi="Times New Roman"/>
          <w:sz w:val="24"/>
        </w:rPr>
        <w:t>21.598 </w:t>
      </w:r>
      <w:r>
        <w:rPr>
          <w:rFonts w:ascii="Times New Roman" w:hAnsi="Times New Roman"/>
          <w:sz w:val="24"/>
        </w:rPr>
        <w:t>хиљада динара, Галерију савремене ликовне уметности у износу од </w:t>
      </w:r>
      <w:r>
        <w:rPr>
          <w:rFonts w:ascii="Times New Roman" w:hAnsi="Times New Roman"/>
          <w:sz w:val="24"/>
        </w:rPr>
        <w:t>1.236 </w:t>
      </w:r>
      <w:r>
        <w:rPr>
          <w:rFonts w:ascii="Times New Roman" w:hAnsi="Times New Roman"/>
          <w:sz w:val="24"/>
        </w:rPr>
        <w:t>хиљада динара, Историјски архив у износу од </w:t>
      </w:r>
      <w:r>
        <w:rPr>
          <w:rFonts w:ascii="Times New Roman" w:hAnsi="Times New Roman"/>
          <w:sz w:val="24"/>
        </w:rPr>
        <w:t>337 </w:t>
      </w:r>
      <w:r>
        <w:rPr>
          <w:rFonts w:ascii="Times New Roman" w:hAnsi="Times New Roman"/>
          <w:sz w:val="24"/>
        </w:rPr>
        <w:t>хиљада динара, Народну библиотеку у износу од 796 хиљада динара, Народно позориште у износу од </w:t>
      </w:r>
      <w:r>
        <w:rPr>
          <w:rFonts w:ascii="Times New Roman" w:hAnsi="Times New Roman"/>
          <w:sz w:val="24"/>
        </w:rPr>
        <w:t>2.674 </w:t>
      </w:r>
      <w:r>
        <w:rPr>
          <w:rFonts w:ascii="Times New Roman" w:hAnsi="Times New Roman"/>
          <w:sz w:val="24"/>
        </w:rPr>
        <w:t>хиљаде динара, Позориште лутака у износу од </w:t>
      </w:r>
      <w:r>
        <w:rPr>
          <w:rFonts w:ascii="Times New Roman" w:hAnsi="Times New Roman"/>
          <w:sz w:val="24"/>
        </w:rPr>
        <w:t>3.096 </w:t>
      </w:r>
      <w:r>
        <w:rPr>
          <w:rFonts w:ascii="Times New Roman" w:hAnsi="Times New Roman"/>
          <w:sz w:val="24"/>
        </w:rPr>
        <w:t>хиљада динара, Нишки симфонијски оркестар у износу од 1.</w:t>
      </w:r>
      <w:r>
        <w:rPr>
          <w:rFonts w:ascii="Times New Roman" w:hAnsi="Times New Roman"/>
          <w:sz w:val="24"/>
        </w:rPr>
        <w:t>503 </w:t>
      </w:r>
      <w:r>
        <w:rPr>
          <w:rFonts w:ascii="Times New Roman" w:hAnsi="Times New Roman"/>
          <w:sz w:val="24"/>
        </w:rPr>
        <w:t>хиљаде динара, Народни музеј у износу од 2.</w:t>
      </w:r>
      <w:r>
        <w:rPr>
          <w:rFonts w:ascii="Times New Roman" w:hAnsi="Times New Roman"/>
          <w:sz w:val="24"/>
        </w:rPr>
        <w:t>315 </w:t>
      </w:r>
      <w:r>
        <w:rPr>
          <w:rFonts w:ascii="Times New Roman" w:hAnsi="Times New Roman"/>
          <w:sz w:val="24"/>
        </w:rPr>
        <w:t>хиљада динара и Завод за заштиту споменика културе у износу од </w:t>
      </w:r>
      <w:r>
        <w:rPr>
          <w:rFonts w:ascii="Times New Roman" w:hAnsi="Times New Roman"/>
          <w:sz w:val="24"/>
        </w:rPr>
        <w:t>1.074 </w:t>
      </w:r>
      <w:r>
        <w:rPr>
          <w:rFonts w:ascii="Times New Roman" w:hAnsi="Times New Roman"/>
          <w:sz w:val="24"/>
        </w:rPr>
        <w:t>хиљаде динара.</w:t>
      </w:r>
    </w:p>
    <w:p>
      <w:pPr>
        <w:pStyle w:val="BodyText"/>
        <w:spacing w:line="240" w:lineRule="auto"/>
        <w:ind w:right="176" w:firstLine="566"/>
        <w:jc w:val="both"/>
      </w:pPr>
      <w:r>
        <w:rPr>
          <w:rFonts w:ascii="Times New Roman" w:hAnsi="Times New Roman" w:cs="Times New Roman" w:eastAsia="Times New Roman" w:hint="default"/>
          <w:b/>
          <w:bCs/>
        </w:rPr>
        <w:t>На основу ревизије узорковане документације утврђено је </w:t>
      </w:r>
      <w:r>
        <w:rPr/>
        <w:t>да је Управа за културу у Извештају о извршењу буџета </w:t>
      </w:r>
      <w:r>
        <w:rPr>
          <w:rFonts w:ascii="Times New Roman" w:hAnsi="Times New Roman" w:cs="Times New Roman" w:eastAsia="Times New Roman" w:hint="default"/>
        </w:rPr>
        <w:t>- </w:t>
      </w:r>
      <w:r>
        <w:rPr/>
        <w:t>Обрасцу 5, исказала расход на групи конта </w:t>
      </w:r>
      <w:r>
        <w:rPr>
          <w:rFonts w:ascii="Times New Roman" w:hAnsi="Times New Roman" w:cs="Times New Roman" w:eastAsia="Times New Roman" w:hint="default"/>
        </w:rPr>
        <w:t>423000 </w:t>
      </w:r>
      <w:r>
        <w:rPr/>
        <w:t>– услуге по уговору у износу мањем за </w:t>
      </w:r>
      <w:r>
        <w:rPr>
          <w:rFonts w:ascii="Times New Roman" w:hAnsi="Times New Roman" w:cs="Times New Roman" w:eastAsia="Times New Roman" w:hint="default"/>
        </w:rPr>
        <w:t>1.432 </w:t>
      </w:r>
      <w:r>
        <w:rPr/>
        <w:t>хиљаде динара, што је супротно Правилнику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осигурања и буџетских</w:t>
      </w:r>
      <w:r>
        <w:rPr>
          <w:spacing w:val="-9"/>
        </w:rPr>
        <w:t> </w:t>
      </w:r>
      <w:r>
        <w:rPr/>
        <w:t>фондова.</w:t>
      </w:r>
    </w:p>
    <w:p>
      <w:pPr>
        <w:pStyle w:val="Heading2"/>
        <w:spacing w:line="240" w:lineRule="auto"/>
        <w:ind w:right="179"/>
        <w:jc w:val="both"/>
        <w:rPr>
          <w:b w:val="0"/>
          <w:bCs w:val="0"/>
          <w:i w:val="0"/>
        </w:rPr>
      </w:pPr>
      <w:r>
        <w:rPr>
          <w:i/>
        </w:rPr>
        <w:t>Препоручује се одговорним лицима да обезбеде правилну примену одредби Правилника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буџетских</w:t>
      </w:r>
      <w:r>
        <w:rPr>
          <w:i/>
          <w:spacing w:val="-11"/>
        </w:rPr>
        <w:t> </w:t>
      </w:r>
      <w:r>
        <w:rPr>
          <w:i/>
        </w:rPr>
        <w:t>фондова.</w:t>
      </w:r>
      <w:r>
        <w:rPr>
          <w:b w:val="0"/>
          <w:i w:val="0"/>
        </w:rPr>
      </w:r>
    </w:p>
    <w:p>
      <w:pPr>
        <w:pStyle w:val="BodyText"/>
        <w:spacing w:line="240" w:lineRule="auto"/>
        <w:ind w:right="175"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Услуге информисања јавности, субаналитички конто 423421 </w:t>
      </w:r>
      <w:r>
        <w:rPr/>
        <w:t>– Исказан је расход у </w:t>
      </w:r>
      <w:r>
        <w:rPr/>
        <w:t>износу од 5.400 хиљада динара на основу Уговора о набавци услуге јавног информисања од значаја за Град у дневним штампаним медијима број 2764/2013</w:t>
      </w:r>
      <w:r>
        <w:rPr>
          <w:rFonts w:ascii="Times New Roman" w:hAnsi="Times New Roman" w:cs="Times New Roman" w:eastAsia="Times New Roman" w:hint="default"/>
        </w:rPr>
        <w:t>-</w:t>
      </w:r>
      <w:r>
        <w:rPr/>
        <w:t>01 од 31.07.2013. године, који је Градоначелник града Ниша закључио са „Народне новине“ доо Ниш, након спроведеног отвореног поступка јавне набавке у 2013.</w:t>
      </w:r>
      <w:r>
        <w:rPr>
          <w:spacing w:val="-20"/>
        </w:rPr>
        <w:t> </w:t>
      </w:r>
      <w:r>
        <w:rPr/>
        <w:t>години.</w:t>
      </w:r>
    </w:p>
    <w:p>
      <w:pPr>
        <w:pStyle w:val="Heading1"/>
        <w:spacing w:line="275" w:lineRule="exact"/>
        <w:ind w:left="880"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Измирење новчаних обавеза по рачунима „Народне новине“ доо Ниш број 623/2013 од 04.12.2013. године и број 665/2013 од 23.12.2013. године за услуге информисања није вршено у року од 45 дана, што је супротно члану 4. Закона о роковима измирења новчаних обавеза у комерцијалним трансакцијама и члану 4. закљученог Уговора број </w:t>
      </w:r>
      <w:r>
        <w:rPr>
          <w:rFonts w:ascii="Times New Roman" w:hAnsi="Times New Roman" w:cs="Times New Roman" w:eastAsia="Times New Roman" w:hint="default"/>
          <w:sz w:val="24"/>
          <w:szCs w:val="24"/>
        </w:rPr>
        <w:t>2764/2013-</w:t>
      </w:r>
      <w:r>
        <w:rPr>
          <w:rFonts w:ascii="Times New Roman" w:hAnsi="Times New Roman" w:cs="Times New Roman" w:eastAsia="Times New Roman" w:hint="default"/>
          <w:sz w:val="24"/>
          <w:szCs w:val="24"/>
        </w:rPr>
        <w:t>01 од 31.07.2013.</w:t>
      </w:r>
      <w:r>
        <w:rPr>
          <w:rFonts w:ascii="Times New Roman" w:hAnsi="Times New Roman" w:cs="Times New Roman" w:eastAsia="Times New Roman" w:hint="default"/>
          <w:spacing w:val="-1"/>
          <w:sz w:val="24"/>
          <w:szCs w:val="24"/>
        </w:rPr>
        <w:t> </w:t>
      </w:r>
      <w:r>
        <w:rPr>
          <w:rFonts w:ascii="Times New Roman" w:hAnsi="Times New Roman" w:cs="Times New Roman" w:eastAsia="Times New Roman" w:hint="default"/>
          <w:sz w:val="24"/>
          <w:szCs w:val="24"/>
        </w:rPr>
        <w:t>године.</w:t>
      </w:r>
    </w:p>
    <w:p>
      <w:pPr>
        <w:pStyle w:val="ListParagraph"/>
        <w:numPr>
          <w:ilvl w:val="0"/>
          <w:numId w:val="9"/>
        </w:numPr>
        <w:tabs>
          <w:tab w:pos="303" w:val="left" w:leader="none"/>
        </w:tabs>
        <w:spacing w:line="237" w:lineRule="auto" w:before="4"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Извршен је расход у укупном износу од 5.400 хиљада динара на име услуге информисања без потписа одговорних лица за одобрење Управе за финансије, изворне приходе локалне самоуправе и јавне набавке на захтевима за плаћање Управе за </w:t>
      </w:r>
      <w:r>
        <w:rPr>
          <w:rFonts w:ascii="Times New Roman" w:hAnsi="Times New Roman"/>
          <w:spacing w:val="47"/>
          <w:sz w:val="24"/>
        </w:rPr>
        <w:t> </w:t>
      </w:r>
      <w:r>
        <w:rPr>
          <w:rFonts w:ascii="Times New Roman" w:hAnsi="Times New Roman"/>
          <w:sz w:val="24"/>
        </w:rPr>
        <w:t>културу</w:t>
      </w:r>
    </w:p>
    <w:p>
      <w:pPr>
        <w:spacing w:after="0" w:line="237"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4"/>
        <w:jc w:val="both"/>
      </w:pPr>
      <w:r>
        <w:rPr/>
        <w:t>број 22</w:t>
      </w:r>
      <w:r>
        <w:rPr>
          <w:rFonts w:ascii="Times New Roman" w:hAnsi="Times New Roman"/>
        </w:rPr>
        <w:t>-1/2014-</w:t>
      </w:r>
      <w:r>
        <w:rPr/>
        <w:t>18 од 10.01.2014. године и број 116/2014</w:t>
      </w:r>
      <w:r>
        <w:rPr>
          <w:rFonts w:ascii="Times New Roman" w:hAnsi="Times New Roman"/>
        </w:rPr>
        <w:t>-</w:t>
      </w:r>
      <w:r>
        <w:rPr/>
        <w:t>18 од 22.01.2014. године и без извршене овере Извештаја о пруженим услугама и без потписа лица одговорног за насталу промену на рачунима број 623/2013 од 04.12.2013. године </w:t>
      </w:r>
      <w:r>
        <w:rPr>
          <w:spacing w:val="2"/>
        </w:rPr>
        <w:t>што </w:t>
      </w:r>
      <w:r>
        <w:rPr/>
        <w:t>је супротно </w:t>
      </w:r>
      <w:r>
        <w:rPr>
          <w:spacing w:val="1"/>
        </w:rPr>
        <w:t> </w:t>
      </w:r>
      <w:r>
        <w:rPr/>
        <w:t>члану</w:t>
      </w:r>
    </w:p>
    <w:p>
      <w:pPr>
        <w:pStyle w:val="BodyText"/>
        <w:spacing w:line="240" w:lineRule="auto"/>
        <w:ind w:right="0"/>
        <w:jc w:val="both"/>
      </w:pPr>
      <w:r>
        <w:rPr>
          <w:rFonts w:ascii="Times New Roman" w:hAnsi="Times New Roman"/>
        </w:rPr>
        <w:t>58</w:t>
      </w:r>
      <w:r>
        <w:rPr/>
        <w:t>. Закона о буџетском систему и члану 16. Уредбе о буџетском</w:t>
      </w:r>
      <w:r>
        <w:rPr>
          <w:spacing w:val="-20"/>
        </w:rPr>
        <w:t> </w:t>
      </w:r>
      <w:r>
        <w:rPr/>
        <w:t>рачуноводству.</w:t>
      </w:r>
    </w:p>
    <w:p>
      <w:pPr>
        <w:pStyle w:val="Heading2"/>
        <w:spacing w:line="240" w:lineRule="auto"/>
        <w:ind w:right="176"/>
        <w:jc w:val="both"/>
        <w:rPr>
          <w:rFonts w:ascii="Times New Roman" w:hAnsi="Times New Roman" w:cs="Times New Roman" w:eastAsia="Times New Roman" w:hint="default"/>
          <w:b w:val="0"/>
          <w:bCs w:val="0"/>
          <w:i w:val="0"/>
        </w:rPr>
      </w:pPr>
      <w:r>
        <w:rPr>
          <w:i/>
        </w:rPr>
        <w:t>Препоручује се одговорним лицима да обавезе измирују у законском року и обезбеде за сваки расход из буџета валидну</w:t>
      </w:r>
      <w:r>
        <w:rPr>
          <w:i/>
          <w:spacing w:val="-12"/>
        </w:rPr>
        <w:t> </w:t>
      </w:r>
      <w:r>
        <w:rPr>
          <w:i/>
        </w:rPr>
        <w:t>документацију</w:t>
      </w:r>
      <w:r>
        <w:rPr>
          <w:rFonts w:ascii="Times New Roman" w:hAnsi="Times New Roman"/>
          <w:i/>
        </w:rPr>
        <w:t>.</w:t>
      </w:r>
      <w:r>
        <w:rPr>
          <w:rFonts w:ascii="Times New Roman" w:hAnsi="Times New Roman"/>
          <w:b w:val="0"/>
          <w:i w:val="0"/>
        </w:rPr>
      </w:r>
    </w:p>
    <w:p>
      <w:pPr>
        <w:pStyle w:val="BodyText"/>
        <w:spacing w:line="240" w:lineRule="auto"/>
        <w:ind w:right="174"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Остале медијске услуге, субаналитички конто 423449 </w:t>
      </w:r>
      <w:r>
        <w:rPr/>
        <w:t>– Исказан је расход у износу </w:t>
      </w:r>
      <w:r>
        <w:rPr/>
        <w:t>од 2.049 хиљада</w:t>
      </w:r>
      <w:r>
        <w:rPr>
          <w:spacing w:val="-2"/>
        </w:rPr>
        <w:t> </w:t>
      </w:r>
      <w:r>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Рачуни за услуге информисања нису евидентирани у пословним књигама истог дана, односно најкасније наредног дана, што је супротно члану 16. Уредбе о буџетском рачуноводству.</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Извршен је расход у укупном износу од 1.440 хиљада динара на име услуге информисања без потписа одговорних лица Управе за финансије на захтевима за плаћање број 3517</w:t>
      </w:r>
      <w:r>
        <w:rPr>
          <w:rFonts w:ascii="Times New Roman" w:hAnsi="Times New Roman"/>
          <w:sz w:val="24"/>
        </w:rPr>
        <w:t>-2/2014-</w:t>
      </w:r>
      <w:r>
        <w:rPr>
          <w:rFonts w:ascii="Times New Roman" w:hAnsi="Times New Roman"/>
          <w:sz w:val="24"/>
        </w:rPr>
        <w:t>18 и 3547</w:t>
      </w:r>
      <w:r>
        <w:rPr>
          <w:rFonts w:ascii="Times New Roman" w:hAnsi="Times New Roman"/>
          <w:sz w:val="24"/>
        </w:rPr>
        <w:t>-2/2014-</w:t>
      </w:r>
      <w:r>
        <w:rPr>
          <w:rFonts w:ascii="Times New Roman" w:hAnsi="Times New Roman"/>
          <w:sz w:val="24"/>
        </w:rPr>
        <w:t>18 од 17.12.2014. године поднетих од стране Управе за културу и без потписа од стране лица које је исправу контролисало и лица одговорног за насталу пословну промену, што је супротно члану 58. Закона о буџетском систему и члану 16. Уредбе о буџетском</w:t>
      </w:r>
      <w:r>
        <w:rPr>
          <w:rFonts w:ascii="Times New Roman" w:hAnsi="Times New Roman"/>
          <w:spacing w:val="-12"/>
          <w:sz w:val="24"/>
        </w:rPr>
        <w:t> </w:t>
      </w:r>
      <w:r>
        <w:rPr>
          <w:rFonts w:ascii="Times New Roman" w:hAnsi="Times New Roman"/>
          <w:sz w:val="24"/>
        </w:rPr>
        <w:t>рачуноводству.</w:t>
      </w:r>
    </w:p>
    <w:p>
      <w:pPr>
        <w:pStyle w:val="BodyText"/>
        <w:spacing w:line="240" w:lineRule="auto" w:before="2"/>
        <w:ind w:right="174"/>
        <w:jc w:val="both"/>
      </w:pPr>
      <w:r>
        <w:rPr>
          <w:rFonts w:ascii="Symbol" w:hAnsi="Symbol" w:cs="Symbol" w:eastAsia="Symbol" w:hint="default"/>
        </w:rPr>
        <w:t></w:t>
      </w:r>
      <w:r>
        <w:rPr>
          <w:rFonts w:ascii="Times New Roman" w:hAnsi="Times New Roman" w:cs="Times New Roman" w:eastAsia="Times New Roman" w:hint="default"/>
        </w:rPr>
        <w:t> </w:t>
      </w:r>
      <w:r>
        <w:rPr/>
        <w:t>Рачуни број 446/2014 од 01.12.2014. године и број КЦН 1411/30</w:t>
      </w:r>
      <w:r>
        <w:rPr>
          <w:rFonts w:ascii="Times New Roman" w:hAnsi="Times New Roman" w:cs="Times New Roman" w:eastAsia="Times New Roman" w:hint="default"/>
        </w:rPr>
        <w:t>-</w:t>
      </w:r>
      <w:r>
        <w:rPr/>
        <w:t>19 од 30.11.2014. године у износу од 598 хиљада динара за услугу информисања од јавног значаја за новембар 2014. године и пратећи Извештаји о пруженим услугама</w:t>
      </w:r>
      <w:r>
        <w:rPr>
          <w:rFonts w:ascii="Times New Roman" w:hAnsi="Times New Roman" w:cs="Times New Roman" w:eastAsia="Times New Roman" w:hint="default"/>
        </w:rPr>
        <w:t>, </w:t>
      </w:r>
      <w:r>
        <w:rPr/>
        <w:t>нису оверени потписима од стране лица које је исправу контролисало и лица одговорног за насталу пословну промену, што је супротно члану 58. Закона о буџетском систему, члану 16. Уредбе о буџетском рачуноводству и члану 4. закључених</w:t>
      </w:r>
      <w:r>
        <w:rPr>
          <w:spacing w:val="-11"/>
        </w:rPr>
        <w:t> </w:t>
      </w:r>
      <w:r>
        <w:rPr/>
        <w:t>Уговора.</w:t>
      </w:r>
    </w:p>
    <w:p>
      <w:pPr>
        <w:pStyle w:val="Heading2"/>
        <w:spacing w:line="240" w:lineRule="auto"/>
        <w:ind w:right="178" w:firstLine="578"/>
        <w:jc w:val="both"/>
        <w:rPr>
          <w:b w:val="0"/>
          <w:bCs w:val="0"/>
          <w:i w:val="0"/>
        </w:rPr>
      </w:pPr>
      <w:r>
        <w:rPr>
          <w:i/>
        </w:rPr>
        <w:t>Препоручује се одговорним лицима да обавезе евидентирају у прописаном року, да обезбеде за сваки расход из буџета валидну документацију и да примењују одредбе закључених</w:t>
      </w:r>
      <w:r>
        <w:rPr>
          <w:i/>
          <w:spacing w:val="-5"/>
        </w:rPr>
        <w:t> </w:t>
      </w:r>
      <w:r>
        <w:rPr>
          <w:i/>
        </w:rPr>
        <w:t>уговора.</w:t>
      </w:r>
      <w:r>
        <w:rPr>
          <w:b w:val="0"/>
          <w:i w:val="0"/>
        </w:rPr>
      </w:r>
    </w:p>
    <w:p>
      <w:pPr>
        <w:pStyle w:val="BodyText"/>
        <w:spacing w:line="240" w:lineRule="auto"/>
        <w:ind w:right="171" w:firstLine="597"/>
        <w:jc w:val="both"/>
      </w:pPr>
      <w:r>
        <w:rPr>
          <w:rFonts w:ascii="Times New Roman" w:hAnsi="Times New Roman" w:cs="Times New Roman" w:eastAsia="Times New Roman" w:hint="default"/>
          <w:b/>
          <w:bCs/>
        </w:rPr>
        <w:t>7а) Нишки културни центар </w:t>
      </w:r>
      <w:r>
        <w:rPr/>
        <w:t>– Исказано је извршење у укупном износу од 21.598 хиљада динара и то на терет буџета града у износу од 19.481 хиљаде динара, из средстава организација обавезног социјалног осигурања у износу од 200 хиљада динара, из средстава донација у износу од 304 хиљаде динара и из осталих извора средстава  у износу од </w:t>
      </w:r>
      <w:r>
        <w:rPr>
          <w:rFonts w:ascii="Times New Roman" w:hAnsi="Times New Roman" w:cs="Times New Roman" w:eastAsia="Times New Roman" w:hint="default"/>
        </w:rPr>
        <w:t>1.613 </w:t>
      </w:r>
      <w:r>
        <w:rPr/>
        <w:t>хиљада</w:t>
      </w:r>
      <w:r>
        <w:rPr>
          <w:spacing w:val="-7"/>
        </w:rPr>
        <w:t> </w:t>
      </w:r>
      <w:r>
        <w:rPr/>
        <w:t>динара.</w:t>
      </w:r>
    </w:p>
    <w:p>
      <w:pPr>
        <w:pStyle w:val="BodyText"/>
        <w:spacing w:line="240" w:lineRule="auto"/>
        <w:ind w:right="172" w:firstLine="566"/>
        <w:jc w:val="both"/>
      </w:pPr>
      <w:r>
        <w:rPr>
          <w:rFonts w:ascii="Times New Roman" w:hAnsi="Times New Roman"/>
        </w:rPr>
      </w:r>
      <w:r>
        <w:rPr>
          <w:rFonts w:ascii="Times New Roman" w:hAnsi="Times New Roman"/>
          <w:spacing w:val="-60"/>
          <w:u w:val="single" w:color="000000"/>
        </w:rPr>
        <w:t> </w:t>
      </w:r>
      <w:r>
        <w:rPr>
          <w:u w:val="single" w:color="000000"/>
        </w:rPr>
        <w:t>Услуге штампања публикација, субаналитички конто 423413 </w:t>
      </w:r>
      <w:r>
        <w:rPr/>
      </w:r>
      <w:r>
        <w:rPr>
          <w:rFonts w:ascii="Times New Roman" w:hAnsi="Times New Roman"/>
        </w:rPr>
        <w:t>- </w:t>
      </w:r>
      <w:r>
        <w:rPr/>
        <w:t>Исказан је расход у износу од 2.818 хиљада</w:t>
      </w:r>
      <w:r>
        <w:rPr>
          <w:spacing w:val="-8"/>
        </w:rPr>
        <w:t> </w:t>
      </w:r>
      <w:r>
        <w:rPr/>
        <w:t>динара.</w:t>
      </w:r>
    </w:p>
    <w:p>
      <w:pPr>
        <w:pStyle w:val="BodyText"/>
        <w:spacing w:line="240" w:lineRule="auto"/>
        <w:ind w:left="726" w:right="141"/>
        <w:jc w:val="left"/>
        <w:rPr>
          <w:rFonts w:ascii="Times New Roman" w:hAnsi="Times New Roman" w:cs="Times New Roman" w:eastAsia="Times New Roman" w:hint="default"/>
        </w:rPr>
      </w:pPr>
      <w:r>
        <w:rPr/>
        <w:t>На основу ревизије узорковане документације нису утврђене</w:t>
      </w:r>
      <w:r>
        <w:rPr>
          <w:spacing w:val="-16"/>
        </w:rPr>
        <w:t> </w:t>
      </w:r>
      <w:r>
        <w:rPr/>
        <w:t>неправилности</w:t>
      </w:r>
      <w:r>
        <w:rPr>
          <w:rFonts w:ascii="Times New Roman" w:hAnsi="Times New Roman"/>
          <w:i/>
        </w:rPr>
        <w:t>.</w:t>
      </w:r>
      <w:r>
        <w:rPr>
          <w:rFonts w:ascii="Times New Roman" w:hAnsi="Times New Roman"/>
        </w:rPr>
      </w:r>
    </w:p>
    <w:p>
      <w:pPr>
        <w:pStyle w:val="BodyText"/>
        <w:spacing w:line="240" w:lineRule="auto"/>
        <w:ind w:left="726" w:right="141"/>
        <w:jc w:val="left"/>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Угоститељске услуге, субаналитички конто 423621 </w:t>
      </w:r>
      <w:r>
        <w:rPr/>
        <w:t>– Исказан је расход у износу </w:t>
      </w:r>
      <w:r>
        <w:rPr>
          <w:spacing w:val="20"/>
        </w:rPr>
        <w:t> </w:t>
      </w:r>
      <w:r>
        <w:rPr/>
        <w:t>од</w:t>
      </w:r>
    </w:p>
    <w:p>
      <w:pPr>
        <w:pStyle w:val="BodyText"/>
        <w:spacing w:line="240" w:lineRule="auto"/>
        <w:ind w:right="0"/>
        <w:jc w:val="both"/>
      </w:pPr>
      <w:r>
        <w:rPr/>
        <w:t>7.250 хиљаде</w:t>
      </w:r>
      <w:r>
        <w:rPr>
          <w:spacing w:val="-3"/>
        </w:rPr>
        <w:t> </w:t>
      </w:r>
      <w:r>
        <w:rPr/>
        <w:t>динара.</w:t>
      </w:r>
    </w:p>
    <w:p>
      <w:pPr>
        <w:pStyle w:val="BodyText"/>
        <w:spacing w:line="240" w:lineRule="auto"/>
        <w:ind w:right="186" w:firstLine="566"/>
        <w:jc w:val="both"/>
      </w:pPr>
      <w:r>
        <w:rPr/>
        <w:t>Извршени су расходи на име угоститељских услуга за смештај учесника филмских сусрета у износу од 5.395 хиљада динара и</w:t>
      </w:r>
      <w:r>
        <w:rPr>
          <w:spacing w:val="-11"/>
        </w:rPr>
        <w:t> </w:t>
      </w:r>
      <w:r>
        <w:rPr/>
        <w:t>то:</w:t>
      </w:r>
    </w:p>
    <w:p>
      <w:pPr>
        <w:pStyle w:val="ListParagraph"/>
        <w:numPr>
          <w:ilvl w:val="0"/>
          <w:numId w:val="12"/>
        </w:numPr>
        <w:tabs>
          <w:tab w:pos="341"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износу од 527 хиљада динара по Уговору о пружању услуге смештаја број 962 од 21.08.2014. године и фактури број СВ</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15542 од 01.09.2014. године „The Regent Club“  Ниш</w:t>
      </w:r>
      <w:r>
        <w:rPr>
          <w:rFonts w:ascii="Times New Roman" w:hAnsi="Times New Roman" w:cs="Times New Roman" w:eastAsia="Times New Roman" w:hint="default"/>
          <w:spacing w:val="59"/>
          <w:sz w:val="24"/>
          <w:szCs w:val="24"/>
        </w:rPr>
        <w:t> </w:t>
      </w:r>
      <w:r>
        <w:rPr>
          <w:rFonts w:ascii="Times New Roman" w:hAnsi="Times New Roman" w:cs="Times New Roman" w:eastAsia="Times New Roman" w:hint="default"/>
          <w:sz w:val="24"/>
          <w:szCs w:val="24"/>
        </w:rPr>
        <w:t>;</w:t>
      </w:r>
    </w:p>
    <w:p>
      <w:pPr>
        <w:pStyle w:val="ListParagraph"/>
        <w:numPr>
          <w:ilvl w:val="0"/>
          <w:numId w:val="12"/>
        </w:numPr>
        <w:tabs>
          <w:tab w:pos="341" w:val="left" w:leader="none"/>
        </w:tabs>
        <w:spacing w:line="240" w:lineRule="auto" w:before="0" w:after="0"/>
        <w:ind w:left="160" w:right="17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износу од 354 хиљаде динара по Уговору о пружању услуге смештаја број 964 од 21.08.2014. године и по фактури „Tami trade“ доо огранак хотела „Tami residence“ Ниш број 2450/2014 од 30.08.2014.</w:t>
      </w:r>
      <w:r>
        <w:rPr>
          <w:rFonts w:ascii="Times New Roman" w:hAnsi="Times New Roman" w:cs="Times New Roman" w:eastAsia="Times New Roman" w:hint="default"/>
          <w:spacing w:val="-2"/>
          <w:sz w:val="24"/>
          <w:szCs w:val="24"/>
        </w:rPr>
        <w:t> </w:t>
      </w:r>
      <w:r>
        <w:rPr>
          <w:rFonts w:ascii="Times New Roman" w:hAnsi="Times New Roman" w:cs="Times New Roman" w:eastAsia="Times New Roman" w:hint="default"/>
          <w:sz w:val="24"/>
          <w:szCs w:val="24"/>
        </w:rPr>
        <w:t>године</w:t>
      </w:r>
      <w:r>
        <w:rPr>
          <w:rFonts w:ascii="Times New Roman" w:hAnsi="Times New Roman" w:cs="Times New Roman" w:eastAsia="Times New Roman" w:hint="default"/>
          <w:sz w:val="24"/>
          <w:szCs w:val="24"/>
        </w:rPr>
        <w:t>;</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ListParagraph"/>
        <w:numPr>
          <w:ilvl w:val="0"/>
          <w:numId w:val="12"/>
        </w:numPr>
        <w:tabs>
          <w:tab w:pos="329" w:val="left" w:leader="none"/>
        </w:tabs>
        <w:spacing w:line="240" w:lineRule="auto" w:before="122"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у износу од 1.089 хиљада динара по Уговору о пружању услуге смештаја број 697 од 02.07.2014. године и по фактури Дома ученика средњих школа Ниш број 75 од 14.07.2014. године за смештај у периоду од 03. до 08.07.2014.</w:t>
      </w:r>
      <w:r>
        <w:rPr>
          <w:rFonts w:ascii="Times New Roman" w:hAnsi="Times New Roman"/>
          <w:spacing w:val="-2"/>
          <w:sz w:val="24"/>
        </w:rPr>
        <w:t> </w:t>
      </w:r>
      <w:r>
        <w:rPr>
          <w:rFonts w:ascii="Times New Roman" w:hAnsi="Times New Roman"/>
          <w:sz w:val="24"/>
        </w:rPr>
        <w:t>године</w:t>
      </w:r>
      <w:r>
        <w:rPr>
          <w:rFonts w:ascii="Times New Roman" w:hAnsi="Times New Roman"/>
          <w:sz w:val="24"/>
        </w:rPr>
        <w:t>;</w:t>
      </w:r>
    </w:p>
    <w:p>
      <w:pPr>
        <w:pStyle w:val="ListParagraph"/>
        <w:numPr>
          <w:ilvl w:val="0"/>
          <w:numId w:val="12"/>
        </w:numPr>
        <w:tabs>
          <w:tab w:pos="341"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износу од </w:t>
      </w:r>
      <w:r>
        <w:rPr>
          <w:rFonts w:ascii="Times New Roman" w:hAnsi="Times New Roman" w:cs="Times New Roman" w:eastAsia="Times New Roman" w:hint="default"/>
          <w:sz w:val="24"/>
          <w:szCs w:val="24"/>
        </w:rPr>
        <w:t>917 </w:t>
      </w:r>
      <w:r>
        <w:rPr>
          <w:rFonts w:ascii="Times New Roman" w:hAnsi="Times New Roman" w:cs="Times New Roman" w:eastAsia="Times New Roman" w:hint="default"/>
          <w:sz w:val="24"/>
          <w:szCs w:val="24"/>
        </w:rPr>
        <w:t>хиљада динара по Уговору о пружању услуге смештаја број 966 од 21.08.2014. године и по фактури „Duo d доо Konak“ Ниш огранак Лебане број 12/170 од 02.09.2014. године, за смештај гостију у периоду од 22.08. до 30.08.2014. године за манифестацију Филмски</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сусрети</w:t>
      </w:r>
    </w:p>
    <w:p>
      <w:pPr>
        <w:pStyle w:val="ListParagraph"/>
        <w:numPr>
          <w:ilvl w:val="0"/>
          <w:numId w:val="12"/>
        </w:numPr>
        <w:tabs>
          <w:tab w:pos="317" w:val="left" w:leader="none"/>
        </w:tabs>
        <w:spacing w:line="240" w:lineRule="auto" w:before="0" w:after="0"/>
        <w:ind w:left="160" w:right="17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износу од 2.246 хиљада динара по Уговору о пружању услуге смештаја број 692/1 од 01.07.2014. године и фактурама </w:t>
      </w:r>
      <w:r>
        <w:rPr>
          <w:rFonts w:ascii="Times New Roman" w:hAnsi="Times New Roman" w:cs="Times New Roman" w:eastAsia="Times New Roman" w:hint="default"/>
          <w:spacing w:val="2"/>
          <w:sz w:val="24"/>
          <w:szCs w:val="24"/>
        </w:rPr>
        <w:t>„My </w:t>
      </w:r>
      <w:r>
        <w:rPr>
          <w:rFonts w:ascii="Times New Roman" w:hAnsi="Times New Roman" w:cs="Times New Roman" w:eastAsia="Times New Roman" w:hint="default"/>
          <w:sz w:val="24"/>
          <w:szCs w:val="24"/>
        </w:rPr>
        <w:t>place Process“  доо огранак „My place </w:t>
      </w:r>
      <w:r>
        <w:rPr>
          <w:rFonts w:ascii="Times New Roman" w:hAnsi="Times New Roman" w:cs="Times New Roman" w:eastAsia="Times New Roman" w:hint="default"/>
          <w:sz w:val="24"/>
          <w:szCs w:val="24"/>
        </w:rPr>
        <w:t>f</w:t>
      </w:r>
      <w:r>
        <w:rPr>
          <w:rFonts w:ascii="Times New Roman" w:hAnsi="Times New Roman" w:cs="Times New Roman" w:eastAsia="Times New Roman" w:hint="default"/>
          <w:sz w:val="24"/>
          <w:szCs w:val="24"/>
        </w:rPr>
        <w:t>or</w:t>
      </w:r>
      <w:r>
        <w:rPr>
          <w:rFonts w:ascii="Times New Roman" w:hAnsi="Times New Roman" w:cs="Times New Roman" w:eastAsia="Times New Roman" w:hint="default"/>
          <w:spacing w:val="-25"/>
          <w:sz w:val="24"/>
          <w:szCs w:val="24"/>
        </w:rPr>
        <w:t> </w:t>
      </w:r>
      <w:r>
        <w:rPr>
          <w:rFonts w:ascii="Times New Roman" w:hAnsi="Times New Roman" w:cs="Times New Roman" w:eastAsia="Times New Roman" w:hint="default"/>
          <w:sz w:val="24"/>
          <w:szCs w:val="24"/>
        </w:rPr>
        <w:t>Holiday“</w:t>
      </w:r>
      <w:r>
        <w:rPr>
          <w:rFonts w:ascii="Times New Roman" w:hAnsi="Times New Roman" w:cs="Times New Roman" w:eastAsia="Times New Roman" w:hint="default"/>
          <w:sz w:val="24"/>
          <w:szCs w:val="24"/>
        </w:rPr>
        <w:t>;</w:t>
      </w:r>
    </w:p>
    <w:p>
      <w:pPr>
        <w:pStyle w:val="ListParagraph"/>
        <w:numPr>
          <w:ilvl w:val="0"/>
          <w:numId w:val="12"/>
        </w:numPr>
        <w:tabs>
          <w:tab w:pos="303" w:val="left" w:leader="none"/>
        </w:tabs>
        <w:spacing w:line="240" w:lineRule="auto" w:before="0" w:after="0"/>
        <w:ind w:left="160" w:right="18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износу од 158 хиљада динара по Уговору о пружању услуга смештаја број 698/1 од 02.07.2014. године и фактурама „Gl vinoteka“ доо огранак „Гарни хотел“</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Ниш</w:t>
      </w:r>
      <w:r>
        <w:rPr>
          <w:rFonts w:ascii="Times New Roman" w:hAnsi="Times New Roman" w:cs="Times New Roman" w:eastAsia="Times New Roman" w:hint="default"/>
          <w:sz w:val="24"/>
          <w:szCs w:val="24"/>
        </w:rPr>
        <w:t>;</w:t>
      </w:r>
    </w:p>
    <w:p>
      <w:pPr>
        <w:pStyle w:val="ListParagraph"/>
        <w:numPr>
          <w:ilvl w:val="0"/>
          <w:numId w:val="12"/>
        </w:numPr>
        <w:tabs>
          <w:tab w:pos="303" w:val="left" w:leader="none"/>
        </w:tabs>
        <w:spacing w:line="240" w:lineRule="auto" w:before="0"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у износу од 55 хиљада динара по Уговору о пружању услуге смештаја број 697/1 од 02.07.2014. године закљученом са Регионални центар за професионални развој запослених у образовању</w:t>
      </w:r>
      <w:r>
        <w:rPr>
          <w:rFonts w:ascii="Times New Roman" w:hAnsi="Times New Roman"/>
          <w:spacing w:val="-8"/>
          <w:sz w:val="24"/>
        </w:rPr>
        <w:t> </w:t>
      </w:r>
      <w:r>
        <w:rPr>
          <w:rFonts w:ascii="Times New Roman" w:hAnsi="Times New Roman"/>
          <w:sz w:val="24"/>
        </w:rPr>
        <w:t>Ниш</w:t>
      </w:r>
      <w:r>
        <w:rPr>
          <w:rFonts w:ascii="Times New Roman" w:hAnsi="Times New Roman"/>
          <w:sz w:val="24"/>
        </w:rPr>
        <w:t>;</w:t>
      </w:r>
    </w:p>
    <w:p>
      <w:pPr>
        <w:pStyle w:val="ListParagraph"/>
        <w:numPr>
          <w:ilvl w:val="0"/>
          <w:numId w:val="12"/>
        </w:numPr>
        <w:tabs>
          <w:tab w:pos="303" w:val="left" w:leader="none"/>
        </w:tabs>
        <w:spacing w:line="240" w:lineRule="auto" w:before="0" w:after="0"/>
        <w:ind w:left="160" w:right="18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износу од 49 хиљада динара по Уговору о пружању услуге смештаја број 968 од 21.08.2014. године закљученом са „Ленс“ доо хотел „Александар“</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Ниш.</w:t>
      </w:r>
    </w:p>
    <w:p>
      <w:pPr>
        <w:pStyle w:val="BodyText"/>
        <w:spacing w:line="240" w:lineRule="auto"/>
        <w:ind w:right="176" w:firstLine="566"/>
        <w:jc w:val="both"/>
        <w:rPr>
          <w:rFonts w:ascii="Times New Roman" w:hAnsi="Times New Roman" w:cs="Times New Roman" w:eastAsia="Times New Roman" w:hint="default"/>
        </w:rPr>
      </w:pPr>
      <w:r>
        <w:rPr/>
        <w:t>Планом јавних набавки број 158 од 10.02.2014. године предвиђена је јавна набавка у отвореном поступку</w:t>
      </w:r>
      <w:r>
        <w:rPr>
          <w:rFonts w:ascii="Times New Roman" w:hAnsi="Times New Roman" w:cs="Times New Roman" w:eastAsia="Times New Roman" w:hint="default"/>
        </w:rPr>
        <w:t>-</w:t>
      </w:r>
      <w:r>
        <w:rPr/>
        <w:t>оквирни споразум под редним бројем 1.2.23. –за манифестације и редовне програме, процењене вредности од 4.500 хиљада динара без ПДВ, односно 5.400 хиљада динара са ПДВ. Наведеним уговорима о пружању услуге хотела извршена је набавка услуге у укупном износу од </w:t>
      </w:r>
      <w:r>
        <w:rPr>
          <w:rFonts w:ascii="Times New Roman" w:hAnsi="Times New Roman" w:cs="Times New Roman" w:eastAsia="Times New Roman" w:hint="default"/>
        </w:rPr>
        <w:t>5.425 </w:t>
      </w:r>
      <w:r>
        <w:rPr/>
        <w:t>хиљада</w:t>
      </w:r>
      <w:r>
        <w:rPr>
          <w:spacing w:val="-17"/>
        </w:rPr>
        <w:t> </w:t>
      </w:r>
      <w:r>
        <w:rPr/>
        <w:t>динара</w:t>
      </w:r>
      <w:r>
        <w:rPr>
          <w:rFonts w:ascii="Times New Roman" w:hAnsi="Times New Roman" w:cs="Times New Roman" w:eastAsia="Times New Roman" w:hint="default"/>
        </w:rPr>
        <w:t>.</w:t>
      </w:r>
    </w:p>
    <w:p>
      <w:pPr>
        <w:pStyle w:val="BodyText"/>
        <w:spacing w:line="240" w:lineRule="auto"/>
        <w:ind w:right="183" w:firstLine="566"/>
        <w:jc w:val="both"/>
      </w:pPr>
      <w:r>
        <w:rPr/>
        <w:t>Извршени су расходи на име угоститељских услуга за услуге ресторана учесника филмских сусрета у укупном износу од </w:t>
      </w:r>
      <w:r>
        <w:rPr>
          <w:rFonts w:ascii="Times New Roman" w:hAnsi="Times New Roman"/>
        </w:rPr>
        <w:t>1.570 </w:t>
      </w:r>
      <w:r>
        <w:rPr/>
        <w:t>хиљада динара по фактурама на</w:t>
      </w:r>
      <w:r>
        <w:rPr>
          <w:spacing w:val="-23"/>
        </w:rPr>
        <w:t> </w:t>
      </w:r>
      <w:r>
        <w:rPr/>
        <w:t>основу:</w:t>
      </w:r>
    </w:p>
    <w:p>
      <w:pPr>
        <w:pStyle w:val="ListParagraph"/>
        <w:numPr>
          <w:ilvl w:val="0"/>
          <w:numId w:val="12"/>
        </w:numPr>
        <w:tabs>
          <w:tab w:pos="348" w:val="left" w:leader="none"/>
        </w:tabs>
        <w:spacing w:line="240" w:lineRule="auto" w:before="0" w:after="0"/>
        <w:ind w:left="160" w:right="18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Уговора о пружању услуге исхране број 701/1 од 03.07.2014. године закљученог са кафаном „Нишлијска механа“ пр Ниш у износу од 932 хиљаде</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динара,</w:t>
      </w:r>
    </w:p>
    <w:p>
      <w:pPr>
        <w:pStyle w:val="ListParagraph"/>
        <w:numPr>
          <w:ilvl w:val="0"/>
          <w:numId w:val="12"/>
        </w:numPr>
        <w:tabs>
          <w:tab w:pos="348" w:val="left" w:leader="none"/>
        </w:tabs>
        <w:spacing w:line="240" w:lineRule="auto" w:before="0" w:after="0"/>
        <w:ind w:left="347" w:right="0" w:hanging="187"/>
        <w:jc w:val="both"/>
        <w:rPr>
          <w:rFonts w:ascii="Times New Roman" w:hAnsi="Times New Roman" w:cs="Times New Roman" w:eastAsia="Times New Roman" w:hint="default"/>
          <w:sz w:val="24"/>
          <w:szCs w:val="24"/>
        </w:rPr>
      </w:pPr>
      <w:r>
        <w:rPr>
          <w:rFonts w:ascii="Times New Roman" w:hAnsi="Times New Roman"/>
          <w:sz w:val="24"/>
        </w:rPr>
        <w:t>Уговора</w:t>
      </w:r>
      <w:r>
        <w:rPr>
          <w:rFonts w:ascii="Times New Roman" w:hAnsi="Times New Roman"/>
          <w:spacing w:val="48"/>
          <w:sz w:val="24"/>
        </w:rPr>
        <w:t> </w:t>
      </w:r>
      <w:r>
        <w:rPr>
          <w:rFonts w:ascii="Times New Roman" w:hAnsi="Times New Roman"/>
          <w:sz w:val="24"/>
        </w:rPr>
        <w:t>о</w:t>
      </w:r>
      <w:r>
        <w:rPr>
          <w:rFonts w:ascii="Times New Roman" w:hAnsi="Times New Roman"/>
          <w:spacing w:val="46"/>
          <w:sz w:val="24"/>
        </w:rPr>
        <w:t> </w:t>
      </w:r>
      <w:r>
        <w:rPr>
          <w:rFonts w:ascii="Times New Roman" w:hAnsi="Times New Roman"/>
          <w:sz w:val="24"/>
        </w:rPr>
        <w:t>пружању</w:t>
      </w:r>
      <w:r>
        <w:rPr>
          <w:rFonts w:ascii="Times New Roman" w:hAnsi="Times New Roman"/>
          <w:spacing w:val="46"/>
          <w:sz w:val="24"/>
        </w:rPr>
        <w:t> </w:t>
      </w:r>
      <w:r>
        <w:rPr>
          <w:rFonts w:ascii="Times New Roman" w:hAnsi="Times New Roman"/>
          <w:sz w:val="24"/>
        </w:rPr>
        <w:t>услуге</w:t>
      </w:r>
      <w:r>
        <w:rPr>
          <w:rFonts w:ascii="Times New Roman" w:hAnsi="Times New Roman"/>
          <w:spacing w:val="45"/>
          <w:sz w:val="24"/>
        </w:rPr>
        <w:t> </w:t>
      </w:r>
      <w:r>
        <w:rPr>
          <w:rFonts w:ascii="Times New Roman" w:hAnsi="Times New Roman"/>
          <w:sz w:val="24"/>
        </w:rPr>
        <w:t>исхране</w:t>
      </w:r>
      <w:r>
        <w:rPr>
          <w:rFonts w:ascii="Times New Roman" w:hAnsi="Times New Roman"/>
          <w:spacing w:val="45"/>
          <w:sz w:val="24"/>
        </w:rPr>
        <w:t> </w:t>
      </w:r>
      <w:r>
        <w:rPr>
          <w:rFonts w:ascii="Times New Roman" w:hAnsi="Times New Roman"/>
          <w:sz w:val="24"/>
        </w:rPr>
        <w:t>број</w:t>
      </w:r>
      <w:r>
        <w:rPr>
          <w:rFonts w:ascii="Times New Roman" w:hAnsi="Times New Roman"/>
          <w:spacing w:val="47"/>
          <w:sz w:val="24"/>
        </w:rPr>
        <w:t> </w:t>
      </w:r>
      <w:r>
        <w:rPr>
          <w:rFonts w:ascii="Times New Roman" w:hAnsi="Times New Roman"/>
          <w:sz w:val="24"/>
        </w:rPr>
        <w:t>691/1</w:t>
      </w:r>
      <w:r>
        <w:rPr>
          <w:rFonts w:ascii="Times New Roman" w:hAnsi="Times New Roman"/>
          <w:spacing w:val="47"/>
          <w:sz w:val="24"/>
        </w:rPr>
        <w:t> </w:t>
      </w:r>
      <w:r>
        <w:rPr>
          <w:rFonts w:ascii="Times New Roman" w:hAnsi="Times New Roman"/>
          <w:sz w:val="24"/>
        </w:rPr>
        <w:t>од</w:t>
      </w:r>
      <w:r>
        <w:rPr>
          <w:rFonts w:ascii="Times New Roman" w:hAnsi="Times New Roman"/>
          <w:spacing w:val="47"/>
          <w:sz w:val="24"/>
        </w:rPr>
        <w:t> </w:t>
      </w:r>
      <w:r>
        <w:rPr>
          <w:rFonts w:ascii="Times New Roman" w:hAnsi="Times New Roman"/>
          <w:sz w:val="24"/>
        </w:rPr>
        <w:t>01.07.2014.</w:t>
      </w:r>
      <w:r>
        <w:rPr>
          <w:rFonts w:ascii="Times New Roman" w:hAnsi="Times New Roman"/>
          <w:spacing w:val="46"/>
          <w:sz w:val="24"/>
        </w:rPr>
        <w:t> </w:t>
      </w:r>
      <w:r>
        <w:rPr>
          <w:rFonts w:ascii="Times New Roman" w:hAnsi="Times New Roman"/>
          <w:sz w:val="24"/>
        </w:rPr>
        <w:t>године</w:t>
      </w:r>
      <w:r>
        <w:rPr>
          <w:rFonts w:ascii="Times New Roman" w:hAnsi="Times New Roman"/>
          <w:spacing w:val="45"/>
          <w:sz w:val="24"/>
        </w:rPr>
        <w:t> </w:t>
      </w:r>
      <w:r>
        <w:rPr>
          <w:rFonts w:ascii="Times New Roman" w:hAnsi="Times New Roman"/>
          <w:sz w:val="24"/>
        </w:rPr>
        <w:t>закљученог</w:t>
      </w:r>
      <w:r>
        <w:rPr>
          <w:rFonts w:ascii="Times New Roman" w:hAnsi="Times New Roman"/>
          <w:spacing w:val="46"/>
          <w:sz w:val="24"/>
        </w:rPr>
        <w:t> </w:t>
      </w:r>
      <w:r>
        <w:rPr>
          <w:rFonts w:ascii="Times New Roman" w:hAnsi="Times New Roman"/>
          <w:sz w:val="24"/>
        </w:rPr>
        <w:t>са</w:t>
      </w:r>
    </w:p>
    <w:p>
      <w:pPr>
        <w:pStyle w:val="BodyText"/>
        <w:spacing w:line="240" w:lineRule="auto"/>
        <w:ind w:right="0"/>
        <w:jc w:val="both"/>
      </w:pPr>
      <w:r>
        <w:rPr/>
        <w:t>„МММ Угоститељство“ доо кафана „Стара Србија“ Ниш у износу од 333 хиљаде</w:t>
      </w:r>
      <w:r>
        <w:rPr>
          <w:spacing w:val="-15"/>
        </w:rPr>
        <w:t> </w:t>
      </w:r>
      <w:r>
        <w:rPr/>
        <w:t>динара,</w:t>
      </w:r>
    </w:p>
    <w:p>
      <w:pPr>
        <w:pStyle w:val="ListParagraph"/>
        <w:numPr>
          <w:ilvl w:val="0"/>
          <w:numId w:val="12"/>
        </w:numPr>
        <w:tabs>
          <w:tab w:pos="348" w:val="left" w:leader="none"/>
        </w:tabs>
        <w:spacing w:line="240" w:lineRule="auto" w:before="0" w:after="0"/>
        <w:ind w:left="160" w:right="18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Уговора о пружању услуге исхране број 686/1 од 30.06.2014. године закљученог са Угоститељском радњом „Мали викенд“ пр Сићево у износу од 231 хиљаде</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динара,</w:t>
      </w:r>
    </w:p>
    <w:p>
      <w:pPr>
        <w:pStyle w:val="ListParagraph"/>
        <w:numPr>
          <w:ilvl w:val="0"/>
          <w:numId w:val="12"/>
        </w:numPr>
        <w:tabs>
          <w:tab w:pos="348" w:val="left" w:leader="none"/>
        </w:tabs>
        <w:spacing w:line="240" w:lineRule="auto" w:before="0" w:after="0"/>
        <w:ind w:left="160" w:right="18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Уговора о пружању услуге исхране број 963/1 од 21.08.2014. године закљученог са Угоститељском радњом „Рибља коноба“ пр Ниш у износу од 44 хиљаде</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динара,</w:t>
      </w:r>
    </w:p>
    <w:p>
      <w:pPr>
        <w:pStyle w:val="ListParagraph"/>
        <w:numPr>
          <w:ilvl w:val="0"/>
          <w:numId w:val="12"/>
        </w:numPr>
        <w:tabs>
          <w:tab w:pos="348" w:val="left" w:leader="none"/>
        </w:tabs>
        <w:spacing w:line="240" w:lineRule="auto" w:before="0" w:after="0"/>
        <w:ind w:left="160" w:right="18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Уговора о пружању услуге исхране број 863/1 од 11.08.2014. године закљученог са Угоститељском радњом „Pleasure caffe“ пр Ниш у износу од </w:t>
      </w:r>
      <w:r>
        <w:rPr>
          <w:rFonts w:ascii="Times New Roman" w:hAnsi="Times New Roman" w:cs="Times New Roman" w:eastAsia="Times New Roman" w:hint="default"/>
          <w:sz w:val="24"/>
          <w:szCs w:val="24"/>
        </w:rPr>
        <w:t>30 </w:t>
      </w:r>
      <w:r>
        <w:rPr>
          <w:rFonts w:ascii="Times New Roman" w:hAnsi="Times New Roman" w:cs="Times New Roman" w:eastAsia="Times New Roman" w:hint="default"/>
          <w:sz w:val="24"/>
          <w:szCs w:val="24"/>
        </w:rPr>
        <w:t>хиљад</w:t>
      </w:r>
      <w:r>
        <w:rPr>
          <w:rFonts w:ascii="Times New Roman" w:hAnsi="Times New Roman" w:cs="Times New Roman" w:eastAsia="Times New Roman" w:hint="default"/>
          <w:sz w:val="24"/>
          <w:szCs w:val="24"/>
        </w:rPr>
        <w:t>a</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динара</w:t>
      </w:r>
      <w:r>
        <w:rPr>
          <w:rFonts w:ascii="Times New Roman" w:hAnsi="Times New Roman" w:cs="Times New Roman" w:eastAsia="Times New Roman" w:hint="default"/>
          <w:sz w:val="24"/>
          <w:szCs w:val="24"/>
        </w:rPr>
        <w:t>.</w:t>
      </w:r>
    </w:p>
    <w:p>
      <w:pPr>
        <w:pStyle w:val="BodyText"/>
        <w:spacing w:line="240" w:lineRule="auto"/>
        <w:ind w:right="177" w:firstLine="566"/>
        <w:jc w:val="both"/>
      </w:pPr>
      <w:r>
        <w:rPr/>
        <w:t>Планом јавних набавки број 158 од 10.02.2014. године предвиђена је јавна набавка у отвореном поступку</w:t>
      </w:r>
      <w:r>
        <w:rPr>
          <w:rFonts w:ascii="Times New Roman" w:hAnsi="Times New Roman" w:cs="Times New Roman" w:eastAsia="Times New Roman" w:hint="default"/>
        </w:rPr>
        <w:t>-</w:t>
      </w:r>
      <w:r>
        <w:rPr/>
        <w:t>оквирни споразум под редним бројем 1.2.24. –услуге ресторана за манифестације и редовне програме, процењен</w:t>
      </w:r>
      <w:r>
        <w:rPr>
          <w:rFonts w:ascii="Times New Roman" w:hAnsi="Times New Roman" w:cs="Times New Roman" w:eastAsia="Times New Roman" w:hint="default"/>
        </w:rPr>
        <w:t>e </w:t>
      </w:r>
      <w:r>
        <w:rPr/>
        <w:t>вредност 1.126 хиљада динара без ПДВ, односно 1.350 хиљада динара са ПДВ. Наведеним уговорима о пружању услуге исхране извршена је набавка услуге у укупном износу од 1.632 хиљаде</w:t>
      </w:r>
      <w:r>
        <w:rPr>
          <w:spacing w:val="-20"/>
        </w:rPr>
        <w:t> </w:t>
      </w:r>
      <w:r>
        <w:rPr/>
        <w:t>динара.</w:t>
      </w:r>
    </w:p>
    <w:p>
      <w:pPr>
        <w:pStyle w:val="BodyText"/>
        <w:spacing w:line="240" w:lineRule="auto"/>
        <w:ind w:right="176" w:firstLine="566"/>
        <w:jc w:val="both"/>
      </w:pPr>
      <w:r>
        <w:rPr>
          <w:rFonts w:ascii="Times New Roman" w:hAnsi="Times New Roman"/>
          <w:b/>
        </w:rPr>
        <w:t>На основу ревизије узорковане документације утврђено је </w:t>
      </w:r>
      <w:r>
        <w:rPr/>
        <w:t>да је извршена набавка услуга у укупном износу од 307 хиљада динара више од уговорене вредности и то за смештај гостију у износу од 25 хиљада динара и за услуге ресторана у износу од 282 хиљаде динара, што је супротно члану 56. и 58. Закона о буџетском</w:t>
      </w:r>
      <w:r>
        <w:rPr>
          <w:spacing w:val="-23"/>
        </w:rPr>
        <w:t> </w:t>
      </w:r>
      <w:r>
        <w:rPr/>
        <w:t>систему.</w:t>
      </w:r>
    </w:p>
    <w:p>
      <w:pPr>
        <w:pStyle w:val="Heading2"/>
        <w:spacing w:line="240" w:lineRule="auto"/>
        <w:ind w:right="175"/>
        <w:jc w:val="both"/>
        <w:rPr>
          <w:b w:val="0"/>
          <w:bCs w:val="0"/>
          <w:i w:val="0"/>
        </w:rPr>
      </w:pPr>
      <w:r>
        <w:rPr>
          <w:i/>
        </w:rPr>
        <w:t>Препоручује се одговорним лицима да обавезе преузимају до износа уговорене вредности и планираних</w:t>
      </w:r>
      <w:r>
        <w:rPr>
          <w:i/>
          <w:spacing w:val="-11"/>
        </w:rPr>
        <w:t> </w:t>
      </w:r>
      <w:r>
        <w:rPr>
          <w:i/>
        </w:rPr>
        <w:t>средстава.</w:t>
      </w:r>
      <w:r>
        <w:rPr>
          <w:b w:val="0"/>
          <w:i w:val="0"/>
        </w:rPr>
      </w:r>
    </w:p>
    <w:p>
      <w:pPr>
        <w:pStyle w:val="BodyText"/>
        <w:spacing w:line="271" w:lineRule="exact"/>
        <w:ind w:left="726" w:right="141"/>
        <w:jc w:val="left"/>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Остале опште услуге, субаналитички конто 423911 </w:t>
      </w:r>
      <w:r>
        <w:rPr/>
        <w:t>– Исказан је расход у износу </w:t>
      </w:r>
      <w:r>
        <w:rPr>
          <w:spacing w:val="45"/>
        </w:rPr>
        <w:t> </w:t>
      </w:r>
      <w:r>
        <w:rPr/>
        <w:t>од</w:t>
      </w:r>
    </w:p>
    <w:p>
      <w:pPr>
        <w:pStyle w:val="BodyText"/>
        <w:spacing w:line="240" w:lineRule="auto"/>
        <w:ind w:right="0"/>
        <w:jc w:val="both"/>
      </w:pPr>
      <w:r>
        <w:rPr/>
        <w:t>7.317 хиљада</w:t>
      </w:r>
      <w:r>
        <w:rPr>
          <w:spacing w:val="-3"/>
        </w:rPr>
        <w:t> </w:t>
      </w:r>
      <w:r>
        <w:rPr/>
        <w:t>динара.</w:t>
      </w:r>
    </w:p>
    <w:p>
      <w:pPr>
        <w:spacing w:after="0" w:line="240" w:lineRule="auto"/>
        <w:jc w:val="both"/>
        <w:sectPr>
          <w:pgSz w:w="12240" w:h="15840"/>
          <w:pgMar w:header="740" w:footer="1274" w:top="1280" w:bottom="1460" w:left="1400" w:right="1260"/>
        </w:sectPr>
      </w:pPr>
    </w:p>
    <w:p>
      <w:pPr>
        <w:pStyle w:val="Heading1"/>
        <w:spacing w:line="275" w:lineRule="exact" w:before="126"/>
        <w:ind w:right="141"/>
        <w:jc w:val="left"/>
        <w:rPr>
          <w:b w:val="0"/>
          <w:bCs w:val="0"/>
        </w:rPr>
      </w:pPr>
      <w:r>
        <w:rPr/>
        <w:t>На основу ревизије узорковане документације утврђено</w:t>
      </w:r>
      <w:r>
        <w:rPr>
          <w:spacing w:val="-13"/>
        </w:rPr>
        <w:t> </w:t>
      </w:r>
      <w:r>
        <w:rPr/>
        <w:t>је:</w:t>
      </w:r>
      <w:r>
        <w:rPr>
          <w:b w:val="0"/>
        </w:rPr>
      </w:r>
    </w:p>
    <w:p>
      <w:pPr>
        <w:pStyle w:val="ListParagraph"/>
        <w:numPr>
          <w:ilvl w:val="0"/>
          <w:numId w:val="9"/>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позиву на број задужења на изводу број 840</w:t>
      </w:r>
      <w:r>
        <w:rPr>
          <w:rFonts w:ascii="Times New Roman" w:hAnsi="Times New Roman" w:cs="Times New Roman" w:eastAsia="Times New Roman" w:hint="default"/>
          <w:sz w:val="24"/>
          <w:szCs w:val="24"/>
        </w:rPr>
        <w:t>-558664-</w:t>
      </w:r>
      <w:r>
        <w:rPr>
          <w:rFonts w:ascii="Times New Roman" w:hAnsi="Times New Roman" w:cs="Times New Roman" w:eastAsia="Times New Roman" w:hint="default"/>
          <w:sz w:val="24"/>
          <w:szCs w:val="24"/>
        </w:rPr>
        <w:t>05 од 10.11.2014. године приликом подизања готовине за исплату хонорара и при плаћању пореза и доприноса наведен је субаналитички конто 424911–остале специјализоване услуге, док је евидентирање извршено на субаналитичком конту 423</w:t>
      </w:r>
      <w:r>
        <w:rPr>
          <w:rFonts w:ascii="Times New Roman" w:hAnsi="Times New Roman" w:cs="Times New Roman" w:eastAsia="Times New Roman" w:hint="default"/>
          <w:sz w:val="24"/>
          <w:szCs w:val="24"/>
        </w:rPr>
        <w:t>911 </w:t>
      </w:r>
      <w:r>
        <w:rPr>
          <w:rFonts w:ascii="Times New Roman" w:hAnsi="Times New Roman" w:cs="Times New Roman" w:eastAsia="Times New Roman" w:hint="default"/>
          <w:sz w:val="24"/>
          <w:szCs w:val="24"/>
        </w:rPr>
        <w:t>– остале опште услуге. Пренос из средстава буџета града извршен је са позиције групе 423000 – услуге по</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уговору.</w:t>
      </w:r>
    </w:p>
    <w:p>
      <w:pPr>
        <w:pStyle w:val="ListParagraph"/>
        <w:numPr>
          <w:ilvl w:val="0"/>
          <w:numId w:val="9"/>
        </w:numPr>
        <w:tabs>
          <w:tab w:pos="303" w:val="left" w:leader="none"/>
        </w:tabs>
        <w:spacing w:line="240" w:lineRule="auto" w:before="2" w:after="0"/>
        <w:ind w:left="160" w:right="18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је евидентиран расход у укупном износу од 988 хиљада динара и то на име исплате ауторског хонорара у износу од 406 хиљада динара и на име наступа хора у износу од 582 хиљаде динара уместо на групи 424000 – специјализоване услуге, што је супротно члану 9. Уредбе о буџетском рачуноводству и Правилника о стандардном класификационом оквиру и контном плану за буџетски</w:t>
      </w:r>
      <w:r>
        <w:rPr>
          <w:rFonts w:ascii="Times New Roman" w:hAnsi="Times New Roman" w:cs="Times New Roman" w:eastAsia="Times New Roman" w:hint="default"/>
          <w:spacing w:val="-29"/>
          <w:sz w:val="24"/>
          <w:szCs w:val="24"/>
        </w:rPr>
        <w:t> </w:t>
      </w:r>
      <w:r>
        <w:rPr>
          <w:rFonts w:ascii="Times New Roman" w:hAnsi="Times New Roman" w:cs="Times New Roman" w:eastAsia="Times New Roman" w:hint="default"/>
          <w:sz w:val="24"/>
          <w:szCs w:val="24"/>
        </w:rPr>
        <w:t>систем.</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Извршен је расход у износу од 582 хиљаде динара за услугу наступа Хора Радио Телевизије Србије на отварању 25. Интернационалних хорских свечаности по рачуну  број 14001436 од 25.07.2014. године који није оверен потписом одговорног лица, тако да није</w:t>
      </w:r>
      <w:r>
        <w:rPr>
          <w:rFonts w:ascii="Times New Roman" w:hAnsi="Times New Roman"/>
          <w:spacing w:val="21"/>
          <w:sz w:val="24"/>
        </w:rPr>
        <w:t> </w:t>
      </w:r>
      <w:r>
        <w:rPr>
          <w:rFonts w:ascii="Times New Roman" w:hAnsi="Times New Roman"/>
          <w:sz w:val="24"/>
        </w:rPr>
        <w:t>валидан</w:t>
      </w:r>
      <w:r>
        <w:rPr>
          <w:rFonts w:ascii="Times New Roman" w:hAnsi="Times New Roman"/>
          <w:spacing w:val="20"/>
          <w:sz w:val="24"/>
        </w:rPr>
        <w:t> </w:t>
      </w:r>
      <w:r>
        <w:rPr>
          <w:rFonts w:ascii="Times New Roman" w:hAnsi="Times New Roman"/>
          <w:sz w:val="24"/>
        </w:rPr>
        <w:t>документ,</w:t>
      </w:r>
      <w:r>
        <w:rPr>
          <w:rFonts w:ascii="Times New Roman" w:hAnsi="Times New Roman"/>
          <w:spacing w:val="21"/>
          <w:sz w:val="24"/>
        </w:rPr>
        <w:t> </w:t>
      </w:r>
      <w:r>
        <w:rPr>
          <w:rFonts w:ascii="Times New Roman" w:hAnsi="Times New Roman"/>
          <w:sz w:val="24"/>
        </w:rPr>
        <w:t>што</w:t>
      </w:r>
      <w:r>
        <w:rPr>
          <w:rFonts w:ascii="Times New Roman" w:hAnsi="Times New Roman"/>
          <w:spacing w:val="21"/>
          <w:sz w:val="24"/>
        </w:rPr>
        <w:t> </w:t>
      </w:r>
      <w:r>
        <w:rPr>
          <w:rFonts w:ascii="Times New Roman" w:hAnsi="Times New Roman"/>
          <w:sz w:val="24"/>
        </w:rPr>
        <w:t>је</w:t>
      </w:r>
      <w:r>
        <w:rPr>
          <w:rFonts w:ascii="Times New Roman" w:hAnsi="Times New Roman"/>
          <w:spacing w:val="21"/>
          <w:sz w:val="24"/>
        </w:rPr>
        <w:t> </w:t>
      </w:r>
      <w:r>
        <w:rPr>
          <w:rFonts w:ascii="Times New Roman" w:hAnsi="Times New Roman"/>
          <w:sz w:val="24"/>
        </w:rPr>
        <w:t>супротно</w:t>
      </w:r>
      <w:r>
        <w:rPr>
          <w:rFonts w:ascii="Times New Roman" w:hAnsi="Times New Roman"/>
          <w:spacing w:val="21"/>
          <w:sz w:val="24"/>
        </w:rPr>
        <w:t> </w:t>
      </w:r>
      <w:r>
        <w:rPr>
          <w:rFonts w:ascii="Times New Roman" w:hAnsi="Times New Roman"/>
          <w:sz w:val="24"/>
        </w:rPr>
        <w:t>члану</w:t>
      </w:r>
      <w:r>
        <w:rPr>
          <w:rFonts w:ascii="Times New Roman" w:hAnsi="Times New Roman"/>
          <w:spacing w:val="19"/>
          <w:sz w:val="24"/>
        </w:rPr>
        <w:t> </w:t>
      </w:r>
      <w:r>
        <w:rPr>
          <w:rFonts w:ascii="Times New Roman" w:hAnsi="Times New Roman"/>
          <w:sz w:val="24"/>
        </w:rPr>
        <w:t>58.</w:t>
      </w:r>
      <w:r>
        <w:rPr>
          <w:rFonts w:ascii="Times New Roman" w:hAnsi="Times New Roman"/>
          <w:spacing w:val="21"/>
          <w:sz w:val="24"/>
        </w:rPr>
        <w:t> </w:t>
      </w:r>
      <w:r>
        <w:rPr>
          <w:rFonts w:ascii="Times New Roman" w:hAnsi="Times New Roman"/>
          <w:sz w:val="24"/>
        </w:rPr>
        <w:t>Закона</w:t>
      </w:r>
      <w:r>
        <w:rPr>
          <w:rFonts w:ascii="Times New Roman" w:hAnsi="Times New Roman"/>
          <w:spacing w:val="20"/>
          <w:sz w:val="24"/>
        </w:rPr>
        <w:t> </w:t>
      </w:r>
      <w:r>
        <w:rPr>
          <w:rFonts w:ascii="Times New Roman" w:hAnsi="Times New Roman"/>
          <w:sz w:val="24"/>
        </w:rPr>
        <w:t>о</w:t>
      </w:r>
      <w:r>
        <w:rPr>
          <w:rFonts w:ascii="Times New Roman" w:hAnsi="Times New Roman"/>
          <w:spacing w:val="21"/>
          <w:sz w:val="24"/>
        </w:rPr>
        <w:t> </w:t>
      </w:r>
      <w:r>
        <w:rPr>
          <w:rFonts w:ascii="Times New Roman" w:hAnsi="Times New Roman"/>
          <w:sz w:val="24"/>
        </w:rPr>
        <w:t>буџетском</w:t>
      </w:r>
      <w:r>
        <w:rPr>
          <w:rFonts w:ascii="Times New Roman" w:hAnsi="Times New Roman"/>
          <w:spacing w:val="21"/>
          <w:sz w:val="24"/>
        </w:rPr>
        <w:t> </w:t>
      </w:r>
      <w:r>
        <w:rPr>
          <w:rFonts w:ascii="Times New Roman" w:hAnsi="Times New Roman"/>
          <w:sz w:val="24"/>
        </w:rPr>
        <w:t>систему</w:t>
      </w:r>
      <w:r>
        <w:rPr>
          <w:rFonts w:ascii="Times New Roman" w:hAnsi="Times New Roman"/>
          <w:spacing w:val="14"/>
          <w:sz w:val="24"/>
        </w:rPr>
        <w:t> </w:t>
      </w:r>
      <w:r>
        <w:rPr>
          <w:rFonts w:ascii="Times New Roman" w:hAnsi="Times New Roman"/>
          <w:sz w:val="24"/>
        </w:rPr>
        <w:t>и</w:t>
      </w:r>
      <w:r>
        <w:rPr>
          <w:rFonts w:ascii="Times New Roman" w:hAnsi="Times New Roman"/>
          <w:spacing w:val="22"/>
          <w:sz w:val="24"/>
        </w:rPr>
        <w:t> </w:t>
      </w:r>
      <w:r>
        <w:rPr>
          <w:rFonts w:ascii="Times New Roman" w:hAnsi="Times New Roman"/>
          <w:sz w:val="24"/>
        </w:rPr>
        <w:t>члану</w:t>
      </w:r>
    </w:p>
    <w:p>
      <w:pPr>
        <w:pStyle w:val="BodyText"/>
        <w:spacing w:line="240" w:lineRule="auto"/>
        <w:ind w:right="0"/>
        <w:jc w:val="both"/>
      </w:pPr>
      <w:r>
        <w:rPr/>
        <w:t>16. Уредбе о буџетском</w:t>
      </w:r>
      <w:r>
        <w:rPr>
          <w:spacing w:val="-12"/>
        </w:rPr>
        <w:t> </w:t>
      </w:r>
      <w:r>
        <w:rPr/>
        <w:t>рачуноводству.</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Законски рок измирења новчане обавезе по рачуну „Радио Телевизија Србије“ Београд број 14001436 од 25.07.2014. године је наведен на рачуну и то 12.09.2014. године. Рачунање законског рока измирења обавезе започело је од 30.07.2014. године (дана 29.07.2014. године рачун је заведен под деловодним бројем 381), па је 45</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ти дан, односно крајњи рок измирења обавезе 12.09.2014. године. Захтев за пренос средстава сачињен је тек 02.09.2014. године, односно 35 дана након пријема</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рачуна.</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По Захтеву за доделу средстава из буџета града у износу од 563 хиљаде динара за исплату путних трошкова учесницима и глумцима 49. Филмских сусрета од стране Нишког културног центра поднетом дана 02.09.2014. године средства су из буџета града пренета дана 22.09.2014. године на рачун установе. Путни трошкови учесницима и глумцима већ су исплаћени дана 30.08.2014. године. За средства из буџета града Ниша пренета 22.09.2014. године у износу од 563 хиљаде динара: одступљено је од захтева за пренос средстава и није извршено сравњење са директним корисником, што је супротно члану 78. Закона о буџетском систему, члану 6. Уредбе о буџетском рачуноводству и члану 18. Одлуке о буџету града Ниша за 2014. годину. Такође, поступљено је супротно члану 42. Упутства о раду трезора града Ниша, јер је за извршено плаћање из других извора тражена рефундација средстава из</w:t>
      </w:r>
      <w:r>
        <w:rPr>
          <w:rFonts w:ascii="Times New Roman" w:hAnsi="Times New Roman"/>
          <w:spacing w:val="-19"/>
          <w:sz w:val="24"/>
        </w:rPr>
        <w:t> </w:t>
      </w:r>
      <w:r>
        <w:rPr>
          <w:rFonts w:ascii="Times New Roman" w:hAnsi="Times New Roman"/>
          <w:sz w:val="24"/>
        </w:rPr>
        <w:t>буџета.</w:t>
      </w:r>
    </w:p>
    <w:p>
      <w:pPr>
        <w:pStyle w:val="Heading2"/>
        <w:spacing w:line="240" w:lineRule="auto"/>
        <w:ind w:right="172" w:firstLine="578"/>
        <w:jc w:val="both"/>
        <w:rPr>
          <w:rFonts w:ascii="Times New Roman" w:hAnsi="Times New Roman" w:cs="Times New Roman" w:eastAsia="Times New Roman" w:hint="default"/>
          <w:b w:val="0"/>
          <w:bCs w:val="0"/>
          <w:i w:val="0"/>
        </w:rPr>
      </w:pPr>
      <w:r>
        <w:rPr>
          <w:i/>
        </w:rPr>
        <w:t>Препоручује се одговорним лицима да обезбеде за сваки расход из буџета  валидну документацију, да обезбеде правилну примену одредби Уредбе о буџетском рачуноводству и Правилника о стандардном класификационом оквиру и контном плану за буџетски систем, да благовремено подносе захтеве за плаћање надлежној Управи ради измирења обавеза у року и праћења ликвидности буџета, да врше сравњење са директним корисником и подносе захтев за пренос средстава Управи за културу  за рачуне који нису</w:t>
      </w:r>
      <w:r>
        <w:rPr>
          <w:i/>
          <w:spacing w:val="-6"/>
        </w:rPr>
        <w:t> </w:t>
      </w:r>
      <w:r>
        <w:rPr>
          <w:i/>
        </w:rPr>
        <w:t>измирени</w:t>
      </w:r>
      <w:r>
        <w:rPr>
          <w:rFonts w:ascii="Times New Roman" w:hAnsi="Times New Roman"/>
          <w:i/>
        </w:rPr>
        <w:t>.</w:t>
      </w:r>
      <w:r>
        <w:rPr>
          <w:rFonts w:ascii="Times New Roman" w:hAnsi="Times New Roman"/>
          <w:b w:val="0"/>
          <w:i w:val="0"/>
        </w:rPr>
      </w:r>
    </w:p>
    <w:p>
      <w:pPr>
        <w:spacing w:line="240" w:lineRule="auto" w:before="7"/>
        <w:rPr>
          <w:rFonts w:ascii="Times New Roman" w:hAnsi="Times New Roman" w:cs="Times New Roman" w:eastAsia="Times New Roman" w:hint="default"/>
          <w:b/>
          <w:bCs/>
          <w:i/>
          <w:sz w:val="19"/>
          <w:szCs w:val="19"/>
        </w:rPr>
      </w:pPr>
    </w:p>
    <w:p>
      <w:pPr>
        <w:pStyle w:val="ListParagraph"/>
        <w:numPr>
          <w:ilvl w:val="0"/>
          <w:numId w:val="33"/>
        </w:numPr>
        <w:tabs>
          <w:tab w:pos="1001" w:val="left" w:leader="none"/>
        </w:tabs>
        <w:spacing w:line="240" w:lineRule="auto" w:before="0" w:after="0"/>
        <w:ind w:left="160" w:right="177"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 за омладину и спорт </w:t>
      </w:r>
      <w:r>
        <w:rPr>
          <w:rFonts w:ascii="Times New Roman" w:hAnsi="Times New Roman" w:cs="Times New Roman" w:eastAsia="Times New Roman" w:hint="default"/>
          <w:b/>
          <w:bCs/>
          <w:sz w:val="24"/>
          <w:szCs w:val="24"/>
        </w:rPr>
        <w:t>- </w:t>
      </w:r>
      <w:r>
        <w:rPr>
          <w:rFonts w:ascii="Times New Roman" w:hAnsi="Times New Roman" w:cs="Times New Roman" w:eastAsia="Times New Roman" w:hint="default"/>
          <w:sz w:val="24"/>
          <w:szCs w:val="24"/>
        </w:rPr>
        <w:t>Исказано је извршење у износу од 3.038 хиљада динара и то из буџета града у износу од 1.619 хиљада динара и из осталих извора у износу од 1.419 хиљада динара. Исказани расход се односи на директног буџетског корисника Управу за омладину и спорт у износу од 1.619 хиљада динара и на индиректног буџетског корисника СЦ „Чаир“ у износу од 1.419 хиљада</w:t>
      </w:r>
      <w:r>
        <w:rPr>
          <w:rFonts w:ascii="Times New Roman" w:hAnsi="Times New Roman" w:cs="Times New Roman" w:eastAsia="Times New Roman" w:hint="default"/>
          <w:spacing w:val="-32"/>
          <w:sz w:val="24"/>
          <w:szCs w:val="24"/>
        </w:rPr>
        <w:t> </w:t>
      </w:r>
      <w:r>
        <w:rPr>
          <w:rFonts w:ascii="Times New Roman" w:hAnsi="Times New Roman" w:cs="Times New Roman" w:eastAsia="Times New Roman" w:hint="default"/>
          <w:sz w:val="24"/>
          <w:szCs w:val="24"/>
        </w:rPr>
        <w:t>динара.</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3" w:firstLine="566"/>
        <w:jc w:val="both"/>
        <w:rPr>
          <w:rFonts w:ascii="Times New Roman" w:hAnsi="Times New Roman" w:cs="Times New Roman" w:eastAsia="Times New Roman" w:hint="default"/>
        </w:rPr>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Остале стручне услуге, субаналитички конто 423599 </w:t>
      </w:r>
      <w:r>
        <w:rPr/>
        <w:t>– Исказан је расход у износу  </w:t>
      </w:r>
      <w:r>
        <w:rPr/>
        <w:t>од 1.619 хиљада динара. Решењем Градоначелника одобрено је финансирање седам пројеката за младе са позиције </w:t>
      </w:r>
      <w:r>
        <w:rPr>
          <w:rFonts w:ascii="Times New Roman" w:hAnsi="Times New Roman" w:cs="Times New Roman" w:eastAsia="Times New Roman" w:hint="default"/>
        </w:rPr>
        <w:t>149 </w:t>
      </w:r>
      <w:r>
        <w:rPr/>
        <w:t>– Управа за омладину и спорт у укупном износу од </w:t>
      </w:r>
      <w:r>
        <w:rPr>
          <w:rFonts w:ascii="Times New Roman" w:hAnsi="Times New Roman" w:cs="Times New Roman" w:eastAsia="Times New Roman" w:hint="default"/>
        </w:rPr>
        <w:t>996 </w:t>
      </w:r>
      <w:r>
        <w:rPr/>
        <w:t>хиљада динара, за које је са носиоцима одобрених пројеката закључио Уговоре о финансирању/суфинансирању пројекта за</w:t>
      </w:r>
      <w:r>
        <w:rPr>
          <w:spacing w:val="-14"/>
        </w:rPr>
        <w:t> </w:t>
      </w:r>
      <w:r>
        <w:rPr/>
        <w:t>младе</w:t>
      </w:r>
      <w:r>
        <w:rPr>
          <w:rFonts w:ascii="Times New Roman" w:hAnsi="Times New Roman" w:cs="Times New Roman" w:eastAsia="Times New Roman" w:hint="default"/>
        </w:rPr>
        <w:t>.</w:t>
      </w:r>
    </w:p>
    <w:p>
      <w:pPr>
        <w:pStyle w:val="Heading1"/>
        <w:spacing w:line="275" w:lineRule="exact"/>
        <w:ind w:right="141"/>
        <w:jc w:val="left"/>
        <w:rPr>
          <w:b w:val="0"/>
          <w:bCs w:val="0"/>
        </w:rPr>
      </w:pPr>
      <w:r>
        <w:rPr/>
        <w:t>На основу ревизије узорковане документације утврђено</w:t>
      </w:r>
      <w:r>
        <w:rPr>
          <w:spacing w:val="-13"/>
        </w:rPr>
        <w:t> </w:t>
      </w:r>
      <w:r>
        <w:rPr/>
        <w:t>је:</w:t>
      </w:r>
      <w:r>
        <w:rPr>
          <w:b w:val="0"/>
        </w:rPr>
      </w:r>
    </w:p>
    <w:p>
      <w:pPr>
        <w:pStyle w:val="ListParagraph"/>
        <w:numPr>
          <w:ilvl w:val="0"/>
          <w:numId w:val="9"/>
        </w:numPr>
        <w:tabs>
          <w:tab w:pos="303" w:val="left" w:leader="none"/>
        </w:tabs>
        <w:spacing w:line="237" w:lineRule="auto" w:before="1"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Многи рачуни носилаца пројеката за младе нису оверени сопственим печатом носиоца пројекта и није извршена ревизија пројекта, како је то регулисано чланом 28. Одлуке о младима.</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је евидентиран расход у укупном износу од 996 хиљада динара на име финансирања реализације пројеката за младе у 2014. години уместо на групи 481000 – дотације невладиним организацијама,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систем.</w:t>
      </w:r>
    </w:p>
    <w:p>
      <w:pPr>
        <w:pStyle w:val="Heading2"/>
        <w:spacing w:line="240" w:lineRule="auto"/>
        <w:ind w:right="178"/>
        <w:jc w:val="both"/>
        <w:rPr>
          <w:b w:val="0"/>
          <w:bCs w:val="0"/>
          <w:i w:val="0"/>
        </w:rPr>
      </w:pPr>
      <w:r>
        <w:rPr>
          <w:i/>
        </w:rPr>
        <w:t>Препоручује се одговорним лицима да обезбеде правилну примену одредби интерних аката, интерним контролним поступцима онемогуће исплату уколико нису испоштовани уговорени рокови реализације пројеката и достављање Извештаја о реализацији, обезбеде правилну примену одредби Уредбе о буџетском рачуноводству и Правилника о стандардном класификационом оквиру и контном плану за буџетски систем.</w:t>
      </w:r>
      <w:r>
        <w:rPr>
          <w:b w:val="0"/>
          <w:i w:val="0"/>
        </w:rPr>
      </w:r>
    </w:p>
    <w:p>
      <w:pPr>
        <w:pStyle w:val="ListParagraph"/>
        <w:numPr>
          <w:ilvl w:val="0"/>
          <w:numId w:val="33"/>
        </w:numPr>
        <w:tabs>
          <w:tab w:pos="1063" w:val="left" w:leader="none"/>
        </w:tabs>
        <w:spacing w:line="240" w:lineRule="auto" w:before="132" w:after="0"/>
        <w:ind w:left="160" w:right="175" w:firstLine="566"/>
        <w:jc w:val="both"/>
        <w:rPr>
          <w:rFonts w:ascii="Times New Roman" w:hAnsi="Times New Roman" w:cs="Times New Roman" w:eastAsia="Times New Roman" w:hint="default"/>
          <w:sz w:val="24"/>
          <w:szCs w:val="24"/>
        </w:rPr>
      </w:pPr>
      <w:r>
        <w:rPr>
          <w:rFonts w:ascii="Times New Roman" w:hAnsi="Times New Roman"/>
          <w:b/>
          <w:sz w:val="24"/>
        </w:rPr>
        <w:t>Управа за комуналне делатности, енергетику и саобраћај </w:t>
      </w:r>
      <w:r>
        <w:rPr>
          <w:rFonts w:ascii="Times New Roman" w:hAnsi="Times New Roman"/>
          <w:b/>
          <w:sz w:val="24"/>
        </w:rPr>
        <w:t>- </w:t>
      </w:r>
      <w:r>
        <w:rPr>
          <w:rFonts w:ascii="Times New Roman" w:hAnsi="Times New Roman"/>
          <w:sz w:val="24"/>
        </w:rPr>
        <w:t>Исказано је извршење у укупном износу од 319.706 хиљада динара из буџета града. Исказани расход односи се на директног буџетског корисника у износу од </w:t>
      </w:r>
      <w:r>
        <w:rPr>
          <w:rFonts w:ascii="Times New Roman" w:hAnsi="Times New Roman"/>
          <w:sz w:val="24"/>
        </w:rPr>
        <w:t>318.711 </w:t>
      </w:r>
      <w:r>
        <w:rPr>
          <w:rFonts w:ascii="Times New Roman" w:hAnsi="Times New Roman"/>
          <w:sz w:val="24"/>
        </w:rPr>
        <w:t>хиљада динара и на индиректног буџетског корисника ЈП Дирекција у износу од 995 хиљада</w:t>
      </w:r>
      <w:r>
        <w:rPr>
          <w:rFonts w:ascii="Times New Roman" w:hAnsi="Times New Roman"/>
          <w:spacing w:val="-32"/>
          <w:sz w:val="24"/>
        </w:rPr>
        <w:t> </w:t>
      </w:r>
      <w:r>
        <w:rPr>
          <w:rFonts w:ascii="Times New Roman" w:hAnsi="Times New Roman"/>
          <w:sz w:val="24"/>
        </w:rPr>
        <w:t>динара.</w:t>
      </w:r>
    </w:p>
    <w:p>
      <w:pPr>
        <w:pStyle w:val="BodyText"/>
        <w:spacing w:line="240" w:lineRule="auto"/>
        <w:ind w:right="177" w:firstLine="566"/>
        <w:jc w:val="both"/>
        <w:rPr>
          <w:rFonts w:ascii="Times New Roman" w:hAnsi="Times New Roman" w:cs="Times New Roman" w:eastAsia="Times New Roman" w:hint="default"/>
        </w:rPr>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Остале опште услуге, субаналитички конто 423911 </w:t>
      </w:r>
      <w:r>
        <w:rPr/>
      </w:r>
      <w:r>
        <w:rPr>
          <w:rFonts w:ascii="Times New Roman" w:hAnsi="Times New Roman" w:cs="Times New Roman" w:eastAsia="Times New Roman" w:hint="default"/>
          <w:i/>
        </w:rPr>
        <w:t>– </w:t>
      </w:r>
      <w:r>
        <w:rPr/>
        <w:t>Исказан је расход у износу од 318.706 хиљада динара, од</w:t>
      </w:r>
      <w:r>
        <w:rPr>
          <w:spacing w:val="-5"/>
        </w:rPr>
        <w:t> </w:t>
      </w:r>
      <w:r>
        <w:rPr/>
        <w:t>чега</w:t>
      </w:r>
      <w:r>
        <w:rPr>
          <w:rFonts w:ascii="Times New Roman" w:hAnsi="Times New Roman" w:cs="Times New Roman" w:eastAsia="Times New Roman" w:hint="default"/>
        </w:rPr>
        <w:t>:</w:t>
      </w:r>
    </w:p>
    <w:p>
      <w:pPr>
        <w:pStyle w:val="ListParagraph"/>
        <w:numPr>
          <w:ilvl w:val="0"/>
          <w:numId w:val="34"/>
        </w:numPr>
        <w:tabs>
          <w:tab w:pos="1013" w:val="left" w:leader="none"/>
        </w:tabs>
        <w:spacing w:line="240" w:lineRule="auto" w:before="0" w:after="0"/>
        <w:ind w:left="160" w:right="182" w:firstLine="566"/>
        <w:jc w:val="both"/>
        <w:rPr>
          <w:rFonts w:ascii="Times New Roman" w:hAnsi="Times New Roman" w:cs="Times New Roman" w:eastAsia="Times New Roman" w:hint="default"/>
          <w:sz w:val="24"/>
          <w:szCs w:val="24"/>
        </w:rPr>
      </w:pPr>
      <w:r>
        <w:rPr>
          <w:rFonts w:ascii="Times New Roman" w:hAnsi="Times New Roman"/>
          <w:sz w:val="24"/>
        </w:rPr>
        <w:t>За реализацију интегрисаног система у јавном превозу извршен је расход у укупном износу од 92.366 хиљада динара и</w:t>
      </w:r>
      <w:r>
        <w:rPr>
          <w:rFonts w:ascii="Times New Roman" w:hAnsi="Times New Roman"/>
          <w:spacing w:val="-11"/>
          <w:sz w:val="24"/>
        </w:rPr>
        <w:t> </w:t>
      </w:r>
      <w:r>
        <w:rPr>
          <w:rFonts w:ascii="Times New Roman" w:hAnsi="Times New Roman"/>
          <w:sz w:val="24"/>
        </w:rPr>
        <w:t>то:</w:t>
      </w:r>
    </w:p>
    <w:p>
      <w:pPr>
        <w:pStyle w:val="ListParagraph"/>
        <w:numPr>
          <w:ilvl w:val="0"/>
          <w:numId w:val="12"/>
        </w:numPr>
        <w:tabs>
          <w:tab w:pos="4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износу од 72.171 хиљаде динара по основу Уговора о обављању комуналне делатности број 1860/2011</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21.06.2011. године закљученог са ЈКП „Дирекција за јавни превоз града Ниша“ и Анексима </w:t>
      </w:r>
      <w:r>
        <w:rPr>
          <w:rFonts w:ascii="Times New Roman" w:hAnsi="Times New Roman" w:cs="Times New Roman" w:eastAsia="Times New Roman" w:hint="default"/>
          <w:sz w:val="24"/>
          <w:szCs w:val="24"/>
        </w:rPr>
        <w:t>I </w:t>
      </w:r>
      <w:r>
        <w:rPr>
          <w:rFonts w:ascii="Times New Roman" w:hAnsi="Times New Roman" w:cs="Times New Roman" w:eastAsia="Times New Roman" w:hint="default"/>
          <w:sz w:val="24"/>
          <w:szCs w:val="24"/>
        </w:rPr>
        <w:t>од 08.06.2012. године до </w:t>
      </w:r>
      <w:r>
        <w:rPr>
          <w:rFonts w:ascii="Times New Roman" w:hAnsi="Times New Roman" w:cs="Times New Roman" w:eastAsia="Times New Roman" w:hint="default"/>
          <w:spacing w:val="-3"/>
          <w:sz w:val="24"/>
          <w:szCs w:val="24"/>
        </w:rPr>
        <w:t>IV </w:t>
      </w:r>
      <w:r>
        <w:rPr>
          <w:rFonts w:ascii="Times New Roman" w:hAnsi="Times New Roman" w:cs="Times New Roman" w:eastAsia="Times New Roman" w:hint="default"/>
          <w:sz w:val="24"/>
          <w:szCs w:val="24"/>
        </w:rPr>
        <w:t>од 19.09.2013. године и по рачунима за период од новембра 2013. до августа 2014. године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Чланом 9. закљученог уговора регулисано је да месечна накнада за период 01.01.2012. до 30.06.2016. године износи 6.400 хиљада динара са ПДВ, која је последњим Анексом I</w:t>
      </w:r>
      <w:r>
        <w:rPr>
          <w:rFonts w:ascii="Times New Roman" w:hAnsi="Times New Roman" w:cs="Times New Roman" w:eastAsia="Times New Roman" w:hint="default"/>
          <w:sz w:val="24"/>
          <w:szCs w:val="24"/>
        </w:rPr>
        <w:t>V </w:t>
      </w:r>
      <w:r>
        <w:rPr>
          <w:rFonts w:ascii="Times New Roman" w:hAnsi="Times New Roman" w:cs="Times New Roman" w:eastAsia="Times New Roman" w:hint="default"/>
          <w:sz w:val="24"/>
          <w:szCs w:val="24"/>
        </w:rPr>
        <w:t>увећана на износ од 8.007 хиљада динара с почетком примене од октобра 2013.</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године</w:t>
      </w:r>
      <w:r>
        <w:rPr>
          <w:rFonts w:ascii="Times New Roman" w:hAnsi="Times New Roman" w:cs="Times New Roman" w:eastAsia="Times New Roman" w:hint="default"/>
          <w:sz w:val="24"/>
          <w:szCs w:val="24"/>
        </w:rPr>
        <w:t>;</w:t>
      </w:r>
    </w:p>
    <w:p>
      <w:pPr>
        <w:pStyle w:val="ListParagraph"/>
        <w:numPr>
          <w:ilvl w:val="0"/>
          <w:numId w:val="12"/>
        </w:numPr>
        <w:tabs>
          <w:tab w:pos="403" w:val="left" w:leader="none"/>
        </w:tabs>
        <w:spacing w:line="240" w:lineRule="auto" w:before="0"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износу од 20.195 хиљада динара по основу Уговора о обављању комуналне делатности јавног градског и приградског превоза путника на територији града Ниша број 3635/2014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28.10.2014. године закљученог са ЈКП „Дирекција за јавни превоз града Ниша“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Ставом 2. члана 8. наведеног уговора Град се обавезује да ЈКП „Дирекција за јавни превоз града Ниша“ месечно преноси накнаду у износу од 8.400 хиљада динара са ПДВ, а уколико су укупно прикупљена средства од продаје појединачних, полумесечних и месечних карата за одређени месец већа од износа збирног рачуна, односно обрачуна, разликом ће се измирити део обавезе које град има према</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Дирекцији</w:t>
      </w:r>
      <w:r>
        <w:rPr>
          <w:rFonts w:ascii="Times New Roman" w:hAnsi="Times New Roman" w:cs="Times New Roman" w:eastAsia="Times New Roman" w:hint="default"/>
          <w:sz w:val="24"/>
          <w:szCs w:val="24"/>
        </w:rPr>
        <w:t>.</w:t>
      </w:r>
    </w:p>
    <w:p>
      <w:pPr>
        <w:pStyle w:val="ListParagraph"/>
        <w:numPr>
          <w:ilvl w:val="0"/>
          <w:numId w:val="34"/>
        </w:numPr>
        <w:tabs>
          <w:tab w:pos="1013" w:val="left" w:leader="none"/>
        </w:tabs>
        <w:spacing w:line="240" w:lineRule="auto" w:before="0" w:after="0"/>
        <w:ind w:left="160" w:right="170" w:firstLine="566"/>
        <w:jc w:val="both"/>
        <w:rPr>
          <w:rFonts w:ascii="Times New Roman" w:hAnsi="Times New Roman" w:cs="Times New Roman" w:eastAsia="Times New Roman" w:hint="default"/>
          <w:sz w:val="24"/>
          <w:szCs w:val="24"/>
        </w:rPr>
      </w:pPr>
      <w:r>
        <w:rPr>
          <w:rFonts w:ascii="Times New Roman" w:hAnsi="Times New Roman"/>
          <w:sz w:val="24"/>
        </w:rPr>
        <w:t>За накнаду за извршене услуге продаје карата преко кондуктера и њихову организацију извршен је расход у укупном износу од 226.117 хиљада динара и</w:t>
      </w:r>
      <w:r>
        <w:rPr>
          <w:rFonts w:ascii="Times New Roman" w:hAnsi="Times New Roman"/>
          <w:spacing w:val="-19"/>
          <w:sz w:val="24"/>
        </w:rPr>
        <w:t> </w:t>
      </w:r>
      <w:r>
        <w:rPr>
          <w:rFonts w:ascii="Times New Roman" w:hAnsi="Times New Roman"/>
          <w:sz w:val="24"/>
        </w:rPr>
        <w:t>то</w:t>
      </w:r>
      <w:r>
        <w:rPr>
          <w:rFonts w:ascii="Times New Roman" w:hAnsi="Times New Roman"/>
          <w:sz w:val="24"/>
        </w:rPr>
        <w:t>:</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ListParagraph"/>
        <w:numPr>
          <w:ilvl w:val="0"/>
          <w:numId w:val="12"/>
        </w:numPr>
        <w:tabs>
          <w:tab w:pos="358" w:val="left" w:leader="none"/>
        </w:tabs>
        <w:spacing w:line="240" w:lineRule="auto" w:before="122"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износу од 55.097 хиљада динара на основу закључених Споразума о вансудским поравнањима за неизмирен </w:t>
      </w:r>
      <w:r>
        <w:rPr>
          <w:rFonts w:ascii="Times New Roman" w:hAnsi="Times New Roman" w:cs="Times New Roman" w:eastAsia="Times New Roman" w:hint="default"/>
          <w:spacing w:val="-2"/>
          <w:sz w:val="24"/>
          <w:szCs w:val="24"/>
        </w:rPr>
        <w:t>дуг </w:t>
      </w:r>
      <w:r>
        <w:rPr>
          <w:rFonts w:ascii="Times New Roman" w:hAnsi="Times New Roman" w:cs="Times New Roman" w:eastAsia="Times New Roman" w:hint="default"/>
          <w:sz w:val="24"/>
          <w:szCs w:val="24"/>
        </w:rPr>
        <w:t>из периода од јуна 2012. године до 31.08.2013. године са: </w:t>
      </w:r>
      <w:r>
        <w:rPr>
          <w:rFonts w:ascii="Times New Roman" w:hAnsi="Times New Roman" w:cs="Times New Roman" w:eastAsia="Times New Roman" w:hint="default"/>
          <w:sz w:val="24"/>
          <w:szCs w:val="24"/>
        </w:rPr>
        <w:t>ЈП „Аеродром Ниш“ Ниш у износу од 7.710 хиљада динара, са „Лекон“ доо Београд у износу од 18.988 хиљада динара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„Транспродукт</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бус превоз“ доо    </w:t>
      </w:r>
      <w:r>
        <w:rPr>
          <w:rFonts w:ascii="Times New Roman" w:hAnsi="Times New Roman" w:cs="Times New Roman" w:eastAsia="Times New Roman" w:hint="default"/>
          <w:spacing w:val="2"/>
          <w:sz w:val="24"/>
          <w:szCs w:val="24"/>
        </w:rPr>
        <w:t> </w:t>
      </w:r>
      <w:r>
        <w:rPr>
          <w:rFonts w:ascii="Times New Roman" w:hAnsi="Times New Roman" w:cs="Times New Roman" w:eastAsia="Times New Roman" w:hint="default"/>
          <w:sz w:val="24"/>
          <w:szCs w:val="24"/>
        </w:rPr>
        <w:t>Београд  у износу од</w:t>
      </w:r>
    </w:p>
    <w:p>
      <w:pPr>
        <w:pStyle w:val="BodyText"/>
        <w:spacing w:line="240" w:lineRule="auto"/>
        <w:ind w:right="0"/>
        <w:jc w:val="both"/>
        <w:rPr>
          <w:rFonts w:ascii="Times New Roman" w:hAnsi="Times New Roman" w:cs="Times New Roman" w:eastAsia="Times New Roman" w:hint="default"/>
        </w:rPr>
      </w:pPr>
      <w:r>
        <w:rPr/>
        <w:t>10.253 хиљаде динара и „Ћурдић“ доо Београд у износу од 18.146 хиљада</w:t>
      </w:r>
      <w:r>
        <w:rPr>
          <w:spacing w:val="-14"/>
        </w:rPr>
        <w:t> </w:t>
      </w:r>
      <w:r>
        <w:rPr/>
        <w:t>динара</w:t>
      </w:r>
      <w:r>
        <w:rPr>
          <w:rFonts w:ascii="Times New Roman" w:hAnsi="Times New Roman" w:cs="Times New Roman" w:eastAsia="Times New Roman" w:hint="default"/>
        </w:rPr>
        <w:t>,</w:t>
      </w:r>
    </w:p>
    <w:p>
      <w:pPr>
        <w:pStyle w:val="ListParagraph"/>
        <w:numPr>
          <w:ilvl w:val="0"/>
          <w:numId w:val="12"/>
        </w:numPr>
        <w:tabs>
          <w:tab w:pos="336"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износу од 40.600 хиљада динара на основу испостављених рачуна ЈП Дирекција за јавни превоз за рад кондуктера код превозника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ЈП „Аеродром“ у износу од 9.818 хиљада динара за период од септембра 2013. године до августа 2014. године и „Ниш експрес“ ад Ниш у износу од 30.782 хиљаде динара за период од новембра 2013. године до априла 2014. године и за месец август 2014.</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године,</w:t>
      </w:r>
    </w:p>
    <w:p>
      <w:pPr>
        <w:pStyle w:val="ListParagraph"/>
        <w:numPr>
          <w:ilvl w:val="0"/>
          <w:numId w:val="12"/>
        </w:numPr>
        <w:tabs>
          <w:tab w:pos="346"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износу од 130.420 хиљада динара за принудну наплату трошкова рада кондуктера запослених код превозника по Решењу о извршењу извршних поверилаца – превозника и то: „Ниш експрес“ ад Ниш у укупном износу од </w:t>
      </w:r>
      <w:r>
        <w:rPr>
          <w:rFonts w:ascii="Times New Roman" w:hAnsi="Times New Roman" w:cs="Times New Roman" w:eastAsia="Times New Roman" w:hint="default"/>
          <w:sz w:val="24"/>
          <w:szCs w:val="24"/>
        </w:rPr>
        <w:t>51.039 </w:t>
      </w:r>
      <w:r>
        <w:rPr>
          <w:rFonts w:ascii="Times New Roman" w:hAnsi="Times New Roman" w:cs="Times New Roman" w:eastAsia="Times New Roman" w:hint="default"/>
          <w:sz w:val="24"/>
          <w:szCs w:val="24"/>
        </w:rPr>
        <w:t>хиљада динара, „Транспродукт</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бус превоз“ доо Београд у укупном износу од 30.975 хиљада динара и „Ћурдић“ доо Београд у износу од 48.406 хиљада</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Извршен је расход у износу од </w:t>
      </w:r>
      <w:r>
        <w:rPr>
          <w:rFonts w:ascii="Times New Roman" w:hAnsi="Times New Roman" w:cs="Times New Roman" w:eastAsia="Times New Roman" w:hint="default"/>
          <w:sz w:val="24"/>
          <w:szCs w:val="24"/>
        </w:rPr>
        <w:t>13.919 </w:t>
      </w:r>
      <w:r>
        <w:rPr>
          <w:rFonts w:ascii="Times New Roman" w:hAnsi="Times New Roman" w:cs="Times New Roman" w:eastAsia="Times New Roman" w:hint="default"/>
          <w:sz w:val="24"/>
          <w:szCs w:val="24"/>
        </w:rPr>
        <w:t>хиљада динара за услуге реализације интегрисаног тарифног система у јавном превозу пружене у септембру 2014. године, а Уговор број </w:t>
      </w:r>
      <w:r>
        <w:rPr>
          <w:rFonts w:ascii="Times New Roman" w:hAnsi="Times New Roman" w:cs="Times New Roman" w:eastAsia="Times New Roman" w:hint="default"/>
          <w:sz w:val="24"/>
          <w:szCs w:val="24"/>
        </w:rPr>
        <w:t>3635/2014-01 </w:t>
      </w:r>
      <w:r>
        <w:rPr>
          <w:rFonts w:ascii="Times New Roman" w:hAnsi="Times New Roman" w:cs="Times New Roman" w:eastAsia="Times New Roman" w:hint="default"/>
          <w:sz w:val="24"/>
          <w:szCs w:val="24"/>
        </w:rPr>
        <w:t>о обављању комуналне делатности јавног градског и приградског превоза путника на територији града Ниша закључен је 28.10.2014. године са ЈКП „Дирекција за јавни превоз града Ниша“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тако да су преузете и плаћене обавезе за превоз за период пре закључења уговора о обављању истих, односно без основа, што је супротно члану 56. и 58. Закона о буџетском</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систему.</w:t>
      </w:r>
    </w:p>
    <w:p>
      <w:pPr>
        <w:pStyle w:val="ListParagraph"/>
        <w:numPr>
          <w:ilvl w:val="0"/>
          <w:numId w:val="9"/>
        </w:numPr>
        <w:tabs>
          <w:tab w:pos="303"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Извршен је расход у укупном износу од 22.072 хиљаде динара и то у износу од 7.303 хиљаде динара за услугу реализације интегрисаног система у јавном превозу по Захтеву за плаћање Управе за комуналне делатаности, енергетику и саобраћај број 1264/2014</w:t>
      </w:r>
      <w:r>
        <w:rPr>
          <w:rFonts w:ascii="Times New Roman" w:hAnsi="Times New Roman"/>
          <w:sz w:val="24"/>
        </w:rPr>
        <w:t>-09 </w:t>
      </w:r>
      <w:r>
        <w:rPr>
          <w:rFonts w:ascii="Times New Roman" w:hAnsi="Times New Roman"/>
          <w:sz w:val="24"/>
        </w:rPr>
        <w:t>од 12.03.2014. године и у износу од 14.769 хиљада динара на име накнаде за рад кондуктера по Захтевима Управе за комуналне делатности број 4272/2014</w:t>
      </w:r>
      <w:r>
        <w:rPr>
          <w:rFonts w:ascii="Times New Roman" w:hAnsi="Times New Roman"/>
          <w:sz w:val="24"/>
        </w:rPr>
        <w:t>-09, 4273/2014- </w:t>
      </w:r>
      <w:r>
        <w:rPr>
          <w:rFonts w:ascii="Times New Roman" w:hAnsi="Times New Roman"/>
          <w:sz w:val="24"/>
        </w:rPr>
        <w:t>09 и 4274/2014</w:t>
      </w:r>
      <w:r>
        <w:rPr>
          <w:rFonts w:ascii="Times New Roman" w:hAnsi="Times New Roman"/>
          <w:sz w:val="24"/>
        </w:rPr>
        <w:t>-</w:t>
      </w:r>
      <w:r>
        <w:rPr>
          <w:rFonts w:ascii="Times New Roman" w:hAnsi="Times New Roman"/>
          <w:sz w:val="24"/>
        </w:rPr>
        <w:t>09 од 07.11.2014. године који нису оверени потписима одговорних лица Управе за финансије, изворне приходе локалне самоуправе и јавне набавке у делу одобрења за плаћање, што је супротно члану 58. Закона о буџетском систему</w:t>
      </w:r>
      <w:r>
        <w:rPr>
          <w:rFonts w:ascii="Times New Roman" w:hAnsi="Times New Roman"/>
          <w:sz w:val="24"/>
        </w:rPr>
        <w:t>, </w:t>
      </w:r>
      <w:r>
        <w:rPr>
          <w:rFonts w:ascii="Times New Roman" w:hAnsi="Times New Roman"/>
          <w:sz w:val="24"/>
        </w:rPr>
        <w:t>члану 16. Уредбе о буџетском рачуноводству и Упутству о раду трезора града</w:t>
      </w:r>
      <w:r>
        <w:rPr>
          <w:rFonts w:ascii="Times New Roman" w:hAnsi="Times New Roman"/>
          <w:spacing w:val="-14"/>
          <w:sz w:val="24"/>
        </w:rPr>
        <w:t> </w:t>
      </w:r>
      <w:r>
        <w:rPr>
          <w:rFonts w:ascii="Times New Roman" w:hAnsi="Times New Roman"/>
          <w:sz w:val="24"/>
        </w:rPr>
        <w:t>Ниша</w:t>
      </w:r>
      <w:r>
        <w:rPr>
          <w:rFonts w:ascii="Times New Roman" w:hAnsi="Times New Roman"/>
          <w:sz w:val="24"/>
        </w:rPr>
        <w:t>.</w:t>
      </w:r>
    </w:p>
    <w:p>
      <w:pPr>
        <w:pStyle w:val="ListParagraph"/>
        <w:numPr>
          <w:ilvl w:val="0"/>
          <w:numId w:val="9"/>
        </w:numPr>
        <w:tabs>
          <w:tab w:pos="303" w:val="left" w:leader="none"/>
        </w:tabs>
        <w:spacing w:line="240" w:lineRule="auto" w:before="2" w:after="0"/>
        <w:ind w:left="160" w:right="170" w:firstLine="0"/>
        <w:jc w:val="both"/>
        <w:rPr>
          <w:rFonts w:ascii="Times New Roman" w:hAnsi="Times New Roman" w:cs="Times New Roman" w:eastAsia="Times New Roman" w:hint="default"/>
          <w:sz w:val="24"/>
          <w:szCs w:val="24"/>
        </w:rPr>
      </w:pPr>
      <w:r>
        <w:rPr>
          <w:rFonts w:ascii="Times New Roman" w:hAnsi="Times New Roman"/>
          <w:sz w:val="24"/>
        </w:rPr>
        <w:t>У пословним књигама Управе за комуналне делатности, енергетику и саобраћај обавезе по рачунима број 418</w:t>
      </w:r>
      <w:r>
        <w:rPr>
          <w:rFonts w:ascii="Times New Roman" w:hAnsi="Times New Roman"/>
          <w:sz w:val="24"/>
        </w:rPr>
        <w:t>-</w:t>
      </w:r>
      <w:r>
        <w:rPr>
          <w:rFonts w:ascii="Times New Roman" w:hAnsi="Times New Roman"/>
          <w:sz w:val="24"/>
        </w:rPr>
        <w:t>14003 од 28.02.2014. године, 418</w:t>
      </w:r>
      <w:r>
        <w:rPr>
          <w:rFonts w:ascii="Times New Roman" w:hAnsi="Times New Roman"/>
          <w:sz w:val="24"/>
        </w:rPr>
        <w:t>-</w:t>
      </w:r>
      <w:r>
        <w:rPr>
          <w:rFonts w:ascii="Times New Roman" w:hAnsi="Times New Roman"/>
          <w:sz w:val="24"/>
        </w:rPr>
        <w:t>14006 од 31.03.2014. године и  број 418</w:t>
      </w:r>
      <w:r>
        <w:rPr>
          <w:rFonts w:ascii="Times New Roman" w:hAnsi="Times New Roman"/>
          <w:sz w:val="24"/>
        </w:rPr>
        <w:t>-</w:t>
      </w:r>
      <w:r>
        <w:rPr>
          <w:rFonts w:ascii="Times New Roman" w:hAnsi="Times New Roman"/>
          <w:sz w:val="24"/>
        </w:rPr>
        <w:t>14008 од 30.04.2014. године за накнаду за рад кондуктера евидентиране су у тренутку њиховог измирења, што је супротно члану 16. Уредбе о буџетском рачуноводству.</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Рачуни за услуге реализације интегрисаног система у јавном превозу број </w:t>
      </w:r>
      <w:r>
        <w:rPr>
          <w:rFonts w:ascii="Times New Roman" w:hAnsi="Times New Roman"/>
          <w:sz w:val="24"/>
        </w:rPr>
        <w:t>00012/13 001 </w:t>
      </w:r>
      <w:r>
        <w:rPr>
          <w:rFonts w:ascii="Times New Roman" w:hAnsi="Times New Roman"/>
          <w:sz w:val="24"/>
        </w:rPr>
        <w:t>од 31.12.2013. године у износу од 8.007 хиљада динара, број 3/14 001 од 28.02.2014. године у износу од 8.007 хиљада динара, број 00009/14 001 од 31.05.2014. године у износу од  8.007  хиљада  динара,  број  00021/14   001  од  30.09.2014.  године</w:t>
      </w:r>
      <w:r>
        <w:rPr>
          <w:rFonts w:ascii="Times New Roman" w:hAnsi="Times New Roman"/>
          <w:spacing w:val="-20"/>
          <w:sz w:val="24"/>
        </w:rPr>
        <w:t> </w:t>
      </w:r>
      <w:r>
        <w:rPr>
          <w:rFonts w:ascii="Times New Roman" w:hAnsi="Times New Roman"/>
          <w:sz w:val="24"/>
        </w:rPr>
        <w:t>у износу од</w:t>
      </w:r>
    </w:p>
    <w:p>
      <w:pPr>
        <w:pStyle w:val="BodyText"/>
        <w:spacing w:line="240" w:lineRule="auto"/>
        <w:ind w:right="173"/>
        <w:jc w:val="both"/>
      </w:pPr>
      <w:r>
        <w:rPr/>
        <w:t>8.400 хиљада динара, 00023/14 001 од 31.10.2014. године у износу од 8.400 хиљада динара, број 00022/14 001 од 30.09.2014. године у износу од 5.756 хиљада динара, број 00025/14 001 од 31.10.2014. године у износу од 4.276 хиљада динара, број 00026/14 001  од 30.09.2014. године у износу од 163 хиљаде динара; рачуни за услугу продаје карата преко кондуктера број 418</w:t>
      </w:r>
      <w:r>
        <w:rPr>
          <w:rFonts w:ascii="Times New Roman" w:hAnsi="Times New Roman"/>
        </w:rPr>
        <w:t>-</w:t>
      </w:r>
      <w:r>
        <w:rPr/>
        <w:t>14003 од 28.02.2014. године, 418</w:t>
      </w:r>
      <w:r>
        <w:rPr>
          <w:rFonts w:ascii="Times New Roman" w:hAnsi="Times New Roman"/>
        </w:rPr>
        <w:t>-</w:t>
      </w:r>
      <w:r>
        <w:rPr/>
        <w:t>14006 од 31.03.2014.  </w:t>
      </w:r>
      <w:r>
        <w:rPr>
          <w:spacing w:val="17"/>
        </w:rPr>
        <w:t> </w:t>
      </w:r>
      <w:r>
        <w:rPr/>
        <w:t>године</w:t>
      </w:r>
    </w:p>
    <w:p>
      <w:pPr>
        <w:spacing w:after="0" w:line="240" w:lineRule="auto"/>
        <w:jc w:val="both"/>
        <w:sectPr>
          <w:pgSz w:w="12240" w:h="15840"/>
          <w:pgMar w:header="740" w:footer="1274" w:top="1280" w:bottom="1460" w:left="1400" w:right="1260"/>
        </w:sectPr>
      </w:pPr>
    </w:p>
    <w:p>
      <w:pPr>
        <w:pStyle w:val="BodyText"/>
        <w:spacing w:line="240" w:lineRule="auto" w:before="122"/>
        <w:ind w:right="177"/>
        <w:jc w:val="both"/>
      </w:pPr>
      <w:r>
        <w:rPr/>
        <w:t>и број 418</w:t>
      </w:r>
      <w:r>
        <w:rPr>
          <w:rFonts w:ascii="Times New Roman" w:hAnsi="Times New Roman"/>
        </w:rPr>
        <w:t>-</w:t>
      </w:r>
      <w:r>
        <w:rPr/>
        <w:t>14008 од 30.04.2014. године у износу од по 4.923 хиљаде динара, нису потписани од стране лица које је исправу контролисало и лица одговорног за насталу пословну промену, што је супротно члану 58. Закона о буџетском систему и члану 16. Уредбе о буџетском</w:t>
      </w:r>
      <w:r>
        <w:rPr>
          <w:spacing w:val="-11"/>
        </w:rPr>
        <w:t> </w:t>
      </w:r>
      <w:r>
        <w:rPr/>
        <w:t>рачуноводству.</w:t>
      </w:r>
    </w:p>
    <w:p>
      <w:pPr>
        <w:pStyle w:val="ListParagraph"/>
        <w:numPr>
          <w:ilvl w:val="0"/>
          <w:numId w:val="9"/>
        </w:numPr>
        <w:tabs>
          <w:tab w:pos="303"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је евидентиран расход у износу од 892 хиљаде динара на име трошкова извршења по Закључку број Изв.4770/13 од 10.01.2014. године уместо на групи 483000 – новчане казне и пенали по решењу судова, што је супротно Уредби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систем.</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Извештају о реализацији достављеном од стране ЈКП „Дирекција за јавни превоз града Ниша“, </w:t>
      </w:r>
      <w:r>
        <w:rPr>
          <w:rFonts w:ascii="Times New Roman" w:hAnsi="Times New Roman" w:cs="Times New Roman" w:eastAsia="Times New Roman" w:hint="default"/>
          <w:spacing w:val="-4"/>
          <w:sz w:val="24"/>
          <w:szCs w:val="24"/>
        </w:rPr>
        <w:t>уз </w:t>
      </w:r>
      <w:r>
        <w:rPr>
          <w:rFonts w:ascii="Times New Roman" w:hAnsi="Times New Roman" w:cs="Times New Roman" w:eastAsia="Times New Roman" w:hint="default"/>
          <w:sz w:val="24"/>
          <w:szCs w:val="24"/>
        </w:rPr>
        <w:t>рачун број 3/14 001 од 28.02.2014. године за фебруар 2014. године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истакнуто је да превозници део прихода од продаје појединачних карата задржавају на својим рачунима, што је супротно члану 21. Уговора о поверавању обављања комуналне делатности превоза путника у градском и приградском саобраћају на територији Града Ниша које је Град закључио са превозницима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„Лекон“ доо Београд број 06</w:t>
      </w:r>
      <w:r>
        <w:rPr>
          <w:rFonts w:ascii="Times New Roman" w:hAnsi="Times New Roman" w:cs="Times New Roman" w:eastAsia="Times New Roman" w:hint="default"/>
          <w:sz w:val="24"/>
          <w:szCs w:val="24"/>
        </w:rPr>
        <w:t>-198/2008-02 </w:t>
      </w:r>
      <w:r>
        <w:rPr>
          <w:rFonts w:ascii="Times New Roman" w:hAnsi="Times New Roman" w:cs="Times New Roman" w:eastAsia="Times New Roman" w:hint="default"/>
          <w:sz w:val="24"/>
          <w:szCs w:val="24"/>
        </w:rPr>
        <w:t>од 09.05.2008. године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„Транспродукт</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бус превоз“ доо Београд број 06</w:t>
      </w:r>
      <w:r>
        <w:rPr>
          <w:rFonts w:ascii="Times New Roman" w:hAnsi="Times New Roman" w:cs="Times New Roman" w:eastAsia="Times New Roman" w:hint="default"/>
          <w:sz w:val="24"/>
          <w:szCs w:val="24"/>
        </w:rPr>
        <w:t>-197/2008-</w:t>
      </w:r>
      <w:r>
        <w:rPr>
          <w:rFonts w:ascii="Times New Roman" w:hAnsi="Times New Roman" w:cs="Times New Roman" w:eastAsia="Times New Roman" w:hint="default"/>
          <w:sz w:val="24"/>
          <w:szCs w:val="24"/>
        </w:rPr>
        <w:t>02 од 09.05.2008. године и број 139/2010</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22.01.2010. године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„Ћурдић“ доо Београд број </w:t>
      </w:r>
      <w:r>
        <w:rPr>
          <w:rFonts w:ascii="Times New Roman" w:hAnsi="Times New Roman" w:cs="Times New Roman" w:eastAsia="Times New Roman" w:hint="default"/>
          <w:sz w:val="24"/>
          <w:szCs w:val="24"/>
        </w:rPr>
        <w:t>06-196/2008-</w:t>
      </w:r>
      <w:r>
        <w:rPr>
          <w:rFonts w:ascii="Times New Roman" w:hAnsi="Times New Roman" w:cs="Times New Roman" w:eastAsia="Times New Roman" w:hint="default"/>
          <w:sz w:val="24"/>
          <w:szCs w:val="24"/>
        </w:rPr>
        <w:t>02 од 09.05.2008. године и „Ниш експрес“ ад Ниш број 06</w:t>
      </w:r>
      <w:r>
        <w:rPr>
          <w:rFonts w:ascii="Times New Roman" w:hAnsi="Times New Roman" w:cs="Times New Roman" w:eastAsia="Times New Roman" w:hint="default"/>
          <w:sz w:val="24"/>
          <w:szCs w:val="24"/>
        </w:rPr>
        <w:t>-195/2008-</w:t>
      </w:r>
      <w:r>
        <w:rPr>
          <w:rFonts w:ascii="Times New Roman" w:hAnsi="Times New Roman" w:cs="Times New Roman" w:eastAsia="Times New Roman" w:hint="default"/>
          <w:sz w:val="24"/>
          <w:szCs w:val="24"/>
        </w:rPr>
        <w:t>02 од 09.05.2008. године и члану 22. Уговора о поверавању обављања комуналне делатности превоза путника у градском саобраћају на територији Града Ниша број 1334/2009</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02.06.2009. године закљученог са „Аеродром Ниш“</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Ниш</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Извештају о извршавању осталих уговорних обавеза датом од стране ЈКП „Дирекција за јавни превоз града Ниша“ </w:t>
      </w:r>
      <w:r>
        <w:rPr>
          <w:rFonts w:ascii="Times New Roman" w:hAnsi="Times New Roman" w:cs="Times New Roman" w:eastAsia="Times New Roman" w:hint="default"/>
          <w:spacing w:val="-4"/>
          <w:sz w:val="24"/>
          <w:szCs w:val="24"/>
        </w:rPr>
        <w:t>уз </w:t>
      </w:r>
      <w:r>
        <w:rPr>
          <w:rFonts w:ascii="Times New Roman" w:hAnsi="Times New Roman" w:cs="Times New Roman" w:eastAsia="Times New Roman" w:hint="default"/>
          <w:sz w:val="24"/>
          <w:szCs w:val="24"/>
        </w:rPr>
        <w:t>рачун број 00023/14 001 од 31.10.2014. године за месец </w:t>
      </w:r>
      <w:r>
        <w:rPr>
          <w:rFonts w:ascii="Times New Roman" w:hAnsi="Times New Roman" w:cs="Times New Roman" w:eastAsia="Times New Roman" w:hint="default"/>
          <w:sz w:val="24"/>
          <w:szCs w:val="24"/>
        </w:rPr>
        <w:t>октобар 2014. године напоменуто је да долази до непоштовања уговорних обавеза од стране превозника „Ниш експрес“ ад Ниш и „Ћурдић“ доо Београд</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јер није испоштована одредба члана 23. Уговора о јавно</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приватном партнерству у области пружања услуга градског   и   приградског   превоза   путника   на   територији   града  Ниша   које   је</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ЈКП</w:t>
      </w:r>
    </w:p>
    <w:p>
      <w:pPr>
        <w:pStyle w:val="BodyText"/>
        <w:spacing w:line="240" w:lineRule="auto"/>
        <w:ind w:right="173"/>
        <w:jc w:val="both"/>
      </w:pPr>
      <w:r>
        <w:rPr/>
        <w:t>„Дирекција за јавни превоз града Ниша“ закључила са „Ниш експрес“ ад Ниш број ЈН </w:t>
      </w:r>
      <w:r>
        <w:rPr>
          <w:rFonts w:ascii="Times New Roman" w:hAnsi="Times New Roman" w:cs="Times New Roman" w:eastAsia="Times New Roman" w:hint="default"/>
        </w:rPr>
        <w:t>02/14-</w:t>
      </w:r>
      <w:r>
        <w:rPr/>
        <w:t>39 од 28.08.2014. године и „Ћурдић“ доо Београд број ЈНПП 09/14</w:t>
      </w:r>
      <w:r>
        <w:rPr>
          <w:rFonts w:ascii="Times New Roman" w:hAnsi="Times New Roman" w:cs="Times New Roman" w:eastAsia="Times New Roman" w:hint="default"/>
        </w:rPr>
        <w:t>-</w:t>
      </w:r>
      <w:r>
        <w:rPr/>
        <w:t>10 од  30.08.2014. године, којом је уговорена обавеза превозника да приход од продаје појединачних карата уплати на рачун ЈКП „Дирекција за јавни превоз града</w:t>
      </w:r>
      <w:r>
        <w:rPr>
          <w:spacing w:val="-23"/>
        </w:rPr>
        <w:t> </w:t>
      </w:r>
      <w:r>
        <w:rPr/>
        <w:t>Ниша“.</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вези закључених вансудских поравнања са превозницима, податке о обавези Града према превозницима и основу обавезе, смо добили од ЈКП „Дирекција за превоз града Ниша“. Управа за комуналне делатности, енергетику и саобраћај, Управа за привреду, одрживи развој и заштиту животне средине, Управа за финансије, изворне приходе локалне самоуправе и јавне набавке и Градско јавно правообранилаштво нису располагали подацима о основу обавезе Града према</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превозницима.</w:t>
      </w:r>
    </w:p>
    <w:p>
      <w:pPr>
        <w:pStyle w:val="ListParagraph"/>
        <w:numPr>
          <w:ilvl w:val="0"/>
          <w:numId w:val="9"/>
        </w:numPr>
        <w:tabs>
          <w:tab w:pos="303" w:val="left" w:leader="none"/>
        </w:tabs>
        <w:spacing w:line="237" w:lineRule="auto" w:before="4"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Град преко надлежних управа не прати реализацију закључених Уговора и не врши контролу обрачуна трошкова превоза које врши ЈКП „Дирекција за јавни превоз града Ниша“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па постоји ризик од злоупотребе буџетских</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средстава</w:t>
      </w:r>
      <w:r>
        <w:rPr>
          <w:rFonts w:ascii="Times New Roman" w:hAnsi="Times New Roman" w:cs="Times New Roman" w:eastAsia="Times New Roman" w:hint="default"/>
          <w:sz w:val="24"/>
          <w:szCs w:val="24"/>
        </w:rPr>
        <w:t>.</w:t>
      </w:r>
    </w:p>
    <w:p>
      <w:pPr>
        <w:pStyle w:val="Heading2"/>
        <w:spacing w:line="240" w:lineRule="auto"/>
        <w:ind w:right="177"/>
        <w:jc w:val="both"/>
        <w:rPr>
          <w:b w:val="0"/>
          <w:bCs w:val="0"/>
          <w:i w:val="0"/>
        </w:rPr>
      </w:pPr>
      <w:r>
        <w:rPr>
          <w:i/>
        </w:rPr>
        <w:t>Препоручује се одговорним лицима да обезбеде основ за сваки расход из буџета, обезбеде валидну документацију за сваки расход из буџета, обезбеде правилну примену одредби Уредбе о буџетском рачуноводству и Правилника о стандардном класификационом оквиру и контном плану за буџетски систем, обезбеде основ за сваки расход из буџета и прате и контролишу основ дуговања и реализацију закључених</w:t>
      </w:r>
      <w:r>
        <w:rPr>
          <w:i/>
          <w:spacing w:val="-5"/>
        </w:rPr>
        <w:t> </w:t>
      </w:r>
      <w:r>
        <w:rPr>
          <w:i/>
        </w:rPr>
        <w:t>уговора.</w:t>
      </w:r>
      <w:r>
        <w:rPr>
          <w:b w:val="0"/>
          <w:i w:val="0"/>
        </w:rPr>
      </w:r>
    </w:p>
    <w:p>
      <w:pPr>
        <w:spacing w:after="0" w:line="240" w:lineRule="auto"/>
        <w:jc w:val="both"/>
        <w:sectPr>
          <w:footerReference w:type="default" r:id="rId67"/>
          <w:pgSz w:w="12240" w:h="15840"/>
          <w:pgMar w:footer="1274" w:header="740" w:top="1280" w:bottom="1460" w:left="1400" w:right="1260"/>
          <w:pgNumType w:start="120"/>
        </w:sectPr>
      </w:pPr>
    </w:p>
    <w:p>
      <w:pPr>
        <w:pStyle w:val="BodyText"/>
        <w:spacing w:line="240" w:lineRule="auto" w:before="122"/>
        <w:ind w:right="175" w:firstLine="566"/>
        <w:jc w:val="both"/>
      </w:pPr>
      <w:r>
        <w:rPr>
          <w:rFonts w:ascii="Times New Roman" w:hAnsi="Times New Roman"/>
          <w:b/>
        </w:rPr>
        <w:t>9a) </w:t>
      </w:r>
      <w:r>
        <w:rPr>
          <w:rFonts w:ascii="Times New Roman" w:hAnsi="Times New Roman"/>
          <w:b/>
        </w:rPr>
        <w:t>ЈП Дирекција </w:t>
      </w:r>
      <w:r>
        <w:rPr>
          <w:rFonts w:ascii="Times New Roman" w:hAnsi="Times New Roman"/>
          <w:b/>
        </w:rPr>
        <w:t>- </w:t>
      </w:r>
      <w:r>
        <w:rPr/>
        <w:t>Исказано је извршење у укупном износу од </w:t>
      </w:r>
      <w:r>
        <w:rPr>
          <w:rFonts w:ascii="Times New Roman" w:hAnsi="Times New Roman"/>
        </w:rPr>
        <w:t>995 </w:t>
      </w:r>
      <w:r>
        <w:rPr/>
        <w:t>хиљада динара и то за: компјутерске услуге у износу од 320 хиљада динара, услуге образовања и усавршавања запослених у износу од 22 хиљаде динара, стручне услуге у износу од 489 хиљада динара, услуге за домаћинство и угоститељство у износу од 54 хиљаде динара, репрезентацију у износу од 95 хиљада динара и остале опште услуге у износу од 15 хиљада</w:t>
      </w:r>
      <w:r>
        <w:rPr>
          <w:spacing w:val="-3"/>
        </w:rPr>
        <w:t> </w:t>
      </w:r>
      <w:r>
        <w:rPr/>
        <w:t>динара.</w:t>
      </w:r>
    </w:p>
    <w:p>
      <w:pPr>
        <w:pStyle w:val="BodyText"/>
        <w:spacing w:line="240" w:lineRule="auto"/>
        <w:ind w:left="726" w:right="141"/>
        <w:jc w:val="left"/>
        <w:rPr>
          <w:rFonts w:ascii="Times New Roman" w:hAnsi="Times New Roman" w:cs="Times New Roman" w:eastAsia="Times New Roman" w:hint="default"/>
        </w:rPr>
      </w:pPr>
      <w:r>
        <w:rPr/>
        <w:t>На основу ревизије узорковане документације нису утврђене</w:t>
      </w:r>
      <w:r>
        <w:rPr>
          <w:spacing w:val="-16"/>
        </w:rPr>
        <w:t> </w:t>
      </w:r>
      <w:r>
        <w:rPr/>
        <w:t>неправилности</w:t>
      </w:r>
      <w:r>
        <w:rPr>
          <w:rFonts w:ascii="Times New Roman" w:hAnsi="Times New Roman"/>
          <w:i/>
        </w:rPr>
        <w:t>.</w:t>
      </w:r>
      <w:r>
        <w:rPr>
          <w:rFonts w:ascii="Times New Roman" w:hAnsi="Times New Roman"/>
        </w:rPr>
      </w:r>
    </w:p>
    <w:p>
      <w:pPr>
        <w:spacing w:line="240" w:lineRule="auto" w:before="0"/>
        <w:rPr>
          <w:rFonts w:ascii="Times New Roman" w:hAnsi="Times New Roman" w:cs="Times New Roman" w:eastAsia="Times New Roman" w:hint="default"/>
          <w:i/>
          <w:sz w:val="24"/>
          <w:szCs w:val="24"/>
        </w:rPr>
      </w:pPr>
    </w:p>
    <w:p>
      <w:pPr>
        <w:pStyle w:val="ListParagraph"/>
        <w:numPr>
          <w:ilvl w:val="0"/>
          <w:numId w:val="33"/>
        </w:numPr>
        <w:tabs>
          <w:tab w:pos="1114" w:val="left" w:leader="none"/>
        </w:tabs>
        <w:spacing w:line="240" w:lineRule="auto" w:before="0" w:after="0"/>
        <w:ind w:left="160" w:right="176" w:firstLine="566"/>
        <w:jc w:val="both"/>
        <w:rPr>
          <w:rFonts w:ascii="Times New Roman" w:hAnsi="Times New Roman" w:cs="Times New Roman" w:eastAsia="Times New Roman" w:hint="default"/>
          <w:sz w:val="24"/>
          <w:szCs w:val="24"/>
        </w:rPr>
      </w:pPr>
      <w:r>
        <w:rPr>
          <w:rFonts w:ascii="Times New Roman" w:hAnsi="Times New Roman"/>
          <w:b/>
          <w:sz w:val="24"/>
        </w:rPr>
        <w:t>Управа за привреду, одрживи развој и заштиту животне средине </w:t>
      </w:r>
      <w:r>
        <w:rPr>
          <w:rFonts w:ascii="Times New Roman" w:hAnsi="Times New Roman"/>
          <w:b/>
          <w:sz w:val="24"/>
        </w:rPr>
        <w:t>- </w:t>
      </w:r>
      <w:r>
        <w:rPr>
          <w:rFonts w:ascii="Times New Roman" w:hAnsi="Times New Roman"/>
          <w:sz w:val="24"/>
        </w:rPr>
        <w:t>Исказано је</w:t>
      </w:r>
      <w:r>
        <w:rPr>
          <w:rFonts w:ascii="Times New Roman" w:hAnsi="Times New Roman"/>
          <w:spacing w:val="27"/>
          <w:sz w:val="24"/>
        </w:rPr>
        <w:t> </w:t>
      </w:r>
      <w:r>
        <w:rPr>
          <w:rFonts w:ascii="Times New Roman" w:hAnsi="Times New Roman"/>
          <w:sz w:val="24"/>
        </w:rPr>
        <w:t>извршење</w:t>
      </w:r>
      <w:r>
        <w:rPr>
          <w:rFonts w:ascii="Times New Roman" w:hAnsi="Times New Roman"/>
          <w:spacing w:val="28"/>
          <w:sz w:val="24"/>
        </w:rPr>
        <w:t> </w:t>
      </w:r>
      <w:r>
        <w:rPr>
          <w:rFonts w:ascii="Times New Roman" w:hAnsi="Times New Roman"/>
          <w:sz w:val="24"/>
        </w:rPr>
        <w:t>у</w:t>
      </w:r>
      <w:r>
        <w:rPr>
          <w:rFonts w:ascii="Times New Roman" w:hAnsi="Times New Roman"/>
          <w:spacing w:val="22"/>
          <w:sz w:val="24"/>
        </w:rPr>
        <w:t> </w:t>
      </w:r>
      <w:r>
        <w:rPr>
          <w:rFonts w:ascii="Times New Roman" w:hAnsi="Times New Roman"/>
          <w:sz w:val="24"/>
        </w:rPr>
        <w:t>износу</w:t>
      </w:r>
      <w:r>
        <w:rPr>
          <w:rFonts w:ascii="Times New Roman" w:hAnsi="Times New Roman"/>
          <w:spacing w:val="25"/>
          <w:sz w:val="24"/>
        </w:rPr>
        <w:t> </w:t>
      </w:r>
      <w:r>
        <w:rPr>
          <w:rFonts w:ascii="Times New Roman" w:hAnsi="Times New Roman"/>
          <w:sz w:val="24"/>
        </w:rPr>
        <w:t>од</w:t>
      </w:r>
      <w:r>
        <w:rPr>
          <w:rFonts w:ascii="Times New Roman" w:hAnsi="Times New Roman"/>
          <w:spacing w:val="27"/>
          <w:sz w:val="24"/>
        </w:rPr>
        <w:t> </w:t>
      </w:r>
      <w:r>
        <w:rPr>
          <w:rFonts w:ascii="Times New Roman" w:hAnsi="Times New Roman"/>
          <w:sz w:val="24"/>
        </w:rPr>
        <w:t>40.735</w:t>
      </w:r>
      <w:r>
        <w:rPr>
          <w:rFonts w:ascii="Times New Roman" w:hAnsi="Times New Roman"/>
          <w:spacing w:val="27"/>
          <w:sz w:val="24"/>
        </w:rPr>
        <w:t> </w:t>
      </w:r>
      <w:r>
        <w:rPr>
          <w:rFonts w:ascii="Times New Roman" w:hAnsi="Times New Roman"/>
          <w:sz w:val="24"/>
        </w:rPr>
        <w:t>хиљада</w:t>
      </w:r>
      <w:r>
        <w:rPr>
          <w:rFonts w:ascii="Times New Roman" w:hAnsi="Times New Roman"/>
          <w:spacing w:val="26"/>
          <w:sz w:val="24"/>
        </w:rPr>
        <w:t> </w:t>
      </w:r>
      <w:r>
        <w:rPr>
          <w:rFonts w:ascii="Times New Roman" w:hAnsi="Times New Roman"/>
          <w:sz w:val="24"/>
        </w:rPr>
        <w:t>динара</w:t>
      </w:r>
      <w:r>
        <w:rPr>
          <w:rFonts w:ascii="Times New Roman" w:hAnsi="Times New Roman"/>
          <w:spacing w:val="26"/>
          <w:sz w:val="24"/>
        </w:rPr>
        <w:t> </w:t>
      </w:r>
      <w:r>
        <w:rPr>
          <w:rFonts w:ascii="Times New Roman" w:hAnsi="Times New Roman"/>
          <w:sz w:val="24"/>
        </w:rPr>
        <w:t>и</w:t>
      </w:r>
      <w:r>
        <w:rPr>
          <w:rFonts w:ascii="Times New Roman" w:hAnsi="Times New Roman"/>
          <w:spacing w:val="28"/>
          <w:sz w:val="24"/>
        </w:rPr>
        <w:t> </w:t>
      </w:r>
      <w:r>
        <w:rPr>
          <w:rFonts w:ascii="Times New Roman" w:hAnsi="Times New Roman"/>
          <w:sz w:val="24"/>
        </w:rPr>
        <w:t>то</w:t>
      </w:r>
      <w:r>
        <w:rPr>
          <w:rFonts w:ascii="Times New Roman" w:hAnsi="Times New Roman"/>
          <w:spacing w:val="27"/>
          <w:sz w:val="24"/>
        </w:rPr>
        <w:t> </w:t>
      </w:r>
      <w:r>
        <w:rPr>
          <w:rFonts w:ascii="Times New Roman" w:hAnsi="Times New Roman"/>
          <w:sz w:val="24"/>
        </w:rPr>
        <w:t>на</w:t>
      </w:r>
      <w:r>
        <w:rPr>
          <w:rFonts w:ascii="Times New Roman" w:hAnsi="Times New Roman"/>
          <w:spacing w:val="26"/>
          <w:sz w:val="24"/>
        </w:rPr>
        <w:t> </w:t>
      </w:r>
      <w:r>
        <w:rPr>
          <w:rFonts w:ascii="Times New Roman" w:hAnsi="Times New Roman"/>
          <w:sz w:val="24"/>
        </w:rPr>
        <w:t>терет</w:t>
      </w:r>
      <w:r>
        <w:rPr>
          <w:rFonts w:ascii="Times New Roman" w:hAnsi="Times New Roman"/>
          <w:spacing w:val="28"/>
          <w:sz w:val="24"/>
        </w:rPr>
        <w:t> </w:t>
      </w:r>
      <w:r>
        <w:rPr>
          <w:rFonts w:ascii="Times New Roman" w:hAnsi="Times New Roman"/>
          <w:sz w:val="24"/>
        </w:rPr>
        <w:t>буџета</w:t>
      </w:r>
      <w:r>
        <w:rPr>
          <w:rFonts w:ascii="Times New Roman" w:hAnsi="Times New Roman"/>
          <w:spacing w:val="26"/>
          <w:sz w:val="24"/>
        </w:rPr>
        <w:t> </w:t>
      </w:r>
      <w:r>
        <w:rPr>
          <w:rFonts w:ascii="Times New Roman" w:hAnsi="Times New Roman"/>
          <w:sz w:val="24"/>
        </w:rPr>
        <w:t>града</w:t>
      </w:r>
      <w:r>
        <w:rPr>
          <w:rFonts w:ascii="Times New Roman" w:hAnsi="Times New Roman"/>
          <w:spacing w:val="31"/>
          <w:sz w:val="24"/>
        </w:rPr>
        <w:t> </w:t>
      </w:r>
      <w:r>
        <w:rPr>
          <w:rFonts w:ascii="Times New Roman" w:hAnsi="Times New Roman"/>
          <w:sz w:val="24"/>
        </w:rPr>
        <w:t>у</w:t>
      </w:r>
      <w:r>
        <w:rPr>
          <w:rFonts w:ascii="Times New Roman" w:hAnsi="Times New Roman"/>
          <w:spacing w:val="22"/>
          <w:sz w:val="24"/>
        </w:rPr>
        <w:t> </w:t>
      </w:r>
      <w:r>
        <w:rPr>
          <w:rFonts w:ascii="Times New Roman" w:hAnsi="Times New Roman"/>
          <w:sz w:val="24"/>
        </w:rPr>
        <w:t>износу</w:t>
      </w:r>
      <w:r>
        <w:rPr>
          <w:rFonts w:ascii="Times New Roman" w:hAnsi="Times New Roman"/>
          <w:spacing w:val="20"/>
          <w:sz w:val="24"/>
        </w:rPr>
        <w:t> </w:t>
      </w:r>
      <w:r>
        <w:rPr>
          <w:rFonts w:ascii="Times New Roman" w:hAnsi="Times New Roman"/>
          <w:sz w:val="24"/>
        </w:rPr>
        <w:t>од</w:t>
      </w:r>
    </w:p>
    <w:p>
      <w:pPr>
        <w:pStyle w:val="BodyText"/>
        <w:spacing w:line="240" w:lineRule="auto"/>
        <w:ind w:right="178"/>
        <w:jc w:val="both"/>
      </w:pPr>
      <w:r>
        <w:rPr/>
        <w:t>7.392 хиљаде динара и из осталих извора у износу од 33.343 хиљаде динара. Исказани расход односи се на директног буџетског корисника Управу за привреду, одрживи развој и заштиту животне средине у износу од 503 хиљаде динара и на индиректног буџетског корисника Туристичка организација Ниш у износу од 40.232 хиљаде</w:t>
      </w:r>
      <w:r>
        <w:rPr>
          <w:spacing w:val="-21"/>
        </w:rPr>
        <w:t> </w:t>
      </w:r>
      <w:r>
        <w:rPr/>
        <w:t>динара.</w:t>
      </w:r>
    </w:p>
    <w:p>
      <w:pPr>
        <w:pStyle w:val="BodyText"/>
        <w:spacing w:line="240" w:lineRule="auto"/>
        <w:ind w:right="175"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Накнаде члановима управних, надзорних одбора и комисија, субаналитички конто </w:t>
      </w:r>
      <w:r>
        <w:rPr/>
      </w:r>
      <w:r>
        <w:rPr/>
      </w:r>
      <w:r>
        <w:rPr>
          <w:rFonts w:ascii="Times New Roman" w:hAnsi="Times New Roman" w:cs="Times New Roman" w:eastAsia="Times New Roman" w:hint="default"/>
        </w:rPr>
      </w:r>
      <w:r>
        <w:rPr>
          <w:rFonts w:ascii="Times New Roman" w:hAnsi="Times New Roman" w:cs="Times New Roman" w:eastAsia="Times New Roman" w:hint="default"/>
          <w:u w:val="single" w:color="000000"/>
        </w:rPr>
        <w:t>423591 </w:t>
      </w:r>
      <w:r>
        <w:rPr>
          <w:rFonts w:ascii="Times New Roman" w:hAnsi="Times New Roman" w:cs="Times New Roman" w:eastAsia="Times New Roman" w:hint="default"/>
        </w:rPr>
      </w:r>
      <w:r>
        <w:rPr/>
        <w:t>– Исказан је расход у износу од 304 хиљаде динара, на име накнаде члановима техничких комисија из ранијих</w:t>
      </w:r>
      <w:r>
        <w:rPr>
          <w:spacing w:val="-15"/>
        </w:rPr>
        <w:t> </w:t>
      </w:r>
      <w:r>
        <w:rPr/>
        <w:t>година.</w:t>
      </w:r>
    </w:p>
    <w:p>
      <w:pPr>
        <w:pStyle w:val="BodyText"/>
        <w:spacing w:line="240" w:lineRule="auto"/>
        <w:ind w:left="726" w:right="141"/>
        <w:jc w:val="left"/>
        <w:rPr>
          <w:rFonts w:ascii="Times New Roman" w:hAnsi="Times New Roman" w:cs="Times New Roman" w:eastAsia="Times New Roman" w:hint="default"/>
        </w:rPr>
      </w:pPr>
      <w:r>
        <w:rPr/>
        <w:t>На основу ревизије узорковане документације нису утврђене</w:t>
      </w:r>
      <w:r>
        <w:rPr>
          <w:spacing w:val="-16"/>
        </w:rPr>
        <w:t> </w:t>
      </w:r>
      <w:r>
        <w:rPr/>
        <w:t>неправилности</w:t>
      </w:r>
      <w:r>
        <w:rPr>
          <w:rFonts w:ascii="Times New Roman" w:hAnsi="Times New Roman"/>
          <w:i/>
        </w:rPr>
        <w:t>.</w:t>
      </w:r>
      <w:r>
        <w:rPr>
          <w:rFonts w:ascii="Times New Roman" w:hAnsi="Times New Roman"/>
        </w:rPr>
      </w:r>
    </w:p>
    <w:p>
      <w:pPr>
        <w:spacing w:before="0"/>
        <w:ind w:left="726" w:right="141" w:firstLine="0"/>
        <w:jc w:val="left"/>
        <w:rPr>
          <w:rFonts w:ascii="Times New Roman" w:hAnsi="Times New Roman" w:cs="Times New Roman" w:eastAsia="Times New Roman" w:hint="default"/>
          <w:sz w:val="24"/>
          <w:szCs w:val="24"/>
        </w:rPr>
      </w:pPr>
      <w:r>
        <w:rPr>
          <w:rFonts w:ascii="Times New Roman" w:hAnsi="Times New Roman"/>
          <w:b/>
          <w:sz w:val="24"/>
        </w:rPr>
        <w:t>10а) Туристичка организација Ниш </w:t>
      </w:r>
      <w:r>
        <w:rPr>
          <w:rFonts w:ascii="Times New Roman" w:hAnsi="Times New Roman"/>
          <w:b/>
          <w:sz w:val="24"/>
        </w:rPr>
        <w:t>- </w:t>
      </w:r>
      <w:r>
        <w:rPr>
          <w:rFonts w:ascii="Times New Roman" w:hAnsi="Times New Roman"/>
          <w:sz w:val="24"/>
        </w:rPr>
        <w:t>Исказано је извршење у укупном износу </w:t>
      </w:r>
      <w:r>
        <w:rPr>
          <w:rFonts w:ascii="Times New Roman" w:hAnsi="Times New Roman"/>
          <w:spacing w:val="16"/>
          <w:sz w:val="24"/>
        </w:rPr>
        <w:t> </w:t>
      </w:r>
      <w:r>
        <w:rPr>
          <w:rFonts w:ascii="Times New Roman" w:hAnsi="Times New Roman"/>
          <w:sz w:val="24"/>
        </w:rPr>
        <w:t>од</w:t>
      </w:r>
    </w:p>
    <w:p>
      <w:pPr>
        <w:pStyle w:val="BodyText"/>
        <w:spacing w:line="240" w:lineRule="auto"/>
        <w:ind w:right="186"/>
        <w:jc w:val="both"/>
      </w:pPr>
      <w:r>
        <w:rPr/>
        <w:t>40.232 хиљаде динара и то из буџета града у износу од 6.889 хиљада динара и из осталих извора у износу од 33.343 хиљаде</w:t>
      </w:r>
      <w:r>
        <w:rPr>
          <w:spacing w:val="-12"/>
        </w:rPr>
        <w:t> </w:t>
      </w:r>
      <w:r>
        <w:rPr/>
        <w:t>динара.</w:t>
      </w:r>
    </w:p>
    <w:p>
      <w:pPr>
        <w:spacing w:before="0"/>
        <w:ind w:left="160" w:right="174"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је извршен расход у износу већем од износа одобреног апропријацијом за износ од 25.647 хиљада динара из осталих извора, што је супротно члану 5</w:t>
      </w:r>
      <w:r>
        <w:rPr>
          <w:rFonts w:ascii="Times New Roman" w:hAnsi="Times New Roman"/>
          <w:sz w:val="24"/>
        </w:rPr>
        <w:t>4. </w:t>
      </w:r>
      <w:r>
        <w:rPr>
          <w:rFonts w:ascii="Times New Roman" w:hAnsi="Times New Roman"/>
          <w:sz w:val="24"/>
        </w:rPr>
        <w:t>Закона о буџетском</w:t>
      </w:r>
      <w:r>
        <w:rPr>
          <w:rFonts w:ascii="Times New Roman" w:hAnsi="Times New Roman"/>
          <w:spacing w:val="-26"/>
          <w:sz w:val="24"/>
        </w:rPr>
        <w:t> </w:t>
      </w:r>
      <w:r>
        <w:rPr>
          <w:rFonts w:ascii="Times New Roman" w:hAnsi="Times New Roman"/>
          <w:sz w:val="24"/>
        </w:rPr>
        <w:t>систему.</w:t>
      </w:r>
    </w:p>
    <w:p>
      <w:pPr>
        <w:pStyle w:val="Heading2"/>
        <w:spacing w:line="240" w:lineRule="auto"/>
        <w:ind w:right="177"/>
        <w:jc w:val="both"/>
        <w:rPr>
          <w:b w:val="0"/>
          <w:bCs w:val="0"/>
          <w:i w:val="0"/>
        </w:rPr>
      </w:pPr>
      <w:r>
        <w:rPr>
          <w:i/>
        </w:rPr>
        <w:t>Препоручује се одговорним лицима да расходе извршавају до износа одобреног апропријацијом у буџету за ту намену у тој</w:t>
      </w:r>
      <w:r>
        <w:rPr>
          <w:i/>
          <w:spacing w:val="-16"/>
        </w:rPr>
        <w:t> </w:t>
      </w:r>
      <w:r>
        <w:rPr>
          <w:i/>
        </w:rPr>
        <w:t>години.</w:t>
      </w:r>
      <w:r>
        <w:rPr>
          <w:b w:val="0"/>
          <w:i w:val="0"/>
        </w:rPr>
      </w:r>
    </w:p>
    <w:p>
      <w:pPr>
        <w:pStyle w:val="BodyText"/>
        <w:spacing w:line="240" w:lineRule="auto"/>
        <w:ind w:right="176"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Медијске услуге радија и телевизије, субаналитички конто </w:t>
      </w:r>
      <w:r>
        <w:rPr>
          <w:rFonts w:ascii="Times New Roman" w:hAnsi="Times New Roman" w:cs="Times New Roman" w:eastAsia="Times New Roman" w:hint="default"/>
          <w:u w:val="single" w:color="000000"/>
        </w:rPr>
        <w:t>423441 </w:t>
      </w:r>
      <w:r>
        <w:rPr>
          <w:rFonts w:ascii="Times New Roman" w:hAnsi="Times New Roman" w:cs="Times New Roman" w:eastAsia="Times New Roman" w:hint="default"/>
        </w:rPr>
      </w:r>
      <w:r>
        <w:rPr/>
        <w:t>– Исказан је расход у износу од 540 хиљада</w:t>
      </w:r>
      <w:r>
        <w:rPr>
          <w:spacing w:val="-8"/>
        </w:rPr>
        <w:t> </w:t>
      </w:r>
      <w:r>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Извршен је расход у износу од 284 хиљаде динара по рачуну „City marketing centar“ пр Ниш број 332/2014 од 01.07.2014. године за оглашавање из којег се не може утврдити количина и време пружених услуга и без пратеће спецификације пружених услуга, што је супротно члану 58. Закона о буџетском систему, члану 16. Уредбе о буџетском рачуноводству и члану 5. закљученог</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уговора.</w:t>
      </w:r>
    </w:p>
    <w:p>
      <w:pPr>
        <w:pStyle w:val="ListParagraph"/>
        <w:numPr>
          <w:ilvl w:val="0"/>
          <w:numId w:val="9"/>
        </w:numPr>
        <w:tabs>
          <w:tab w:pos="303" w:val="left" w:leader="none"/>
        </w:tabs>
        <w:spacing w:line="240" w:lineRule="auto" w:before="2" w:after="0"/>
        <w:ind w:left="160" w:right="17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Извршен је расход у износу од 240 хиљада динара по рачуну „</w:t>
      </w:r>
      <w:r>
        <w:rPr>
          <w:rFonts w:ascii="Times New Roman" w:hAnsi="Times New Roman" w:cs="Times New Roman" w:eastAsia="Times New Roman" w:hint="default"/>
          <w:sz w:val="24"/>
          <w:szCs w:val="24"/>
        </w:rPr>
        <w:t>City marketing </w:t>
      </w:r>
      <w:r>
        <w:rPr>
          <w:rFonts w:ascii="Times New Roman" w:hAnsi="Times New Roman" w:cs="Times New Roman" w:eastAsia="Times New Roman" w:hint="default"/>
          <w:sz w:val="24"/>
          <w:szCs w:val="24"/>
        </w:rPr>
        <w:t>centar“ пр Ниш број 333/2014 од 01.07.2014. године за куповину интернет медијског простора на порталу, унапред, за период од 20.06.2014. године до 20.06.2015. године, док је чланом 5. закљученог Уговора уговорено испостављање рачуна по извршењу услуге и плаћање у року од 45 дана  по пријему исправног</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рачуна.</w:t>
      </w:r>
    </w:p>
    <w:p>
      <w:pPr>
        <w:pStyle w:val="ListParagraph"/>
        <w:numPr>
          <w:ilvl w:val="0"/>
          <w:numId w:val="9"/>
        </w:numPr>
        <w:tabs>
          <w:tab w:pos="303" w:val="left" w:leader="none"/>
        </w:tabs>
        <w:spacing w:line="240" w:lineRule="auto" w:before="2" w:after="0"/>
        <w:ind w:left="160" w:right="178" w:firstLine="0"/>
        <w:jc w:val="righ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Цена по којој је извршено фактурисање услуге куповине интернет</w:t>
      </w:r>
      <w:r>
        <w:rPr>
          <w:rFonts w:ascii="Times New Roman" w:hAnsi="Times New Roman" w:cs="Times New Roman" w:eastAsia="Times New Roman" w:hint="default"/>
          <w:spacing w:val="55"/>
          <w:sz w:val="24"/>
          <w:szCs w:val="24"/>
        </w:rPr>
        <w:t> </w:t>
      </w:r>
      <w:r>
        <w:rPr>
          <w:rFonts w:ascii="Times New Roman" w:hAnsi="Times New Roman" w:cs="Times New Roman" w:eastAsia="Times New Roman" w:hint="default"/>
          <w:sz w:val="24"/>
          <w:szCs w:val="24"/>
        </w:rPr>
        <w:t>медијског</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простора</w:t>
      </w:r>
      <w:r>
        <w:rPr>
          <w:rFonts w:ascii="Times New Roman" w:hAnsi="Times New Roman" w:cs="Times New Roman" w:eastAsia="Times New Roman" w:hint="default"/>
          <w:w w:val="100"/>
          <w:sz w:val="24"/>
          <w:szCs w:val="24"/>
        </w:rPr>
        <w:t> </w:t>
      </w:r>
      <w:r>
        <w:rPr>
          <w:rFonts w:ascii="Times New Roman" w:hAnsi="Times New Roman" w:cs="Times New Roman" w:eastAsia="Times New Roman" w:hint="default"/>
          <w:w w:val="99"/>
          <w:sz w:val="24"/>
          <w:szCs w:val="24"/>
        </w:rPr>
      </w:r>
      <w:r>
        <w:rPr>
          <w:rFonts w:ascii="Times New Roman" w:hAnsi="Times New Roman" w:cs="Times New Roman" w:eastAsia="Times New Roman" w:hint="default"/>
          <w:sz w:val="24"/>
          <w:szCs w:val="24"/>
        </w:rPr>
        <w:t>на порталу виша је од цене наведене у понуди, која је саставни део</w:t>
      </w:r>
      <w:r>
        <w:rPr>
          <w:rFonts w:ascii="Times New Roman" w:hAnsi="Times New Roman" w:cs="Times New Roman" w:eastAsia="Times New Roman" w:hint="default"/>
          <w:spacing w:val="46"/>
          <w:sz w:val="24"/>
          <w:szCs w:val="24"/>
        </w:rPr>
        <w:t> </w:t>
      </w:r>
      <w:r>
        <w:rPr>
          <w:rFonts w:ascii="Times New Roman" w:hAnsi="Times New Roman" w:cs="Times New Roman" w:eastAsia="Times New Roman" w:hint="default"/>
          <w:sz w:val="24"/>
          <w:szCs w:val="24"/>
        </w:rPr>
        <w:t>закљученог</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Уговора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w w:val="100"/>
          <w:sz w:val="24"/>
          <w:szCs w:val="24"/>
        </w:rPr>
      </w:r>
      <w:r>
        <w:rPr>
          <w:rFonts w:ascii="Times New Roman" w:hAnsi="Times New Roman" w:cs="Times New Roman" w:eastAsia="Times New Roman" w:hint="default"/>
          <w:sz w:val="24"/>
          <w:szCs w:val="24"/>
        </w:rPr>
        <w:t>број 404</w:t>
      </w:r>
      <w:r>
        <w:rPr>
          <w:rFonts w:ascii="Times New Roman" w:hAnsi="Times New Roman" w:cs="Times New Roman" w:eastAsia="Times New Roman" w:hint="default"/>
          <w:sz w:val="24"/>
          <w:szCs w:val="24"/>
        </w:rPr>
        <w:t>-6/2014-7-</w:t>
      </w:r>
      <w:r>
        <w:rPr>
          <w:rFonts w:ascii="Times New Roman" w:hAnsi="Times New Roman" w:cs="Times New Roman" w:eastAsia="Times New Roman" w:hint="default"/>
          <w:sz w:val="24"/>
          <w:szCs w:val="24"/>
        </w:rPr>
        <w:t>П1 од 18.06.2014. године закљученог са „City marketing centar“</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пр</w:t>
      </w:r>
      <w:r>
        <w:rPr>
          <w:rFonts w:ascii="Times New Roman" w:hAnsi="Times New Roman" w:cs="Times New Roman" w:eastAsia="Times New Roman" w:hint="default"/>
          <w:spacing w:val="-1"/>
          <w:sz w:val="24"/>
          <w:szCs w:val="24"/>
        </w:rPr>
        <w:t> </w:t>
      </w:r>
      <w:r>
        <w:rPr>
          <w:rFonts w:ascii="Times New Roman" w:hAnsi="Times New Roman" w:cs="Times New Roman" w:eastAsia="Times New Roman" w:hint="default"/>
          <w:sz w:val="24"/>
          <w:szCs w:val="24"/>
        </w:rPr>
        <w:t>Ниш</w:t>
      </w:r>
      <w:r>
        <w:rPr>
          <w:rFonts w:ascii="Times New Roman" w:hAnsi="Times New Roman" w:cs="Times New Roman" w:eastAsia="Times New Roman" w:hint="default"/>
          <w:sz w:val="24"/>
          <w:szCs w:val="24"/>
        </w:rPr>
        <w:t>.</w:t>
      </w:r>
      <w:r>
        <w:rPr>
          <w:rFonts w:ascii="Times New Roman" w:hAnsi="Times New Roman" w:cs="Times New Roman" w:eastAsia="Times New Roman" w:hint="default"/>
          <w:w w:val="99"/>
          <w:sz w:val="24"/>
          <w:szCs w:val="24"/>
        </w:rPr>
        <w:t> </w:t>
      </w:r>
      <w:r>
        <w:rPr>
          <w:rFonts w:ascii="Times New Roman" w:hAnsi="Times New Roman" w:cs="Times New Roman" w:eastAsia="Times New Roman" w:hint="default"/>
          <w:b/>
          <w:bCs/>
          <w:i/>
          <w:w w:val="100"/>
          <w:sz w:val="24"/>
          <w:szCs w:val="24"/>
        </w:rPr>
      </w:r>
      <w:r>
        <w:rPr>
          <w:rFonts w:ascii="Times New Roman" w:hAnsi="Times New Roman" w:cs="Times New Roman" w:eastAsia="Times New Roman" w:hint="default"/>
          <w:b/>
          <w:bCs/>
          <w:i/>
          <w:sz w:val="24"/>
          <w:szCs w:val="24"/>
        </w:rPr>
        <w:t>Препоручује се одговорним лицима да обезбеде валидну документацију</w:t>
      </w:r>
      <w:r>
        <w:rPr>
          <w:rFonts w:ascii="Times New Roman" w:hAnsi="Times New Roman" w:cs="Times New Roman" w:eastAsia="Times New Roman" w:hint="default"/>
          <w:b/>
          <w:bCs/>
          <w:i/>
          <w:spacing w:val="31"/>
          <w:sz w:val="24"/>
          <w:szCs w:val="24"/>
        </w:rPr>
        <w:t> </w:t>
      </w:r>
      <w:r>
        <w:rPr>
          <w:rFonts w:ascii="Times New Roman" w:hAnsi="Times New Roman" w:cs="Times New Roman" w:eastAsia="Times New Roman" w:hint="default"/>
          <w:b/>
          <w:bCs/>
          <w:i/>
          <w:sz w:val="24"/>
          <w:szCs w:val="24"/>
        </w:rPr>
        <w:t>за</w:t>
      </w:r>
      <w:r>
        <w:rPr>
          <w:rFonts w:ascii="Times New Roman" w:hAnsi="Times New Roman" w:cs="Times New Roman" w:eastAsia="Times New Roman" w:hint="default"/>
          <w:b/>
          <w:bCs/>
          <w:i/>
          <w:spacing w:val="18"/>
          <w:sz w:val="24"/>
          <w:szCs w:val="24"/>
        </w:rPr>
        <w:t> </w:t>
      </w:r>
      <w:r>
        <w:rPr>
          <w:rFonts w:ascii="Times New Roman" w:hAnsi="Times New Roman" w:cs="Times New Roman" w:eastAsia="Times New Roman" w:hint="default"/>
          <w:b/>
          <w:bCs/>
          <w:i/>
          <w:sz w:val="24"/>
          <w:szCs w:val="24"/>
        </w:rPr>
        <w:t>сваки</w:t>
      </w:r>
      <w:r>
        <w:rPr>
          <w:rFonts w:ascii="Times New Roman" w:hAnsi="Times New Roman" w:cs="Times New Roman" w:eastAsia="Times New Roman" w:hint="default"/>
          <w:b/>
          <w:bCs/>
          <w:i/>
          <w:w w:val="99"/>
          <w:sz w:val="24"/>
          <w:szCs w:val="24"/>
        </w:rPr>
        <w:t> </w:t>
      </w:r>
      <w:r>
        <w:rPr>
          <w:rFonts w:ascii="Times New Roman" w:hAnsi="Times New Roman" w:cs="Times New Roman" w:eastAsia="Times New Roman" w:hint="default"/>
          <w:b/>
          <w:bCs/>
          <w:i/>
          <w:w w:val="100"/>
          <w:sz w:val="24"/>
          <w:szCs w:val="24"/>
        </w:rPr>
      </w:r>
      <w:r>
        <w:rPr>
          <w:rFonts w:ascii="Times New Roman" w:hAnsi="Times New Roman" w:cs="Times New Roman" w:eastAsia="Times New Roman" w:hint="default"/>
          <w:b/>
          <w:bCs/>
          <w:i/>
          <w:sz w:val="24"/>
          <w:szCs w:val="24"/>
        </w:rPr>
        <w:t>расход</w:t>
      </w:r>
      <w:r>
        <w:rPr>
          <w:rFonts w:ascii="Times New Roman" w:hAnsi="Times New Roman" w:cs="Times New Roman" w:eastAsia="Times New Roman" w:hint="default"/>
          <w:b/>
          <w:bCs/>
          <w:i/>
          <w:spacing w:val="44"/>
          <w:sz w:val="24"/>
          <w:szCs w:val="24"/>
        </w:rPr>
        <w:t> </w:t>
      </w:r>
      <w:r>
        <w:rPr>
          <w:rFonts w:ascii="Times New Roman" w:hAnsi="Times New Roman" w:cs="Times New Roman" w:eastAsia="Times New Roman" w:hint="default"/>
          <w:b/>
          <w:bCs/>
          <w:i/>
          <w:sz w:val="24"/>
          <w:szCs w:val="24"/>
        </w:rPr>
        <w:t>из</w:t>
      </w:r>
      <w:r>
        <w:rPr>
          <w:rFonts w:ascii="Times New Roman" w:hAnsi="Times New Roman" w:cs="Times New Roman" w:eastAsia="Times New Roman" w:hint="default"/>
          <w:b/>
          <w:bCs/>
          <w:i/>
          <w:spacing w:val="43"/>
          <w:sz w:val="24"/>
          <w:szCs w:val="24"/>
        </w:rPr>
        <w:t> </w:t>
      </w:r>
      <w:r>
        <w:rPr>
          <w:rFonts w:ascii="Times New Roman" w:hAnsi="Times New Roman" w:cs="Times New Roman" w:eastAsia="Times New Roman" w:hint="default"/>
          <w:b/>
          <w:bCs/>
          <w:i/>
          <w:sz w:val="24"/>
          <w:szCs w:val="24"/>
        </w:rPr>
        <w:t>буџета,</w:t>
      </w:r>
      <w:r>
        <w:rPr>
          <w:rFonts w:ascii="Times New Roman" w:hAnsi="Times New Roman" w:cs="Times New Roman" w:eastAsia="Times New Roman" w:hint="default"/>
          <w:b/>
          <w:bCs/>
          <w:i/>
          <w:spacing w:val="45"/>
          <w:sz w:val="24"/>
          <w:szCs w:val="24"/>
        </w:rPr>
        <w:t> </w:t>
      </w:r>
      <w:r>
        <w:rPr>
          <w:rFonts w:ascii="Times New Roman" w:hAnsi="Times New Roman" w:cs="Times New Roman" w:eastAsia="Times New Roman" w:hint="default"/>
          <w:b/>
          <w:bCs/>
          <w:i/>
          <w:sz w:val="24"/>
          <w:szCs w:val="24"/>
        </w:rPr>
        <w:t>примењују</w:t>
      </w:r>
      <w:r>
        <w:rPr>
          <w:rFonts w:ascii="Times New Roman" w:hAnsi="Times New Roman" w:cs="Times New Roman" w:eastAsia="Times New Roman" w:hint="default"/>
          <w:b/>
          <w:bCs/>
          <w:i/>
          <w:spacing w:val="43"/>
          <w:sz w:val="24"/>
          <w:szCs w:val="24"/>
        </w:rPr>
        <w:t> </w:t>
      </w:r>
      <w:r>
        <w:rPr>
          <w:rFonts w:ascii="Times New Roman" w:hAnsi="Times New Roman" w:cs="Times New Roman" w:eastAsia="Times New Roman" w:hint="default"/>
          <w:b/>
          <w:bCs/>
          <w:i/>
          <w:sz w:val="24"/>
          <w:szCs w:val="24"/>
        </w:rPr>
        <w:t>одредбе</w:t>
      </w:r>
      <w:r>
        <w:rPr>
          <w:rFonts w:ascii="Times New Roman" w:hAnsi="Times New Roman" w:cs="Times New Roman" w:eastAsia="Times New Roman" w:hint="default"/>
          <w:b/>
          <w:bCs/>
          <w:i/>
          <w:spacing w:val="42"/>
          <w:sz w:val="24"/>
          <w:szCs w:val="24"/>
        </w:rPr>
        <w:t> </w:t>
      </w:r>
      <w:r>
        <w:rPr>
          <w:rFonts w:ascii="Times New Roman" w:hAnsi="Times New Roman" w:cs="Times New Roman" w:eastAsia="Times New Roman" w:hint="default"/>
          <w:b/>
          <w:bCs/>
          <w:i/>
          <w:sz w:val="24"/>
          <w:szCs w:val="24"/>
        </w:rPr>
        <w:t>закључених</w:t>
      </w:r>
      <w:r>
        <w:rPr>
          <w:rFonts w:ascii="Times New Roman" w:hAnsi="Times New Roman" w:cs="Times New Roman" w:eastAsia="Times New Roman" w:hint="default"/>
          <w:b/>
          <w:bCs/>
          <w:i/>
          <w:spacing w:val="43"/>
          <w:sz w:val="24"/>
          <w:szCs w:val="24"/>
        </w:rPr>
        <w:t> </w:t>
      </w:r>
      <w:r>
        <w:rPr>
          <w:rFonts w:ascii="Times New Roman" w:hAnsi="Times New Roman" w:cs="Times New Roman" w:eastAsia="Times New Roman" w:hint="default"/>
          <w:b/>
          <w:bCs/>
          <w:i/>
          <w:sz w:val="24"/>
          <w:szCs w:val="24"/>
        </w:rPr>
        <w:t>уговора,</w:t>
      </w:r>
      <w:r>
        <w:rPr>
          <w:rFonts w:ascii="Times New Roman" w:hAnsi="Times New Roman" w:cs="Times New Roman" w:eastAsia="Times New Roman" w:hint="default"/>
          <w:b/>
          <w:bCs/>
          <w:i/>
          <w:spacing w:val="43"/>
          <w:sz w:val="24"/>
          <w:szCs w:val="24"/>
        </w:rPr>
        <w:t> </w:t>
      </w:r>
      <w:r>
        <w:rPr>
          <w:rFonts w:ascii="Times New Roman" w:hAnsi="Times New Roman" w:cs="Times New Roman" w:eastAsia="Times New Roman" w:hint="default"/>
          <w:b/>
          <w:bCs/>
          <w:i/>
          <w:sz w:val="24"/>
          <w:szCs w:val="24"/>
        </w:rPr>
        <w:t>прате</w:t>
      </w:r>
      <w:r>
        <w:rPr>
          <w:rFonts w:ascii="Times New Roman" w:hAnsi="Times New Roman" w:cs="Times New Roman" w:eastAsia="Times New Roman" w:hint="default"/>
          <w:b/>
          <w:bCs/>
          <w:i/>
          <w:spacing w:val="42"/>
          <w:sz w:val="24"/>
          <w:szCs w:val="24"/>
        </w:rPr>
        <w:t> </w:t>
      </w:r>
      <w:r>
        <w:rPr>
          <w:rFonts w:ascii="Times New Roman" w:hAnsi="Times New Roman" w:cs="Times New Roman" w:eastAsia="Times New Roman" w:hint="default"/>
          <w:b/>
          <w:bCs/>
          <w:i/>
          <w:sz w:val="24"/>
          <w:szCs w:val="24"/>
        </w:rPr>
        <w:t>цене</w:t>
      </w:r>
      <w:r>
        <w:rPr>
          <w:rFonts w:ascii="Times New Roman" w:hAnsi="Times New Roman" w:cs="Times New Roman" w:eastAsia="Times New Roman" w:hint="default"/>
          <w:b/>
          <w:bCs/>
          <w:i/>
          <w:spacing w:val="42"/>
          <w:sz w:val="24"/>
          <w:szCs w:val="24"/>
        </w:rPr>
        <w:t> </w:t>
      </w:r>
      <w:r>
        <w:rPr>
          <w:rFonts w:ascii="Times New Roman" w:hAnsi="Times New Roman" w:cs="Times New Roman" w:eastAsia="Times New Roman" w:hint="default"/>
          <w:b/>
          <w:bCs/>
          <w:i/>
          <w:sz w:val="24"/>
          <w:szCs w:val="24"/>
        </w:rPr>
        <w:t>по</w:t>
      </w:r>
      <w:r>
        <w:rPr>
          <w:rFonts w:ascii="Times New Roman" w:hAnsi="Times New Roman" w:cs="Times New Roman" w:eastAsia="Times New Roman" w:hint="default"/>
          <w:b/>
          <w:bCs/>
          <w:i/>
          <w:spacing w:val="40"/>
          <w:sz w:val="24"/>
          <w:szCs w:val="24"/>
        </w:rPr>
        <w:t> </w:t>
      </w:r>
      <w:r>
        <w:rPr>
          <w:rFonts w:ascii="Times New Roman" w:hAnsi="Times New Roman" w:cs="Times New Roman" w:eastAsia="Times New Roman" w:hint="default"/>
          <w:b/>
          <w:bCs/>
          <w:i/>
          <w:sz w:val="24"/>
          <w:szCs w:val="24"/>
        </w:rPr>
        <w:t>којима</w:t>
      </w:r>
      <w:r>
        <w:rPr>
          <w:rFonts w:ascii="Times New Roman" w:hAnsi="Times New Roman" w:cs="Times New Roman" w:eastAsia="Times New Roman" w:hint="default"/>
          <w:b/>
          <w:bCs/>
          <w:i/>
          <w:spacing w:val="43"/>
          <w:sz w:val="24"/>
          <w:szCs w:val="24"/>
        </w:rPr>
        <w:t> </w:t>
      </w:r>
      <w:r>
        <w:rPr>
          <w:rFonts w:ascii="Times New Roman" w:hAnsi="Times New Roman" w:cs="Times New Roman" w:eastAsia="Times New Roman" w:hint="default"/>
          <w:b/>
          <w:bCs/>
          <w:i/>
          <w:sz w:val="24"/>
          <w:szCs w:val="24"/>
        </w:rPr>
        <w:t>се</w:t>
      </w:r>
      <w:r>
        <w:rPr>
          <w:rFonts w:ascii="Times New Roman" w:hAnsi="Times New Roman" w:cs="Times New Roman" w:eastAsia="Times New Roman" w:hint="default"/>
          <w:sz w:val="24"/>
          <w:szCs w:val="24"/>
        </w:rPr>
      </w:r>
    </w:p>
    <w:p>
      <w:pPr>
        <w:pStyle w:val="Heading2"/>
        <w:spacing w:line="240" w:lineRule="auto" w:before="0"/>
        <w:ind w:right="0" w:firstLine="0"/>
        <w:jc w:val="both"/>
        <w:rPr>
          <w:b w:val="0"/>
          <w:bCs w:val="0"/>
          <w:i w:val="0"/>
        </w:rPr>
      </w:pPr>
      <w:r>
        <w:rPr>
          <w:i/>
        </w:rPr>
        <w:t>врши</w:t>
      </w:r>
      <w:r>
        <w:rPr>
          <w:i/>
          <w:spacing w:val="-4"/>
        </w:rPr>
        <w:t> </w:t>
      </w:r>
      <w:r>
        <w:rPr>
          <w:i/>
        </w:rPr>
        <w:t>фактурисање.</w:t>
      </w:r>
      <w:r>
        <w:rPr>
          <w:b w:val="0"/>
          <w:i w:val="0"/>
        </w:rPr>
      </w:r>
    </w:p>
    <w:p>
      <w:pPr>
        <w:spacing w:after="0" w:line="240" w:lineRule="auto"/>
        <w:jc w:val="both"/>
        <w:sectPr>
          <w:pgSz w:w="12240" w:h="15840"/>
          <w:pgMar w:header="740" w:footer="1274" w:top="1280" w:bottom="1460" w:left="1400" w:right="1260"/>
        </w:sectPr>
      </w:pPr>
    </w:p>
    <w:p>
      <w:pPr>
        <w:pStyle w:val="BodyText"/>
        <w:spacing w:line="240" w:lineRule="auto" w:before="122"/>
        <w:ind w:right="176" w:firstLine="566"/>
        <w:jc w:val="both"/>
      </w:pPr>
      <w:r>
        <w:rPr>
          <w:rFonts w:ascii="Times New Roman" w:hAnsi="Times New Roman" w:cs="Times New Roman" w:eastAsia="Times New Roman" w:hint="default"/>
        </w:rPr>
      </w:r>
      <w:r>
        <w:rPr>
          <w:rFonts w:ascii="Times New Roman" w:hAnsi="Times New Roman" w:cs="Times New Roman" w:eastAsia="Times New Roman" w:hint="default"/>
          <w:u w:val="single" w:color="000000"/>
        </w:rPr>
        <w:t> </w:t>
      </w:r>
      <w:r>
        <w:rPr>
          <w:u w:val="single" w:color="000000"/>
        </w:rPr>
        <w:t>Остале медијске услуге, субаналитички конто </w:t>
      </w:r>
      <w:r>
        <w:rPr>
          <w:rFonts w:ascii="Times New Roman" w:hAnsi="Times New Roman" w:cs="Times New Roman" w:eastAsia="Times New Roman" w:hint="default"/>
          <w:u w:val="single" w:color="000000"/>
        </w:rPr>
        <w:t>423449 </w:t>
      </w:r>
      <w:r>
        <w:rPr>
          <w:rFonts w:ascii="Times New Roman" w:hAnsi="Times New Roman" w:cs="Times New Roman" w:eastAsia="Times New Roman" w:hint="default"/>
        </w:rPr>
      </w:r>
      <w:r>
        <w:rPr/>
        <w:t>– Исказан је расход у износу од 624 хиљаде динара из осталих</w:t>
      </w:r>
      <w:r>
        <w:rPr>
          <w:spacing w:val="-9"/>
        </w:rPr>
        <w:t> </w:t>
      </w:r>
      <w:r>
        <w:rPr/>
        <w:t>извора.</w:t>
      </w:r>
    </w:p>
    <w:p>
      <w:pPr>
        <w:pStyle w:val="BodyText"/>
        <w:spacing w:line="240" w:lineRule="auto"/>
        <w:ind w:left="726" w:right="141"/>
        <w:jc w:val="left"/>
      </w:pPr>
      <w:r>
        <w:rPr/>
        <w:t>На основу ревизије узорковане документације нису утврђене</w:t>
      </w:r>
      <w:r>
        <w:rPr>
          <w:spacing w:val="-24"/>
        </w:rPr>
        <w:t> </w:t>
      </w:r>
      <w:r>
        <w:rPr/>
        <w:t>неправилности.</w:t>
      </w:r>
    </w:p>
    <w:p>
      <w:pPr>
        <w:pStyle w:val="BodyText"/>
        <w:spacing w:line="240" w:lineRule="auto"/>
        <w:ind w:right="180" w:firstLine="566"/>
        <w:jc w:val="both"/>
        <w:rPr>
          <w:rFonts w:ascii="Times New Roman" w:hAnsi="Times New Roman" w:cs="Times New Roman" w:eastAsia="Times New Roman" w:hint="default"/>
        </w:rPr>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Остале опште услуге</w:t>
      </w:r>
      <w:r>
        <w:rPr>
          <w:rFonts w:ascii="Times New Roman" w:hAnsi="Times New Roman" w:cs="Times New Roman" w:eastAsia="Times New Roman" w:hint="default"/>
          <w:u w:val="single" w:color="000000"/>
        </w:rPr>
        <w:t>, </w:t>
      </w:r>
      <w:r>
        <w:rPr>
          <w:u w:val="single" w:color="000000"/>
        </w:rPr>
        <w:t>субаналитички конто </w:t>
      </w:r>
      <w:r>
        <w:rPr>
          <w:rFonts w:ascii="Times New Roman" w:hAnsi="Times New Roman" w:cs="Times New Roman" w:eastAsia="Times New Roman" w:hint="default"/>
          <w:u w:val="single" w:color="000000"/>
        </w:rPr>
        <w:t>423911 </w:t>
      </w:r>
      <w:r>
        <w:rPr>
          <w:rFonts w:ascii="Times New Roman" w:hAnsi="Times New Roman" w:cs="Times New Roman" w:eastAsia="Times New Roman" w:hint="default"/>
        </w:rPr>
      </w:r>
      <w:r>
        <w:rPr>
          <w:rFonts w:ascii="Times New Roman" w:hAnsi="Times New Roman" w:cs="Times New Roman" w:eastAsia="Times New Roman" w:hint="default"/>
          <w:b/>
          <w:bCs/>
          <w:i/>
        </w:rPr>
        <w:t>– </w:t>
      </w:r>
      <w:r>
        <w:rPr/>
        <w:t>Исказан је расход у износу од 33.860 хиљада динара, од ког износа је 3.905 хиљада динара из средстава буџета</w:t>
      </w:r>
      <w:r>
        <w:rPr>
          <w:spacing w:val="-16"/>
        </w:rPr>
        <w:t> </w:t>
      </w:r>
      <w:r>
        <w:rPr/>
        <w:t>града</w:t>
      </w:r>
      <w:r>
        <w:rPr>
          <w:rFonts w:ascii="Times New Roman" w:hAnsi="Times New Roman" w:cs="Times New Roman" w:eastAsia="Times New Roman" w:hint="default"/>
        </w:rPr>
        <w:t>.</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Поднет је захтев за пренос средстава из буџета града број 433 од 04.07.2014. године у износу од 350 хиљада динара и средства су пренета Туристичкој организацији, за услугу израде фотографија, снимања и продукције видео спота по рачуну Савеза екстремних спортова број 06 од 12.05.2014. године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а обавеза по наведеном рачуну је у време подношења захтева већ била измирена, дана 10.03.2014. године са подрачуна средстава  по пројекту „Мотодестинг“ број 840</w:t>
      </w:r>
      <w:r>
        <w:rPr>
          <w:rFonts w:ascii="Times New Roman" w:hAnsi="Times New Roman" w:cs="Times New Roman" w:eastAsia="Times New Roman" w:hint="default"/>
          <w:sz w:val="24"/>
          <w:szCs w:val="24"/>
        </w:rPr>
        <w:t>-27776741-</w:t>
      </w:r>
      <w:r>
        <w:rPr>
          <w:rFonts w:ascii="Times New Roman" w:hAnsi="Times New Roman" w:cs="Times New Roman" w:eastAsia="Times New Roman" w:hint="default"/>
          <w:sz w:val="24"/>
          <w:szCs w:val="24"/>
        </w:rPr>
        <w:t>71, по изводу број 7, у износу од 150 хиљада динара и дана 30.04.2014. године са буџетског рачуна по изводу број 39 у износу од 200 хиљада динара. На описани начин поступљено је супротно члану 42. Упутства о раду трезора града Ниша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Средства из буџета Града су утрошена дана 05.08.2014. године на измирење обавеза за набављену нематеријалну имовину у износу од 198 хиљада динара и за набављену опрему у износу од 162 хиљаде динара, на који начин је одступљено од захтева за пренос средстава и није извршено сравњење са директним корисником, што је супротно члану 78. Закона о буџетском систему, члану 6. Уредбе о буџетском рачуноводству и члану 18. Одлуке о буџету града Ниша за 2014.</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годину</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По захтеву за пренос средстава из буџета града број 489 од 29.07.2014. године у износу од 58 хиљада динара за услугу превоза путника на релацији Београд</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Ниш</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Београд</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пренета су средства из буџета Града 11.08.2014. године иако су обавезе по Уговорима о превозу закљученим са „Ниш експрес“ ад Ниш дана 03.04.2014. године у време подношења захтева већ биле измирене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што је супротно члану 42. Упутства о раду трезора града</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Ниша</w:t>
      </w:r>
      <w:r>
        <w:rPr>
          <w:rFonts w:ascii="Times New Roman" w:hAnsi="Times New Roman" w:cs="Times New Roman" w:eastAsia="Times New Roman" w:hint="default"/>
          <w:sz w:val="24"/>
          <w:szCs w:val="24"/>
        </w:rPr>
        <w:t>.</w:t>
      </w:r>
    </w:p>
    <w:p>
      <w:pPr>
        <w:pStyle w:val="Heading2"/>
        <w:spacing w:line="240" w:lineRule="auto"/>
        <w:ind w:right="176"/>
        <w:jc w:val="both"/>
        <w:rPr>
          <w:b w:val="0"/>
          <w:bCs w:val="0"/>
          <w:i w:val="0"/>
        </w:rPr>
      </w:pPr>
      <w:r>
        <w:rPr>
          <w:i/>
        </w:rPr>
        <w:t>Препоручује се одговорним лицима да врше сравњење са директним корисником, прате неизмирене обавезе по рачунима и подносе захтев за пренос средстава Управи за привреду  за рачуне који нису</w:t>
      </w:r>
      <w:r>
        <w:rPr>
          <w:i/>
          <w:spacing w:val="-13"/>
        </w:rPr>
        <w:t> </w:t>
      </w:r>
      <w:r>
        <w:rPr>
          <w:i/>
        </w:rPr>
        <w:t>измирени.</w:t>
      </w:r>
      <w:r>
        <w:rPr>
          <w:b w:val="0"/>
          <w:i w:val="0"/>
        </w:rPr>
      </w:r>
    </w:p>
    <w:p>
      <w:pPr>
        <w:pStyle w:val="ListParagraph"/>
        <w:numPr>
          <w:ilvl w:val="0"/>
          <w:numId w:val="33"/>
        </w:numPr>
        <w:tabs>
          <w:tab w:pos="1135" w:val="left" w:leader="none"/>
        </w:tabs>
        <w:spacing w:line="240" w:lineRule="auto" w:before="132" w:after="0"/>
        <w:ind w:left="1134" w:right="0" w:hanging="408"/>
        <w:jc w:val="left"/>
        <w:rPr>
          <w:rFonts w:ascii="Times New Roman" w:hAnsi="Times New Roman" w:cs="Times New Roman" w:eastAsia="Times New Roman" w:hint="default"/>
          <w:sz w:val="24"/>
          <w:szCs w:val="24"/>
        </w:rPr>
      </w:pPr>
      <w:r>
        <w:rPr>
          <w:rFonts w:ascii="Times New Roman" w:hAnsi="Times New Roman"/>
          <w:b/>
          <w:sz w:val="24"/>
        </w:rPr>
        <w:t>Управа за пољопривреду и развој села  </w:t>
      </w:r>
      <w:r>
        <w:rPr>
          <w:rFonts w:ascii="Times New Roman" w:hAnsi="Times New Roman"/>
          <w:b/>
          <w:sz w:val="24"/>
        </w:rPr>
        <w:t>- </w:t>
      </w:r>
      <w:r>
        <w:rPr>
          <w:rFonts w:ascii="Times New Roman" w:hAnsi="Times New Roman"/>
          <w:sz w:val="24"/>
        </w:rPr>
        <w:t>Исказано је извршење  у износу   </w:t>
      </w:r>
      <w:r>
        <w:rPr>
          <w:rFonts w:ascii="Times New Roman" w:hAnsi="Times New Roman"/>
          <w:spacing w:val="19"/>
          <w:sz w:val="24"/>
        </w:rPr>
        <w:t> </w:t>
      </w:r>
      <w:r>
        <w:rPr>
          <w:rFonts w:ascii="Times New Roman" w:hAnsi="Times New Roman"/>
          <w:sz w:val="24"/>
        </w:rPr>
        <w:t>од</w:t>
      </w:r>
    </w:p>
    <w:p>
      <w:pPr>
        <w:pStyle w:val="BodyText"/>
        <w:spacing w:line="240" w:lineRule="auto"/>
        <w:ind w:right="175"/>
        <w:jc w:val="both"/>
      </w:pPr>
      <w:r>
        <w:rPr>
          <w:rFonts w:ascii="Times New Roman" w:hAnsi="Times New Roman"/>
        </w:rPr>
        <w:t>9.075 </w:t>
      </w:r>
      <w:r>
        <w:rPr/>
        <w:t>хиљада динара и то из буџета града у износу од 1.434 хиљаде динара и из осталих извора у износу од 7.641 хиљаде динара. Исказани расход односи се на директног буџетског корисника Управу за пољопривреду и развој села у износу од 1.434 хиљаде динара и индиректног буџетског корисника Фонд за развој и самофинансирање заједничких потреба грађана у износу од 7.641 хиљаде</w:t>
      </w:r>
      <w:r>
        <w:rPr>
          <w:spacing w:val="-19"/>
        </w:rPr>
        <w:t> </w:t>
      </w:r>
      <w:r>
        <w:rPr/>
        <w:t>динара.</w:t>
      </w:r>
    </w:p>
    <w:p>
      <w:pPr>
        <w:pStyle w:val="BodyText"/>
        <w:spacing w:line="240" w:lineRule="auto"/>
        <w:ind w:left="726" w:right="141"/>
        <w:jc w:val="left"/>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Остале опште услуге, субаналитички конто </w:t>
      </w:r>
      <w:r>
        <w:rPr>
          <w:rFonts w:ascii="Times New Roman" w:hAnsi="Times New Roman" w:cs="Times New Roman" w:eastAsia="Times New Roman" w:hint="default"/>
          <w:u w:val="single" w:color="000000"/>
        </w:rPr>
        <w:t>423911 </w:t>
      </w:r>
      <w:r>
        <w:rPr>
          <w:rFonts w:ascii="Times New Roman" w:hAnsi="Times New Roman" w:cs="Times New Roman" w:eastAsia="Times New Roman" w:hint="default"/>
        </w:rPr>
      </w:r>
      <w:r>
        <w:rPr/>
        <w:t>– Исказан је расход у износу </w:t>
      </w:r>
      <w:r>
        <w:rPr>
          <w:spacing w:val="46"/>
        </w:rPr>
        <w:t> </w:t>
      </w:r>
      <w:r>
        <w:rPr/>
        <w:t>од</w:t>
      </w:r>
    </w:p>
    <w:p>
      <w:pPr>
        <w:pStyle w:val="BodyText"/>
        <w:spacing w:line="240" w:lineRule="auto"/>
        <w:ind w:right="0"/>
        <w:jc w:val="both"/>
      </w:pPr>
      <w:r>
        <w:rPr/>
        <w:t>1.375 хиљада</w:t>
      </w:r>
      <w:r>
        <w:rPr>
          <w:spacing w:val="-3"/>
        </w:rPr>
        <w:t> </w:t>
      </w:r>
      <w:r>
        <w:rPr/>
        <w:t>динара.</w:t>
      </w:r>
    </w:p>
    <w:p>
      <w:pPr>
        <w:pStyle w:val="BodyText"/>
        <w:spacing w:line="240" w:lineRule="auto"/>
        <w:ind w:right="177" w:firstLine="566"/>
        <w:jc w:val="both"/>
      </w:pPr>
      <w:r>
        <w:rPr/>
        <w:t>Градско Веће града Ниша донело је Програм мера подршке за спровођење пољопривредне политике и политике руралног развоја за територију града Ниша за 2014. годину број 483</w:t>
      </w:r>
      <w:r>
        <w:rPr>
          <w:rFonts w:ascii="Times New Roman" w:hAnsi="Times New Roman"/>
        </w:rPr>
        <w:t>-22/2014-</w:t>
      </w:r>
      <w:r>
        <w:rPr/>
        <w:t>03 од 07.04.2014. године на основу претходно прибављеног Решења Министарства пољопривреде, шумарства и водопривреде број 401</w:t>
      </w:r>
      <w:r>
        <w:rPr>
          <w:rFonts w:ascii="Times New Roman" w:hAnsi="Times New Roman"/>
        </w:rPr>
        <w:t>-00- 00068/2014-</w:t>
      </w:r>
      <w:r>
        <w:rPr/>
        <w:t>09 од 31.03.2014. године којим је дата претходна сагласност на Предлог програма мера подршке за спровођење пољопривредне политике и политике руралног развоја за територију града Ниша за 2014. годину. Извештај о реализацији Програма мера подршке  за  спровођење  пољопривредне  политике  и  политике  руралног   развоја     </w:t>
      </w:r>
      <w:r>
        <w:rPr>
          <w:spacing w:val="6"/>
        </w:rPr>
        <w:t> </w:t>
      </w:r>
      <w:r>
        <w:rPr/>
        <w:t>за</w:t>
      </w:r>
    </w:p>
    <w:p>
      <w:pPr>
        <w:spacing w:after="0" w:line="240" w:lineRule="auto"/>
        <w:jc w:val="both"/>
        <w:sectPr>
          <w:pgSz w:w="12240" w:h="15840"/>
          <w:pgMar w:header="740" w:footer="1274" w:top="1280" w:bottom="1460" w:left="1400" w:right="1260"/>
        </w:sectPr>
      </w:pPr>
    </w:p>
    <w:p>
      <w:pPr>
        <w:pStyle w:val="BodyText"/>
        <w:spacing w:line="240" w:lineRule="auto" w:before="122"/>
        <w:ind w:right="178"/>
        <w:jc w:val="both"/>
      </w:pPr>
      <w:r>
        <w:rPr/>
        <w:t>територију града Ниша за 2014. годину број 10</w:t>
      </w:r>
      <w:r>
        <w:rPr>
          <w:rFonts w:ascii="Times New Roman" w:hAnsi="Times New Roman"/>
        </w:rPr>
        <w:t>-</w:t>
      </w:r>
      <w:r>
        <w:rPr/>
        <w:t>348/2015 од 09.03.2015. године усвојен је од стране Градског већа града Ниша Решењем број 427</w:t>
      </w:r>
      <w:r>
        <w:rPr>
          <w:rFonts w:ascii="Times New Roman" w:hAnsi="Times New Roman"/>
        </w:rPr>
        <w:t>-14/2015-</w:t>
      </w:r>
      <w:r>
        <w:rPr/>
        <w:t>03 од 30.03.2015.</w:t>
      </w:r>
      <w:r>
        <w:rPr>
          <w:spacing w:val="-6"/>
        </w:rPr>
        <w:t> </w:t>
      </w:r>
      <w:r>
        <w:rPr/>
        <w:t>године.</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91"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Извршен је расход у износу од </w:t>
      </w:r>
      <w:r>
        <w:rPr>
          <w:rFonts w:ascii="Times New Roman" w:hAnsi="Times New Roman"/>
          <w:sz w:val="24"/>
        </w:rPr>
        <w:t>1</w:t>
      </w:r>
      <w:r>
        <w:rPr>
          <w:rFonts w:ascii="Times New Roman" w:hAnsi="Times New Roman"/>
          <w:sz w:val="24"/>
        </w:rPr>
        <w:t>50 хиљада динара на име  медијског праћења по</w:t>
      </w:r>
      <w:r>
        <w:rPr>
          <w:rFonts w:ascii="Times New Roman" w:hAnsi="Times New Roman"/>
          <w:spacing w:val="34"/>
          <w:sz w:val="24"/>
        </w:rPr>
        <w:t> </w:t>
      </w:r>
      <w:r>
        <w:rPr>
          <w:rFonts w:ascii="Times New Roman" w:hAnsi="Times New Roman"/>
          <w:sz w:val="24"/>
        </w:rPr>
        <w:t>рачуну</w:t>
      </w:r>
    </w:p>
    <w:p>
      <w:pPr>
        <w:pStyle w:val="BodyText"/>
        <w:spacing w:line="240" w:lineRule="auto"/>
        <w:ind w:right="172"/>
        <w:jc w:val="both"/>
      </w:pPr>
      <w:r>
        <w:rPr/>
        <w:t>„Зона плус“ доо Ниш број 1/86 од 05.08.2014. године</w:t>
      </w:r>
      <w:r>
        <w:rPr>
          <w:rFonts w:ascii="Times New Roman" w:hAnsi="Times New Roman" w:cs="Times New Roman" w:eastAsia="Times New Roman" w:hint="default"/>
        </w:rPr>
        <w:t>, </w:t>
      </w:r>
      <w:r>
        <w:rPr/>
        <w:t>„South Side“ пр Niš број 066/2013  од 10.10.2013. године и број 102/2013 од 12.11.2013. године у којима  није  наведена услуга која је извршена и који нису оверени потписима одговорних лица чиме би потврдили извршење услуге, тако да нису валидан документ за књижење, што је супротно члану 58. Закона о буџетском систему и члану 16. Уредбе о буџетском рачуноводству.</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Рачун „Зона плус“ доо Ниш на име медијског праћења за месец јули 2014. године испостављен је на пуни уговорени месечни износ накнаде од 50 хиљада динара, док је Уговором о пословној сарадњи број 10</w:t>
      </w:r>
      <w:r>
        <w:rPr>
          <w:rFonts w:ascii="Times New Roman" w:hAnsi="Times New Roman" w:cs="Times New Roman" w:eastAsia="Times New Roman" w:hint="default"/>
          <w:sz w:val="24"/>
          <w:szCs w:val="24"/>
        </w:rPr>
        <w:t>-34/2014-</w:t>
      </w:r>
      <w:r>
        <w:rPr>
          <w:rFonts w:ascii="Times New Roman" w:hAnsi="Times New Roman" w:cs="Times New Roman" w:eastAsia="Times New Roman" w:hint="default"/>
          <w:sz w:val="24"/>
          <w:szCs w:val="24"/>
        </w:rPr>
        <w:t>259 од 04.07.2014. године уговорено пружање услуга почев од 07.07.2014. године као и сразмерно умањење износа на  фактури, у складу са количином емитованог</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садржаја.</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Плаћање у износу од 100 хиљада динара за измирење пренетих обавеза из 2013. године за услугу медијског праћења по рачунима „South Side“ пр Ниш број 066/2013 од 10.10.2013. године и број 102/2013 од 12.11.2013. године преузетих по Програму Фонда за развој пољопривреде за 2013. годину, на који Министарство пољопривреде,  шумарства и водопривреде није дало претходну сагласност, извршено је без основа који је у складу са чланом 13. Закона о подстицајима у пољопривреди и руралном развоју и чланом 56. Закона о буџетском</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систему.</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је евидентиран расход у износу од 50 хиљада динара на име суфинансирања манифестације уместо на групи 481000 – дотације невладиним организацијама, што је супротно члану 9. Уредбе о буџетском рачуноводству и Правилнику о стандардном класификационом оквиру и контном плану за буџетски систем.</w:t>
      </w:r>
    </w:p>
    <w:p>
      <w:pPr>
        <w:pStyle w:val="Heading2"/>
        <w:spacing w:line="240" w:lineRule="auto"/>
        <w:ind w:right="177"/>
        <w:jc w:val="both"/>
        <w:rPr>
          <w:rFonts w:ascii="Times New Roman" w:hAnsi="Times New Roman" w:cs="Times New Roman" w:eastAsia="Times New Roman" w:hint="default"/>
          <w:b w:val="0"/>
          <w:bCs w:val="0"/>
          <w:i w:val="0"/>
        </w:rPr>
      </w:pPr>
      <w:r>
        <w:rPr>
          <w:i/>
        </w:rPr>
        <w:t>Препоручује се одговорним лицима да обезбеде валидну документацију за сваки расход из буџета, да обезбеде основ за сваки расход из буџета,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1"/>
        </w:rPr>
        <w:t> </w:t>
      </w:r>
      <w:r>
        <w:rPr>
          <w:i/>
        </w:rPr>
        <w:t>систем</w:t>
      </w:r>
      <w:r>
        <w:rPr>
          <w:rFonts w:ascii="Times New Roman" w:hAnsi="Times New Roman"/>
          <w:i/>
        </w:rPr>
        <w:t>.</w:t>
      </w:r>
      <w:r>
        <w:rPr>
          <w:rFonts w:ascii="Times New Roman" w:hAnsi="Times New Roman"/>
          <w:b w:val="0"/>
          <w:i w:val="0"/>
        </w:rPr>
      </w:r>
    </w:p>
    <w:p>
      <w:pPr>
        <w:pStyle w:val="ListParagraph"/>
        <w:numPr>
          <w:ilvl w:val="0"/>
          <w:numId w:val="33"/>
        </w:numPr>
        <w:tabs>
          <w:tab w:pos="1210" w:val="left" w:leader="none"/>
        </w:tabs>
        <w:spacing w:line="240" w:lineRule="auto" w:before="140" w:after="0"/>
        <w:ind w:left="160" w:right="174" w:firstLine="566"/>
        <w:jc w:val="both"/>
        <w:rPr>
          <w:rFonts w:ascii="Times New Roman" w:hAnsi="Times New Roman" w:cs="Times New Roman" w:eastAsia="Times New Roman" w:hint="default"/>
          <w:sz w:val="24"/>
          <w:szCs w:val="24"/>
        </w:rPr>
      </w:pPr>
      <w:r>
        <w:rPr>
          <w:rFonts w:ascii="Times New Roman" w:hAnsi="Times New Roman"/>
          <w:b/>
          <w:sz w:val="24"/>
        </w:rPr>
        <w:t>Служба за одржавање и информатичко</w:t>
      </w:r>
      <w:r>
        <w:rPr>
          <w:rFonts w:ascii="Times New Roman" w:hAnsi="Times New Roman"/>
          <w:b/>
          <w:sz w:val="24"/>
        </w:rPr>
        <w:t>-</w:t>
      </w:r>
      <w:r>
        <w:rPr>
          <w:rFonts w:ascii="Times New Roman" w:hAnsi="Times New Roman"/>
          <w:b/>
          <w:sz w:val="24"/>
        </w:rPr>
        <w:t>комуникационе технологије </w:t>
      </w:r>
      <w:r>
        <w:rPr>
          <w:rFonts w:ascii="Times New Roman" w:hAnsi="Times New Roman"/>
          <w:b/>
          <w:sz w:val="24"/>
        </w:rPr>
        <w:t>- </w:t>
      </w:r>
      <w:r>
        <w:rPr>
          <w:rFonts w:ascii="Times New Roman" w:hAnsi="Times New Roman"/>
          <w:sz w:val="24"/>
        </w:rPr>
        <w:t>Исказано је извршење у укупном износу од 9.946 хиљада динара. Исказани су расходи за: компјутерске услуге у износу од 2.529 хиљада динара, услуге информисања у износу од 340 хиљада динара, стручне услуге у износу од 26 хиљада динара и остале опште услуге  у износу од 7.051 хиљаде</w:t>
      </w:r>
      <w:r>
        <w:rPr>
          <w:rFonts w:ascii="Times New Roman" w:hAnsi="Times New Roman"/>
          <w:spacing w:val="-11"/>
          <w:sz w:val="24"/>
        </w:rPr>
        <w:t> </w:t>
      </w:r>
      <w:r>
        <w:rPr>
          <w:rFonts w:ascii="Times New Roman" w:hAnsi="Times New Roman"/>
          <w:sz w:val="24"/>
        </w:rPr>
        <w:t>динара.</w:t>
      </w:r>
    </w:p>
    <w:p>
      <w:pPr>
        <w:pStyle w:val="BodyText"/>
        <w:spacing w:line="240" w:lineRule="auto"/>
        <w:ind w:right="173"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Услуге за израду софтвера, субаналитички конто </w:t>
      </w:r>
      <w:r>
        <w:rPr>
          <w:rFonts w:ascii="Times New Roman" w:hAnsi="Times New Roman" w:cs="Times New Roman" w:eastAsia="Times New Roman" w:hint="default"/>
          <w:u w:val="single" w:color="000000"/>
        </w:rPr>
        <w:t>423211 </w:t>
      </w:r>
      <w:r>
        <w:rPr>
          <w:rFonts w:ascii="Times New Roman" w:hAnsi="Times New Roman" w:cs="Times New Roman" w:eastAsia="Times New Roman" w:hint="default"/>
        </w:rPr>
      </w:r>
      <w:r>
        <w:rPr>
          <w:rFonts w:ascii="Times New Roman" w:hAnsi="Times New Roman" w:cs="Times New Roman" w:eastAsia="Times New Roman" w:hint="default"/>
          <w:b/>
          <w:bCs/>
        </w:rPr>
        <w:t>– </w:t>
      </w:r>
      <w:r>
        <w:rPr/>
        <w:t>Исказан је расход у износу од </w:t>
      </w:r>
      <w:r>
        <w:rPr>
          <w:rFonts w:ascii="Times New Roman" w:hAnsi="Times New Roman" w:cs="Times New Roman" w:eastAsia="Times New Roman" w:hint="default"/>
        </w:rPr>
        <w:t>781 </w:t>
      </w:r>
      <w:r>
        <w:rPr/>
        <w:t>хиљад</w:t>
      </w:r>
      <w:r>
        <w:rPr>
          <w:rFonts w:ascii="Times New Roman" w:hAnsi="Times New Roman" w:cs="Times New Roman" w:eastAsia="Times New Roman" w:hint="default"/>
        </w:rPr>
        <w:t>e</w:t>
      </w:r>
      <w:r>
        <w:rPr>
          <w:rFonts w:ascii="Times New Roman" w:hAnsi="Times New Roman" w:cs="Times New Roman" w:eastAsia="Times New Roman" w:hint="default"/>
          <w:spacing w:val="-6"/>
        </w:rPr>
        <w:t> </w:t>
      </w:r>
      <w:r>
        <w:rPr/>
        <w:t>динара.</w:t>
      </w:r>
    </w:p>
    <w:p>
      <w:pPr>
        <w:pStyle w:val="BodyText"/>
        <w:spacing w:line="240" w:lineRule="auto"/>
        <w:ind w:left="726" w:right="141"/>
        <w:jc w:val="left"/>
        <w:rPr>
          <w:rFonts w:ascii="Times New Roman" w:hAnsi="Times New Roman" w:cs="Times New Roman" w:eastAsia="Times New Roman" w:hint="default"/>
        </w:rPr>
      </w:pPr>
      <w:r>
        <w:rPr/>
        <w:t>На основу ревизије узорковане документације нису утврђене</w:t>
      </w:r>
      <w:r>
        <w:rPr>
          <w:spacing w:val="-16"/>
        </w:rPr>
        <w:t> </w:t>
      </w:r>
      <w:r>
        <w:rPr/>
        <w:t>неправилности</w:t>
      </w:r>
      <w:r>
        <w:rPr>
          <w:rFonts w:ascii="Times New Roman" w:hAnsi="Times New Roman"/>
        </w:rPr>
        <w:t>.</w:t>
      </w:r>
    </w:p>
    <w:p>
      <w:pPr>
        <w:pStyle w:val="BodyText"/>
        <w:spacing w:line="240" w:lineRule="auto"/>
        <w:ind w:right="170" w:firstLine="566"/>
        <w:jc w:val="both"/>
      </w:pPr>
      <w:r>
        <w:rPr>
          <w:rFonts w:ascii="Times New Roman" w:hAnsi="Times New Roman"/>
        </w:rPr>
      </w:r>
      <w:r>
        <w:rPr>
          <w:rFonts w:ascii="Times New Roman" w:hAnsi="Times New Roman"/>
          <w:spacing w:val="-60"/>
          <w:u w:val="single" w:color="000000"/>
        </w:rPr>
        <w:t> </w:t>
      </w:r>
      <w:r>
        <w:rPr>
          <w:u w:val="single" w:color="000000"/>
        </w:rPr>
        <w:t>Услуге одржавања рачунара</w:t>
      </w:r>
      <w:r>
        <w:rPr>
          <w:rFonts w:ascii="Times New Roman" w:hAnsi="Times New Roman"/>
          <w:u w:val="single" w:color="000000"/>
        </w:rPr>
        <w:t>, </w:t>
      </w:r>
      <w:r>
        <w:rPr>
          <w:u w:val="single" w:color="000000"/>
        </w:rPr>
        <w:t>субаналитички конто </w:t>
      </w:r>
      <w:r>
        <w:rPr>
          <w:rFonts w:ascii="Times New Roman" w:hAnsi="Times New Roman"/>
          <w:u w:val="single" w:color="000000"/>
        </w:rPr>
        <w:t>423221 </w:t>
      </w:r>
      <w:r>
        <w:rPr>
          <w:rFonts w:ascii="Times New Roman" w:hAnsi="Times New Roman"/>
        </w:rPr>
      </w:r>
      <w:r>
        <w:rPr>
          <w:rFonts w:ascii="Times New Roman" w:hAnsi="Times New Roman"/>
          <w:b/>
        </w:rPr>
        <w:t>- </w:t>
      </w:r>
      <w:r>
        <w:rPr/>
        <w:t>Исказан је расход у износу од </w:t>
      </w:r>
      <w:r>
        <w:rPr>
          <w:rFonts w:ascii="Times New Roman" w:hAnsi="Times New Roman"/>
        </w:rPr>
        <w:t>1.190 </w:t>
      </w:r>
      <w:r>
        <w:rPr/>
        <w:t>хиљада</w:t>
      </w:r>
      <w:r>
        <w:rPr>
          <w:spacing w:val="-7"/>
        </w:rPr>
        <w:t> </w:t>
      </w:r>
      <w:r>
        <w:rPr/>
        <w:t>динара.</w:t>
      </w:r>
    </w:p>
    <w:p>
      <w:pPr>
        <w:spacing w:before="0"/>
        <w:ind w:left="160" w:right="174"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На основу ревизије узорковане документације утврђено је </w:t>
      </w:r>
      <w:r>
        <w:rPr>
          <w:rFonts w:ascii="Times New Roman" w:hAnsi="Times New Roman" w:cs="Times New Roman" w:eastAsia="Times New Roman" w:hint="default"/>
          <w:sz w:val="24"/>
          <w:szCs w:val="24"/>
        </w:rPr>
        <w:t>да рачуни „Algotech“ доо Београд за услугу одржавања call центра у укупном износу од 357 хиљада динара и то:</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број</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13</w:t>
      </w:r>
      <w:r>
        <w:rPr>
          <w:rFonts w:ascii="Times New Roman" w:hAnsi="Times New Roman" w:cs="Times New Roman" w:eastAsia="Times New Roman" w:hint="default"/>
          <w:sz w:val="24"/>
          <w:szCs w:val="24"/>
        </w:rPr>
        <w:t>-360-</w:t>
      </w:r>
      <w:r>
        <w:rPr>
          <w:rFonts w:ascii="Times New Roman" w:hAnsi="Times New Roman" w:cs="Times New Roman" w:eastAsia="Times New Roman" w:hint="default"/>
          <w:sz w:val="24"/>
          <w:szCs w:val="24"/>
        </w:rPr>
        <w:t>000451</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од</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30.04.2013.</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године,</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број</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13</w:t>
      </w:r>
      <w:r>
        <w:rPr>
          <w:rFonts w:ascii="Times New Roman" w:hAnsi="Times New Roman" w:cs="Times New Roman" w:eastAsia="Times New Roman" w:hint="default"/>
          <w:sz w:val="24"/>
          <w:szCs w:val="24"/>
        </w:rPr>
        <w:t>-360-</w:t>
      </w:r>
      <w:r>
        <w:rPr>
          <w:rFonts w:ascii="Times New Roman" w:hAnsi="Times New Roman" w:cs="Times New Roman" w:eastAsia="Times New Roman" w:hint="default"/>
          <w:sz w:val="24"/>
          <w:szCs w:val="24"/>
        </w:rPr>
        <w:t>000573</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од</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31.05.2013.</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године,</w:t>
      </w:r>
    </w:p>
    <w:p>
      <w:pPr>
        <w:pStyle w:val="BodyText"/>
        <w:spacing w:line="240" w:lineRule="auto"/>
        <w:ind w:right="174"/>
        <w:jc w:val="both"/>
      </w:pPr>
      <w:r>
        <w:rPr/>
        <w:t>број 13</w:t>
      </w:r>
      <w:r>
        <w:rPr>
          <w:rFonts w:ascii="Times New Roman" w:hAnsi="Times New Roman"/>
        </w:rPr>
        <w:t>-360-</w:t>
      </w:r>
      <w:r>
        <w:rPr/>
        <w:t>000697 од 30.06.2013. године и број 14</w:t>
      </w:r>
      <w:r>
        <w:rPr>
          <w:rFonts w:ascii="Times New Roman" w:hAnsi="Times New Roman"/>
        </w:rPr>
        <w:t>-360-</w:t>
      </w:r>
      <w:r>
        <w:rPr/>
        <w:t>000157 од 28.02.2014. године  нису  потписани  од  стране  лица  које  је  исправу  контролисало  и  лица  одговорног </w:t>
      </w:r>
      <w:r>
        <w:rPr>
          <w:spacing w:val="20"/>
        </w:rPr>
        <w:t> </w:t>
      </w:r>
      <w:r>
        <w:rPr/>
        <w:t>за</w:t>
      </w:r>
    </w:p>
    <w:p>
      <w:pPr>
        <w:spacing w:after="0" w:line="240" w:lineRule="auto"/>
        <w:jc w:val="both"/>
        <w:sectPr>
          <w:pgSz w:w="12240" w:h="15840"/>
          <w:pgMar w:header="740" w:footer="1274" w:top="1280" w:bottom="1460" w:left="1400" w:right="1260"/>
        </w:sectPr>
      </w:pPr>
    </w:p>
    <w:p>
      <w:pPr>
        <w:pStyle w:val="BodyText"/>
        <w:spacing w:line="240" w:lineRule="auto" w:before="122"/>
        <w:ind w:right="190"/>
        <w:jc w:val="both"/>
      </w:pPr>
      <w:r>
        <w:rPr/>
        <w:t>насталу пословну промену, што је супротно члану 58. Закона о буџетском систему и члану 16. Уредбе о буџетском</w:t>
      </w:r>
      <w:r>
        <w:rPr>
          <w:spacing w:val="-9"/>
        </w:rPr>
        <w:t> </w:t>
      </w:r>
      <w:r>
        <w:rPr/>
        <w:t>рачуноводству.</w:t>
      </w:r>
    </w:p>
    <w:p>
      <w:pPr>
        <w:pStyle w:val="Heading2"/>
        <w:spacing w:line="240" w:lineRule="auto"/>
        <w:ind w:right="178"/>
        <w:jc w:val="both"/>
        <w:rPr>
          <w:b w:val="0"/>
          <w:bCs w:val="0"/>
          <w:i w:val="0"/>
        </w:rPr>
      </w:pPr>
      <w:r>
        <w:rPr>
          <w:i/>
        </w:rPr>
        <w:t>Препоручује се одговорним лицима да обезбеде валидну документацију за сваки расход из буџета.</w:t>
      </w:r>
      <w:r>
        <w:rPr>
          <w:b w:val="0"/>
          <w:i w:val="0"/>
        </w:rPr>
      </w:r>
    </w:p>
    <w:p>
      <w:pPr>
        <w:pStyle w:val="BodyText"/>
        <w:spacing w:line="240" w:lineRule="auto"/>
        <w:ind w:right="173" w:firstLine="566"/>
        <w:jc w:val="both"/>
      </w:pPr>
      <w:r>
        <w:rPr>
          <w:rFonts w:ascii="Times New Roman" w:hAnsi="Times New Roman"/>
        </w:rPr>
      </w:r>
      <w:r>
        <w:rPr>
          <w:rFonts w:ascii="Times New Roman" w:hAnsi="Times New Roman"/>
          <w:spacing w:val="-60"/>
          <w:u w:val="single" w:color="000000"/>
        </w:rPr>
        <w:t> </w:t>
      </w:r>
      <w:r>
        <w:rPr>
          <w:u w:val="single" w:color="000000"/>
        </w:rPr>
        <w:t>Остале компјутерске услуге</w:t>
      </w:r>
      <w:r>
        <w:rPr>
          <w:rFonts w:ascii="Times New Roman" w:hAnsi="Times New Roman"/>
          <w:u w:val="single" w:color="000000"/>
        </w:rPr>
        <w:t>, </w:t>
      </w:r>
      <w:r>
        <w:rPr>
          <w:u w:val="single" w:color="000000"/>
        </w:rPr>
        <w:t>субаналитички конто </w:t>
      </w:r>
      <w:r>
        <w:rPr>
          <w:rFonts w:ascii="Times New Roman" w:hAnsi="Times New Roman"/>
          <w:u w:val="single" w:color="000000"/>
        </w:rPr>
        <w:t>423291 </w:t>
      </w:r>
      <w:r>
        <w:rPr>
          <w:rFonts w:ascii="Times New Roman" w:hAnsi="Times New Roman"/>
        </w:rPr>
      </w:r>
      <w:r>
        <w:rPr>
          <w:rFonts w:ascii="Times New Roman" w:hAnsi="Times New Roman"/>
          <w:b/>
        </w:rPr>
        <w:t>- </w:t>
      </w:r>
      <w:r>
        <w:rPr/>
        <w:t>Исказани су расходи у износу од </w:t>
      </w:r>
      <w:r>
        <w:rPr>
          <w:rFonts w:ascii="Times New Roman" w:hAnsi="Times New Roman"/>
        </w:rPr>
        <w:t>558 </w:t>
      </w:r>
      <w:r>
        <w:rPr/>
        <w:t>хиљада динара и то: за услуге одржавања апликативног софтвера информационог система за потребе Управе за дечију, социјалну и примарну здравствену заштиту града Ниша у износу од 240 хиљада динара и за претплату на електронске прописе у износу од 271 хиљаде</w:t>
      </w:r>
      <w:r>
        <w:rPr>
          <w:spacing w:val="-12"/>
        </w:rPr>
        <w:t> </w:t>
      </w:r>
      <w:r>
        <w:rPr/>
        <w:t>динара.</w:t>
      </w:r>
    </w:p>
    <w:p>
      <w:pPr>
        <w:pStyle w:val="BodyText"/>
        <w:spacing w:line="240" w:lineRule="auto"/>
        <w:ind w:right="172" w:firstLine="566"/>
        <w:jc w:val="both"/>
      </w:pPr>
      <w:r>
        <w:rPr>
          <w:rFonts w:ascii="Times New Roman" w:hAnsi="Times New Roman" w:cs="Times New Roman" w:eastAsia="Times New Roman" w:hint="default"/>
          <w:b/>
          <w:bCs/>
        </w:rPr>
        <w:t>На основу ревизије узорковане документације утврђено је </w:t>
      </w:r>
      <w:r>
        <w:rPr/>
        <w:t>да рачуни у укупном износу од 331 хиљаде динара и то</w:t>
      </w:r>
      <w:r>
        <w:rPr>
          <w:rFonts w:ascii="Times New Roman" w:hAnsi="Times New Roman" w:cs="Times New Roman" w:eastAsia="Times New Roman" w:hint="default"/>
        </w:rPr>
        <w:t>: </w:t>
      </w:r>
      <w:r>
        <w:rPr/>
        <w:t>рачун „Smart soft“ пр Ниш број 012/2012 за услугу одржавања софтвера у износу од 60 хиљада динара и рачун „Инг</w:t>
      </w:r>
      <w:r>
        <w:rPr>
          <w:rFonts w:ascii="Times New Roman" w:hAnsi="Times New Roman" w:cs="Times New Roman" w:eastAsia="Times New Roman" w:hint="default"/>
        </w:rPr>
        <w:t>-</w:t>
      </w:r>
      <w:r>
        <w:rPr/>
        <w:t>про“ доо Београд број 1507/2014 од 03.11.2014. године у износу од 271 хиљаде динара за претплату на електронске прописе, нису потписани од стране лица које је исправу контролисало и  лица одговорног за насталу пословну промену, што је супротно члану 58. Закона о буџетском систему и члану 16. Уредбе о буџетском</w:t>
      </w:r>
      <w:r>
        <w:rPr>
          <w:spacing w:val="-18"/>
        </w:rPr>
        <w:t> </w:t>
      </w:r>
      <w:r>
        <w:rPr/>
        <w:t>рачуноводству.</w:t>
      </w:r>
    </w:p>
    <w:p>
      <w:pPr>
        <w:pStyle w:val="Heading2"/>
        <w:spacing w:line="240" w:lineRule="auto"/>
        <w:ind w:right="178"/>
        <w:jc w:val="both"/>
        <w:rPr>
          <w:rFonts w:ascii="Times New Roman" w:hAnsi="Times New Roman" w:cs="Times New Roman" w:eastAsia="Times New Roman" w:hint="default"/>
          <w:b w:val="0"/>
          <w:bCs w:val="0"/>
          <w:i w:val="0"/>
        </w:rPr>
      </w:pPr>
      <w:r>
        <w:rPr>
          <w:i/>
        </w:rPr>
        <w:t>Препоручује се одговорним лицима да обезбеде валидну документацију за сваки расход из</w:t>
      </w:r>
      <w:r>
        <w:rPr>
          <w:i/>
          <w:spacing w:val="1"/>
        </w:rPr>
        <w:t> </w:t>
      </w:r>
      <w:r>
        <w:rPr>
          <w:i/>
        </w:rPr>
        <w:t>буџета</w:t>
      </w:r>
      <w:r>
        <w:rPr>
          <w:rFonts w:ascii="Times New Roman" w:hAnsi="Times New Roman"/>
          <w:i/>
        </w:rPr>
        <w:t>.</w:t>
      </w:r>
      <w:r>
        <w:rPr>
          <w:rFonts w:ascii="Times New Roman" w:hAnsi="Times New Roman"/>
          <w:b w:val="0"/>
          <w:i w:val="0"/>
        </w:rPr>
      </w:r>
    </w:p>
    <w:p>
      <w:pPr>
        <w:pStyle w:val="BodyText"/>
        <w:spacing w:line="240" w:lineRule="auto"/>
        <w:ind w:right="170"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Остале опште услуге</w:t>
      </w:r>
      <w:r>
        <w:rPr>
          <w:rFonts w:ascii="Times New Roman" w:hAnsi="Times New Roman" w:cs="Times New Roman" w:eastAsia="Times New Roman" w:hint="default"/>
          <w:u w:val="single" w:color="000000"/>
        </w:rPr>
        <w:t>, </w:t>
      </w:r>
      <w:r>
        <w:rPr>
          <w:u w:val="single" w:color="000000"/>
        </w:rPr>
        <w:t>субаналитички конто </w:t>
      </w:r>
      <w:r>
        <w:rPr>
          <w:rFonts w:ascii="Times New Roman" w:hAnsi="Times New Roman" w:cs="Times New Roman" w:eastAsia="Times New Roman" w:hint="default"/>
          <w:u w:val="single" w:color="000000"/>
        </w:rPr>
        <w:t>423911 </w:t>
      </w:r>
      <w:r>
        <w:rPr>
          <w:rFonts w:ascii="Times New Roman" w:hAnsi="Times New Roman" w:cs="Times New Roman" w:eastAsia="Times New Roman" w:hint="default"/>
        </w:rPr>
      </w:r>
      <w:r>
        <w:rPr/>
        <w:t>– Евидентиран је расход у износу од 7.051 хиљаде</w:t>
      </w:r>
      <w:r>
        <w:rPr>
          <w:spacing w:val="-8"/>
        </w:rPr>
        <w:t> </w:t>
      </w:r>
      <w:r>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7"/>
        </w:rPr>
        <w:t> </w:t>
      </w:r>
      <w:r>
        <w:rPr/>
        <w:t>је:</w:t>
      </w:r>
      <w:r>
        <w:rPr>
          <w:b w:val="0"/>
        </w:rPr>
      </w:r>
    </w:p>
    <w:p>
      <w:pPr>
        <w:pStyle w:val="ListParagraph"/>
        <w:numPr>
          <w:ilvl w:val="0"/>
          <w:numId w:val="9"/>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Уговори са омладинским задругама за обављање повремених и привремних послова и то</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Уговор о пословној сарадњи број 16</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4322/2013 од 20.08.2013. године закључен са Студентско</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омладинском задругом „Index“ Ниш и Уговор о обављању повремених и привремених послова број 16</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4720/2014 од 08.09.2014. године закључен са Омладинском задругом „Импулс“ Ниш закључени су без уговорене вредности, тако да није одређен износ преузетих обавеза, што је супротно члану 5</w:t>
      </w:r>
      <w:r>
        <w:rPr>
          <w:rFonts w:ascii="Times New Roman" w:hAnsi="Times New Roman" w:cs="Times New Roman" w:eastAsia="Times New Roman" w:hint="default"/>
          <w:sz w:val="24"/>
          <w:szCs w:val="24"/>
        </w:rPr>
        <w:t>6. </w:t>
      </w:r>
      <w:r>
        <w:rPr>
          <w:rFonts w:ascii="Times New Roman" w:hAnsi="Times New Roman" w:cs="Times New Roman" w:eastAsia="Times New Roman" w:hint="default"/>
          <w:sz w:val="24"/>
          <w:szCs w:val="24"/>
        </w:rPr>
        <w:t>и 58. Закона о буџетском</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систему.</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Рачун Пољопривредно саветодавне и стручне службе доо Ниш број 106 од 22.06.2012. године за рефундацију материјалних трошкова у износу од 220 хиљада динара није потписан од стране лица које је исправу контролисало и лица одговорног за насталу пословну промену, што је супротно члану 58. Закона о буџетском систему и члану 16. Уредбе о буџетском</w:t>
      </w:r>
      <w:r>
        <w:rPr>
          <w:rFonts w:ascii="Times New Roman" w:hAnsi="Times New Roman"/>
          <w:spacing w:val="-11"/>
          <w:sz w:val="24"/>
        </w:rPr>
        <w:t> </w:t>
      </w:r>
      <w:r>
        <w:rPr>
          <w:rFonts w:ascii="Times New Roman" w:hAnsi="Times New Roman"/>
          <w:sz w:val="24"/>
        </w:rPr>
        <w:t>рачуноводству.</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је евидентиран расход у износу од </w:t>
      </w:r>
      <w:r>
        <w:rPr>
          <w:rFonts w:ascii="Times New Roman" w:hAnsi="Times New Roman" w:cs="Times New Roman" w:eastAsia="Times New Roman" w:hint="default"/>
          <w:sz w:val="24"/>
          <w:szCs w:val="24"/>
        </w:rPr>
        <w:t>5.762 </w:t>
      </w:r>
      <w:r>
        <w:rPr>
          <w:rFonts w:ascii="Times New Roman" w:hAnsi="Times New Roman" w:cs="Times New Roman" w:eastAsia="Times New Roman" w:hint="default"/>
          <w:sz w:val="24"/>
          <w:szCs w:val="24"/>
        </w:rPr>
        <w:t>хиљаде динара и то: 220 хиљада динара за материјалне трошкове за Пољопривредно саветодавну и стручну службу доо Ниш и одржавање хигијене у објектима града у износу од 5.512 хиљада динара, уместо  на групи 421000 – стални трошкови и 30 хиљада динара по Решењу о извршењу за трошкове извршног поступка уместо на групи 483000 – новчане казне и пенали по решењу судова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што је супротно члану 9. Уредбе о буџетском рачуноводству и Правилнику о стандардном класификационом оквиру и контном плану за буџетски систем.</w:t>
      </w:r>
    </w:p>
    <w:p>
      <w:pPr>
        <w:pStyle w:val="ListParagraph"/>
        <w:numPr>
          <w:ilvl w:val="0"/>
          <w:numId w:val="9"/>
        </w:numPr>
        <w:tabs>
          <w:tab w:pos="303" w:val="left" w:leader="none"/>
        </w:tabs>
        <w:spacing w:line="292" w:lineRule="exact" w:before="2"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Рачуни,  књижно  одобрење  и  књижно  задужење   Предузећа  за  трговину  и    </w:t>
      </w:r>
      <w:r>
        <w:rPr>
          <w:rFonts w:ascii="Times New Roman" w:hAnsi="Times New Roman"/>
          <w:spacing w:val="52"/>
          <w:sz w:val="24"/>
        </w:rPr>
        <w:t> </w:t>
      </w:r>
      <w:r>
        <w:rPr>
          <w:rFonts w:ascii="Times New Roman" w:hAnsi="Times New Roman"/>
          <w:sz w:val="24"/>
        </w:rPr>
        <w:t>услуге</w:t>
      </w:r>
    </w:p>
    <w:p>
      <w:pPr>
        <w:pStyle w:val="BodyText"/>
        <w:spacing w:line="240" w:lineRule="auto"/>
        <w:ind w:right="177"/>
        <w:jc w:val="both"/>
      </w:pPr>
      <w:r>
        <w:rPr/>
        <w:t>„Rilexco“ доо Београд у укупном износу од 772 хиљаде динара по Уговору о јавној набавци пружања услуга одржавања хигијене у објектима града Ниша број 16</w:t>
      </w:r>
      <w:r>
        <w:rPr>
          <w:rFonts w:ascii="Times New Roman" w:hAnsi="Times New Roman" w:cs="Times New Roman" w:eastAsia="Times New Roman" w:hint="default"/>
        </w:rPr>
        <w:t>-4952/2013 </w:t>
      </w:r>
      <w:r>
        <w:rPr/>
        <w:t>од 30.09.2013. године нису потписани од стране лица које је исправу контролисало и  лица одговорног за насталу пословну промену, што је супротно члану 58. Закона о буџетском систему и члану 16. Уредбе о буџетском</w:t>
      </w:r>
      <w:r>
        <w:rPr>
          <w:spacing w:val="-23"/>
        </w:rPr>
        <w:t> </w:t>
      </w:r>
      <w:r>
        <w:rPr/>
        <w:t>рачуноводству.</w:t>
      </w:r>
    </w:p>
    <w:p>
      <w:pPr>
        <w:spacing w:after="0" w:line="240" w:lineRule="auto"/>
        <w:jc w:val="both"/>
        <w:sectPr>
          <w:pgSz w:w="12240" w:h="15840"/>
          <w:pgMar w:header="740" w:footer="1274" w:top="1280" w:bottom="1460" w:left="1400" w:right="1260"/>
        </w:sectPr>
      </w:pPr>
    </w:p>
    <w:p>
      <w:pPr>
        <w:pStyle w:val="Heading2"/>
        <w:spacing w:line="240" w:lineRule="auto" w:before="126"/>
        <w:ind w:right="254"/>
        <w:jc w:val="both"/>
        <w:rPr>
          <w:b w:val="0"/>
          <w:bCs w:val="0"/>
          <w:i w:val="0"/>
        </w:rPr>
      </w:pPr>
      <w:r>
        <w:rPr>
          <w:i/>
        </w:rPr>
        <w:t>Препоручује се одговорним лицима да при закључењу уговора утврде вредност уговорених услуга, обезбеде валидну документацију за сваки расход из буџета,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28"/>
        </w:rPr>
        <w:t> </w:t>
      </w:r>
      <w:r>
        <w:rPr>
          <w:i/>
        </w:rPr>
        <w:t>систем.</w:t>
      </w:r>
      <w:r>
        <w:rPr>
          <w:b w:val="0"/>
          <w:i w:val="0"/>
        </w:rPr>
      </w:r>
    </w:p>
    <w:p>
      <w:pPr>
        <w:pStyle w:val="Heading1"/>
        <w:spacing w:line="272" w:lineRule="exact" w:before="201"/>
        <w:ind w:left="160" w:right="253"/>
        <w:jc w:val="left"/>
        <w:rPr>
          <w:b w:val="0"/>
          <w:bCs w:val="0"/>
        </w:rPr>
      </w:pPr>
      <w:bookmarkStart w:name="_bookmark19" w:id="35"/>
      <w:bookmarkEnd w:id="35"/>
      <w:r>
        <w:rPr>
          <w:b w:val="0"/>
        </w:rPr>
      </w:r>
      <w:r>
        <w:rPr>
          <w:rFonts w:ascii="Times New Roman" w:hAnsi="Times New Roman"/>
        </w:rPr>
        <w:t>4.1.4.11  </w:t>
      </w:r>
      <w:r>
        <w:rPr/>
        <w:t>Специјализоване услуге, група</w:t>
      </w:r>
      <w:r>
        <w:rPr>
          <w:spacing w:val="-6"/>
        </w:rPr>
        <w:t> </w:t>
      </w:r>
      <w:r>
        <w:rPr/>
        <w:t>424000</w:t>
      </w:r>
      <w:r>
        <w:rPr>
          <w:b w:val="0"/>
        </w:rPr>
      </w:r>
    </w:p>
    <w:p>
      <w:pPr>
        <w:pStyle w:val="BodyText"/>
        <w:spacing w:line="240" w:lineRule="auto"/>
        <w:ind w:right="256" w:firstLine="566"/>
        <w:jc w:val="both"/>
      </w:pPr>
      <w:r>
        <w:rPr/>
        <w:t>Група 42</w:t>
      </w:r>
      <w:r>
        <w:rPr>
          <w:rFonts w:ascii="Times New Roman" w:hAnsi="Times New Roman" w:cs="Times New Roman" w:eastAsia="Times New Roman" w:hint="default"/>
        </w:rPr>
        <w:t>4000 </w:t>
      </w:r>
      <w:r>
        <w:rPr/>
        <w:t>– Специјализоване услуге садржи синтетичка конта: пољопривредне услуге, услуге образовања, културе и спорта, медицинске услуге, услуге одржавања аутопутева, услуге одржавања националних паркова и природних површина, услуге очувања животне средине, науке и геодетске услуге и остале специјализоване</w:t>
      </w:r>
      <w:r>
        <w:rPr>
          <w:spacing w:val="-29"/>
        </w:rPr>
        <w:t> </w:t>
      </w:r>
      <w:r>
        <w:rPr/>
        <w:t>услуге.</w:t>
      </w:r>
    </w:p>
    <w:p>
      <w:pPr>
        <w:spacing w:before="2" w:after="6"/>
        <w:ind w:left="0" w:right="593" w:firstLine="0"/>
        <w:jc w:val="right"/>
        <w:rPr>
          <w:rFonts w:ascii="Times New Roman" w:hAnsi="Times New Roman" w:cs="Times New Roman" w:eastAsia="Times New Roman" w:hint="default"/>
          <w:sz w:val="16"/>
          <w:szCs w:val="16"/>
        </w:rPr>
      </w:pPr>
      <w:r>
        <w:rPr>
          <w:rFonts w:ascii="Times New Roman" w:hAnsi="Times New Roman"/>
          <w:sz w:val="16"/>
        </w:rPr>
        <w:t>(</w:t>
      </w:r>
      <w:r>
        <w:rPr>
          <w:rFonts w:ascii="Times New Roman" w:hAnsi="Times New Roman"/>
          <w:sz w:val="16"/>
        </w:rPr>
        <w:t>у хиљадама</w:t>
      </w:r>
      <w:r>
        <w:rPr>
          <w:rFonts w:ascii="Times New Roman" w:hAnsi="Times New Roman"/>
          <w:spacing w:val="-7"/>
          <w:sz w:val="16"/>
        </w:rPr>
        <w:t> </w:t>
      </w:r>
      <w:r>
        <w:rPr>
          <w:rFonts w:ascii="Times New Roman" w:hAnsi="Times New Roman"/>
          <w:sz w:val="16"/>
        </w:rPr>
        <w:t>динара</w:t>
      </w:r>
      <w:r>
        <w:rPr>
          <w:rFonts w:ascii="Times New Roman" w:hAnsi="Times New Roman"/>
          <w:sz w:val="16"/>
        </w:rPr>
        <w:t>)</w:t>
      </w:r>
    </w:p>
    <w:tbl>
      <w:tblPr>
        <w:tblW w:w="0" w:type="auto"/>
        <w:jc w:val="left"/>
        <w:tblInd w:w="141" w:type="dxa"/>
        <w:tblLayout w:type="fixed"/>
        <w:tblCellMar>
          <w:top w:w="0" w:type="dxa"/>
          <w:left w:w="0" w:type="dxa"/>
          <w:bottom w:w="0" w:type="dxa"/>
          <w:right w:w="0" w:type="dxa"/>
        </w:tblCellMar>
        <w:tblLook w:val="01E0"/>
      </w:tblPr>
      <w:tblGrid>
        <w:gridCol w:w="722"/>
        <w:gridCol w:w="2684"/>
        <w:gridCol w:w="960"/>
        <w:gridCol w:w="1351"/>
        <w:gridCol w:w="1047"/>
        <w:gridCol w:w="936"/>
        <w:gridCol w:w="845"/>
        <w:gridCol w:w="847"/>
      </w:tblGrid>
      <w:tr>
        <w:trPr>
          <w:trHeight w:val="505"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1"/>
              <w:ind w:left="187" w:right="102" w:hanging="75"/>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68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4"/>
              <w:ind w:left="535"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8"/>
                <w:sz w:val="18"/>
              </w:rPr>
              <w:t> </w:t>
            </w:r>
            <w:r>
              <w:rPr>
                <w:rFonts w:ascii="Times New Roman" w:hAnsi="Times New Roman"/>
                <w:b/>
                <w:sz w:val="18"/>
              </w:rPr>
              <w:t>корисник</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4"/>
              <w:ind w:right="103"/>
              <w:jc w:val="right"/>
              <w:rPr>
                <w:rFonts w:ascii="Times New Roman" w:hAnsi="Times New Roman" w:cs="Times New Roman" w:eastAsia="Times New Roman" w:hint="default"/>
                <w:sz w:val="18"/>
                <w:szCs w:val="18"/>
              </w:rPr>
            </w:pPr>
            <w:r>
              <w:rPr>
                <w:rFonts w:ascii="Times New Roman" w:hAnsi="Times New Roman"/>
                <w:b/>
                <w:spacing w:val="-1"/>
                <w:sz w:val="18"/>
              </w:rPr>
              <w:t>Ребаланс</w:t>
            </w:r>
            <w:r>
              <w:rPr>
                <w:rFonts w:ascii="Times New Roman" w:hAns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1"/>
              <w:ind w:left="103" w:right="93" w:firstLine="88"/>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реалокацијом</w:t>
            </w:r>
            <w:r>
              <w:rPr>
                <w:rFonts w:ascii="Times New Roman" w:hAns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1"/>
              <w:ind w:left="103" w:right="95"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1"/>
              <w:ind w:left="115" w:right="104"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1"/>
              <w:ind w:left="302" w:right="107"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1"/>
              <w:ind w:left="302" w:right="109"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49"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326" w:right="0"/>
              <w:jc w:val="left"/>
              <w:rPr>
                <w:rFonts w:ascii="Times New Roman" w:hAnsi="Times New Roman" w:cs="Times New Roman" w:eastAsia="Times New Roman" w:hint="default"/>
                <w:sz w:val="12"/>
                <w:szCs w:val="12"/>
              </w:rPr>
            </w:pPr>
            <w:r>
              <w:rPr>
                <w:rFonts w:ascii="Times New Roman"/>
                <w:sz w:val="12"/>
              </w:rPr>
              <w:t>1</w:t>
            </w:r>
          </w:p>
        </w:tc>
        <w:tc>
          <w:tcPr>
            <w:tcW w:w="2684"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1"/>
              <w:jc w:val="center"/>
              <w:rPr>
                <w:rFonts w:ascii="Times New Roman" w:hAnsi="Times New Roman" w:cs="Times New Roman" w:eastAsia="Times New Roman" w:hint="default"/>
                <w:sz w:val="12"/>
                <w:szCs w:val="12"/>
              </w:rPr>
            </w:pPr>
            <w:r>
              <w:rPr>
                <w:rFonts w:ascii="Times New Roman"/>
                <w:sz w:val="12"/>
              </w:rPr>
              <w:t>2</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1"/>
              <w:jc w:val="center"/>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2" w:right="0"/>
              <w:jc w:val="center"/>
              <w:rPr>
                <w:rFonts w:ascii="Times New Roman" w:hAnsi="Times New Roman" w:cs="Times New Roman" w:eastAsia="Times New Roman" w:hint="default"/>
                <w:sz w:val="12"/>
                <w:szCs w:val="12"/>
              </w:rPr>
            </w:pPr>
            <w:r>
              <w:rPr>
                <w:rFonts w:ascii="Times New Roman"/>
                <w:sz w:val="12"/>
              </w:rPr>
              <w:t>7</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8</w:t>
            </w:r>
          </w:p>
        </w:tc>
      </w:tr>
      <w:tr>
        <w:trPr>
          <w:trHeight w:val="21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11" w:right="0"/>
              <w:jc w:val="left"/>
              <w:rPr>
                <w:rFonts w:ascii="Times New Roman" w:hAnsi="Times New Roman" w:cs="Times New Roman" w:eastAsia="Times New Roman" w:hint="default"/>
                <w:sz w:val="18"/>
                <w:szCs w:val="18"/>
              </w:rPr>
            </w:pPr>
            <w:r>
              <w:rPr>
                <w:rFonts w:ascii="Times New Roman"/>
                <w:sz w:val="18"/>
              </w:rPr>
              <w:t>1</w:t>
            </w:r>
          </w:p>
        </w:tc>
        <w:tc>
          <w:tcPr>
            <w:tcW w:w="268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8"/>
                <w:sz w:val="18"/>
              </w:rPr>
              <w:t> </w:t>
            </w:r>
            <w:r>
              <w:rPr>
                <w:rFonts w:ascii="Times New Roman" w:hAnsi="Times New Roman"/>
                <w:sz w:val="18"/>
              </w:rPr>
              <w:t>финансије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19.950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19.950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19.667</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19.967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100,09</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101,53</w:t>
            </w:r>
          </w:p>
        </w:tc>
      </w:tr>
      <w:tr>
        <w:trPr>
          <w:trHeight w:val="218"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11" w:right="0"/>
              <w:jc w:val="left"/>
              <w:rPr>
                <w:rFonts w:ascii="Times New Roman" w:hAnsi="Times New Roman" w:cs="Times New Roman" w:eastAsia="Times New Roman" w:hint="default"/>
                <w:sz w:val="18"/>
                <w:szCs w:val="18"/>
              </w:rPr>
            </w:pPr>
            <w:r>
              <w:rPr>
                <w:rFonts w:ascii="Times New Roman"/>
                <w:sz w:val="18"/>
              </w:rPr>
              <w:t>2</w:t>
            </w:r>
          </w:p>
        </w:tc>
        <w:tc>
          <w:tcPr>
            <w:tcW w:w="268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деч, здрав. и соц.</w:t>
            </w:r>
            <w:r>
              <w:rPr>
                <w:rFonts w:ascii="Times New Roman" w:hAnsi="Times New Roman"/>
                <w:spacing w:val="-10"/>
                <w:sz w:val="18"/>
              </w:rPr>
              <w:t> </w:t>
            </w:r>
            <w:r>
              <w:rPr>
                <w:rFonts w:ascii="Times New Roman" w:hAnsi="Times New Roman"/>
                <w:sz w:val="18"/>
              </w:rPr>
              <w:t>заш</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7.060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7.060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5.309</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5.309</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75,20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11" w:right="0"/>
              <w:jc w:val="left"/>
              <w:rPr>
                <w:rFonts w:ascii="Times New Roman" w:hAnsi="Times New Roman" w:cs="Times New Roman" w:eastAsia="Times New Roman" w:hint="default"/>
                <w:sz w:val="18"/>
                <w:szCs w:val="18"/>
              </w:rPr>
            </w:pPr>
            <w:r>
              <w:rPr>
                <w:rFonts w:ascii="Times New Roman"/>
                <w:sz w:val="18"/>
              </w:rPr>
              <w:t>3</w:t>
            </w:r>
          </w:p>
        </w:tc>
        <w:tc>
          <w:tcPr>
            <w:tcW w:w="268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5"/>
                <w:sz w:val="18"/>
              </w:rPr>
              <w:t> </w:t>
            </w:r>
            <w:r>
              <w:rPr>
                <w:rFonts w:ascii="Times New Roman" w:hAnsi="Times New Roman"/>
                <w:sz w:val="18"/>
              </w:rPr>
              <w:t>образовање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6.020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6.020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5.643</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5.643</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93,74</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8"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6"/>
              <w:jc w:val="right"/>
              <w:rPr>
                <w:rFonts w:ascii="Times New Roman" w:hAnsi="Times New Roman" w:cs="Times New Roman" w:eastAsia="Times New Roman" w:hint="default"/>
                <w:sz w:val="18"/>
                <w:szCs w:val="18"/>
              </w:rPr>
            </w:pPr>
            <w:r>
              <w:rPr>
                <w:rFonts w:ascii="Times New Roman" w:hAnsi="Times New Roman"/>
                <w:sz w:val="18"/>
              </w:rPr>
              <w:t>3а</w:t>
            </w:r>
          </w:p>
        </w:tc>
        <w:tc>
          <w:tcPr>
            <w:tcW w:w="268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ПУ</w:t>
            </w:r>
            <w:r>
              <w:rPr>
                <w:rFonts w:ascii="Times New Roman" w:hAnsi="Times New Roman"/>
                <w:spacing w:val="-5"/>
                <w:sz w:val="18"/>
              </w:rPr>
              <w:t> </w:t>
            </w:r>
            <w:r>
              <w:rPr>
                <w:rFonts w:ascii="Times New Roman" w:hAnsi="Times New Roman"/>
                <w:sz w:val="18"/>
              </w:rPr>
              <w:t>Пчелица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5.200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5.200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5.162</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5.162</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99,27</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11" w:right="0"/>
              <w:jc w:val="left"/>
              <w:rPr>
                <w:rFonts w:ascii="Times New Roman" w:hAnsi="Times New Roman" w:cs="Times New Roman" w:eastAsia="Times New Roman" w:hint="default"/>
                <w:sz w:val="18"/>
                <w:szCs w:val="18"/>
              </w:rPr>
            </w:pPr>
            <w:r>
              <w:rPr>
                <w:rFonts w:ascii="Times New Roman"/>
                <w:sz w:val="18"/>
              </w:rPr>
              <w:t>4</w:t>
            </w:r>
          </w:p>
        </w:tc>
        <w:tc>
          <w:tcPr>
            <w:tcW w:w="268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6"/>
                <w:sz w:val="18"/>
              </w:rPr>
              <w:t> </w:t>
            </w:r>
            <w:r>
              <w:rPr>
                <w:rFonts w:ascii="Times New Roman" w:hAnsi="Times New Roman"/>
                <w:sz w:val="18"/>
              </w:rPr>
              <w:t>културу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218.372</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218.732</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96.192</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44.049</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20,14</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45,79</w:t>
            </w:r>
          </w:p>
        </w:tc>
      </w:tr>
      <w:tr>
        <w:trPr>
          <w:trHeight w:val="26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6"/>
              <w:jc w:val="right"/>
              <w:rPr>
                <w:rFonts w:ascii="Times New Roman" w:hAnsi="Times New Roman" w:cs="Times New Roman" w:eastAsia="Times New Roman" w:hint="default"/>
                <w:sz w:val="18"/>
                <w:szCs w:val="18"/>
              </w:rPr>
            </w:pPr>
            <w:r>
              <w:rPr>
                <w:rFonts w:ascii="Times New Roman" w:hAnsi="Times New Roman"/>
                <w:sz w:val="18"/>
              </w:rPr>
              <w:t>4а</w:t>
            </w:r>
          </w:p>
        </w:tc>
        <w:tc>
          <w:tcPr>
            <w:tcW w:w="268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03" w:right="0"/>
              <w:jc w:val="left"/>
              <w:rPr>
                <w:rFonts w:ascii="Times New Roman" w:hAnsi="Times New Roman" w:cs="Times New Roman" w:eastAsia="Times New Roman" w:hint="default"/>
                <w:sz w:val="18"/>
                <w:szCs w:val="18"/>
              </w:rPr>
            </w:pPr>
            <w:r>
              <w:rPr>
                <w:rFonts w:ascii="Times New Roman" w:hAnsi="Times New Roman"/>
                <w:sz w:val="18"/>
              </w:rPr>
              <w:t>Нишки културни</w:t>
            </w:r>
            <w:r>
              <w:rPr>
                <w:rFonts w:ascii="Times New Roman" w:hAnsi="Times New Roman"/>
                <w:spacing w:val="-10"/>
                <w:sz w:val="18"/>
              </w:rPr>
              <w:t> </w:t>
            </w:r>
            <w:r>
              <w:rPr>
                <w:rFonts w:ascii="Times New Roman" w:hAnsi="Times New Roman"/>
                <w:sz w:val="18"/>
              </w:rPr>
              <w:t>центар</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pacing w:val="-1"/>
                <w:sz w:val="18"/>
              </w:rPr>
              <w:t>19.434</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pacing w:val="-1"/>
                <w:sz w:val="18"/>
              </w:rPr>
              <w:t>19.437</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8"/>
                <w:szCs w:val="18"/>
              </w:rPr>
            </w:pPr>
            <w:r>
              <w:rPr>
                <w:rFonts w:ascii="Times New Roman"/>
                <w:spacing w:val="-1"/>
                <w:sz w:val="18"/>
              </w:rPr>
              <w:t>13.809</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pacing w:val="-1"/>
                <w:sz w:val="18"/>
              </w:rPr>
              <w:t>10.618</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8"/>
              <w:jc w:val="right"/>
              <w:rPr>
                <w:rFonts w:ascii="Times New Roman" w:hAnsi="Times New Roman" w:cs="Times New Roman" w:eastAsia="Times New Roman" w:hint="default"/>
                <w:sz w:val="18"/>
                <w:szCs w:val="18"/>
              </w:rPr>
            </w:pPr>
            <w:r>
              <w:rPr>
                <w:rFonts w:ascii="Times New Roman"/>
                <w:sz w:val="18"/>
              </w:rPr>
              <w:t>54,63</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76,89</w:t>
            </w:r>
          </w:p>
        </w:tc>
      </w:tr>
      <w:tr>
        <w:trPr>
          <w:trHeight w:val="264"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7"/>
              <w:jc w:val="right"/>
              <w:rPr>
                <w:rFonts w:ascii="Times New Roman" w:hAnsi="Times New Roman" w:cs="Times New Roman" w:eastAsia="Times New Roman" w:hint="default"/>
                <w:sz w:val="18"/>
                <w:szCs w:val="18"/>
              </w:rPr>
            </w:pPr>
            <w:r>
              <w:rPr>
                <w:rFonts w:ascii="Times New Roman" w:hAnsi="Times New Roman"/>
                <w:sz w:val="18"/>
              </w:rPr>
              <w:t>4б</w:t>
            </w:r>
          </w:p>
        </w:tc>
        <w:tc>
          <w:tcPr>
            <w:tcW w:w="268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03" w:right="0"/>
              <w:jc w:val="left"/>
              <w:rPr>
                <w:rFonts w:ascii="Times New Roman" w:hAnsi="Times New Roman" w:cs="Times New Roman" w:eastAsia="Times New Roman" w:hint="default"/>
                <w:sz w:val="18"/>
                <w:szCs w:val="18"/>
              </w:rPr>
            </w:pPr>
            <w:r>
              <w:rPr>
                <w:rFonts w:ascii="Times New Roman" w:hAnsi="Times New Roman"/>
                <w:sz w:val="18"/>
              </w:rPr>
              <w:t>Нишки симфонијски</w:t>
            </w:r>
            <w:r>
              <w:rPr>
                <w:rFonts w:ascii="Times New Roman" w:hAnsi="Times New Roman"/>
                <w:spacing w:val="-10"/>
                <w:sz w:val="18"/>
              </w:rPr>
              <w:t> </w:t>
            </w:r>
            <w:r>
              <w:rPr>
                <w:rFonts w:ascii="Times New Roman" w:hAnsi="Times New Roman"/>
                <w:sz w:val="18"/>
              </w:rPr>
              <w:t>оркестар</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5.574</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5.574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8"/>
                <w:szCs w:val="18"/>
              </w:rPr>
            </w:pPr>
            <w:r>
              <w:rPr>
                <w:rFonts w:ascii="Times New Roman"/>
                <w:sz w:val="18"/>
              </w:rPr>
              <w:t>4.761</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4.633</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8"/>
              <w:jc w:val="right"/>
              <w:rPr>
                <w:rFonts w:ascii="Times New Roman" w:hAnsi="Times New Roman" w:cs="Times New Roman" w:eastAsia="Times New Roman" w:hint="default"/>
                <w:sz w:val="18"/>
                <w:szCs w:val="18"/>
              </w:rPr>
            </w:pPr>
            <w:r>
              <w:rPr>
                <w:rFonts w:ascii="Times New Roman"/>
                <w:sz w:val="18"/>
              </w:rPr>
              <w:t>83,12</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97,31</w:t>
            </w:r>
          </w:p>
        </w:tc>
      </w:tr>
      <w:tr>
        <w:trPr>
          <w:trHeight w:val="218"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6"/>
              <w:jc w:val="right"/>
              <w:rPr>
                <w:rFonts w:ascii="Times New Roman" w:hAnsi="Times New Roman" w:cs="Times New Roman" w:eastAsia="Times New Roman" w:hint="default"/>
                <w:sz w:val="18"/>
                <w:szCs w:val="18"/>
              </w:rPr>
            </w:pPr>
            <w:r>
              <w:rPr>
                <w:rFonts w:ascii="Times New Roman" w:hAnsi="Times New Roman"/>
                <w:sz w:val="18"/>
              </w:rPr>
              <w:t>4в</w:t>
            </w:r>
          </w:p>
        </w:tc>
        <w:tc>
          <w:tcPr>
            <w:tcW w:w="268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Народно</w:t>
            </w:r>
            <w:r>
              <w:rPr>
                <w:rFonts w:ascii="Times New Roman" w:hAnsi="Times New Roman"/>
                <w:spacing w:val="-4"/>
                <w:sz w:val="18"/>
              </w:rPr>
              <w:t> </w:t>
            </w:r>
            <w:r>
              <w:rPr>
                <w:rFonts w:ascii="Times New Roman" w:hAnsi="Times New Roman"/>
                <w:sz w:val="18"/>
              </w:rPr>
              <w:t>позориште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6.760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6.760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4.369</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4.369</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64,63</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5"/>
              <w:jc w:val="right"/>
              <w:rPr>
                <w:rFonts w:ascii="Times New Roman" w:hAnsi="Times New Roman" w:cs="Times New Roman" w:eastAsia="Times New Roman" w:hint="default"/>
                <w:sz w:val="18"/>
                <w:szCs w:val="18"/>
              </w:rPr>
            </w:pPr>
            <w:r>
              <w:rPr>
                <w:rFonts w:ascii="Times New Roman" w:hAnsi="Times New Roman"/>
                <w:sz w:val="18"/>
              </w:rPr>
              <w:t>4г</w:t>
            </w:r>
          </w:p>
        </w:tc>
        <w:tc>
          <w:tcPr>
            <w:tcW w:w="268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Завод за заштиту спомен</w:t>
            </w:r>
            <w:r>
              <w:rPr>
                <w:rFonts w:ascii="Times New Roman" w:hAnsi="Times New Roman"/>
                <w:sz w:val="18"/>
              </w:rPr>
              <w:t>.</w:t>
            </w:r>
            <w:r>
              <w:rPr>
                <w:rFonts w:ascii="Times New Roman" w:hAnsi="Times New Roman"/>
                <w:spacing w:val="-12"/>
                <w:sz w:val="18"/>
              </w:rPr>
              <w:t> </w:t>
            </w:r>
            <w:r>
              <w:rPr>
                <w:rFonts w:ascii="Times New Roman" w:hAnsi="Times New Roman"/>
                <w:sz w:val="18"/>
              </w:rPr>
              <w:t>кул</w:t>
            </w:r>
            <w:r>
              <w:rPr>
                <w:rFonts w:ascii="Times New Roman" w:hAnsi="Times New Roman"/>
                <w:sz w:val="18"/>
              </w:rPr>
              <w:t>.</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176.156</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176.156</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75.633</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9.039</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5,13</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11,95</w:t>
            </w:r>
          </w:p>
        </w:tc>
      </w:tr>
      <w:tr>
        <w:trPr>
          <w:trHeight w:val="21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11" w:right="0"/>
              <w:jc w:val="left"/>
              <w:rPr>
                <w:rFonts w:ascii="Times New Roman" w:hAnsi="Times New Roman" w:cs="Times New Roman" w:eastAsia="Times New Roman" w:hint="default"/>
                <w:sz w:val="18"/>
                <w:szCs w:val="18"/>
              </w:rPr>
            </w:pPr>
            <w:r>
              <w:rPr>
                <w:rFonts w:ascii="Times New Roman"/>
                <w:sz w:val="18"/>
              </w:rPr>
              <w:t>5</w:t>
            </w:r>
          </w:p>
        </w:tc>
        <w:tc>
          <w:tcPr>
            <w:tcW w:w="268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омладину и</w:t>
            </w:r>
            <w:r>
              <w:rPr>
                <w:rFonts w:ascii="Times New Roman" w:hAnsi="Times New Roman"/>
                <w:spacing w:val="-8"/>
                <w:sz w:val="18"/>
              </w:rPr>
              <w:t> </w:t>
            </w:r>
            <w:r>
              <w:rPr>
                <w:rFonts w:ascii="Times New Roman" w:hAnsi="Times New Roman"/>
                <w:sz w:val="18"/>
              </w:rPr>
              <w:t>спорт</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3.769</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3.769</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2.405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2.405</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63,81</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9"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6"/>
              <w:jc w:val="right"/>
              <w:rPr>
                <w:rFonts w:ascii="Times New Roman" w:hAnsi="Times New Roman" w:cs="Times New Roman" w:eastAsia="Times New Roman" w:hint="default"/>
                <w:sz w:val="18"/>
                <w:szCs w:val="18"/>
              </w:rPr>
            </w:pPr>
            <w:r>
              <w:rPr>
                <w:rFonts w:ascii="Times New Roman" w:hAnsi="Times New Roman"/>
                <w:sz w:val="18"/>
              </w:rPr>
              <w:t>5а</w:t>
            </w:r>
          </w:p>
        </w:tc>
        <w:tc>
          <w:tcPr>
            <w:tcW w:w="268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СЦ</w:t>
            </w:r>
            <w:r>
              <w:rPr>
                <w:rFonts w:ascii="Times New Roman" w:hAnsi="Times New Roman"/>
                <w:spacing w:val="-1"/>
                <w:sz w:val="18"/>
              </w:rPr>
              <w:t> </w:t>
            </w:r>
            <w:r>
              <w:rPr>
                <w:rFonts w:ascii="Times New Roman" w:hAnsi="Times New Roman"/>
                <w:sz w:val="18"/>
              </w:rPr>
              <w:t>Чаир</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3.769</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3.769</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2.405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2.405</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63,81</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23"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11" w:right="0"/>
              <w:jc w:val="left"/>
              <w:rPr>
                <w:rFonts w:ascii="Times New Roman" w:hAnsi="Times New Roman" w:cs="Times New Roman" w:eastAsia="Times New Roman" w:hint="default"/>
                <w:sz w:val="18"/>
                <w:szCs w:val="18"/>
              </w:rPr>
            </w:pPr>
            <w:r>
              <w:rPr>
                <w:rFonts w:ascii="Times New Roman"/>
                <w:sz w:val="18"/>
              </w:rPr>
              <w:t>6</w:t>
            </w:r>
          </w:p>
        </w:tc>
        <w:tc>
          <w:tcPr>
            <w:tcW w:w="268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ком.</w:t>
            </w:r>
            <w:r>
              <w:rPr>
                <w:rFonts w:ascii="Times New Roman" w:hAnsi="Times New Roman"/>
                <w:spacing w:val="-10"/>
                <w:sz w:val="18"/>
              </w:rPr>
              <w:t> </w:t>
            </w:r>
            <w:r>
              <w:rPr>
                <w:rFonts w:ascii="Times New Roman" w:hAnsi="Times New Roman"/>
                <w:sz w:val="18"/>
              </w:rPr>
              <w:t>делат.</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pacing w:val="-1"/>
                <w:sz w:val="18"/>
              </w:rPr>
              <w:t>631.473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631.473</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3"/>
              <w:jc w:val="right"/>
              <w:rPr>
                <w:rFonts w:ascii="Times New Roman" w:hAnsi="Times New Roman" w:cs="Times New Roman" w:eastAsia="Times New Roman" w:hint="default"/>
                <w:sz w:val="18"/>
                <w:szCs w:val="18"/>
              </w:rPr>
            </w:pPr>
            <w:r>
              <w:rPr>
                <w:rFonts w:ascii="Times New Roman"/>
                <w:spacing w:val="-1"/>
                <w:sz w:val="18"/>
              </w:rPr>
              <w:t>393.578</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218.885</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34,66</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55,61</w:t>
            </w:r>
          </w:p>
        </w:tc>
      </w:tr>
      <w:tr>
        <w:trPr>
          <w:trHeight w:val="21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11" w:right="0"/>
              <w:jc w:val="left"/>
              <w:rPr>
                <w:rFonts w:ascii="Times New Roman" w:hAnsi="Times New Roman" w:cs="Times New Roman" w:eastAsia="Times New Roman" w:hint="default"/>
                <w:sz w:val="18"/>
                <w:szCs w:val="18"/>
              </w:rPr>
            </w:pPr>
            <w:r>
              <w:rPr>
                <w:rFonts w:ascii="Times New Roman"/>
                <w:sz w:val="18"/>
              </w:rPr>
              <w:t>7</w:t>
            </w:r>
          </w:p>
        </w:tc>
        <w:tc>
          <w:tcPr>
            <w:tcW w:w="268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6"/>
                <w:sz w:val="18"/>
              </w:rPr>
              <w:t> </w:t>
            </w:r>
            <w:r>
              <w:rPr>
                <w:rFonts w:ascii="Times New Roman" w:hAnsi="Times New Roman"/>
                <w:sz w:val="18"/>
              </w:rPr>
              <w:t>имовину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13.600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13.600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7.237</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7.237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53,21</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11" w:right="0"/>
              <w:jc w:val="left"/>
              <w:rPr>
                <w:rFonts w:ascii="Times New Roman" w:hAnsi="Times New Roman" w:cs="Times New Roman" w:eastAsia="Times New Roman" w:hint="default"/>
                <w:sz w:val="18"/>
                <w:szCs w:val="18"/>
              </w:rPr>
            </w:pPr>
            <w:r>
              <w:rPr>
                <w:rFonts w:ascii="Times New Roman"/>
                <w:sz w:val="18"/>
              </w:rPr>
              <w:t>8</w:t>
            </w:r>
          </w:p>
        </w:tc>
        <w:tc>
          <w:tcPr>
            <w:tcW w:w="268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5"/>
                <w:sz w:val="18"/>
              </w:rPr>
              <w:t> </w:t>
            </w:r>
            <w:r>
              <w:rPr>
                <w:rFonts w:ascii="Times New Roman" w:hAnsi="Times New Roman"/>
                <w:sz w:val="18"/>
              </w:rPr>
              <w:t>привреду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201.219</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201.219</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83.241</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49.010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24,36</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58,88</w:t>
            </w:r>
          </w:p>
        </w:tc>
      </w:tr>
      <w:tr>
        <w:trPr>
          <w:trHeight w:val="218"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11" w:right="0"/>
              <w:jc w:val="left"/>
              <w:rPr>
                <w:rFonts w:ascii="Times New Roman" w:hAnsi="Times New Roman" w:cs="Times New Roman" w:eastAsia="Times New Roman" w:hint="default"/>
                <w:sz w:val="18"/>
                <w:szCs w:val="18"/>
              </w:rPr>
            </w:pPr>
            <w:r>
              <w:rPr>
                <w:rFonts w:ascii="Times New Roman"/>
                <w:sz w:val="18"/>
              </w:rPr>
              <w:t>9</w:t>
            </w:r>
          </w:p>
        </w:tc>
        <w:tc>
          <w:tcPr>
            <w:tcW w:w="268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7"/>
                <w:sz w:val="18"/>
              </w:rPr>
              <w:t> </w:t>
            </w:r>
            <w:r>
              <w:rPr>
                <w:rFonts w:ascii="Times New Roman" w:hAnsi="Times New Roman"/>
                <w:sz w:val="18"/>
              </w:rPr>
              <w:t>пољопривреду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73.164</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71.844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pacing w:val="-1"/>
                <w:sz w:val="18"/>
              </w:rPr>
              <w:t>45.134</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13.859</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19,29</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30,71</w:t>
            </w:r>
          </w:p>
        </w:tc>
      </w:tr>
      <w:tr>
        <w:trPr>
          <w:trHeight w:val="264" w:hRule="exact"/>
        </w:trPr>
        <w:tc>
          <w:tcPr>
            <w:tcW w:w="3406"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left="715" w:right="0"/>
              <w:jc w:val="left"/>
              <w:rPr>
                <w:rFonts w:ascii="Times New Roman" w:hAnsi="Times New Roman" w:cs="Times New Roman" w:eastAsia="Times New Roman" w:hint="default"/>
                <w:sz w:val="18"/>
                <w:szCs w:val="18"/>
              </w:rPr>
            </w:pPr>
            <w:r>
              <w:rPr>
                <w:rFonts w:ascii="Times New Roman" w:hAnsi="Times New Roman"/>
                <w:b/>
                <w:sz w:val="18"/>
              </w:rPr>
              <w:t>Укупно корисници</w:t>
            </w:r>
            <w:r>
              <w:rPr>
                <w:rFonts w:ascii="Times New Roman" w:hAnsi="Times New Roman"/>
                <w:b/>
                <w:spacing w:val="-2"/>
                <w:sz w:val="18"/>
              </w:rPr>
              <w:t> </w:t>
            </w:r>
            <w:r>
              <w:rPr>
                <w:rFonts w:ascii="Times New Roman" w:hAnsi="Times New Roman"/>
                <w:b/>
                <w:sz w:val="18"/>
              </w:rPr>
              <w:t>(1</w:t>
            </w:r>
            <w:r>
              <w:rPr>
                <w:rFonts w:ascii="Times New Roman" w:hAnsi="Times New Roman"/>
                <w:b/>
                <w:sz w:val="18"/>
              </w:rPr>
              <w:t>-9)</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1"/>
              <w:jc w:val="right"/>
              <w:rPr>
                <w:rFonts w:ascii="Times New Roman" w:hAnsi="Times New Roman" w:cs="Times New Roman" w:eastAsia="Times New Roman" w:hint="default"/>
                <w:sz w:val="18"/>
                <w:szCs w:val="18"/>
              </w:rPr>
            </w:pPr>
            <w:r>
              <w:rPr>
                <w:rFonts w:ascii="Times New Roman"/>
                <w:b/>
                <w:spacing w:val="-1"/>
                <w:sz w:val="18"/>
              </w:rPr>
              <w:t>1.174.627</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0"/>
              <w:jc w:val="right"/>
              <w:rPr>
                <w:rFonts w:ascii="Times New Roman" w:hAnsi="Times New Roman" w:cs="Times New Roman" w:eastAsia="Times New Roman" w:hint="default"/>
                <w:sz w:val="18"/>
                <w:szCs w:val="18"/>
              </w:rPr>
            </w:pPr>
            <w:r>
              <w:rPr>
                <w:rFonts w:ascii="Times New Roman"/>
                <w:b/>
                <w:spacing w:val="-1"/>
                <w:sz w:val="18"/>
              </w:rPr>
              <w:t>1.173.667</w:t>
            </w:r>
            <w:r>
              <w:rPr>
                <w:rFonts w:ascii="Times New Roman"/>
                <w:spacing w:val="-1"/>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3"/>
              <w:jc w:val="right"/>
              <w:rPr>
                <w:rFonts w:ascii="Times New Roman" w:hAnsi="Times New Roman" w:cs="Times New Roman" w:eastAsia="Times New Roman" w:hint="default"/>
                <w:sz w:val="18"/>
                <w:szCs w:val="18"/>
              </w:rPr>
            </w:pPr>
            <w:r>
              <w:rPr>
                <w:rFonts w:ascii="Times New Roman"/>
                <w:b/>
                <w:spacing w:val="-1"/>
                <w:sz w:val="18"/>
              </w:rPr>
              <w:t>658.406</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0"/>
              <w:jc w:val="right"/>
              <w:rPr>
                <w:rFonts w:ascii="Times New Roman" w:hAnsi="Times New Roman" w:cs="Times New Roman" w:eastAsia="Times New Roman" w:hint="default"/>
                <w:sz w:val="18"/>
                <w:szCs w:val="18"/>
              </w:rPr>
            </w:pPr>
            <w:r>
              <w:rPr>
                <w:rFonts w:ascii="Times New Roman"/>
                <w:b/>
                <w:spacing w:val="-1"/>
                <w:sz w:val="18"/>
              </w:rPr>
              <w:t>366.364</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98"/>
              <w:jc w:val="right"/>
              <w:rPr>
                <w:rFonts w:ascii="Times New Roman" w:hAnsi="Times New Roman" w:cs="Times New Roman" w:eastAsia="Times New Roman" w:hint="default"/>
                <w:sz w:val="18"/>
                <w:szCs w:val="18"/>
              </w:rPr>
            </w:pPr>
            <w:r>
              <w:rPr>
                <w:rFonts w:ascii="Times New Roman"/>
                <w:b/>
                <w:sz w:val="18"/>
              </w:rPr>
              <w:t>31,22</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0"/>
              <w:jc w:val="right"/>
              <w:rPr>
                <w:rFonts w:ascii="Times New Roman" w:hAnsi="Times New Roman" w:cs="Times New Roman" w:eastAsia="Times New Roman" w:hint="default"/>
                <w:sz w:val="18"/>
                <w:szCs w:val="18"/>
              </w:rPr>
            </w:pPr>
            <w:r>
              <w:rPr>
                <w:rFonts w:ascii="Times New Roman"/>
                <w:b/>
                <w:sz w:val="18"/>
              </w:rPr>
              <w:t>55,64</w:t>
            </w:r>
            <w:r>
              <w:rPr>
                <w:rFonts w:ascii="Times New Roman"/>
                <w:sz w:val="18"/>
              </w:rPr>
            </w:r>
          </w:p>
        </w:tc>
      </w:tr>
      <w:tr>
        <w:trPr>
          <w:trHeight w:val="266" w:hRule="exact"/>
        </w:trPr>
        <w:tc>
          <w:tcPr>
            <w:tcW w:w="3406"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left="563" w:right="0"/>
              <w:jc w:val="left"/>
              <w:rPr>
                <w:rFonts w:ascii="Times New Roman" w:hAnsi="Times New Roman" w:cs="Times New Roman" w:eastAsia="Times New Roman" w:hint="default"/>
                <w:sz w:val="18"/>
                <w:szCs w:val="18"/>
              </w:rPr>
            </w:pPr>
            <w:r>
              <w:rPr>
                <w:rFonts w:ascii="Times New Roman" w:hAnsi="Times New Roman"/>
                <w:b/>
                <w:sz w:val="18"/>
              </w:rPr>
              <w:t>Укупно Град </w:t>
            </w:r>
            <w:r>
              <w:rPr>
                <w:rFonts w:ascii="Times New Roman" w:hAnsi="Times New Roman"/>
                <w:b/>
                <w:sz w:val="18"/>
              </w:rPr>
              <w:t>- </w:t>
            </w:r>
            <w:r>
              <w:rPr>
                <w:rFonts w:ascii="Times New Roman" w:hAnsi="Times New Roman"/>
                <w:b/>
                <w:sz w:val="18"/>
              </w:rPr>
              <w:t>група</w:t>
            </w:r>
            <w:r>
              <w:rPr>
                <w:rFonts w:ascii="Times New Roman" w:hAnsi="Times New Roman"/>
                <w:b/>
                <w:spacing w:val="-4"/>
                <w:sz w:val="18"/>
              </w:rPr>
              <w:t> </w:t>
            </w:r>
            <w:r>
              <w:rPr>
                <w:rFonts w:ascii="Times New Roman" w:hAnsi="Times New Roman"/>
                <w:b/>
                <w:sz w:val="18"/>
              </w:rPr>
              <w:t>424000</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1"/>
              <w:jc w:val="right"/>
              <w:rPr>
                <w:rFonts w:ascii="Times New Roman" w:hAnsi="Times New Roman" w:cs="Times New Roman" w:eastAsia="Times New Roman" w:hint="default"/>
                <w:sz w:val="18"/>
                <w:szCs w:val="18"/>
              </w:rPr>
            </w:pPr>
            <w:r>
              <w:rPr>
                <w:rFonts w:ascii="Times New Roman"/>
                <w:b/>
                <w:spacing w:val="-1"/>
                <w:sz w:val="18"/>
              </w:rPr>
              <w:t>1.176.502</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0"/>
              <w:jc w:val="right"/>
              <w:rPr>
                <w:rFonts w:ascii="Times New Roman" w:hAnsi="Times New Roman" w:cs="Times New Roman" w:eastAsia="Times New Roman" w:hint="default"/>
                <w:sz w:val="18"/>
                <w:szCs w:val="18"/>
              </w:rPr>
            </w:pPr>
            <w:r>
              <w:rPr>
                <w:rFonts w:ascii="Times New Roman"/>
                <w:b/>
                <w:spacing w:val="-1"/>
                <w:sz w:val="18"/>
              </w:rPr>
              <w:t>1.175.362</w:t>
            </w:r>
            <w:r>
              <w:rPr>
                <w:rFonts w:ascii="Times New Roman"/>
                <w:spacing w:val="-1"/>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3"/>
              <w:jc w:val="right"/>
              <w:rPr>
                <w:rFonts w:ascii="Times New Roman" w:hAnsi="Times New Roman" w:cs="Times New Roman" w:eastAsia="Times New Roman" w:hint="default"/>
                <w:sz w:val="18"/>
                <w:szCs w:val="18"/>
              </w:rPr>
            </w:pPr>
            <w:r>
              <w:rPr>
                <w:rFonts w:ascii="Times New Roman"/>
                <w:b/>
                <w:spacing w:val="-1"/>
                <w:sz w:val="18"/>
              </w:rPr>
              <w:t>663.657</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0"/>
              <w:jc w:val="right"/>
              <w:rPr>
                <w:rFonts w:ascii="Times New Roman" w:hAnsi="Times New Roman" w:cs="Times New Roman" w:eastAsia="Times New Roman" w:hint="default"/>
                <w:sz w:val="18"/>
                <w:szCs w:val="18"/>
              </w:rPr>
            </w:pPr>
            <w:r>
              <w:rPr>
                <w:rFonts w:ascii="Times New Roman"/>
                <w:b/>
                <w:spacing w:val="-1"/>
                <w:sz w:val="18"/>
              </w:rPr>
              <w:t>371.615</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98"/>
              <w:jc w:val="right"/>
              <w:rPr>
                <w:rFonts w:ascii="Times New Roman" w:hAnsi="Times New Roman" w:cs="Times New Roman" w:eastAsia="Times New Roman" w:hint="default"/>
                <w:sz w:val="18"/>
                <w:szCs w:val="18"/>
              </w:rPr>
            </w:pPr>
            <w:r>
              <w:rPr>
                <w:rFonts w:ascii="Times New Roman"/>
                <w:b/>
                <w:sz w:val="18"/>
              </w:rPr>
              <w:t>31,62</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0"/>
              <w:jc w:val="right"/>
              <w:rPr>
                <w:rFonts w:ascii="Times New Roman" w:hAnsi="Times New Roman" w:cs="Times New Roman" w:eastAsia="Times New Roman" w:hint="default"/>
                <w:sz w:val="18"/>
                <w:szCs w:val="18"/>
              </w:rPr>
            </w:pPr>
            <w:r>
              <w:rPr>
                <w:rFonts w:ascii="Times New Roman"/>
                <w:b/>
                <w:sz w:val="18"/>
              </w:rPr>
              <w:t>56,00</w:t>
            </w:r>
            <w:r>
              <w:rPr>
                <w:rFonts w:ascii="Times New Roman"/>
                <w:sz w:val="18"/>
              </w:rPr>
            </w:r>
          </w:p>
        </w:tc>
      </w:tr>
    </w:tbl>
    <w:p>
      <w:pPr>
        <w:pStyle w:val="BodyText"/>
        <w:spacing w:line="240" w:lineRule="auto"/>
        <w:ind w:right="256" w:firstLine="566"/>
        <w:jc w:val="both"/>
      </w:pPr>
      <w:r>
        <w:rPr/>
        <w:t>Исказано је извршење у укупном износу од </w:t>
      </w:r>
      <w:r>
        <w:rPr>
          <w:rFonts w:ascii="Times New Roman" w:hAnsi="Times New Roman"/>
        </w:rPr>
        <w:t>663.657 </w:t>
      </w:r>
      <w:r>
        <w:rPr/>
        <w:t>хиљада динара и то на терет буџета Града у износу од </w:t>
      </w:r>
      <w:r>
        <w:rPr>
          <w:rFonts w:ascii="Times New Roman" w:hAnsi="Times New Roman"/>
        </w:rPr>
        <w:t>650.419 </w:t>
      </w:r>
      <w:r>
        <w:rPr/>
        <w:t>хиљада динара, на терет буџета Републике у износу </w:t>
      </w:r>
      <w:r>
        <w:rPr>
          <w:spacing w:val="44"/>
        </w:rPr>
        <w:t> </w:t>
      </w:r>
      <w:r>
        <w:rPr/>
        <w:t>од</w:t>
      </w:r>
    </w:p>
    <w:p>
      <w:pPr>
        <w:pStyle w:val="BodyText"/>
        <w:spacing w:line="240" w:lineRule="auto"/>
        <w:ind w:right="255"/>
        <w:jc w:val="both"/>
      </w:pPr>
      <w:r>
        <w:rPr/>
        <w:t>5.459 хиљада динара, из средстава ООСО у износу од 212 хиљада динара и из осталих извора у износу од </w:t>
      </w:r>
      <w:r>
        <w:rPr>
          <w:rFonts w:ascii="Times New Roman" w:hAnsi="Times New Roman"/>
        </w:rPr>
        <w:t>7.567 </w:t>
      </w:r>
      <w:r>
        <w:rPr/>
        <w:t>хиљада динара. Исказани су расходи за: услуге образовања, културе и спорта у износу од 81.305 хиљада динара, медицинске услуге у износу од 9.269 хиљада динара, услуге одржавања аутопутева у износу од 80 хиљада динара, услуге очувања животне средине, науке и геодетске услуге у износу од 34.375 хиљада динара и остале специјализоване услуге у износу од 538.628 хиљада</w:t>
      </w:r>
      <w:r>
        <w:rPr>
          <w:spacing w:val="-18"/>
        </w:rPr>
        <w:t> </w:t>
      </w:r>
      <w:r>
        <w:rPr/>
        <w:t>динара.</w:t>
      </w:r>
    </w:p>
    <w:p>
      <w:pPr>
        <w:pStyle w:val="ListParagraph"/>
        <w:numPr>
          <w:ilvl w:val="0"/>
          <w:numId w:val="35"/>
        </w:numPr>
        <w:tabs>
          <w:tab w:pos="1013" w:val="left" w:leader="none"/>
        </w:tabs>
        <w:spacing w:line="240" w:lineRule="auto" w:before="137" w:after="0"/>
        <w:ind w:left="160" w:right="254" w:firstLine="566"/>
        <w:jc w:val="both"/>
        <w:rPr>
          <w:rFonts w:ascii="Times New Roman" w:hAnsi="Times New Roman" w:cs="Times New Roman" w:eastAsia="Times New Roman" w:hint="default"/>
          <w:sz w:val="24"/>
          <w:szCs w:val="24"/>
        </w:rPr>
      </w:pPr>
      <w:r>
        <w:rPr>
          <w:rFonts w:ascii="Times New Roman" w:hAnsi="Times New Roman"/>
          <w:b/>
          <w:sz w:val="24"/>
        </w:rPr>
        <w:t>Управа за финансије, изворне приходе локалне самоуправе и јавне набавке </w:t>
      </w:r>
      <w:r>
        <w:rPr>
          <w:rFonts w:ascii="Times New Roman" w:hAnsi="Times New Roman"/>
          <w:sz w:val="24"/>
        </w:rPr>
        <w:t>- </w:t>
      </w:r>
      <w:r>
        <w:rPr>
          <w:rFonts w:ascii="Times New Roman" w:hAnsi="Times New Roman"/>
          <w:sz w:val="24"/>
        </w:rPr>
        <w:t>Исказано је извршење у укупном износу од 19.667 хиљада динара за: услуге очувања животне средине, науке и геодетске услуге у износу од три хиљаде динара и остале специјализоване услуге у износу од 19.664 хиљаде</w:t>
      </w:r>
      <w:r>
        <w:rPr>
          <w:rFonts w:ascii="Times New Roman" w:hAnsi="Times New Roman"/>
          <w:spacing w:val="-19"/>
          <w:sz w:val="24"/>
        </w:rPr>
        <w:t> </w:t>
      </w:r>
      <w:r>
        <w:rPr>
          <w:rFonts w:ascii="Times New Roman" w:hAnsi="Times New Roman"/>
          <w:sz w:val="24"/>
        </w:rPr>
        <w:t>динара.</w:t>
      </w:r>
    </w:p>
    <w:p>
      <w:pPr>
        <w:pStyle w:val="BodyText"/>
        <w:spacing w:line="240" w:lineRule="auto"/>
        <w:ind w:right="255"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Остале специјализоване услуге, субаналитички конто 424911 </w:t>
      </w:r>
      <w:r>
        <w:rPr/>
        <w:t>– Исказан је расход у </w:t>
      </w:r>
      <w:r>
        <w:rPr/>
        <w:t>износу од 19.664 хиљаде</w:t>
      </w:r>
      <w:r>
        <w:rPr>
          <w:spacing w:val="-8"/>
        </w:rPr>
        <w:t> </w:t>
      </w:r>
      <w:r>
        <w:rPr/>
        <w:t>динара.</w:t>
      </w:r>
    </w:p>
    <w:p>
      <w:pPr>
        <w:pStyle w:val="BodyText"/>
        <w:spacing w:line="240" w:lineRule="auto"/>
        <w:ind w:left="726" w:right="253"/>
        <w:jc w:val="left"/>
      </w:pPr>
      <w:r>
        <w:rPr/>
        <w:t>Исказан је расход у износу од 19.664 хиљаде динара</w:t>
      </w:r>
      <w:r>
        <w:rPr>
          <w:spacing w:val="-16"/>
        </w:rPr>
        <w:t> </w:t>
      </w:r>
      <w:r>
        <w:rPr/>
        <w:t>за:</w:t>
      </w:r>
    </w:p>
    <w:p>
      <w:pPr>
        <w:pStyle w:val="ListParagraph"/>
        <w:numPr>
          <w:ilvl w:val="0"/>
          <w:numId w:val="12"/>
        </w:numPr>
        <w:tabs>
          <w:tab w:pos="444" w:val="left" w:leader="none"/>
        </w:tabs>
        <w:spacing w:line="240" w:lineRule="auto" w:before="0" w:after="0"/>
        <w:ind w:left="160" w:right="258" w:firstLine="0"/>
        <w:jc w:val="both"/>
        <w:rPr>
          <w:rFonts w:ascii="Times New Roman" w:hAnsi="Times New Roman" w:cs="Times New Roman" w:eastAsia="Times New Roman" w:hint="default"/>
          <w:sz w:val="24"/>
          <w:szCs w:val="24"/>
        </w:rPr>
      </w:pPr>
      <w:r>
        <w:rPr>
          <w:rFonts w:ascii="Times New Roman" w:hAnsi="Times New Roman"/>
          <w:sz w:val="24"/>
        </w:rPr>
        <w:t>услуге наплате накнаде за заштиту и унапређење животне средине града Ниша по Уговору број 1755/2009</w:t>
      </w:r>
      <w:r>
        <w:rPr>
          <w:rFonts w:ascii="Times New Roman" w:hAnsi="Times New Roman"/>
          <w:sz w:val="24"/>
        </w:rPr>
        <w:t>-</w:t>
      </w:r>
      <w:r>
        <w:rPr>
          <w:rFonts w:ascii="Times New Roman" w:hAnsi="Times New Roman"/>
          <w:sz w:val="24"/>
        </w:rPr>
        <w:t>01 од 24.07.2009. године закљученом између града Ниша и  </w:t>
      </w:r>
      <w:r>
        <w:rPr>
          <w:rFonts w:ascii="Times New Roman" w:hAnsi="Times New Roman"/>
          <w:spacing w:val="55"/>
          <w:sz w:val="24"/>
        </w:rPr>
        <w:t> </w:t>
      </w:r>
      <w:r>
        <w:rPr>
          <w:rFonts w:ascii="Times New Roman" w:hAnsi="Times New Roman"/>
          <w:sz w:val="24"/>
        </w:rPr>
        <w:t>ЈКП</w:t>
      </w:r>
    </w:p>
    <w:p>
      <w:pPr>
        <w:pStyle w:val="BodyText"/>
        <w:spacing w:line="240" w:lineRule="auto"/>
        <w:ind w:right="0"/>
        <w:jc w:val="both"/>
      </w:pPr>
      <w:r>
        <w:rPr/>
        <w:t>„Обједињена наплата“ Ниш у износу од 6.496 хиљада динара</w:t>
      </w:r>
      <w:r>
        <w:rPr>
          <w:spacing w:val="-9"/>
        </w:rPr>
        <w:t> </w:t>
      </w:r>
      <w:r>
        <w:rPr/>
        <w:t>и</w:t>
      </w:r>
    </w:p>
    <w:p>
      <w:pPr>
        <w:spacing w:after="0" w:line="240" w:lineRule="auto"/>
        <w:jc w:val="both"/>
        <w:sectPr>
          <w:pgSz w:w="12240" w:h="15840"/>
          <w:pgMar w:header="740" w:footer="1274" w:top="1280" w:bottom="1460" w:left="1400" w:right="1180"/>
        </w:sectPr>
      </w:pPr>
    </w:p>
    <w:p>
      <w:pPr>
        <w:pStyle w:val="ListParagraph"/>
        <w:numPr>
          <w:ilvl w:val="0"/>
          <w:numId w:val="12"/>
        </w:numPr>
        <w:tabs>
          <w:tab w:pos="444" w:val="left" w:leader="none"/>
        </w:tabs>
        <w:spacing w:line="240" w:lineRule="auto" w:before="122"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услуге наплате накнаде за коришћење градског грађевинског земљишта од грађана и радњи по Уговору о вршењу послова наплате број 06</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921 од 29.06.2001. године закљученом између ЈКП „Медијана“ Ниш и града Ниша, Секретаријата за урбанизам у износу од 13.167 хиљада динара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Наплату накнаде за коришћење градског грађевинског земљишта од грађана и радњи врши ЈКП „Обједињена наплата“ Ниш и Град њима преноси накнаду за извршену</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услугу.</w:t>
      </w:r>
    </w:p>
    <w:p>
      <w:pPr>
        <w:pStyle w:val="Heading1"/>
        <w:spacing w:line="275" w:lineRule="exact"/>
        <w:ind w:right="141"/>
        <w:jc w:val="left"/>
        <w:rPr>
          <w:b w:val="0"/>
          <w:bCs w:val="0"/>
        </w:rPr>
      </w:pPr>
      <w:r>
        <w:rPr/>
        <w:t>На основу ревизије узорковане документације утврђено</w:t>
      </w:r>
      <w:r>
        <w:rPr>
          <w:spacing w:val="-15"/>
        </w:rPr>
        <w:t> </w:t>
      </w:r>
      <w:r>
        <w:rPr/>
        <w:t>је:</w:t>
      </w:r>
      <w:r>
        <w:rPr>
          <w:b w:val="0"/>
        </w:rPr>
      </w:r>
    </w:p>
    <w:p>
      <w:pPr>
        <w:pStyle w:val="ListParagraph"/>
        <w:numPr>
          <w:ilvl w:val="0"/>
          <w:numId w:val="9"/>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Град не врши адекватну контролу наплате прихода од накнаде за заштиту и унапређење животне средине града Ниша и накнаде за коришћење градског грађевинског земљишта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обзиром да се контрола врши само на основу извештаја и евиденције достављене од стране ЈКП „Обједињена наплата“ Ниш и књиговодствене картице уплатног рачуна  јавног прихода. На основу наведеног, нисмо се уверили у тачност расхода по основу услуге за наплату наведених</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накнада.</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Ревидирани рачуни ЈКП „Обједињена наплата“ број 917 од 30.11.2013. године, број  1038 од 31.12.2013. године, број 20 од 31.01.2014. године и број 151 од  28.02.2014. године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у укупном износу од </w:t>
      </w:r>
      <w:r>
        <w:rPr>
          <w:rFonts w:ascii="Times New Roman" w:hAnsi="Times New Roman" w:cs="Times New Roman" w:eastAsia="Times New Roman" w:hint="default"/>
          <w:sz w:val="24"/>
          <w:szCs w:val="24"/>
        </w:rPr>
        <w:t>1.902 </w:t>
      </w:r>
      <w:r>
        <w:rPr>
          <w:rFonts w:ascii="Times New Roman" w:hAnsi="Times New Roman" w:cs="Times New Roman" w:eastAsia="Times New Roman" w:hint="default"/>
          <w:sz w:val="24"/>
          <w:szCs w:val="24"/>
        </w:rPr>
        <w:t>хиљаде динара којим је фактурисана услуга наплате накнаде за заштиту и унапређење животне средине и рачуни број 912 од 30.11.2013. године, број 33 од 31.01.2014. године и број 146 од 28.02.2014. године којим је фактурисана услуга наплате накнаде за коришћење грађевинског земљишта у укупном износу од </w:t>
      </w:r>
      <w:r>
        <w:rPr>
          <w:rFonts w:ascii="Times New Roman" w:hAnsi="Times New Roman" w:cs="Times New Roman" w:eastAsia="Times New Roman" w:hint="default"/>
          <w:sz w:val="24"/>
          <w:szCs w:val="24"/>
        </w:rPr>
        <w:t>4.930 </w:t>
      </w:r>
      <w:r>
        <w:rPr>
          <w:rFonts w:ascii="Times New Roman" w:hAnsi="Times New Roman" w:cs="Times New Roman" w:eastAsia="Times New Roman" w:hint="default"/>
          <w:sz w:val="24"/>
          <w:szCs w:val="24"/>
        </w:rPr>
        <w:t>хиљада динара нису потписани од стране лица које је исправу контролисало и лица одговорног за насталу пословну промену, што је супротно члану 58. Закона о буџетском систему и члану 16. Уредбе о буџетском</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рачуноводству.</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Извршен је расход у износу од 13.167 хиљада динара на име накнаде за услугу наплате накнаде за коришћење градског грађевинског земљишта од грађана и радњи по Уговору који је закључен још 2001. године са ЈКП „Медијана“, док је у међувремену дошло до промене извршиоца а није закључен нови</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Уговор.</w:t>
      </w:r>
    </w:p>
    <w:p>
      <w:pPr>
        <w:pStyle w:val="Heading2"/>
        <w:spacing w:line="240" w:lineRule="auto"/>
        <w:ind w:right="177"/>
        <w:jc w:val="both"/>
        <w:rPr>
          <w:rFonts w:ascii="Times New Roman" w:hAnsi="Times New Roman" w:cs="Times New Roman" w:eastAsia="Times New Roman" w:hint="default"/>
          <w:b w:val="0"/>
          <w:bCs w:val="0"/>
          <w:i w:val="0"/>
        </w:rPr>
      </w:pPr>
      <w:r>
        <w:rPr>
          <w:i/>
        </w:rPr>
        <w:t>Препоручује се одговорним лицима да интерним контролним поступцима онемогуће настанак расхода из буџета без претходно извршених провера и да обезбеде  валидну документацију за сваки расход из</w:t>
      </w:r>
      <w:r>
        <w:rPr>
          <w:i/>
          <w:spacing w:val="-11"/>
        </w:rPr>
        <w:t> </w:t>
      </w:r>
      <w:r>
        <w:rPr>
          <w:i/>
        </w:rPr>
        <w:t>буџета</w:t>
      </w:r>
      <w:r>
        <w:rPr>
          <w:rFonts w:ascii="Times New Roman" w:hAnsi="Times New Roman"/>
          <w:i/>
        </w:rPr>
        <w:t>.</w:t>
      </w:r>
      <w:r>
        <w:rPr>
          <w:rFonts w:ascii="Times New Roman" w:hAnsi="Times New Roman"/>
          <w:b w:val="0"/>
          <w:i w:val="0"/>
        </w:rPr>
      </w:r>
    </w:p>
    <w:p>
      <w:pPr>
        <w:pStyle w:val="ListParagraph"/>
        <w:numPr>
          <w:ilvl w:val="0"/>
          <w:numId w:val="35"/>
        </w:numPr>
        <w:tabs>
          <w:tab w:pos="1013" w:val="left" w:leader="none"/>
        </w:tabs>
        <w:spacing w:line="240" w:lineRule="auto" w:before="134" w:after="0"/>
        <w:ind w:left="160" w:right="174"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 за дечију, социјалну и примарну здравствену заштиту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Исказано је извршење у укупном износу од 5.309 хиљада динара и то на терет буџета града у износу од 5.293 хиљаде динара и из осталих извора у износу од 16 хиљада динара. Исказани расход се односи на директног буџетског корисника у износу од 5.293 хиљаде динара и индиректног буџетског корисника Центар „Мара“ у износу од 16 хиљада</w:t>
      </w:r>
      <w:r>
        <w:rPr>
          <w:rFonts w:ascii="Times New Roman" w:hAnsi="Times New Roman" w:cs="Times New Roman" w:eastAsia="Times New Roman" w:hint="default"/>
          <w:spacing w:val="-29"/>
          <w:sz w:val="24"/>
          <w:szCs w:val="24"/>
        </w:rPr>
        <w:t> </w:t>
      </w:r>
      <w:r>
        <w:rPr>
          <w:rFonts w:ascii="Times New Roman" w:hAnsi="Times New Roman" w:cs="Times New Roman" w:eastAsia="Times New Roman" w:hint="default"/>
          <w:sz w:val="24"/>
          <w:szCs w:val="24"/>
        </w:rPr>
        <w:t>динара.</w:t>
      </w:r>
    </w:p>
    <w:p>
      <w:pPr>
        <w:pStyle w:val="BodyText"/>
        <w:spacing w:line="240" w:lineRule="auto"/>
        <w:ind w:right="175" w:firstLine="566"/>
        <w:jc w:val="both"/>
        <w:rPr>
          <w:rFonts w:ascii="Times New Roman" w:hAnsi="Times New Roman" w:cs="Times New Roman" w:eastAsia="Times New Roman" w:hint="default"/>
        </w:rPr>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Здравствена заштита по уговору, субаналитички конто 424311 </w:t>
      </w:r>
      <w:r>
        <w:rPr/>
      </w:r>
      <w:r>
        <w:rPr>
          <w:rFonts w:ascii="Times New Roman" w:hAnsi="Times New Roman" w:cs="Times New Roman" w:eastAsia="Times New Roman" w:hint="default"/>
          <w:i/>
        </w:rPr>
        <w:t>– </w:t>
      </w:r>
      <w:r>
        <w:rPr/>
        <w:t>Исказан је расход у износу од 5.293 хиљаде динара за услуге мртвозорске службе Дома здравља</w:t>
      </w:r>
      <w:r>
        <w:rPr>
          <w:spacing w:val="-15"/>
        </w:rPr>
        <w:t> </w:t>
      </w:r>
      <w:r>
        <w:rPr/>
        <w:t>Ниш</w:t>
      </w:r>
      <w:r>
        <w:rPr>
          <w:rFonts w:ascii="Times New Roman" w:hAnsi="Times New Roman" w:cs="Times New Roman" w:eastAsia="Times New Roman" w:hint="default"/>
          <w:b/>
          <w:bCs/>
        </w:rPr>
        <w:t>.</w:t>
      </w:r>
      <w:r>
        <w:rPr>
          <w:rFonts w:ascii="Times New Roman" w:hAnsi="Times New Roman" w:cs="Times New Roman" w:eastAsia="Times New Roman" w:hint="default"/>
        </w:rPr>
      </w:r>
    </w:p>
    <w:p>
      <w:pPr>
        <w:pStyle w:val="BodyText"/>
        <w:spacing w:line="240" w:lineRule="auto" w:before="2"/>
        <w:ind w:left="726" w:right="141"/>
        <w:jc w:val="left"/>
        <w:rPr>
          <w:rFonts w:ascii="Times New Roman" w:hAnsi="Times New Roman" w:cs="Times New Roman" w:eastAsia="Times New Roman" w:hint="default"/>
        </w:rPr>
      </w:pPr>
      <w:r>
        <w:rPr/>
        <w:t>На основу ревизије узорковане документације нису утврђене</w:t>
      </w:r>
      <w:r>
        <w:rPr>
          <w:spacing w:val="-16"/>
        </w:rPr>
        <w:t> </w:t>
      </w:r>
      <w:r>
        <w:rPr/>
        <w:t>неправилности</w:t>
      </w:r>
      <w:r>
        <w:rPr>
          <w:rFonts w:ascii="Times New Roman" w:hAnsi="Times New Roman"/>
          <w:b/>
        </w:rPr>
        <w:t>.</w:t>
      </w:r>
      <w:r>
        <w:rPr>
          <w:rFonts w:ascii="Times New Roman" w:hAnsi="Times New Roman"/>
        </w:rPr>
      </w:r>
    </w:p>
    <w:p>
      <w:pPr>
        <w:pStyle w:val="ListParagraph"/>
        <w:numPr>
          <w:ilvl w:val="0"/>
          <w:numId w:val="35"/>
        </w:numPr>
        <w:tabs>
          <w:tab w:pos="1013" w:val="left" w:leader="none"/>
        </w:tabs>
        <w:spacing w:line="240" w:lineRule="auto" w:before="175" w:after="0"/>
        <w:ind w:left="160" w:right="172"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 за образовање </w:t>
      </w:r>
      <w:r>
        <w:rPr>
          <w:rFonts w:ascii="Times New Roman" w:hAnsi="Times New Roman" w:cs="Times New Roman" w:eastAsia="Times New Roman" w:hint="default"/>
          <w:b/>
          <w:bCs/>
          <w:sz w:val="24"/>
          <w:szCs w:val="24"/>
        </w:rPr>
        <w:t>- </w:t>
      </w:r>
      <w:r>
        <w:rPr>
          <w:rFonts w:ascii="Times New Roman" w:hAnsi="Times New Roman" w:cs="Times New Roman" w:eastAsia="Times New Roman" w:hint="default"/>
          <w:sz w:val="24"/>
          <w:szCs w:val="24"/>
        </w:rPr>
        <w:t>Исказано је извршење у укупном износу од 5.643 хиљаде динара и то: на терет буџета града у износу од 573 хиљаде динара, на терет  буџета Републике у износу од 923 хиљаде динара, из средстава ООСО у износу од 212 хиљада динара и из осталих извора у износу </w:t>
      </w:r>
      <w:r>
        <w:rPr>
          <w:rFonts w:ascii="Times New Roman" w:hAnsi="Times New Roman" w:cs="Times New Roman" w:eastAsia="Times New Roman" w:hint="default"/>
          <w:spacing w:val="4"/>
          <w:sz w:val="24"/>
          <w:szCs w:val="24"/>
        </w:rPr>
        <w:t>од </w:t>
      </w:r>
      <w:r>
        <w:rPr>
          <w:rFonts w:ascii="Times New Roman" w:hAnsi="Times New Roman" w:cs="Times New Roman" w:eastAsia="Times New Roman" w:hint="default"/>
          <w:sz w:val="24"/>
          <w:szCs w:val="24"/>
        </w:rPr>
        <w:t>3.935 хиљада динара. Исказани расход се </w:t>
      </w:r>
      <w:r>
        <w:rPr>
          <w:rFonts w:ascii="Times New Roman" w:hAnsi="Times New Roman" w:cs="Times New Roman" w:eastAsia="Times New Roman" w:hint="default"/>
          <w:sz w:val="24"/>
          <w:szCs w:val="24"/>
        </w:rPr>
        <w:t>односи на индиректне буџетске кориснике и то: ПУ „Пчелица“ у износу од </w:t>
      </w:r>
      <w:r>
        <w:rPr>
          <w:rFonts w:ascii="Times New Roman" w:hAnsi="Times New Roman" w:cs="Times New Roman" w:eastAsia="Times New Roman" w:hint="default"/>
          <w:sz w:val="24"/>
          <w:szCs w:val="24"/>
        </w:rPr>
        <w:t>5.162 </w:t>
      </w:r>
      <w:r>
        <w:rPr>
          <w:rFonts w:ascii="Times New Roman" w:hAnsi="Times New Roman" w:cs="Times New Roman" w:eastAsia="Times New Roman" w:hint="default"/>
          <w:sz w:val="24"/>
          <w:szCs w:val="24"/>
        </w:rPr>
        <w:t>хиљаде динара, Дечији центар у износу од </w:t>
      </w:r>
      <w:r>
        <w:rPr>
          <w:rFonts w:ascii="Times New Roman" w:hAnsi="Times New Roman" w:cs="Times New Roman" w:eastAsia="Times New Roman" w:hint="default"/>
          <w:sz w:val="24"/>
          <w:szCs w:val="24"/>
        </w:rPr>
        <w:t>460 </w:t>
      </w:r>
      <w:r>
        <w:rPr>
          <w:rFonts w:ascii="Times New Roman" w:hAnsi="Times New Roman" w:cs="Times New Roman" w:eastAsia="Times New Roman" w:hint="default"/>
          <w:sz w:val="24"/>
          <w:szCs w:val="24"/>
        </w:rPr>
        <w:t>хиљада динара и Регионални центар за професионални развој запослених у образовању у износу </w:t>
      </w:r>
      <w:r>
        <w:rPr>
          <w:rFonts w:ascii="Times New Roman" w:hAnsi="Times New Roman" w:cs="Times New Roman" w:eastAsia="Times New Roman" w:hint="default"/>
          <w:spacing w:val="2"/>
          <w:sz w:val="24"/>
          <w:szCs w:val="24"/>
        </w:rPr>
        <w:t>од </w:t>
      </w:r>
      <w:r>
        <w:rPr>
          <w:rFonts w:ascii="Times New Roman" w:hAnsi="Times New Roman" w:cs="Times New Roman" w:eastAsia="Times New Roman" w:hint="default"/>
          <w:sz w:val="24"/>
          <w:szCs w:val="24"/>
        </w:rPr>
        <w:t>21 </w:t>
      </w:r>
      <w:r>
        <w:rPr>
          <w:rFonts w:ascii="Times New Roman" w:hAnsi="Times New Roman" w:cs="Times New Roman" w:eastAsia="Times New Roman" w:hint="default"/>
          <w:sz w:val="24"/>
          <w:szCs w:val="24"/>
        </w:rPr>
        <w:t>хиљаде</w:t>
      </w:r>
      <w:r>
        <w:rPr>
          <w:rFonts w:ascii="Times New Roman" w:hAnsi="Times New Roman" w:cs="Times New Roman" w:eastAsia="Times New Roman" w:hint="default"/>
          <w:spacing w:val="-29"/>
          <w:sz w:val="24"/>
          <w:szCs w:val="24"/>
        </w:rPr>
        <w:t> </w:t>
      </w:r>
      <w:r>
        <w:rPr>
          <w:rFonts w:ascii="Times New Roman" w:hAnsi="Times New Roman" w:cs="Times New Roman" w:eastAsia="Times New Roman" w:hint="default"/>
          <w:sz w:val="24"/>
          <w:szCs w:val="24"/>
        </w:rPr>
        <w:t>динара.</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5" w:firstLine="566"/>
        <w:jc w:val="both"/>
      </w:pPr>
      <w:r>
        <w:rPr>
          <w:rFonts w:ascii="Times New Roman" w:hAnsi="Times New Roman"/>
          <w:b/>
        </w:rPr>
        <w:t>3а) ПУ Пчелица </w:t>
      </w:r>
      <w:r>
        <w:rPr>
          <w:rFonts w:ascii="Times New Roman" w:hAnsi="Times New Roman"/>
        </w:rPr>
        <w:t>- </w:t>
      </w:r>
      <w:r>
        <w:rPr/>
        <w:t>Исказано је извршење у укупном износу од 5.162 хиљаде динара и то на терет буџета Града у износу од 400 хиљада динара, на терет буџета Републике у износу од 923 хиљаде динара и из осталих извора у износу од 3.839 хиљада динара. Исказани су расходи за медицинске услуге у износу од 3.255 хиљада динара и остале специјализоване услуге у износу од 1.907 хиљада</w:t>
      </w:r>
      <w:r>
        <w:rPr>
          <w:spacing w:val="-20"/>
        </w:rPr>
        <w:t> </w:t>
      </w:r>
      <w:r>
        <w:rPr/>
        <w:t>динара.</w:t>
      </w:r>
    </w:p>
    <w:p>
      <w:pPr>
        <w:pStyle w:val="BodyText"/>
        <w:spacing w:line="240" w:lineRule="auto"/>
        <w:ind w:right="173" w:firstLine="566"/>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Остале специјализоване услуге, субаналитичкиконто </w:t>
      </w:r>
      <w:r>
        <w:rPr>
          <w:rFonts w:ascii="Times New Roman" w:hAnsi="Times New Roman"/>
          <w:u w:val="single" w:color="000000"/>
        </w:rPr>
        <w:t>424911 </w:t>
      </w:r>
      <w:r>
        <w:rPr>
          <w:rFonts w:ascii="Times New Roman" w:hAnsi="Times New Roman"/>
        </w:rPr>
      </w:r>
      <w:r>
        <w:rPr>
          <w:rFonts w:ascii="Times New Roman" w:hAnsi="Times New Roman"/>
          <w:b/>
        </w:rPr>
        <w:t>- </w:t>
      </w:r>
      <w:r>
        <w:rPr/>
        <w:t>Исказан је расход у износу од 1.907 хиљада динара од којих је на терет буџета града у износу од 400 хиљада динара</w:t>
      </w:r>
      <w:r>
        <w:rPr>
          <w:rFonts w:ascii="Times New Roman" w:hAnsi="Times New Roman"/>
        </w:rPr>
        <w:t>.</w:t>
      </w:r>
    </w:p>
    <w:p>
      <w:pPr>
        <w:pStyle w:val="BodyText"/>
        <w:spacing w:line="240" w:lineRule="auto"/>
        <w:ind w:right="177" w:firstLine="566"/>
        <w:jc w:val="both"/>
      </w:pPr>
      <w:r>
        <w:rPr>
          <w:rFonts w:ascii="Times New Roman" w:hAnsi="Times New Roman"/>
          <w:b/>
        </w:rPr>
        <w:t>На основу ревизије узорковане документације утврђено је </w:t>
      </w:r>
      <w:r>
        <w:rPr/>
        <w:t>да је више исказан расход из извора 01</w:t>
      </w:r>
      <w:r>
        <w:rPr>
          <w:rFonts w:ascii="Times New Roman" w:hAnsi="Times New Roman"/>
        </w:rPr>
        <w:t>-</w:t>
      </w:r>
      <w:r>
        <w:rPr/>
        <w:t>приходи из буџета у износу од 133 хиљаде динара, а мање је исказан расход из извора 04</w:t>
      </w:r>
      <w:r>
        <w:rPr>
          <w:rFonts w:ascii="Times New Roman" w:hAnsi="Times New Roman"/>
        </w:rPr>
        <w:t>-</w:t>
      </w:r>
      <w:r>
        <w:rPr/>
        <w:t>сопствени приходи у истом износу, што је супротно Правилнику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буџетских</w:t>
      </w:r>
      <w:r>
        <w:rPr>
          <w:spacing w:val="-7"/>
        </w:rPr>
        <w:t> </w:t>
      </w:r>
      <w:r>
        <w:rPr/>
        <w:t>фондова.</w:t>
      </w:r>
    </w:p>
    <w:p>
      <w:pPr>
        <w:pStyle w:val="Heading2"/>
        <w:spacing w:line="240" w:lineRule="auto"/>
        <w:ind w:right="175"/>
        <w:jc w:val="both"/>
        <w:rPr>
          <w:b w:val="0"/>
          <w:bCs w:val="0"/>
          <w:i w:val="0"/>
        </w:rPr>
      </w:pPr>
      <w:r>
        <w:rPr>
          <w:i/>
        </w:rPr>
        <w:t>Препоручује се одговорним лицима да обезбеде правилну примену одредби Правилнику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буџетских</w:t>
      </w:r>
      <w:r>
        <w:rPr>
          <w:i/>
          <w:spacing w:val="-11"/>
        </w:rPr>
        <w:t> </w:t>
      </w:r>
      <w:r>
        <w:rPr>
          <w:i/>
        </w:rPr>
        <w:t>фондова.</w:t>
      </w:r>
      <w:r>
        <w:rPr>
          <w:b w:val="0"/>
          <w:i w:val="0"/>
        </w:rPr>
      </w:r>
    </w:p>
    <w:p>
      <w:pPr>
        <w:pStyle w:val="ListParagraph"/>
        <w:numPr>
          <w:ilvl w:val="0"/>
          <w:numId w:val="35"/>
        </w:numPr>
        <w:tabs>
          <w:tab w:pos="1013" w:val="left" w:leader="none"/>
        </w:tabs>
        <w:spacing w:line="240" w:lineRule="auto" w:before="132" w:after="0"/>
        <w:ind w:left="160" w:right="177" w:firstLine="566"/>
        <w:jc w:val="both"/>
        <w:rPr>
          <w:rFonts w:ascii="Times New Roman" w:hAnsi="Times New Roman" w:cs="Times New Roman" w:eastAsia="Times New Roman" w:hint="default"/>
          <w:sz w:val="24"/>
          <w:szCs w:val="24"/>
        </w:rPr>
      </w:pPr>
      <w:r>
        <w:rPr>
          <w:rFonts w:ascii="Times New Roman" w:hAnsi="Times New Roman"/>
          <w:b/>
          <w:sz w:val="24"/>
        </w:rPr>
        <w:t>Управа за културу </w:t>
      </w:r>
      <w:r>
        <w:rPr>
          <w:rFonts w:ascii="Times New Roman" w:hAnsi="Times New Roman"/>
          <w:b/>
          <w:sz w:val="24"/>
        </w:rPr>
        <w:t>- </w:t>
      </w:r>
      <w:r>
        <w:rPr>
          <w:rFonts w:ascii="Times New Roman" w:hAnsi="Times New Roman"/>
          <w:sz w:val="24"/>
        </w:rPr>
        <w:t>Исказано је извршење у укупном износу од 96.192 хиљаде динара и то из буџета града у износу од 93.212 хиљада динара и из осталих извора у износу од 2.980 хиљада динара. Исказани расход односи се на индиректне буџетске кориснике и то: Нишки културни центар у износу од 13.809 хиљада динара, Галерија савремене ликовне уметности у износу од 393 хиљаде динара, Историјски архив у износу од 37 хиљада динара, Народно позориште у износу од 4.369 хиљаде динара, Позориште лутака у износу од пет хиљада динара, Нишки симфонијски оркестар у износу од 4.761 хиљаде динара, Народни музеј у износу од 5.824 хиљаде динара и Завод за заштиту споменика културе у износу од 75.633 хиљаде</w:t>
      </w:r>
      <w:r>
        <w:rPr>
          <w:rFonts w:ascii="Times New Roman" w:hAnsi="Times New Roman"/>
          <w:spacing w:val="-16"/>
          <w:sz w:val="24"/>
        </w:rPr>
        <w:t> </w:t>
      </w:r>
      <w:r>
        <w:rPr>
          <w:rFonts w:ascii="Times New Roman" w:hAnsi="Times New Roman"/>
          <w:sz w:val="24"/>
        </w:rPr>
        <w:t>динара.</w:t>
      </w:r>
    </w:p>
    <w:p>
      <w:pPr>
        <w:pStyle w:val="BodyText"/>
        <w:spacing w:line="240" w:lineRule="auto"/>
        <w:ind w:right="182" w:firstLine="566"/>
        <w:jc w:val="both"/>
      </w:pPr>
      <w:r>
        <w:rPr>
          <w:rFonts w:ascii="Times New Roman" w:hAnsi="Times New Roman" w:cs="Times New Roman" w:eastAsia="Times New Roman" w:hint="default"/>
          <w:b/>
          <w:bCs/>
        </w:rPr>
        <w:t>4а) Нишки културни центар – </w:t>
      </w:r>
      <w:r>
        <w:rPr/>
        <w:t>Исказано је извршење у укупном износу од 13.809 хиљада динара и то на терет буџета града у износу од 13.501 хиљаде динара и из осталих извора у износу од 308 хиљада динара. Исказани су расходи за: услуге образовања, културе и спорта у износу од 1.239 хиљада динара и остале специјализоване услуге у износу од 12.570 хиљада</w:t>
      </w:r>
      <w:r>
        <w:rPr>
          <w:spacing w:val="-11"/>
        </w:rPr>
        <w:t> </w:t>
      </w:r>
      <w:r>
        <w:rPr/>
        <w:t>динара.</w:t>
      </w:r>
    </w:p>
    <w:p>
      <w:pPr>
        <w:pStyle w:val="BodyText"/>
        <w:spacing w:line="240" w:lineRule="auto"/>
        <w:ind w:right="178" w:firstLine="566"/>
        <w:jc w:val="both"/>
        <w:rPr>
          <w:rFonts w:ascii="Times New Roman" w:hAnsi="Times New Roman" w:cs="Times New Roman" w:eastAsia="Times New Roman" w:hint="default"/>
        </w:rPr>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Услуге културе, субаналитички конто 424221 </w:t>
      </w:r>
      <w:r>
        <w:rPr/>
      </w:r>
      <w:r>
        <w:rPr>
          <w:rFonts w:ascii="Times New Roman" w:hAnsi="Times New Roman" w:cs="Times New Roman" w:eastAsia="Times New Roman" w:hint="default"/>
          <w:b/>
          <w:bCs/>
        </w:rPr>
        <w:t>– </w:t>
      </w:r>
      <w:r>
        <w:rPr/>
        <w:t>Исказан је расход у износу од 1.212 хиљада динара из средстава буџета</w:t>
      </w:r>
      <w:r>
        <w:rPr>
          <w:spacing w:val="-12"/>
        </w:rPr>
        <w:t> </w:t>
      </w:r>
      <w:r>
        <w:rPr/>
        <w:t>града</w:t>
      </w:r>
      <w:r>
        <w:rPr>
          <w:rFonts w:ascii="Times New Roman" w:hAnsi="Times New Roman" w:cs="Times New Roman" w:eastAsia="Times New Roman" w:hint="default"/>
        </w:rPr>
        <w:t>.</w:t>
      </w:r>
    </w:p>
    <w:p>
      <w:pPr>
        <w:pStyle w:val="BodyText"/>
        <w:spacing w:line="240" w:lineRule="auto"/>
        <w:ind w:right="177" w:firstLine="566"/>
        <w:jc w:val="both"/>
      </w:pPr>
      <w:r>
        <w:rPr>
          <w:rFonts w:ascii="Times New Roman" w:hAnsi="Times New Roman" w:cs="Times New Roman" w:eastAsia="Times New Roman" w:hint="default"/>
          <w:b/>
          <w:bCs/>
        </w:rPr>
        <w:t>На основу ревизије узорковане документације утврђено је </w:t>
      </w:r>
      <w:r>
        <w:rPr/>
        <w:t>да је неправилно евидентиран расход у укупном износу од 812 хиљада динара за накнаде по основу уговора о делу и награде, уместо на групи 423000 – услуге по уговору, што је супротно члану 9. Уредбе о буџетском рачуноводству и Правилнику о стандардном класификационом оквиру и контном плану за буџетски</w:t>
      </w:r>
      <w:r>
        <w:rPr>
          <w:spacing w:val="-31"/>
        </w:rPr>
        <w:t> </w:t>
      </w:r>
      <w:r>
        <w:rPr/>
        <w:t>систем.</w:t>
      </w:r>
    </w:p>
    <w:p>
      <w:pPr>
        <w:pStyle w:val="Heading2"/>
        <w:spacing w:line="240" w:lineRule="auto"/>
        <w:ind w:right="181"/>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b w:val="0"/>
          <w:i w:val="0"/>
        </w:rPr>
      </w:r>
    </w:p>
    <w:p>
      <w:pPr>
        <w:pStyle w:val="BodyText"/>
        <w:spacing w:line="240" w:lineRule="auto"/>
        <w:ind w:right="177" w:firstLine="566"/>
        <w:jc w:val="both"/>
      </w:pPr>
      <w:r>
        <w:rPr>
          <w:rFonts w:ascii="Times New Roman" w:hAnsi="Times New Roman"/>
        </w:rPr>
      </w:r>
      <w:r>
        <w:rPr>
          <w:rFonts w:ascii="Times New Roman" w:hAnsi="Times New Roman"/>
          <w:spacing w:val="-60"/>
          <w:u w:val="single" w:color="000000"/>
        </w:rPr>
        <w:t> </w:t>
      </w:r>
      <w:r>
        <w:rPr>
          <w:u w:val="single" w:color="000000"/>
        </w:rPr>
        <w:t>Остале специјализоване услуге, субаналитички конто 424911 </w:t>
      </w:r>
      <w:r>
        <w:rPr/>
      </w:r>
      <w:r>
        <w:rPr>
          <w:rFonts w:ascii="Times New Roman" w:hAnsi="Times New Roman"/>
          <w:b/>
        </w:rPr>
        <w:t>- </w:t>
      </w:r>
      <w:r>
        <w:rPr/>
        <w:t>Евидентиран је расход у износу од 12.289 хиљада динара из средстава буџета</w:t>
      </w:r>
      <w:r>
        <w:rPr>
          <w:spacing w:val="-17"/>
        </w:rPr>
        <w:t> </w:t>
      </w:r>
      <w:r>
        <w:rPr/>
        <w:t>града.</w:t>
      </w:r>
    </w:p>
    <w:p>
      <w:pPr>
        <w:pStyle w:val="Heading1"/>
        <w:spacing w:line="240" w:lineRule="auto"/>
        <w:ind w:right="141"/>
        <w:jc w:val="left"/>
        <w:rPr>
          <w:b w:val="0"/>
          <w:bCs w:val="0"/>
        </w:rPr>
      </w:pPr>
      <w:r>
        <w:rPr/>
        <w:t>На основу ревизије узорковане документације утврђено</w:t>
      </w:r>
      <w:r>
        <w:rPr>
          <w:spacing w:val="-16"/>
        </w:rPr>
        <w:t> </w:t>
      </w:r>
      <w:r>
        <w:rPr/>
        <w:t>је:</w:t>
      </w:r>
      <w:r>
        <w:rPr>
          <w:b w:val="0"/>
        </w:rPr>
      </w:r>
    </w:p>
    <w:p>
      <w:pPr>
        <w:spacing w:after="0" w:line="240" w:lineRule="auto"/>
        <w:jc w:val="left"/>
        <w:sectPr>
          <w:pgSz w:w="12240" w:h="15840"/>
          <w:pgMar w:header="740" w:footer="1274" w:top="1280" w:bottom="1460" w:left="1400" w:right="1260"/>
        </w:sectPr>
      </w:pPr>
    </w:p>
    <w:p>
      <w:pPr>
        <w:pStyle w:val="ListParagraph"/>
        <w:numPr>
          <w:ilvl w:val="0"/>
          <w:numId w:val="9"/>
        </w:numPr>
        <w:tabs>
          <w:tab w:pos="303" w:val="left" w:leader="none"/>
        </w:tabs>
        <w:spacing w:line="240" w:lineRule="auto" w:before="124"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је евидентиран расход у укупном износу од </w:t>
      </w:r>
      <w:r>
        <w:rPr>
          <w:rFonts w:ascii="Times New Roman" w:hAnsi="Times New Roman" w:cs="Times New Roman" w:eastAsia="Times New Roman" w:hint="default"/>
          <w:sz w:val="24"/>
          <w:szCs w:val="24"/>
        </w:rPr>
        <w:t>3.614 </w:t>
      </w:r>
      <w:r>
        <w:rPr>
          <w:rFonts w:ascii="Times New Roman" w:hAnsi="Times New Roman" w:cs="Times New Roman" w:eastAsia="Times New Roman" w:hint="default"/>
          <w:sz w:val="24"/>
          <w:szCs w:val="24"/>
        </w:rPr>
        <w:t>хиљада динара и то на име: услуге озвучења и расвете у износу од 2.405 хиљада динара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услуге физичког обезбеђења у износу од </w:t>
      </w:r>
      <w:r>
        <w:rPr>
          <w:rFonts w:ascii="Times New Roman" w:hAnsi="Times New Roman" w:cs="Times New Roman" w:eastAsia="Times New Roman" w:hint="default"/>
          <w:sz w:val="24"/>
          <w:szCs w:val="24"/>
        </w:rPr>
        <w:t>375 </w:t>
      </w:r>
      <w:r>
        <w:rPr>
          <w:rFonts w:ascii="Times New Roman" w:hAnsi="Times New Roman" w:cs="Times New Roman" w:eastAsia="Times New Roman" w:hint="default"/>
          <w:sz w:val="24"/>
          <w:szCs w:val="24"/>
        </w:rPr>
        <w:t>хиљада динара, накнаде за повремене и привремене послове по рачунима омладинске задруге у износу од </w:t>
      </w:r>
      <w:r>
        <w:rPr>
          <w:rFonts w:ascii="Times New Roman" w:hAnsi="Times New Roman" w:cs="Times New Roman" w:eastAsia="Times New Roman" w:hint="default"/>
          <w:sz w:val="24"/>
          <w:szCs w:val="24"/>
        </w:rPr>
        <w:t>539 </w:t>
      </w:r>
      <w:r>
        <w:rPr>
          <w:rFonts w:ascii="Times New Roman" w:hAnsi="Times New Roman" w:cs="Times New Roman" w:eastAsia="Times New Roman" w:hint="default"/>
          <w:sz w:val="24"/>
          <w:szCs w:val="24"/>
        </w:rPr>
        <w:t>хиљада динара, услуге фотографисања  и видео записа у износу од 28 хиљада динара, накнаде по ауторском хонорару за послове у оквиру градске славе у износу од 267 хиљада динара, уместо на групи 423000 – услуге по уговору,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31"/>
          <w:sz w:val="24"/>
          <w:szCs w:val="24"/>
        </w:rPr>
        <w:t> </w:t>
      </w:r>
      <w:r>
        <w:rPr>
          <w:rFonts w:ascii="Times New Roman" w:hAnsi="Times New Roman" w:cs="Times New Roman" w:eastAsia="Times New Roman" w:hint="default"/>
          <w:sz w:val="24"/>
          <w:szCs w:val="24"/>
        </w:rPr>
        <w:t>систем.</w:t>
      </w:r>
    </w:p>
    <w:p>
      <w:pPr>
        <w:pStyle w:val="ListParagraph"/>
        <w:numPr>
          <w:ilvl w:val="0"/>
          <w:numId w:val="9"/>
        </w:numPr>
        <w:tabs>
          <w:tab w:pos="303" w:val="left" w:leader="none"/>
        </w:tabs>
        <w:spacing w:line="237" w:lineRule="auto" w:before="4"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Закључен је Уговор о извршењу услуге</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услуге омладинске задруге број 678 од 26.06.2014. године са Студентско</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омладинском задругом „Актер“ Ниш без уговорене вредности</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тако да вредност преузетих обавеза није позната, што је супротно члану 56. </w:t>
      </w:r>
      <w:r>
        <w:rPr>
          <w:rFonts w:ascii="Times New Roman" w:hAnsi="Times New Roman" w:cs="Times New Roman" w:eastAsia="Times New Roman" w:hint="default"/>
          <w:spacing w:val="30"/>
          <w:sz w:val="24"/>
          <w:szCs w:val="24"/>
        </w:rPr>
        <w:t> </w:t>
      </w:r>
      <w:r>
        <w:rPr>
          <w:rFonts w:ascii="Times New Roman" w:hAnsi="Times New Roman" w:cs="Times New Roman" w:eastAsia="Times New Roman" w:hint="default"/>
          <w:sz w:val="24"/>
          <w:szCs w:val="24"/>
        </w:rPr>
        <w:t>и</w:t>
      </w:r>
    </w:p>
    <w:p>
      <w:pPr>
        <w:pStyle w:val="BodyText"/>
        <w:spacing w:line="240" w:lineRule="auto" w:before="1"/>
        <w:ind w:right="0"/>
        <w:jc w:val="both"/>
      </w:pPr>
      <w:r>
        <w:rPr>
          <w:rFonts w:ascii="Times New Roman" w:hAnsi="Times New Roman"/>
        </w:rPr>
        <w:t>58.  </w:t>
      </w:r>
      <w:r>
        <w:rPr/>
        <w:t>Закона о буџетском</w:t>
      </w:r>
      <w:r>
        <w:rPr>
          <w:spacing w:val="-12"/>
        </w:rPr>
        <w:t> </w:t>
      </w:r>
      <w:r>
        <w:rPr/>
        <w:t>систему.</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Извршен је расход у износу од 79 хиљада динара преко уговорене вредности по  Уговору број 893 од 14.08.2014. године за услугу озвучења и расвете са Радњом за извођење специјалних ефеката „Magic light“ пр Ниш, што је супротно члану 56. и 58. Закона о буџетском</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систему.</w:t>
      </w:r>
    </w:p>
    <w:p>
      <w:pPr>
        <w:pStyle w:val="ListParagraph"/>
        <w:numPr>
          <w:ilvl w:val="0"/>
          <w:numId w:val="9"/>
        </w:numPr>
        <w:tabs>
          <w:tab w:pos="303" w:val="left" w:leader="none"/>
        </w:tabs>
        <w:spacing w:line="292" w:lineRule="exact" w:before="2"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У  појединачним  уговорима</w:t>
      </w:r>
      <w:r>
        <w:rPr>
          <w:rFonts w:ascii="Times New Roman" w:hAnsi="Times New Roman"/>
          <w:sz w:val="24"/>
        </w:rPr>
        <w:t>-</w:t>
      </w:r>
      <w:r>
        <w:rPr>
          <w:rFonts w:ascii="Times New Roman" w:hAnsi="Times New Roman"/>
          <w:sz w:val="24"/>
        </w:rPr>
        <w:t>упутима  за  рад  чланова  Студентско</w:t>
      </w:r>
      <w:r>
        <w:rPr>
          <w:rFonts w:ascii="Times New Roman" w:hAnsi="Times New Roman"/>
          <w:sz w:val="24"/>
        </w:rPr>
        <w:t>-</w:t>
      </w:r>
      <w:r>
        <w:rPr>
          <w:rFonts w:ascii="Times New Roman" w:hAnsi="Times New Roman"/>
          <w:sz w:val="24"/>
        </w:rPr>
        <w:t>омладинске</w:t>
      </w:r>
      <w:r>
        <w:rPr>
          <w:rFonts w:ascii="Times New Roman" w:hAnsi="Times New Roman"/>
          <w:spacing w:val="55"/>
          <w:sz w:val="24"/>
        </w:rPr>
        <w:t> </w:t>
      </w:r>
      <w:r>
        <w:rPr>
          <w:rFonts w:ascii="Times New Roman" w:hAnsi="Times New Roman"/>
          <w:sz w:val="24"/>
        </w:rPr>
        <w:t>задруге</w:t>
      </w:r>
    </w:p>
    <w:p>
      <w:pPr>
        <w:pStyle w:val="BodyText"/>
        <w:spacing w:line="240" w:lineRule="auto"/>
        <w:ind w:right="180"/>
        <w:jc w:val="both"/>
      </w:pPr>
      <w:r>
        <w:rPr/>
        <w:t>„Актер“ Ниш нису наведени дани и часови трајања обављања послова, већ је само уписан износ нето (као и бруто) зараде у заокруженом износу, док је уговором уговорен нето износ по једном</w:t>
      </w:r>
      <w:r>
        <w:rPr>
          <w:spacing w:val="-10"/>
        </w:rPr>
        <w:t> </w:t>
      </w:r>
      <w:r>
        <w:rPr/>
        <w:t>сату.</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Извршен је расход у износу од 350 хиљада динара за услугу извођења уметничког програма на затварању Филмског фестивала по Уговору о извршењу услуге – агенцијске услуге</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извођење уметничког програма закљученом са Предузећем за културну делатност у земљи и иностранству </w:t>
      </w:r>
      <w:r>
        <w:rPr>
          <w:rFonts w:ascii="Times New Roman" w:hAnsi="Times New Roman" w:cs="Times New Roman" w:eastAsia="Times New Roman" w:hint="default"/>
          <w:spacing w:val="3"/>
          <w:sz w:val="24"/>
          <w:szCs w:val="24"/>
        </w:rPr>
        <w:t>„My </w:t>
      </w:r>
      <w:r>
        <w:rPr>
          <w:rFonts w:ascii="Times New Roman" w:hAnsi="Times New Roman" w:cs="Times New Roman" w:eastAsia="Times New Roman" w:hint="default"/>
          <w:sz w:val="24"/>
          <w:szCs w:val="24"/>
        </w:rPr>
        <w:t>way“ доо Београд</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без валидне рачуноводствене исправе, што је супротно члану 58. Закона о буџетском систему и члану 16. Уредбе о буџетском рачуноводству.</w:t>
      </w:r>
    </w:p>
    <w:p>
      <w:pPr>
        <w:pStyle w:val="Heading2"/>
        <w:spacing w:line="240" w:lineRule="auto"/>
        <w:ind w:right="174"/>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 систем, да обезбеде валидну документацију за сваки расход из буџета, приликом закључења уговора уговоре вредност и расходе извршавају до висине уговорене</w:t>
      </w:r>
      <w:r>
        <w:rPr>
          <w:i/>
          <w:spacing w:val="-8"/>
        </w:rPr>
        <w:t> </w:t>
      </w:r>
      <w:r>
        <w:rPr>
          <w:i/>
        </w:rPr>
        <w:t>вредности.</w:t>
      </w:r>
      <w:r>
        <w:rPr>
          <w:b w:val="0"/>
          <w:i w:val="0"/>
        </w:rPr>
      </w:r>
    </w:p>
    <w:p>
      <w:pPr>
        <w:pStyle w:val="ListParagraph"/>
        <w:numPr>
          <w:ilvl w:val="0"/>
          <w:numId w:val="12"/>
        </w:numPr>
        <w:tabs>
          <w:tab w:pos="303" w:val="left" w:leader="none"/>
        </w:tabs>
        <w:spacing w:line="271"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Пројекат  „49.  Фестивал  глумачких  остварења  домаћег  играног  филма    </w:t>
      </w:r>
      <w:r>
        <w:rPr>
          <w:rFonts w:ascii="Times New Roman" w:hAnsi="Times New Roman" w:cs="Times New Roman" w:eastAsia="Times New Roman" w:hint="default"/>
          <w:sz w:val="24"/>
          <w:szCs w:val="24"/>
          <w:u w:val="single" w:color="000000"/>
        </w:rPr>
        <w:t>-   </w:t>
      </w:r>
      <w:r>
        <w:rPr>
          <w:rFonts w:ascii="Times New Roman" w:hAnsi="Times New Roman" w:cs="Times New Roman" w:eastAsia="Times New Roman" w:hint="default"/>
          <w:spacing w:val="17"/>
          <w:sz w:val="24"/>
          <w:szCs w:val="24"/>
          <w:u w:val="single" w:color="000000"/>
        </w:rPr>
        <w:t> </w:t>
      </w:r>
      <w:r>
        <w:rPr>
          <w:rFonts w:ascii="Times New Roman" w:hAnsi="Times New Roman" w:cs="Times New Roman" w:eastAsia="Times New Roman" w:hint="default"/>
          <w:sz w:val="24"/>
          <w:szCs w:val="24"/>
          <w:u w:val="single" w:color="000000"/>
        </w:rPr>
        <w:t>Филмски</w:t>
      </w:r>
      <w:r>
        <w:rPr>
          <w:rFonts w:ascii="Times New Roman" w:hAnsi="Times New Roman" w:cs="Times New Roman" w:eastAsia="Times New Roman" w:hint="default"/>
          <w:sz w:val="24"/>
          <w:szCs w:val="24"/>
        </w:rPr>
      </w:r>
    </w:p>
    <w:p>
      <w:pPr>
        <w:pStyle w:val="BodyText"/>
        <w:spacing w:line="240" w:lineRule="auto"/>
        <w:ind w:right="173"/>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сусрети Ниш 2014“ </w:t>
      </w:r>
      <w:r>
        <w:rPr/>
      </w:r>
      <w:r>
        <w:rPr>
          <w:rFonts w:ascii="Times New Roman" w:hAnsi="Times New Roman" w:cs="Times New Roman" w:eastAsia="Times New Roman" w:hint="default"/>
        </w:rPr>
        <w:t>- </w:t>
      </w:r>
      <w:r>
        <w:rPr/>
        <w:t>Нишки културни центар је са Министарством културе и информисања, закључио Уговор о суфинансирању 49. Фестивала глумачких остварења домаћег играног филма </w:t>
      </w:r>
      <w:r>
        <w:rPr>
          <w:rFonts w:ascii="Times New Roman" w:hAnsi="Times New Roman" w:cs="Times New Roman" w:eastAsia="Times New Roman" w:hint="default"/>
        </w:rPr>
        <w:t>- </w:t>
      </w:r>
      <w:r>
        <w:rPr/>
        <w:t>Филмски сусрети Ниш 2014 број 451</w:t>
      </w:r>
      <w:r>
        <w:rPr>
          <w:rFonts w:ascii="Times New Roman" w:hAnsi="Times New Roman" w:cs="Times New Roman" w:eastAsia="Times New Roman" w:hint="default"/>
        </w:rPr>
        <w:t>-04-781/2014-</w:t>
      </w:r>
      <w:r>
        <w:rPr/>
        <w:t>03 од </w:t>
      </w:r>
      <w:r>
        <w:rPr>
          <w:rFonts w:ascii="Times New Roman" w:hAnsi="Times New Roman" w:cs="Times New Roman" w:eastAsia="Times New Roman" w:hint="default"/>
        </w:rPr>
        <w:t>25.</w:t>
      </w:r>
      <w:r>
        <w:rPr/>
        <w:t>04.2014. године. Укупно одобрена средства из буџета Републике по наведеном  уговору износе 5.000 хиљада динара, а намењена су за: „новчане износе награда, закуп филмова и закуп пројектора и опрема“. Пројекат ће се реализовати у периоду од 01.08. до </w:t>
      </w:r>
      <w:r>
        <w:rPr>
          <w:rFonts w:ascii="Times New Roman" w:hAnsi="Times New Roman" w:cs="Times New Roman" w:eastAsia="Times New Roman" w:hint="default"/>
        </w:rPr>
        <w:t>31.08.20</w:t>
      </w:r>
      <w:r>
        <w:rPr/>
        <w:t>14. године. Према Извештају, Нишки културни центар је потрошио наменска средства од Министарства културе у износу од 4.693 хиљаде динара: за награде фестивала у износу од 1.488 хиљада динара, набавку пројектора у износу од 50 хиљада динара, закуп опреме</w:t>
      </w:r>
      <w:r>
        <w:rPr>
          <w:rFonts w:ascii="Times New Roman" w:hAnsi="Times New Roman" w:cs="Times New Roman" w:eastAsia="Times New Roman" w:hint="default"/>
        </w:rPr>
        <w:t>-</w:t>
      </w:r>
      <w:r>
        <w:rPr/>
        <w:t>озвучење и расвета у износу од 1.979 хиљада динара, закуп опреме у износу од 360 хиљада динара, опрему за сценографију у износу од 300 хиљада динара и опрему за аудио видео услуге у износу од 516 хиљада</w:t>
      </w:r>
      <w:r>
        <w:rPr>
          <w:spacing w:val="-16"/>
        </w:rPr>
        <w:t> </w:t>
      </w:r>
      <w:r>
        <w:rPr/>
        <w:t>динара.</w:t>
      </w:r>
    </w:p>
    <w:p>
      <w:pPr>
        <w:pStyle w:val="Heading1"/>
        <w:spacing w:line="240" w:lineRule="auto"/>
        <w:ind w:right="141"/>
        <w:jc w:val="left"/>
        <w:rPr>
          <w:b w:val="0"/>
          <w:bCs w:val="0"/>
        </w:rPr>
      </w:pPr>
      <w:r>
        <w:rPr/>
        <w:t>На основу ревизије узорковане документације утврђено</w:t>
      </w:r>
      <w:r>
        <w:rPr>
          <w:spacing w:val="-12"/>
        </w:rPr>
        <w:t> </w:t>
      </w:r>
      <w:r>
        <w:rPr/>
        <w:t>је:</w:t>
      </w:r>
      <w:r>
        <w:rPr>
          <w:b w:val="0"/>
        </w:rPr>
      </w:r>
    </w:p>
    <w:p>
      <w:pPr>
        <w:spacing w:after="0" w:line="240" w:lineRule="auto"/>
        <w:jc w:val="left"/>
        <w:sectPr>
          <w:pgSz w:w="12240" w:h="15840"/>
          <w:pgMar w:header="740" w:footer="1274" w:top="1280" w:bottom="1460" w:left="1400" w:right="1260"/>
        </w:sectPr>
      </w:pPr>
    </w:p>
    <w:p>
      <w:pPr>
        <w:pStyle w:val="ListParagraph"/>
        <w:numPr>
          <w:ilvl w:val="0"/>
          <w:numId w:val="9"/>
        </w:numPr>
        <w:tabs>
          <w:tab w:pos="303" w:val="left" w:leader="none"/>
        </w:tabs>
        <w:spacing w:line="240" w:lineRule="auto" w:before="124"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Нишки културни центар није у уговореном року доставио Министарству културе и информисања Извештај о реализацији Пројекта „49. Фестивал глумачких остварења домаћег играног филма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Филмски сусрети Ниш 2014“, што је супротно члану 7. закљученог Уговора о суфинансирању фестивала број 451</w:t>
      </w:r>
      <w:r>
        <w:rPr>
          <w:rFonts w:ascii="Times New Roman" w:hAnsi="Times New Roman" w:cs="Times New Roman" w:eastAsia="Times New Roman" w:hint="default"/>
          <w:sz w:val="24"/>
          <w:szCs w:val="24"/>
        </w:rPr>
        <w:t>-04-781/2014-</w:t>
      </w:r>
      <w:r>
        <w:rPr>
          <w:rFonts w:ascii="Times New Roman" w:hAnsi="Times New Roman" w:cs="Times New Roman" w:eastAsia="Times New Roman" w:hint="default"/>
          <w:sz w:val="24"/>
          <w:szCs w:val="24"/>
        </w:rPr>
        <w:t>03 од 25.04.2014. године. Корисник се наведеним чланом уговора, обавезао да Министарству у року од 15 дана по завршетку пројекта достави Извештај о реализацији Пројекта са доказима о наменском коришћењу финансијских средстава, односно у случају да је завршетак реализације Пројекта у другој половини децембра месеца, рок за достављање извештаја  је 31.12.2014. године. Извештај о реализацији пројекта/програма из области културе који је суфинансиран средствима Министарства културе и информисања Нишки културни центар је доставио Министарству културе и информисања 18.02.2015.</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године.</w:t>
      </w:r>
    </w:p>
    <w:p>
      <w:pPr>
        <w:pStyle w:val="ListParagraph"/>
        <w:numPr>
          <w:ilvl w:val="0"/>
          <w:numId w:val="9"/>
        </w:numPr>
        <w:tabs>
          <w:tab w:pos="303"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У Извештају о реализацији пројекта/програма из области културе достављеног Министарству културе и информисања, наведено је да је целокупан износ од 516 хиљада динара за услугу пројектовања филмова на Летњој позорници по рачуну број 14</w:t>
      </w:r>
      <w:r>
        <w:rPr>
          <w:rFonts w:ascii="Times New Roman" w:hAnsi="Times New Roman"/>
          <w:sz w:val="24"/>
        </w:rPr>
        <w:t>-08-205 </w:t>
      </w:r>
      <w:r>
        <w:rPr>
          <w:rFonts w:ascii="Times New Roman" w:hAnsi="Times New Roman"/>
          <w:sz w:val="24"/>
        </w:rPr>
        <w:t>од 29.08.2014. године измирен средствима из Министарства, што није тачно</w:t>
      </w:r>
      <w:r>
        <w:rPr>
          <w:rFonts w:ascii="Times New Roman" w:hAnsi="Times New Roman"/>
          <w:sz w:val="24"/>
        </w:rPr>
        <w:t>, </w:t>
      </w:r>
      <w:r>
        <w:rPr>
          <w:rFonts w:ascii="Times New Roman" w:hAnsi="Times New Roman"/>
          <w:sz w:val="24"/>
        </w:rPr>
        <w:t>јер је захтевом за трансфер средстава из буџета града Ниша тражена 361 хиљада динара из средстава буџета Републике и 155 хиљада динара из буџета града, а пренос из буџета града извршен је у складу са поднетим</w:t>
      </w:r>
      <w:r>
        <w:rPr>
          <w:rFonts w:ascii="Times New Roman" w:hAnsi="Times New Roman"/>
          <w:spacing w:val="-17"/>
          <w:sz w:val="24"/>
        </w:rPr>
        <w:t> </w:t>
      </w:r>
      <w:r>
        <w:rPr>
          <w:rFonts w:ascii="Times New Roman" w:hAnsi="Times New Roman"/>
          <w:sz w:val="24"/>
        </w:rPr>
        <w:t>захтевом.</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Министарство културе и информисања обратило се Нишком културном центру Захтевом за повраћај новца у буџет у укупном износу од 3.012 хиљада динара и то у износу од 307 хиљада динара по основу неутрошених средстава и 2.705 хиљада динара  по основу непризнатих трошкова. Од стране Министарства културе признато је 500 хиљада динара на име услуге пројектовања филмова и 1.488 хиљада динара на име новчаних награда фестивала</w:t>
      </w:r>
      <w:r>
        <w:rPr>
          <w:rFonts w:ascii="Times New Roman" w:hAnsi="Times New Roman"/>
          <w:sz w:val="24"/>
        </w:rPr>
        <w:t>. </w:t>
      </w:r>
      <w:r>
        <w:rPr>
          <w:rFonts w:ascii="Times New Roman" w:hAnsi="Times New Roman"/>
          <w:sz w:val="24"/>
        </w:rPr>
        <w:t>На овај начин Нишки културни центар поступио је супротно члану 56. и 71. Закона о буџетском</w:t>
      </w:r>
      <w:r>
        <w:rPr>
          <w:rFonts w:ascii="Times New Roman" w:hAnsi="Times New Roman"/>
          <w:spacing w:val="-17"/>
          <w:sz w:val="24"/>
        </w:rPr>
        <w:t> </w:t>
      </w:r>
      <w:r>
        <w:rPr>
          <w:rFonts w:ascii="Times New Roman" w:hAnsi="Times New Roman"/>
          <w:sz w:val="24"/>
        </w:rPr>
        <w:t>систему.</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Извештају о реализацији програма и финансијском извештају 49. Фестивала глумачких остварења домаћег играног филма „Филмски сусрети“ Ниш 2014, донетог од стране Савета фестивала број 1970 од 17.12.2014. године, у делу: Извештај о приспелим и утрошеним средствима за филмске сусрете 2014. наведено је да је на име награда фестивала утрошено 1.557 хиљада динара, на име путних трошкова за учеснике и госте је утрошено 563 хиљаде динара у шта се нисмо уверили, јер се износ од 563 хиљаде динара не односи само на путне трошкове већ и на исплату по две дневнице сваком госту, док у посебном пољу за исказивање износа дневница нису наведени</w:t>
      </w:r>
      <w:r>
        <w:rPr>
          <w:rFonts w:ascii="Times New Roman" w:hAnsi="Times New Roman" w:cs="Times New Roman" w:eastAsia="Times New Roman" w:hint="default"/>
          <w:spacing w:val="-31"/>
          <w:sz w:val="24"/>
          <w:szCs w:val="24"/>
        </w:rPr>
        <w:t> </w:t>
      </w:r>
      <w:r>
        <w:rPr>
          <w:rFonts w:ascii="Times New Roman" w:hAnsi="Times New Roman" w:cs="Times New Roman" w:eastAsia="Times New Roman" w:hint="default"/>
          <w:sz w:val="24"/>
          <w:szCs w:val="24"/>
        </w:rPr>
        <w:t>подаци.</w:t>
      </w:r>
    </w:p>
    <w:p>
      <w:pPr>
        <w:pStyle w:val="Heading2"/>
        <w:spacing w:line="240" w:lineRule="auto"/>
        <w:ind w:right="173"/>
        <w:jc w:val="both"/>
        <w:rPr>
          <w:b w:val="0"/>
          <w:bCs w:val="0"/>
          <w:i w:val="0"/>
        </w:rPr>
      </w:pPr>
      <w:r>
        <w:rPr>
          <w:i/>
        </w:rPr>
        <w:t>Препоручује се одговорним лицима да буџетска средства користе за намене за које су пренета из буџета, као и да неискоришћена средства и ненаменски искоришћена средства по Пројекту врате</w:t>
      </w:r>
      <w:r>
        <w:rPr>
          <w:i/>
          <w:spacing w:val="-15"/>
        </w:rPr>
        <w:t> </w:t>
      </w:r>
      <w:r>
        <w:rPr>
          <w:i/>
        </w:rPr>
        <w:t>даваоцу.</w:t>
      </w:r>
      <w:r>
        <w:rPr>
          <w:b w:val="0"/>
          <w:i w:val="0"/>
        </w:rPr>
      </w:r>
    </w:p>
    <w:p>
      <w:pPr>
        <w:pStyle w:val="BodyText"/>
        <w:spacing w:line="240" w:lineRule="auto"/>
        <w:ind w:right="179" w:firstLine="566"/>
        <w:jc w:val="both"/>
      </w:pPr>
      <w:r>
        <w:rPr>
          <w:rFonts w:ascii="Times New Roman" w:hAnsi="Times New Roman"/>
          <w:b/>
        </w:rPr>
        <w:t>4б) Нишки симфонијски оркестар </w:t>
      </w:r>
      <w:r>
        <w:rPr>
          <w:rFonts w:ascii="Times New Roman" w:hAnsi="Times New Roman"/>
          <w:b/>
        </w:rPr>
        <w:t>- </w:t>
      </w:r>
      <w:r>
        <w:rPr/>
        <w:t>Исказано је извршење у износу од </w:t>
      </w:r>
      <w:r>
        <w:rPr>
          <w:rFonts w:ascii="Times New Roman" w:hAnsi="Times New Roman"/>
        </w:rPr>
        <w:t>4.761 </w:t>
      </w:r>
      <w:r>
        <w:rPr/>
        <w:t>хиљаде динара и то на терет буџета града у износу од 4.509 хиљада динара и из осталих извора у износу од 252 хиљаде динара. Исказани су расходи за услуге образовања, културе и спорта у износу од 2.057 хиљада динара и остале специјализоване услуге у износу од 2.704 хиљаде</w:t>
      </w:r>
      <w:r>
        <w:rPr>
          <w:spacing w:val="-8"/>
        </w:rPr>
        <w:t> </w:t>
      </w:r>
      <w:r>
        <w:rPr/>
        <w:t>динара.</w:t>
      </w:r>
    </w:p>
    <w:p>
      <w:pPr>
        <w:pStyle w:val="BodyText"/>
        <w:spacing w:line="240" w:lineRule="auto"/>
        <w:ind w:right="181" w:firstLine="566"/>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Услуге културе, субаналитички конто 424221 </w:t>
      </w:r>
      <w:r>
        <w:rPr/>
      </w:r>
      <w:r>
        <w:rPr>
          <w:rFonts w:ascii="Times New Roman" w:hAnsi="Times New Roman"/>
        </w:rPr>
        <w:t>- </w:t>
      </w:r>
      <w:r>
        <w:rPr/>
        <w:t>Исказан је расход у износу од 1.909 хиљада динара из средстава буџета</w:t>
      </w:r>
      <w:r>
        <w:rPr>
          <w:spacing w:val="-12"/>
        </w:rPr>
        <w:t> </w:t>
      </w:r>
      <w:r>
        <w:rPr/>
        <w:t>града</w:t>
      </w:r>
      <w:r>
        <w:rPr>
          <w:rFonts w:ascii="Times New Roman" w:hAnsi="Times New Roman"/>
        </w:rPr>
        <w:t>.</w:t>
      </w:r>
    </w:p>
    <w:p>
      <w:pPr>
        <w:spacing w:before="0"/>
        <w:ind w:left="160" w:right="177"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је неправилно евидентиран расход у износу од 128 хиљада динара за услуге смештаја и исхране учесника на концертима и плаћених пореза и доприноса на трошкове смештаја и</w:t>
      </w:r>
      <w:r>
        <w:rPr>
          <w:rFonts w:ascii="Times New Roman" w:hAnsi="Times New Roman"/>
          <w:spacing w:val="-24"/>
          <w:sz w:val="24"/>
        </w:rPr>
        <w:t> </w:t>
      </w:r>
      <w:r>
        <w:rPr>
          <w:rFonts w:ascii="Times New Roman" w:hAnsi="Times New Roman"/>
          <w:sz w:val="24"/>
        </w:rPr>
        <w:t>исхране,</w:t>
      </w:r>
    </w:p>
    <w:p>
      <w:pPr>
        <w:spacing w:after="0"/>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5"/>
        <w:jc w:val="both"/>
      </w:pPr>
      <w:r>
        <w:rPr/>
        <w:t>уместо на групи 423000 – услуге по уговору, што је супротно члану 9. Уредбе о буџетском рачуноводству и Правилнику о стандардном класификационом оквиру и контном плану за буџетски</w:t>
      </w:r>
      <w:r>
        <w:rPr>
          <w:spacing w:val="-17"/>
        </w:rPr>
        <w:t> </w:t>
      </w:r>
      <w:r>
        <w:rPr/>
        <w:t>систем.</w:t>
      </w:r>
    </w:p>
    <w:p>
      <w:pPr>
        <w:pStyle w:val="Heading2"/>
        <w:spacing w:line="237" w:lineRule="auto" w:before="7"/>
        <w:ind w:right="175"/>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b w:val="0"/>
          <w:i w:val="0"/>
        </w:rPr>
        <w:t>.</w:t>
      </w:r>
    </w:p>
    <w:p>
      <w:pPr>
        <w:pStyle w:val="BodyText"/>
        <w:spacing w:line="240" w:lineRule="auto"/>
        <w:ind w:right="175"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Остале специјализоване услуге, субаналитички конто 424911 </w:t>
      </w:r>
      <w:r>
        <w:rPr/>
        <w:t>– Исказан је расход у </w:t>
      </w:r>
      <w:r>
        <w:rPr/>
        <w:t>износу од 2.600 хиљада динара из средстава буџета</w:t>
      </w:r>
      <w:r>
        <w:rPr>
          <w:spacing w:val="-19"/>
        </w:rPr>
        <w:t> </w:t>
      </w:r>
      <w:r>
        <w:rPr/>
        <w:t>града.</w:t>
      </w:r>
    </w:p>
    <w:p>
      <w:pPr>
        <w:pStyle w:val="BodyText"/>
        <w:spacing w:line="240" w:lineRule="auto"/>
        <w:ind w:left="726" w:right="141"/>
        <w:jc w:val="left"/>
      </w:pPr>
      <w:r>
        <w:rPr/>
        <w:t>Ревизијом узорковане документације нису утврђене</w:t>
      </w:r>
      <w:r>
        <w:rPr>
          <w:spacing w:val="-28"/>
        </w:rPr>
        <w:t> </w:t>
      </w:r>
      <w:r>
        <w:rPr/>
        <w:t>неправилности.</w:t>
      </w:r>
    </w:p>
    <w:p>
      <w:pPr>
        <w:pStyle w:val="BodyText"/>
        <w:spacing w:line="240" w:lineRule="auto"/>
        <w:ind w:right="172" w:firstLine="566"/>
        <w:jc w:val="both"/>
      </w:pPr>
      <w:r>
        <w:rPr>
          <w:rFonts w:ascii="Times New Roman" w:hAnsi="Times New Roman"/>
          <w:b/>
        </w:rPr>
        <w:t>4в) Народно позориште </w:t>
      </w:r>
      <w:r>
        <w:rPr>
          <w:rFonts w:ascii="Times New Roman" w:hAnsi="Times New Roman"/>
          <w:b/>
        </w:rPr>
        <w:t>- </w:t>
      </w:r>
      <w:r>
        <w:rPr/>
        <w:t>Исказано је извршење у укупном износу од 4.369  хиљада динара и то из буџета града у износу од 2.730 хиљада динара и из осталих извора у износу од 1.639 хиљада динара. Исказан је расход за: услуге образовања, културе и спорта у износу од 761 хиљаде динара, медицинске услуге у износу од 94 хиљаде динара, услуге одржавања аутопутева у износу од 80 хиљада динара, остале специјализоване услуге у износу од 3.434 хиљаде</w:t>
      </w:r>
      <w:r>
        <w:rPr>
          <w:spacing w:val="-9"/>
        </w:rPr>
        <w:t> </w:t>
      </w:r>
      <w:r>
        <w:rPr/>
        <w:t>динара.</w:t>
      </w:r>
    </w:p>
    <w:p>
      <w:pPr>
        <w:pStyle w:val="BodyText"/>
        <w:spacing w:line="240" w:lineRule="auto"/>
        <w:ind w:right="174"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Остале специјализоване услуге, субаналитички конто 424911 </w:t>
      </w:r>
      <w:r>
        <w:rPr/>
        <w:t>– Исказан је расход у </w:t>
      </w:r>
      <w:r>
        <w:rPr/>
        <w:t>износу од 2.636 хиљада динара из средстава буџета</w:t>
      </w:r>
      <w:r>
        <w:rPr>
          <w:spacing w:val="-19"/>
        </w:rPr>
        <w:t> </w:t>
      </w:r>
      <w:r>
        <w:rPr/>
        <w:t>града.</w:t>
      </w:r>
    </w:p>
    <w:p>
      <w:pPr>
        <w:pStyle w:val="BodyText"/>
        <w:spacing w:line="240" w:lineRule="auto"/>
        <w:ind w:left="726" w:right="141"/>
        <w:jc w:val="left"/>
      </w:pPr>
      <w:r>
        <w:rPr/>
        <w:t>На основу ревизије узорковане документације нису утврђене</w:t>
      </w:r>
      <w:r>
        <w:rPr>
          <w:spacing w:val="-25"/>
        </w:rPr>
        <w:t> </w:t>
      </w:r>
      <w:r>
        <w:rPr/>
        <w:t>разлике.</w:t>
      </w:r>
    </w:p>
    <w:p>
      <w:pPr>
        <w:pStyle w:val="BodyText"/>
        <w:spacing w:line="240" w:lineRule="auto"/>
        <w:ind w:right="175" w:firstLine="566"/>
        <w:jc w:val="both"/>
      </w:pPr>
      <w:r>
        <w:rPr>
          <w:rFonts w:ascii="Times New Roman" w:hAnsi="Times New Roman" w:cs="Times New Roman" w:eastAsia="Times New Roman" w:hint="default"/>
          <w:b/>
          <w:bCs/>
        </w:rPr>
        <w:t>4г) Завод за заштиту споменика културе – </w:t>
      </w:r>
      <w:r>
        <w:rPr/>
        <w:t>Исказано је извршење у укупном износу од </w:t>
      </w:r>
      <w:r>
        <w:rPr>
          <w:rFonts w:ascii="Times New Roman" w:hAnsi="Times New Roman" w:cs="Times New Roman" w:eastAsia="Times New Roman" w:hint="default"/>
        </w:rPr>
        <w:t>75.633 </w:t>
      </w:r>
      <w:r>
        <w:rPr/>
        <w:t>хиљад</w:t>
      </w:r>
      <w:r>
        <w:rPr>
          <w:rFonts w:ascii="Times New Roman" w:hAnsi="Times New Roman" w:cs="Times New Roman" w:eastAsia="Times New Roman" w:hint="default"/>
        </w:rPr>
        <w:t>e </w:t>
      </w:r>
      <w:r>
        <w:rPr/>
        <w:t>динара и то из буџета града у износу од </w:t>
      </w:r>
      <w:r>
        <w:rPr>
          <w:rFonts w:ascii="Times New Roman" w:hAnsi="Times New Roman" w:cs="Times New Roman" w:eastAsia="Times New Roman" w:hint="default"/>
        </w:rPr>
        <w:t>70.680 </w:t>
      </w:r>
      <w:r>
        <w:rPr/>
        <w:t>хиљада динара</w:t>
      </w:r>
      <w:r>
        <w:rPr>
          <w:rFonts w:ascii="Times New Roman" w:hAnsi="Times New Roman" w:cs="Times New Roman" w:eastAsia="Times New Roman" w:hint="default"/>
        </w:rPr>
        <w:t>, </w:t>
      </w:r>
      <w:r>
        <w:rPr/>
        <w:t>из буџета Републике у износу од </w:t>
      </w:r>
      <w:r>
        <w:rPr>
          <w:rFonts w:ascii="Times New Roman" w:hAnsi="Times New Roman" w:cs="Times New Roman" w:eastAsia="Times New Roman" w:hint="default"/>
        </w:rPr>
        <w:t>4.536 </w:t>
      </w:r>
      <w:r>
        <w:rPr/>
        <w:t>и из осталих извора у износу од </w:t>
      </w:r>
      <w:r>
        <w:rPr>
          <w:rFonts w:ascii="Times New Roman" w:hAnsi="Times New Roman" w:cs="Times New Roman" w:eastAsia="Times New Roman" w:hint="default"/>
        </w:rPr>
        <w:t>417 </w:t>
      </w:r>
      <w:r>
        <w:rPr/>
        <w:t>хиљада динара. Исказан је расход за: услуге образовања, културе и спорта у износу од </w:t>
      </w:r>
      <w:r>
        <w:rPr>
          <w:rFonts w:ascii="Times New Roman" w:hAnsi="Times New Roman" w:cs="Times New Roman" w:eastAsia="Times New Roman" w:hint="default"/>
        </w:rPr>
        <w:t>75.215 </w:t>
      </w:r>
      <w:r>
        <w:rPr/>
        <w:t>хиљада динара, услуге очувања животне средине, науке и геодетске услуге у износу од </w:t>
      </w:r>
      <w:r>
        <w:rPr>
          <w:rFonts w:ascii="Times New Roman" w:hAnsi="Times New Roman" w:cs="Times New Roman" w:eastAsia="Times New Roman" w:hint="default"/>
        </w:rPr>
        <w:t>321 </w:t>
      </w:r>
      <w:r>
        <w:rPr/>
        <w:t>хиљаде динара, остале специјализоване услуге у износу од </w:t>
      </w:r>
      <w:r>
        <w:rPr>
          <w:rFonts w:ascii="Times New Roman" w:hAnsi="Times New Roman" w:cs="Times New Roman" w:eastAsia="Times New Roman" w:hint="default"/>
        </w:rPr>
        <w:t>97 </w:t>
      </w:r>
      <w:r>
        <w:rPr/>
        <w:t>хиљада</w:t>
      </w:r>
      <w:r>
        <w:rPr>
          <w:spacing w:val="-18"/>
        </w:rPr>
        <w:t> </w:t>
      </w:r>
      <w:r>
        <w:rPr/>
        <w:t>динара.</w:t>
      </w:r>
    </w:p>
    <w:p>
      <w:pPr>
        <w:pStyle w:val="BodyText"/>
        <w:spacing w:line="240" w:lineRule="auto"/>
        <w:ind w:right="179" w:firstLine="566"/>
        <w:jc w:val="both"/>
      </w:pPr>
      <w:r>
        <w:rPr>
          <w:rFonts w:ascii="Times New Roman" w:hAnsi="Times New Roman"/>
        </w:rPr>
      </w:r>
      <w:r>
        <w:rPr>
          <w:rFonts w:ascii="Times New Roman" w:hAnsi="Times New Roman"/>
          <w:spacing w:val="-60"/>
          <w:u w:val="single" w:color="000000"/>
        </w:rPr>
        <w:t> </w:t>
      </w:r>
      <w:r>
        <w:rPr>
          <w:u w:val="single" w:color="000000"/>
        </w:rPr>
        <w:t>Услуге културе, субаналитички конто 424221 </w:t>
      </w:r>
      <w:r>
        <w:rPr/>
      </w:r>
      <w:r>
        <w:rPr>
          <w:rFonts w:ascii="Times New Roman" w:hAnsi="Times New Roman"/>
          <w:b/>
          <w:i/>
        </w:rPr>
        <w:t>- </w:t>
      </w:r>
      <w:r>
        <w:rPr/>
        <w:t>Исказан је расход у износу од 70.499 хиљада</w:t>
      </w:r>
      <w:r>
        <w:rPr>
          <w:spacing w:val="-3"/>
        </w:rPr>
        <w:t> </w:t>
      </w:r>
      <w:r>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5"/>
        </w:rPr>
        <w:t> </w:t>
      </w:r>
      <w:r>
        <w:rPr/>
        <w:t>је:</w:t>
      </w:r>
      <w:r>
        <w:rPr>
          <w:b w:val="0"/>
        </w:rPr>
      </w:r>
    </w:p>
    <w:p>
      <w:pPr>
        <w:pStyle w:val="ListParagraph"/>
        <w:numPr>
          <w:ilvl w:val="0"/>
          <w:numId w:val="9"/>
        </w:numPr>
        <w:tabs>
          <w:tab w:pos="303" w:val="left" w:leader="none"/>
        </w:tabs>
        <w:spacing w:line="274" w:lineRule="exact" w:before="20"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Изабрани понуђачи на изради и монтажи заштитне конструкције од ламелираног дрвета са</w:t>
      </w:r>
      <w:r>
        <w:rPr>
          <w:rFonts w:ascii="Times New Roman" w:hAnsi="Times New Roman"/>
          <w:spacing w:val="46"/>
          <w:sz w:val="24"/>
        </w:rPr>
        <w:t> </w:t>
      </w:r>
      <w:r>
        <w:rPr>
          <w:rFonts w:ascii="Times New Roman" w:hAnsi="Times New Roman"/>
          <w:sz w:val="24"/>
        </w:rPr>
        <w:t>ПВЦ</w:t>
      </w:r>
      <w:r>
        <w:rPr>
          <w:rFonts w:ascii="Times New Roman" w:hAnsi="Times New Roman"/>
          <w:spacing w:val="49"/>
          <w:sz w:val="24"/>
        </w:rPr>
        <w:t> </w:t>
      </w:r>
      <w:r>
        <w:rPr>
          <w:rFonts w:ascii="Times New Roman" w:hAnsi="Times New Roman"/>
          <w:sz w:val="24"/>
        </w:rPr>
        <w:t>мембраном</w:t>
      </w:r>
      <w:r>
        <w:rPr>
          <w:rFonts w:ascii="Times New Roman" w:hAnsi="Times New Roman"/>
          <w:spacing w:val="47"/>
          <w:sz w:val="24"/>
        </w:rPr>
        <w:t> </w:t>
      </w:r>
      <w:r>
        <w:rPr>
          <w:rFonts w:ascii="Times New Roman" w:hAnsi="Times New Roman"/>
          <w:sz w:val="24"/>
        </w:rPr>
        <w:t>над</w:t>
      </w:r>
      <w:r>
        <w:rPr>
          <w:rFonts w:ascii="Times New Roman" w:hAnsi="Times New Roman"/>
          <w:spacing w:val="48"/>
          <w:sz w:val="24"/>
        </w:rPr>
        <w:t> </w:t>
      </w:r>
      <w:r>
        <w:rPr>
          <w:rFonts w:ascii="Times New Roman" w:hAnsi="Times New Roman"/>
          <w:sz w:val="24"/>
        </w:rPr>
        <w:t>Вилом</w:t>
      </w:r>
      <w:r>
        <w:rPr>
          <w:rFonts w:ascii="Times New Roman" w:hAnsi="Times New Roman"/>
          <w:spacing w:val="47"/>
          <w:sz w:val="24"/>
        </w:rPr>
        <w:t> </w:t>
      </w:r>
      <w:r>
        <w:rPr>
          <w:rFonts w:ascii="Times New Roman" w:hAnsi="Times New Roman"/>
          <w:sz w:val="24"/>
        </w:rPr>
        <w:t>са</w:t>
      </w:r>
      <w:r>
        <w:rPr>
          <w:rFonts w:ascii="Times New Roman" w:hAnsi="Times New Roman"/>
          <w:spacing w:val="46"/>
          <w:sz w:val="24"/>
        </w:rPr>
        <w:t> </w:t>
      </w:r>
      <w:r>
        <w:rPr>
          <w:rFonts w:ascii="Times New Roman" w:hAnsi="Times New Roman"/>
          <w:sz w:val="24"/>
        </w:rPr>
        <w:t>перистилом</w:t>
      </w:r>
      <w:r>
        <w:rPr>
          <w:rFonts w:ascii="Times New Roman" w:hAnsi="Times New Roman"/>
          <w:spacing w:val="47"/>
          <w:sz w:val="24"/>
        </w:rPr>
        <w:t> </w:t>
      </w:r>
      <w:r>
        <w:rPr>
          <w:rFonts w:ascii="Times New Roman" w:hAnsi="Times New Roman"/>
          <w:sz w:val="24"/>
        </w:rPr>
        <w:t>на</w:t>
      </w:r>
      <w:r>
        <w:rPr>
          <w:rFonts w:ascii="Times New Roman" w:hAnsi="Times New Roman"/>
          <w:spacing w:val="46"/>
          <w:sz w:val="24"/>
        </w:rPr>
        <w:t> </w:t>
      </w:r>
      <w:r>
        <w:rPr>
          <w:rFonts w:ascii="Times New Roman" w:hAnsi="Times New Roman"/>
          <w:sz w:val="24"/>
        </w:rPr>
        <w:t>археолошком</w:t>
      </w:r>
      <w:r>
        <w:rPr>
          <w:rFonts w:ascii="Times New Roman" w:hAnsi="Times New Roman"/>
          <w:spacing w:val="47"/>
          <w:sz w:val="24"/>
        </w:rPr>
        <w:t> </w:t>
      </w:r>
      <w:r>
        <w:rPr>
          <w:rFonts w:ascii="Times New Roman" w:hAnsi="Times New Roman"/>
          <w:sz w:val="24"/>
        </w:rPr>
        <w:t>локалитету</w:t>
      </w:r>
      <w:r>
        <w:rPr>
          <w:rFonts w:ascii="Times New Roman" w:hAnsi="Times New Roman"/>
          <w:spacing w:val="42"/>
          <w:sz w:val="24"/>
        </w:rPr>
        <w:t> </w:t>
      </w:r>
      <w:r>
        <w:rPr>
          <w:rFonts w:ascii="Times New Roman" w:hAnsi="Times New Roman"/>
          <w:sz w:val="24"/>
        </w:rPr>
        <w:t>Медијана</w:t>
      </w:r>
      <w:r>
        <w:rPr>
          <w:rFonts w:ascii="Times New Roman" w:hAnsi="Times New Roman"/>
          <w:sz w:val="24"/>
        </w:rPr>
        <w:t>,</w:t>
      </w:r>
    </w:p>
    <w:p>
      <w:pPr>
        <w:pStyle w:val="BodyText"/>
        <w:spacing w:line="240" w:lineRule="auto"/>
        <w:ind w:right="173"/>
        <w:jc w:val="both"/>
      </w:pPr>
      <w:r>
        <w:rPr/>
        <w:t>„Пирамида“ доо Сремска Митровица, „</w:t>
      </w:r>
      <w:r>
        <w:rPr>
          <w:rFonts w:ascii="Times New Roman" w:hAnsi="Times New Roman" w:cs="Times New Roman" w:eastAsia="Times New Roman" w:hint="default"/>
        </w:rPr>
        <w:t>Artech in</w:t>
      </w:r>
      <w:r>
        <w:rPr/>
        <w:t>ženjering“ доо Нови Београд и „ЛКВ центар“ доо Београд</w:t>
      </w:r>
      <w:r>
        <w:rPr>
          <w:rFonts w:ascii="Times New Roman" w:hAnsi="Times New Roman" w:cs="Times New Roman" w:eastAsia="Times New Roman" w:hint="default"/>
        </w:rPr>
        <w:t>, </w:t>
      </w:r>
      <w:r>
        <w:rPr/>
        <w:t>нису до 01.05.2015. године доставили банкарску гаранцију за добро извршење посла са роком 60 дана дужим од 31.12.2015. године, што је супротно члану 2. Анекса </w:t>
      </w:r>
      <w:r>
        <w:rPr>
          <w:rFonts w:ascii="Times New Roman" w:hAnsi="Times New Roman" w:cs="Times New Roman" w:eastAsia="Times New Roman" w:hint="default"/>
        </w:rPr>
        <w:t>III </w:t>
      </w:r>
      <w:r>
        <w:rPr/>
        <w:t>Уговора број 1512/3 од 01.11.2014.</w:t>
      </w:r>
      <w:r>
        <w:rPr>
          <w:spacing w:val="-4"/>
        </w:rPr>
        <w:t> </w:t>
      </w:r>
      <w:r>
        <w:rPr/>
        <w:t>године.</w:t>
      </w:r>
    </w:p>
    <w:p>
      <w:pPr>
        <w:pStyle w:val="ListParagraph"/>
        <w:numPr>
          <w:ilvl w:val="0"/>
          <w:numId w:val="9"/>
        </w:numPr>
        <w:tabs>
          <w:tab w:pos="303" w:val="left" w:leader="none"/>
        </w:tabs>
        <w:spacing w:line="240" w:lineRule="auto" w:before="2" w:after="0"/>
        <w:ind w:left="160" w:right="171" w:firstLine="0"/>
        <w:jc w:val="both"/>
        <w:rPr>
          <w:rFonts w:ascii="Times New Roman" w:hAnsi="Times New Roman" w:cs="Times New Roman" w:eastAsia="Times New Roman" w:hint="default"/>
          <w:sz w:val="24"/>
          <w:szCs w:val="24"/>
        </w:rPr>
      </w:pPr>
      <w:r>
        <w:rPr>
          <w:rFonts w:ascii="Times New Roman" w:hAnsi="Times New Roman"/>
          <w:sz w:val="24"/>
        </w:rPr>
        <w:t>Министарство животне средине и просторног планирања, Сектор за урбанистичко, просторно планирање и становање, издало је Решење о одобрењу за изградњу број </w:t>
      </w:r>
      <w:r>
        <w:rPr>
          <w:rFonts w:ascii="Times New Roman" w:hAnsi="Times New Roman"/>
          <w:spacing w:val="2"/>
          <w:sz w:val="24"/>
        </w:rPr>
        <w:t>351</w:t>
      </w:r>
      <w:r>
        <w:rPr>
          <w:rFonts w:ascii="Times New Roman" w:hAnsi="Times New Roman"/>
          <w:spacing w:val="2"/>
          <w:sz w:val="24"/>
        </w:rPr>
        <w:t>- </w:t>
      </w:r>
      <w:r>
        <w:rPr>
          <w:rFonts w:ascii="Times New Roman" w:hAnsi="Times New Roman"/>
          <w:sz w:val="24"/>
        </w:rPr>
        <w:t>03-00045/2009-</w:t>
      </w:r>
      <w:r>
        <w:rPr>
          <w:rFonts w:ascii="Times New Roman" w:hAnsi="Times New Roman"/>
          <w:sz w:val="24"/>
        </w:rPr>
        <w:t>07 дана 04.02.2009. године, заштитне конструкције над Вилом док су радови отпочети дана 07.10.2013. године, што значи су радови отпочети а да је Решење о одобрењу за изградњу престало да важи, што је супротно члану 140. Закона о планирању и</w:t>
      </w:r>
      <w:r>
        <w:rPr>
          <w:rFonts w:ascii="Times New Roman" w:hAnsi="Times New Roman"/>
          <w:spacing w:val="-2"/>
          <w:sz w:val="24"/>
        </w:rPr>
        <w:t> </w:t>
      </w:r>
      <w:r>
        <w:rPr>
          <w:rFonts w:ascii="Times New Roman" w:hAnsi="Times New Roman"/>
          <w:sz w:val="24"/>
        </w:rPr>
        <w:t>изградњи.</w:t>
      </w:r>
    </w:p>
    <w:p>
      <w:pPr>
        <w:pStyle w:val="ListParagraph"/>
        <w:numPr>
          <w:ilvl w:val="0"/>
          <w:numId w:val="9"/>
        </w:numPr>
        <w:tabs>
          <w:tab w:pos="303" w:val="left" w:leader="none"/>
        </w:tabs>
        <w:spacing w:line="237" w:lineRule="auto" w:before="4"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Неправилно је евидентиран расход у износу од 66.594 хиљаде динара за израду и монтажу заштитне конструкције над Вилом са перистилом на археолошком локалитету Медијана, уместо на групи 511000</w:t>
      </w:r>
      <w:r>
        <w:rPr>
          <w:rFonts w:ascii="Times New Roman" w:hAnsi="Times New Roman"/>
          <w:sz w:val="24"/>
        </w:rPr>
        <w:t>-</w:t>
      </w:r>
      <w:r>
        <w:rPr>
          <w:rFonts w:ascii="Times New Roman" w:hAnsi="Times New Roman"/>
          <w:sz w:val="24"/>
        </w:rPr>
        <w:t>зграде и грађевински објекти, што је супротно   </w:t>
      </w:r>
      <w:r>
        <w:rPr>
          <w:rFonts w:ascii="Times New Roman" w:hAnsi="Times New Roman"/>
          <w:spacing w:val="3"/>
          <w:sz w:val="24"/>
        </w:rPr>
        <w:t> </w:t>
      </w:r>
      <w:r>
        <w:rPr>
          <w:rFonts w:ascii="Times New Roman" w:hAnsi="Times New Roman"/>
          <w:sz w:val="24"/>
        </w:rPr>
        <w:t>члану</w:t>
      </w:r>
    </w:p>
    <w:p>
      <w:pPr>
        <w:pStyle w:val="BodyText"/>
        <w:spacing w:line="240" w:lineRule="auto"/>
        <w:ind w:right="183"/>
        <w:jc w:val="both"/>
      </w:pPr>
      <w:r>
        <w:rPr/>
        <w:t>9. Уредбе о буџетском рачуноводству и Правилнику о стандардном класификационом оквиру и контном плану за буџетски систем. У Билансу стања мање су исказани нефинансијска имовина у припреми и нефинансијска имовина у сталним</w:t>
      </w:r>
      <w:r>
        <w:rPr>
          <w:spacing w:val="-28"/>
        </w:rPr>
        <w:t> </w:t>
      </w:r>
      <w:r>
        <w:rPr/>
        <w:t>средствима.</w:t>
      </w:r>
    </w:p>
    <w:p>
      <w:pPr>
        <w:spacing w:after="0" w:line="240" w:lineRule="auto"/>
        <w:jc w:val="both"/>
        <w:sectPr>
          <w:footerReference w:type="default" r:id="rId68"/>
          <w:pgSz w:w="12240" w:h="15840"/>
          <w:pgMar w:footer="1274" w:header="740" w:top="1280" w:bottom="1460" w:left="1400" w:right="1260"/>
          <w:pgNumType w:start="130"/>
        </w:sectPr>
      </w:pPr>
    </w:p>
    <w:p>
      <w:pPr>
        <w:pStyle w:val="Heading2"/>
        <w:spacing w:line="240" w:lineRule="auto" w:before="126"/>
        <w:ind w:right="175"/>
        <w:jc w:val="both"/>
        <w:rPr>
          <w:b w:val="0"/>
          <w:bCs w:val="0"/>
          <w:i w:val="0"/>
        </w:rPr>
      </w:pPr>
      <w:r>
        <w:rPr>
          <w:i/>
        </w:rPr>
        <w:t>Препоручује се одговорним лицима да: обезбеде од извођача радова средство обезбеђења са уговореним роком важења</w:t>
      </w:r>
      <w:r>
        <w:rPr>
          <w:rFonts w:ascii="Times New Roman" w:hAnsi="Times New Roman"/>
          <w:i/>
        </w:rPr>
        <w:t>, </w:t>
      </w:r>
      <w:r>
        <w:rPr>
          <w:i/>
        </w:rPr>
        <w:t>извођење радова врше у складу са Законом о планирању и изградњи и обезбеде правилну примену одредби Уредбе о буџетском рачуноводству и Правилнику о стандардном класификационом оквиру и контном плану за буџетски</w:t>
      </w:r>
      <w:r>
        <w:rPr>
          <w:i/>
          <w:spacing w:val="-6"/>
        </w:rPr>
        <w:t> </w:t>
      </w:r>
      <w:r>
        <w:rPr>
          <w:i/>
        </w:rPr>
        <w:t>систем.</w:t>
      </w:r>
      <w:r>
        <w:rPr>
          <w:b w:val="0"/>
          <w:i w:val="0"/>
        </w:rPr>
      </w:r>
    </w:p>
    <w:p>
      <w:pPr>
        <w:pStyle w:val="ListParagraph"/>
        <w:numPr>
          <w:ilvl w:val="0"/>
          <w:numId w:val="35"/>
        </w:numPr>
        <w:tabs>
          <w:tab w:pos="1013" w:val="left" w:leader="none"/>
        </w:tabs>
        <w:spacing w:line="240" w:lineRule="auto" w:before="132" w:after="0"/>
        <w:ind w:left="160" w:right="18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 за омладину и спорт </w:t>
      </w:r>
      <w:r>
        <w:rPr>
          <w:rFonts w:ascii="Times New Roman" w:hAnsi="Times New Roman" w:cs="Times New Roman" w:eastAsia="Times New Roman" w:hint="default"/>
          <w:b/>
          <w:bCs/>
          <w:sz w:val="24"/>
          <w:szCs w:val="24"/>
        </w:rPr>
        <w:t>- </w:t>
      </w:r>
      <w:r>
        <w:rPr>
          <w:rFonts w:ascii="Times New Roman" w:hAnsi="Times New Roman" w:cs="Times New Roman" w:eastAsia="Times New Roman" w:hint="default"/>
          <w:sz w:val="24"/>
          <w:szCs w:val="24"/>
        </w:rPr>
        <w:t>Исказано је извршење у укупном износу од 2.405 хиљада динара и то у износу од 1.782 хиљаде динара из буџета града и у износу од 623 хиљаде динара из осталих извора. Исказани расход се односи на индиректног буџетског корисника СЦ</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„Чаир“.</w:t>
      </w:r>
    </w:p>
    <w:p>
      <w:pPr>
        <w:pStyle w:val="BodyText"/>
        <w:spacing w:line="240" w:lineRule="auto"/>
        <w:ind w:right="183" w:firstLine="566"/>
        <w:jc w:val="both"/>
      </w:pPr>
      <w:r>
        <w:rPr>
          <w:rFonts w:ascii="Times New Roman" w:hAnsi="Times New Roman"/>
          <w:b/>
        </w:rPr>
        <w:t>5а) СЦ Чаир </w:t>
      </w:r>
      <w:r>
        <w:rPr>
          <w:rFonts w:ascii="Times New Roman" w:hAnsi="Times New Roman"/>
          <w:b/>
        </w:rPr>
        <w:t>- </w:t>
      </w:r>
      <w:r>
        <w:rPr/>
        <w:t>Исказано је извршење у укупном износу од 2.405 хиљада динара за: медицинске услуге у износу од 518 хиљада динара и остале специјализоване услуге у износу од 1.887 хиљада</w:t>
      </w:r>
      <w:r>
        <w:rPr>
          <w:spacing w:val="-8"/>
        </w:rPr>
        <w:t> </w:t>
      </w:r>
      <w:r>
        <w:rPr/>
        <w:t>динара.</w:t>
      </w:r>
    </w:p>
    <w:p>
      <w:pPr>
        <w:pStyle w:val="BodyText"/>
        <w:spacing w:line="240" w:lineRule="auto"/>
        <w:ind w:right="173" w:firstLine="566"/>
        <w:jc w:val="both"/>
        <w:rPr>
          <w:rFonts w:ascii="Times New Roman" w:hAnsi="Times New Roman" w:cs="Times New Roman" w:eastAsia="Times New Roman" w:hint="default"/>
        </w:rPr>
      </w:pPr>
      <w:r>
        <w:rPr>
          <w:rFonts w:ascii="Times New Roman" w:hAnsi="Times New Roman" w:cs="Times New Roman" w:eastAsia="Times New Roman" w:hint="default"/>
          <w:w w:val="99"/>
        </w:rPr>
      </w:r>
      <w:r>
        <w:rPr>
          <w:rFonts w:ascii="Times New Roman" w:hAnsi="Times New Roman" w:cs="Times New Roman" w:eastAsia="Times New Roman" w:hint="default"/>
          <w:u w:val="single" w:color="000000"/>
        </w:rPr>
        <w:t>O</w:t>
      </w:r>
      <w:r>
        <w:rPr>
          <w:u w:val="single" w:color="000000"/>
        </w:rPr>
        <w:t>стале специјализоване услуге, субаналитички конто 424911 </w:t>
      </w:r>
      <w:r>
        <w:rPr/>
        <w:t>– Исказан је расход у </w:t>
      </w:r>
      <w:r>
        <w:rPr/>
        <w:t>износу од 1.887 хиљада динара, од којих у износу од 1.782 хиљаде динара из средстава буџета града и то за услугу одржавања хигијене у</w:t>
      </w:r>
      <w:r>
        <w:rPr>
          <w:spacing w:val="-15"/>
        </w:rPr>
        <w:t> </w:t>
      </w:r>
      <w:r>
        <w:rPr/>
        <w:t>објекту</w:t>
      </w:r>
      <w:r>
        <w:rPr>
          <w:rFonts w:ascii="Times New Roman" w:hAnsi="Times New Roman" w:cs="Times New Roman" w:eastAsia="Times New Roman" w:hint="default"/>
        </w:rPr>
        <w:t>.</w:t>
      </w:r>
    </w:p>
    <w:p>
      <w:pPr>
        <w:pStyle w:val="BodyText"/>
        <w:spacing w:line="240" w:lineRule="auto"/>
        <w:ind w:right="173" w:firstLine="566"/>
        <w:jc w:val="both"/>
      </w:pPr>
      <w:r>
        <w:rPr>
          <w:rFonts w:ascii="Times New Roman" w:hAnsi="Times New Roman" w:cs="Times New Roman" w:eastAsia="Times New Roman" w:hint="default"/>
          <w:b/>
          <w:bCs/>
        </w:rPr>
        <w:t>На основу ревизије узорковане документације утврђено је </w:t>
      </w:r>
      <w:r>
        <w:rPr/>
        <w:t>да је СЦ „Чаир“ закључио уговор о пружању услуге одржавања хигијене број 01</w:t>
      </w:r>
      <w:r>
        <w:rPr>
          <w:rFonts w:ascii="Times New Roman" w:hAnsi="Times New Roman" w:cs="Times New Roman" w:eastAsia="Times New Roman" w:hint="default"/>
        </w:rPr>
        <w:t>-</w:t>
      </w:r>
      <w:r>
        <w:rPr/>
        <w:t>291/2 од 12.03.2014. године са Радњом за чишћење објеката „Мис – глас“ пр Ниш, без уговорене вредности наведених</w:t>
      </w:r>
      <w:r>
        <w:rPr>
          <w:spacing w:val="20"/>
        </w:rPr>
        <w:t> </w:t>
      </w:r>
      <w:r>
        <w:rPr/>
        <w:t>услуга,</w:t>
      </w:r>
      <w:r>
        <w:rPr>
          <w:spacing w:val="18"/>
        </w:rPr>
        <w:t> </w:t>
      </w:r>
      <w:r>
        <w:rPr/>
        <w:t>тако</w:t>
      </w:r>
      <w:r>
        <w:rPr>
          <w:spacing w:val="18"/>
        </w:rPr>
        <w:t> </w:t>
      </w:r>
      <w:r>
        <w:rPr/>
        <w:t>да</w:t>
      </w:r>
      <w:r>
        <w:rPr>
          <w:spacing w:val="20"/>
        </w:rPr>
        <w:t> </w:t>
      </w:r>
      <w:r>
        <w:rPr/>
        <w:t>није</w:t>
      </w:r>
      <w:r>
        <w:rPr>
          <w:spacing w:val="20"/>
        </w:rPr>
        <w:t> </w:t>
      </w:r>
      <w:r>
        <w:rPr/>
        <w:t>утврђен</w:t>
      </w:r>
      <w:r>
        <w:rPr>
          <w:spacing w:val="21"/>
        </w:rPr>
        <w:t> </w:t>
      </w:r>
      <w:r>
        <w:rPr/>
        <w:t>износ</w:t>
      </w:r>
      <w:r>
        <w:rPr>
          <w:spacing w:val="15"/>
        </w:rPr>
        <w:t> </w:t>
      </w:r>
      <w:r>
        <w:rPr/>
        <w:t>преузетих</w:t>
      </w:r>
      <w:r>
        <w:rPr>
          <w:spacing w:val="20"/>
        </w:rPr>
        <w:t> </w:t>
      </w:r>
      <w:r>
        <w:rPr/>
        <w:t>обавеза,</w:t>
      </w:r>
      <w:r>
        <w:rPr>
          <w:spacing w:val="18"/>
        </w:rPr>
        <w:t> </w:t>
      </w:r>
      <w:r>
        <w:rPr/>
        <w:t>што</w:t>
      </w:r>
      <w:r>
        <w:rPr>
          <w:spacing w:val="15"/>
        </w:rPr>
        <w:t> </w:t>
      </w:r>
      <w:r>
        <w:rPr/>
        <w:t>је</w:t>
      </w:r>
      <w:r>
        <w:rPr>
          <w:spacing w:val="17"/>
        </w:rPr>
        <w:t> </w:t>
      </w:r>
      <w:r>
        <w:rPr/>
        <w:t>супротно</w:t>
      </w:r>
      <w:r>
        <w:rPr>
          <w:spacing w:val="18"/>
        </w:rPr>
        <w:t> </w:t>
      </w:r>
      <w:r>
        <w:rPr/>
        <w:t>члану</w:t>
      </w:r>
    </w:p>
    <w:p>
      <w:pPr>
        <w:pStyle w:val="BodyText"/>
        <w:spacing w:line="240" w:lineRule="auto"/>
        <w:ind w:right="0"/>
        <w:jc w:val="both"/>
      </w:pPr>
      <w:r>
        <w:rPr/>
        <w:t>56. и 58. Закона о буџетском</w:t>
      </w:r>
      <w:r>
        <w:rPr>
          <w:spacing w:val="-15"/>
        </w:rPr>
        <w:t> </w:t>
      </w:r>
      <w:r>
        <w:rPr/>
        <w:t>систему.</w:t>
      </w:r>
    </w:p>
    <w:p>
      <w:pPr>
        <w:pStyle w:val="Heading2"/>
        <w:spacing w:line="240" w:lineRule="auto"/>
        <w:ind w:right="178"/>
        <w:jc w:val="both"/>
        <w:rPr>
          <w:b w:val="0"/>
          <w:bCs w:val="0"/>
          <w:i w:val="0"/>
        </w:rPr>
      </w:pPr>
      <w:r>
        <w:rPr>
          <w:i/>
        </w:rPr>
        <w:t>Препоручује се одговорним лицима да приликом закључења уговора уговоре вредност.</w:t>
      </w:r>
      <w:r>
        <w:rPr>
          <w:b w:val="0"/>
          <w:i w:val="0"/>
        </w:rPr>
      </w:r>
    </w:p>
    <w:p>
      <w:pPr>
        <w:pStyle w:val="ListParagraph"/>
        <w:numPr>
          <w:ilvl w:val="0"/>
          <w:numId w:val="35"/>
        </w:numPr>
        <w:tabs>
          <w:tab w:pos="1013" w:val="left" w:leader="none"/>
        </w:tabs>
        <w:spacing w:line="240" w:lineRule="auto" w:before="134" w:after="0"/>
        <w:ind w:left="160" w:right="174" w:firstLine="566"/>
        <w:jc w:val="both"/>
        <w:rPr>
          <w:rFonts w:ascii="Times New Roman" w:hAnsi="Times New Roman" w:cs="Times New Roman" w:eastAsia="Times New Roman" w:hint="default"/>
          <w:sz w:val="24"/>
          <w:szCs w:val="24"/>
        </w:rPr>
      </w:pPr>
      <w:r>
        <w:rPr>
          <w:rFonts w:ascii="Times New Roman" w:hAnsi="Times New Roman"/>
          <w:b/>
          <w:sz w:val="24"/>
        </w:rPr>
        <w:t>Управа за комуналне делатности, енергетику и саобраћај </w:t>
      </w:r>
      <w:r>
        <w:rPr>
          <w:rFonts w:ascii="Times New Roman" w:hAnsi="Times New Roman"/>
          <w:b/>
          <w:sz w:val="24"/>
        </w:rPr>
        <w:t>- </w:t>
      </w:r>
      <w:r>
        <w:rPr>
          <w:rFonts w:ascii="Times New Roman" w:hAnsi="Times New Roman"/>
          <w:sz w:val="24"/>
        </w:rPr>
        <w:t>Исказано је извршење у укупном износу од 393.578 хиљада динара и то из буџета града. Исказани су расходи за: услуге очувања животне средине, науке и геодетске услуге у износу од 3.514 хиљада динара и остале специјализоване услуге у износу од 390.064 хиљаде динара. Исказани расход се односи на директног буџетског корисника Управу за комуналне делатности, енергетику и саобраћај у износу од 393.562 хиљаде динара и на индиректног буџетског корисника ЈП Дирекција у износу од 16 хиљада</w:t>
      </w:r>
      <w:r>
        <w:rPr>
          <w:rFonts w:ascii="Times New Roman" w:hAnsi="Times New Roman"/>
          <w:spacing w:val="-17"/>
          <w:sz w:val="24"/>
        </w:rPr>
        <w:t> </w:t>
      </w:r>
      <w:r>
        <w:rPr>
          <w:rFonts w:ascii="Times New Roman" w:hAnsi="Times New Roman"/>
          <w:sz w:val="24"/>
        </w:rPr>
        <w:t>динара</w:t>
      </w:r>
      <w:r>
        <w:rPr>
          <w:rFonts w:ascii="Times New Roman" w:hAnsi="Times New Roman"/>
          <w:sz w:val="24"/>
        </w:rPr>
        <w:t>.</w:t>
      </w:r>
    </w:p>
    <w:p>
      <w:pPr>
        <w:pStyle w:val="BodyText"/>
        <w:spacing w:line="240" w:lineRule="auto"/>
        <w:ind w:right="174"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Услуге очувања животне средине, субаналитички конто 42461</w:t>
      </w:r>
      <w:r>
        <w:rPr>
          <w:rFonts w:ascii="Times New Roman" w:hAnsi="Times New Roman" w:cs="Times New Roman" w:eastAsia="Times New Roman" w:hint="default"/>
          <w:i/>
          <w:u w:val="single" w:color="000000"/>
        </w:rPr>
        <w:t>1 </w:t>
      </w:r>
      <w:r>
        <w:rPr>
          <w:rFonts w:ascii="Times New Roman" w:hAnsi="Times New Roman" w:cs="Times New Roman" w:eastAsia="Times New Roman" w:hint="default"/>
          <w:i/>
        </w:rPr>
      </w:r>
      <w:r>
        <w:rPr/>
        <w:t>– На овом конту исказан је расход у износу од </w:t>
      </w:r>
      <w:r>
        <w:rPr>
          <w:rFonts w:ascii="Times New Roman" w:hAnsi="Times New Roman" w:cs="Times New Roman" w:eastAsia="Times New Roman" w:hint="default"/>
        </w:rPr>
        <w:t>3.514 </w:t>
      </w:r>
      <w:r>
        <w:rPr/>
        <w:t>хиљада динара из средстава буџета града и то за: услугу системске  дератизације  на територији  града  Ниша  за  2014. годину  у износу</w:t>
      </w:r>
      <w:r>
        <w:rPr>
          <w:spacing w:val="4"/>
        </w:rPr>
        <w:t> </w:t>
      </w:r>
      <w:r>
        <w:rPr/>
        <w:t>од</w:t>
      </w:r>
    </w:p>
    <w:p>
      <w:pPr>
        <w:pStyle w:val="BodyText"/>
        <w:spacing w:line="240" w:lineRule="auto"/>
        <w:ind w:right="181"/>
        <w:jc w:val="both"/>
      </w:pPr>
      <w:r>
        <w:rPr/>
        <w:t>1.039 хиљада динара и услуге хуманог хватања и уништавања паса и мачака луталица у 2013. години у износу од 2.475</w:t>
      </w:r>
      <w:r>
        <w:rPr>
          <w:spacing w:val="-10"/>
        </w:rPr>
        <w:t> </w:t>
      </w:r>
      <w:r>
        <w:rPr/>
        <w:t>хиљада.</w:t>
      </w:r>
    </w:p>
    <w:p>
      <w:pPr>
        <w:pStyle w:val="Heading1"/>
        <w:spacing w:line="275" w:lineRule="exact" w:before="2"/>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Уговор о поверавању обављања комуналне делатности број 1958/2013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за обављање послова из делатности зоохигијене у 2013. години Град је закључио са ЈКП Медијана“ Ниш 27.05.2013. године. Извршен је у 2014. години расход у износу од 2.475 хиљада динара на име услуга хуманог хватања и уништавања паса и мачака луталица, пружених у периоду јануар</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април 2013. године, по првој привременој ситуацији за јануар 2013. године број 2164/2 од 12.02.2013. године у износу до 711 хиљада динара, другој за фебруар број 3275/2 од 05.03.2013. године у износу од 734 хиљаде динара и четвртој привременој ситуацији за април 2013. године у износу од 1.030 хиљада динара, а уговор је закључен 27.05.2013. године, тако да су преузете обавезе пре закључења уговора, односно без основа, што је супротно члану 56. и 58. Закона о буџетском</w:t>
      </w:r>
      <w:r>
        <w:rPr>
          <w:rFonts w:ascii="Times New Roman" w:hAnsi="Times New Roman" w:cs="Times New Roman" w:eastAsia="Times New Roman" w:hint="default"/>
          <w:spacing w:val="-25"/>
          <w:sz w:val="24"/>
          <w:szCs w:val="24"/>
        </w:rPr>
        <w:t> </w:t>
      </w:r>
      <w:r>
        <w:rPr>
          <w:rFonts w:ascii="Times New Roman" w:hAnsi="Times New Roman" w:cs="Times New Roman" w:eastAsia="Times New Roman" w:hint="default"/>
          <w:sz w:val="24"/>
          <w:szCs w:val="24"/>
        </w:rPr>
        <w:t>систему.</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ListParagraph"/>
        <w:numPr>
          <w:ilvl w:val="0"/>
          <w:numId w:val="9"/>
        </w:numPr>
        <w:tabs>
          <w:tab w:pos="303" w:val="left" w:leader="none"/>
        </w:tabs>
        <w:spacing w:line="240" w:lineRule="auto" w:before="124"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Цене по којима су фактурисане услуге хуманог хватања и уништавања паса и мачака луталица по првој привременој ситуацији за месец јануар 2013. године и по другој привременој ситуацији за месец фебруар 2013. године, које су оверене потписима одговорних лица као и Надзорног органа, различите су од цена из Програма рада зоохигијенске службе за 2013. годину на који је Градско веће дало сагласност тек дана 06.03.2013. године Решењем број</w:t>
      </w:r>
      <w:r>
        <w:rPr>
          <w:rFonts w:ascii="Times New Roman" w:hAnsi="Times New Roman"/>
          <w:spacing w:val="-7"/>
          <w:sz w:val="24"/>
        </w:rPr>
        <w:t> </w:t>
      </w:r>
      <w:r>
        <w:rPr>
          <w:rFonts w:ascii="Times New Roman" w:hAnsi="Times New Roman"/>
          <w:sz w:val="24"/>
        </w:rPr>
        <w:t>324</w:t>
      </w:r>
      <w:r>
        <w:rPr>
          <w:rFonts w:ascii="Times New Roman" w:hAnsi="Times New Roman"/>
          <w:sz w:val="24"/>
        </w:rPr>
        <w:t>-20/2013-03.</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Прва ситуација за услугу хуманог хватања и уништавања паса и мачака број 2164/2 од 12.02.2013. године у износу до 711 хиљада динара примљена је у Управу и заведена под бројем 09</w:t>
      </w:r>
      <w:r>
        <w:rPr>
          <w:rFonts w:ascii="Times New Roman" w:hAnsi="Times New Roman"/>
          <w:sz w:val="24"/>
        </w:rPr>
        <w:t>-</w:t>
      </w:r>
      <w:r>
        <w:rPr>
          <w:rFonts w:ascii="Times New Roman" w:hAnsi="Times New Roman"/>
          <w:sz w:val="24"/>
        </w:rPr>
        <w:t>741 од 13.03.2013. године, а обавеза је евидентирана у пословним књигама у моменту подношења захтев за пренос средстава број 2257/2013</w:t>
      </w:r>
      <w:r>
        <w:rPr>
          <w:rFonts w:ascii="Times New Roman" w:hAnsi="Times New Roman"/>
          <w:sz w:val="24"/>
        </w:rPr>
        <w:t>-0</w:t>
      </w:r>
      <w:r>
        <w:rPr>
          <w:rFonts w:ascii="Times New Roman" w:hAnsi="Times New Roman"/>
          <w:sz w:val="24"/>
        </w:rPr>
        <w:t>9 за измирење обавеза  по првој привременој ситуацији дана 11.06.2013. године, што је супротно члану 16. Уредбе о буџетском</w:t>
      </w:r>
      <w:r>
        <w:rPr>
          <w:rFonts w:ascii="Times New Roman" w:hAnsi="Times New Roman"/>
          <w:spacing w:val="-11"/>
          <w:sz w:val="24"/>
        </w:rPr>
        <w:t> </w:t>
      </w:r>
      <w:r>
        <w:rPr>
          <w:rFonts w:ascii="Times New Roman" w:hAnsi="Times New Roman"/>
          <w:sz w:val="24"/>
        </w:rPr>
        <w:t>рачуноводству.</w:t>
      </w:r>
    </w:p>
    <w:p>
      <w:pPr>
        <w:pStyle w:val="Heading2"/>
        <w:spacing w:line="240" w:lineRule="auto"/>
        <w:ind w:right="174"/>
        <w:jc w:val="both"/>
        <w:rPr>
          <w:b w:val="0"/>
          <w:bCs w:val="0"/>
          <w:i w:val="0"/>
        </w:rPr>
      </w:pPr>
      <w:r>
        <w:rPr>
          <w:i/>
        </w:rPr>
        <w:t>Препоручује се одговорним лицима да обезбеде правни основ за сваки расход из буџета</w:t>
      </w:r>
      <w:r>
        <w:rPr>
          <w:rFonts w:ascii="Times New Roman" w:hAnsi="Times New Roman"/>
          <w:i/>
        </w:rPr>
        <w:t>, </w:t>
      </w:r>
      <w:r>
        <w:rPr>
          <w:i/>
        </w:rPr>
        <w:t>да прате цене по којима се фактуришу услуге и ажурно и хронолошки евидентирају промене у пословним</w:t>
      </w:r>
      <w:r>
        <w:rPr>
          <w:i/>
          <w:spacing w:val="-14"/>
        </w:rPr>
        <w:t> </w:t>
      </w:r>
      <w:r>
        <w:rPr>
          <w:i/>
        </w:rPr>
        <w:t>књигама.</w:t>
      </w:r>
      <w:r>
        <w:rPr>
          <w:b w:val="0"/>
          <w:i w:val="0"/>
        </w:rPr>
      </w:r>
    </w:p>
    <w:p>
      <w:pPr>
        <w:pStyle w:val="BodyText"/>
        <w:spacing w:line="240" w:lineRule="auto"/>
        <w:ind w:right="173" w:firstLine="566"/>
        <w:jc w:val="both"/>
        <w:rPr>
          <w:rFonts w:ascii="Times New Roman" w:hAnsi="Times New Roman" w:cs="Times New Roman" w:eastAsia="Times New Roman" w:hint="default"/>
        </w:rPr>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Остале специјализоване услуге, субаналитички конто 424911 </w:t>
      </w:r>
      <w:r>
        <w:rPr/>
        <w:t>– Исказан је расход у </w:t>
      </w:r>
      <w:r>
        <w:rPr/>
        <w:t>износу од 390.048 хиљада динара</w:t>
      </w:r>
      <w:r>
        <w:rPr>
          <w:rFonts w:ascii="Times New Roman" w:hAnsi="Times New Roman" w:cs="Times New Roman" w:eastAsia="Times New Roman" w:hint="default"/>
        </w:rPr>
        <w:t>, </w:t>
      </w:r>
      <w:r>
        <w:rPr/>
        <w:t>од чега за: уређење и одржавање паркова, зелених и рекреационих површина, гробаља и комуналних објеката у износу од 214.905 хиљада динара </w:t>
      </w:r>
      <w:r>
        <w:rPr>
          <w:rFonts w:ascii="Times New Roman" w:hAnsi="Times New Roman" w:cs="Times New Roman" w:eastAsia="Times New Roman" w:hint="default"/>
        </w:rPr>
        <w:t>(</w:t>
      </w:r>
      <w:r>
        <w:rPr/>
        <w:t>у износу од 52.099 хиљада динара за обавезе из 2013. године и у износу од 162.806 хиљада динара за обавезе из 2014. године) и одржавање јавне хигијене у износу од 174.694 хиљаде динара </w:t>
      </w:r>
      <w:r>
        <w:rPr>
          <w:rFonts w:ascii="Times New Roman" w:hAnsi="Times New Roman" w:cs="Times New Roman" w:eastAsia="Times New Roman" w:hint="default"/>
        </w:rPr>
        <w:t>(</w:t>
      </w:r>
      <w:r>
        <w:rPr/>
        <w:t>у износу од 85.432 хиљаде динара за обавезе из 2013. године и у износу од 89.26</w:t>
      </w:r>
      <w:r>
        <w:rPr>
          <w:rFonts w:ascii="Times New Roman" w:hAnsi="Times New Roman" w:cs="Times New Roman" w:eastAsia="Times New Roman" w:hint="default"/>
        </w:rPr>
        <w:t>2 </w:t>
      </w:r>
      <w:r>
        <w:rPr/>
        <w:t>хиљаде динара за обавезе из 2014.</w:t>
      </w:r>
      <w:r>
        <w:rPr>
          <w:spacing w:val="-11"/>
        </w:rPr>
        <w:t> </w:t>
      </w:r>
      <w:r>
        <w:rPr/>
        <w:t>године)</w:t>
      </w:r>
      <w:r>
        <w:rPr>
          <w:rFonts w:ascii="Times New Roman" w:hAnsi="Times New Roman" w:cs="Times New Roman" w:eastAsia="Times New Roman" w:hint="default"/>
        </w:rPr>
        <w:t>.</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1" w:firstLine="0"/>
        <w:jc w:val="both"/>
        <w:rPr>
          <w:rFonts w:ascii="Times New Roman" w:hAnsi="Times New Roman" w:cs="Times New Roman" w:eastAsia="Times New Roman" w:hint="default"/>
          <w:sz w:val="24"/>
          <w:szCs w:val="24"/>
        </w:rPr>
      </w:pPr>
      <w:r>
        <w:rPr>
          <w:rFonts w:ascii="Times New Roman" w:hAnsi="Times New Roman"/>
          <w:sz w:val="24"/>
        </w:rPr>
        <w:t>Закључени су Уговори о поверавању обављања комуналних делатности за 2014. годину ретроактивно</w:t>
      </w:r>
      <w:r>
        <w:rPr>
          <w:rFonts w:ascii="Times New Roman" w:hAnsi="Times New Roman"/>
          <w:sz w:val="24"/>
        </w:rPr>
        <w:t>, </w:t>
      </w:r>
      <w:r>
        <w:rPr>
          <w:rFonts w:ascii="Times New Roman" w:hAnsi="Times New Roman"/>
          <w:sz w:val="24"/>
        </w:rPr>
        <w:t>и то за уређење и одржавање паркова, зелених и рекреационих површина, гробаља и комуналних објеката на територији града Ниша 04.06.2014. године и за одржавање јавне хигијене и рад зимске службе на територији града Ниша 21.05.2014</w:t>
      </w:r>
      <w:r>
        <w:rPr>
          <w:rFonts w:ascii="Times New Roman" w:hAnsi="Times New Roman"/>
          <w:sz w:val="24"/>
        </w:rPr>
        <w:t>. </w:t>
      </w:r>
      <w:r>
        <w:rPr>
          <w:rFonts w:ascii="Times New Roman" w:hAnsi="Times New Roman"/>
          <w:sz w:val="24"/>
        </w:rPr>
        <w:t>године.</w:t>
      </w:r>
    </w:p>
    <w:p>
      <w:pPr>
        <w:pStyle w:val="ListParagraph"/>
        <w:numPr>
          <w:ilvl w:val="0"/>
          <w:numId w:val="9"/>
        </w:numPr>
        <w:tabs>
          <w:tab w:pos="303"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Извршен је расход у износу од најмање 72.034 хиљаде динара на име услуге уређења и одржавања паркова, зелених и рекреационих површина, гробаља, пружених у периоду јануар – мај 2014. године, а Уговор о поверавању обављања комуналних делатности број </w:t>
      </w:r>
      <w:r>
        <w:rPr>
          <w:rFonts w:ascii="Times New Roman" w:hAnsi="Times New Roman" w:cs="Times New Roman" w:eastAsia="Times New Roman" w:hint="default"/>
          <w:sz w:val="24"/>
          <w:szCs w:val="24"/>
        </w:rPr>
        <w:t>1971/2014 </w:t>
      </w:r>
      <w:r>
        <w:rPr>
          <w:rFonts w:ascii="Times New Roman" w:hAnsi="Times New Roman" w:cs="Times New Roman" w:eastAsia="Times New Roman" w:hint="default"/>
          <w:sz w:val="24"/>
          <w:szCs w:val="24"/>
        </w:rPr>
        <w:t>је закључен 04.06.2014. године са ЈКП „Горица“ Ниш, тако да су преузете обавезе пре закључења уговора о обављању истих, односно без основа, што је супротно члану 56. и 58. Закона о буџетском</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систему.</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Извршен је расход у износу од 89.261 хиљаде динара на име услуге јавне хигијене пружене у периоду јануар</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мај 2014. године, на основу привремених ситуација за јануар, фебруар, март и део за април</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мај, а уговор о обављању поверене комуналне делатности број 1813/2014</w:t>
      </w:r>
      <w:r>
        <w:rPr>
          <w:rFonts w:ascii="Times New Roman" w:hAnsi="Times New Roman" w:cs="Times New Roman" w:eastAsia="Times New Roman" w:hint="default"/>
          <w:sz w:val="24"/>
          <w:szCs w:val="24"/>
        </w:rPr>
        <w:t>-01 </w:t>
      </w:r>
      <w:r>
        <w:rPr>
          <w:rFonts w:ascii="Times New Roman" w:hAnsi="Times New Roman" w:cs="Times New Roman" w:eastAsia="Times New Roman" w:hint="default"/>
          <w:sz w:val="24"/>
          <w:szCs w:val="24"/>
        </w:rPr>
        <w:t>је закључен са ЈКП „Медијана“ тек 21.05.2014. године, тако да су преузете обавезе пре закључења уговора о обављању истих, односно без основа, што је супротно члану 56.  и </w:t>
      </w:r>
      <w:r>
        <w:rPr>
          <w:rFonts w:ascii="Times New Roman" w:hAnsi="Times New Roman" w:cs="Times New Roman" w:eastAsia="Times New Roman" w:hint="default"/>
          <w:sz w:val="24"/>
          <w:szCs w:val="24"/>
        </w:rPr>
        <w:t>58. </w:t>
      </w:r>
      <w:r>
        <w:rPr>
          <w:rFonts w:ascii="Times New Roman" w:hAnsi="Times New Roman" w:cs="Times New Roman" w:eastAsia="Times New Roman" w:hint="default"/>
          <w:sz w:val="24"/>
          <w:szCs w:val="24"/>
        </w:rPr>
        <w:t>Закона о буџетском</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систему.</w:t>
      </w:r>
    </w:p>
    <w:p>
      <w:pPr>
        <w:pStyle w:val="ListParagraph"/>
        <w:numPr>
          <w:ilvl w:val="0"/>
          <w:numId w:val="9"/>
        </w:numPr>
        <w:tabs>
          <w:tab w:pos="303"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Друга привремена ситуација за месец фебруар</w:t>
      </w:r>
      <w:r>
        <w:rPr>
          <w:rFonts w:ascii="Times New Roman" w:hAnsi="Times New Roman"/>
          <w:sz w:val="24"/>
        </w:rPr>
        <w:t>: </w:t>
      </w:r>
      <w:r>
        <w:rPr>
          <w:rFonts w:ascii="Times New Roman" w:hAnsi="Times New Roman"/>
          <w:sz w:val="24"/>
        </w:rPr>
        <w:t>за услуге одржавања јавног зеленила у Нишу и Нишкој Бањи број 1</w:t>
      </w:r>
      <w:r>
        <w:rPr>
          <w:rFonts w:ascii="Times New Roman" w:hAnsi="Times New Roman"/>
          <w:sz w:val="24"/>
        </w:rPr>
        <w:t>-</w:t>
      </w:r>
      <w:r>
        <w:rPr>
          <w:rFonts w:ascii="Times New Roman" w:hAnsi="Times New Roman"/>
          <w:sz w:val="24"/>
        </w:rPr>
        <w:t>1064/1 од 05.03.2014. године</w:t>
      </w:r>
      <w:r>
        <w:rPr>
          <w:rFonts w:ascii="Times New Roman" w:hAnsi="Times New Roman"/>
          <w:sz w:val="24"/>
        </w:rPr>
        <w:t>, </w:t>
      </w:r>
      <w:r>
        <w:rPr>
          <w:rFonts w:ascii="Times New Roman" w:hAnsi="Times New Roman"/>
          <w:sz w:val="24"/>
        </w:rPr>
        <w:t>за уређење и одржавање гробаља број 1</w:t>
      </w:r>
      <w:r>
        <w:rPr>
          <w:rFonts w:ascii="Times New Roman" w:hAnsi="Times New Roman"/>
          <w:sz w:val="24"/>
        </w:rPr>
        <w:t>-</w:t>
      </w:r>
      <w:r>
        <w:rPr>
          <w:rFonts w:ascii="Times New Roman" w:hAnsi="Times New Roman"/>
          <w:sz w:val="24"/>
        </w:rPr>
        <w:t>1064/2 од 05.03.2014. године и за рад дежурне службе</w:t>
      </w:r>
      <w:r>
        <w:rPr>
          <w:rFonts w:ascii="Times New Roman" w:hAnsi="Times New Roman"/>
          <w:sz w:val="24"/>
        </w:rPr>
        <w:t>-</w:t>
      </w:r>
      <w:r>
        <w:rPr>
          <w:rFonts w:ascii="Times New Roman" w:hAnsi="Times New Roman"/>
          <w:sz w:val="24"/>
        </w:rPr>
        <w:t>погребне услуге број 1</w:t>
      </w:r>
      <w:r>
        <w:rPr>
          <w:rFonts w:ascii="Times New Roman" w:hAnsi="Times New Roman"/>
          <w:sz w:val="24"/>
        </w:rPr>
        <w:t>-</w:t>
      </w:r>
      <w:r>
        <w:rPr>
          <w:rFonts w:ascii="Times New Roman" w:hAnsi="Times New Roman"/>
          <w:sz w:val="24"/>
        </w:rPr>
        <w:t>1064/3 од 05.03.2014. године немају деловодни број, ни датум пријема у</w:t>
      </w:r>
      <w:r>
        <w:rPr>
          <w:rFonts w:ascii="Times New Roman" w:hAnsi="Times New Roman"/>
          <w:spacing w:val="-20"/>
          <w:sz w:val="24"/>
        </w:rPr>
        <w:t> </w:t>
      </w:r>
      <w:r>
        <w:rPr>
          <w:rFonts w:ascii="Times New Roman" w:hAnsi="Times New Roman"/>
          <w:sz w:val="24"/>
        </w:rPr>
        <w:t>Граду.</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ListParagraph"/>
        <w:numPr>
          <w:ilvl w:val="0"/>
          <w:numId w:val="9"/>
        </w:numPr>
        <w:tabs>
          <w:tab w:pos="303" w:val="left" w:leader="none"/>
        </w:tabs>
        <w:spacing w:line="274" w:lineRule="exact" w:before="146"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Обавеза по основу друге привремене ситуације за извршене услуге одржавања паркова, зелених површина и гробаља евидентирана је у моменту плаћања, што је супротно</w:t>
      </w:r>
      <w:r>
        <w:rPr>
          <w:rFonts w:ascii="Times New Roman" w:hAnsi="Times New Roman"/>
          <w:spacing w:val="54"/>
          <w:sz w:val="24"/>
        </w:rPr>
        <w:t> </w:t>
      </w:r>
      <w:r>
        <w:rPr>
          <w:rFonts w:ascii="Times New Roman" w:hAnsi="Times New Roman"/>
          <w:sz w:val="24"/>
        </w:rPr>
        <w:t>члану</w:t>
      </w:r>
    </w:p>
    <w:p>
      <w:pPr>
        <w:pStyle w:val="BodyText"/>
        <w:spacing w:line="273" w:lineRule="exact"/>
        <w:ind w:right="0"/>
        <w:jc w:val="both"/>
      </w:pPr>
      <w:r>
        <w:rPr/>
        <w:t>16. Уредбе о буџетском</w:t>
      </w:r>
      <w:r>
        <w:rPr>
          <w:spacing w:val="-12"/>
        </w:rPr>
        <w:t> </w:t>
      </w:r>
      <w:r>
        <w:rPr/>
        <w:t>рачуноводству.</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Извршен је расход у износу од 11.727 хиљада динара на име услуге одржавања паркова, зелених површина и гробаља по захтеву за плаћање број </w:t>
      </w:r>
      <w:r>
        <w:rPr>
          <w:rFonts w:ascii="Times New Roman" w:hAnsi="Times New Roman"/>
          <w:sz w:val="24"/>
        </w:rPr>
        <w:t>2308/2014-</w:t>
      </w:r>
      <w:r>
        <w:rPr>
          <w:rFonts w:ascii="Times New Roman" w:hAnsi="Times New Roman"/>
          <w:sz w:val="24"/>
        </w:rPr>
        <w:t>09 од 04.06.2014. године и у износу од 28.359 хиљада динара на име услуге одржавања јавне хигијене по Захтеву за плаћање број 2149/2014</w:t>
      </w:r>
      <w:r>
        <w:rPr>
          <w:rFonts w:ascii="Times New Roman" w:hAnsi="Times New Roman"/>
          <w:sz w:val="24"/>
        </w:rPr>
        <w:t>-</w:t>
      </w:r>
      <w:r>
        <w:rPr>
          <w:rFonts w:ascii="Times New Roman" w:hAnsi="Times New Roman"/>
          <w:sz w:val="24"/>
        </w:rPr>
        <w:t>09 од 23.05.2014. године, без потписа одговорних  лица Управе за финансије на захтеву за плаћање што је супротно члану 58. Закона о буџетском систему, члану 16. Уредбе о буџетском рачуноводству и Упутству о раду трезора града</w:t>
      </w:r>
      <w:r>
        <w:rPr>
          <w:rFonts w:ascii="Times New Roman" w:hAnsi="Times New Roman"/>
          <w:spacing w:val="-5"/>
          <w:sz w:val="24"/>
        </w:rPr>
        <w:t> </w:t>
      </w:r>
      <w:r>
        <w:rPr>
          <w:rFonts w:ascii="Times New Roman" w:hAnsi="Times New Roman"/>
          <w:sz w:val="24"/>
        </w:rPr>
        <w:t>Ниша.</w:t>
      </w:r>
    </w:p>
    <w:p>
      <w:pPr>
        <w:pStyle w:val="ListParagraph"/>
        <w:numPr>
          <w:ilvl w:val="0"/>
          <w:numId w:val="9"/>
        </w:numPr>
        <w:tabs>
          <w:tab w:pos="303" w:val="left" w:leader="none"/>
        </w:tabs>
        <w:spacing w:line="240" w:lineRule="auto" w:before="2" w:after="0"/>
        <w:ind w:left="160" w:right="185" w:firstLine="0"/>
        <w:jc w:val="both"/>
        <w:rPr>
          <w:rFonts w:ascii="Times New Roman" w:hAnsi="Times New Roman" w:cs="Times New Roman" w:eastAsia="Times New Roman" w:hint="default"/>
          <w:sz w:val="24"/>
          <w:szCs w:val="24"/>
        </w:rPr>
      </w:pPr>
      <w:r>
        <w:rPr>
          <w:rFonts w:ascii="Times New Roman" w:hAnsi="Times New Roman"/>
          <w:sz w:val="24"/>
        </w:rPr>
        <w:t>Цене по којима су фактурисане услуге одржавања јавне хигијене по првој привременој ситуацији за месец јануар 2014. године (која је оверена потписима одговорних лица као и надзорног органа) више су од цена из Програма одржавања јавне хигијене на територији града Ниша за 2014. годину на који је Градско веће дало сагласност тек дана 15.05.2014. године Решењем број</w:t>
      </w:r>
      <w:r>
        <w:rPr>
          <w:rFonts w:ascii="Times New Roman" w:hAnsi="Times New Roman"/>
          <w:spacing w:val="-6"/>
          <w:sz w:val="24"/>
        </w:rPr>
        <w:t> </w:t>
      </w:r>
      <w:r>
        <w:rPr>
          <w:rFonts w:ascii="Times New Roman" w:hAnsi="Times New Roman"/>
          <w:sz w:val="24"/>
        </w:rPr>
        <w:t>620</w:t>
      </w:r>
      <w:r>
        <w:rPr>
          <w:rFonts w:ascii="Times New Roman" w:hAnsi="Times New Roman"/>
          <w:sz w:val="24"/>
        </w:rPr>
        <w:t>-7/2014-03.</w:t>
      </w:r>
    </w:p>
    <w:p>
      <w:pPr>
        <w:pStyle w:val="ListParagraph"/>
        <w:numPr>
          <w:ilvl w:val="0"/>
          <w:numId w:val="9"/>
        </w:numPr>
        <w:tabs>
          <w:tab w:pos="303" w:val="left" w:leader="none"/>
        </w:tabs>
        <w:spacing w:line="237" w:lineRule="auto" w:before="4"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Измирење обавеза за услуге одржавања јавне хигијене, град Ниш не врши у року </w:t>
      </w:r>
      <w:r>
        <w:rPr>
          <w:rFonts w:ascii="Times New Roman" w:hAnsi="Times New Roman"/>
          <w:spacing w:val="3"/>
          <w:sz w:val="24"/>
        </w:rPr>
        <w:t>(</w:t>
      </w:r>
      <w:r>
        <w:rPr>
          <w:rFonts w:ascii="Times New Roman" w:hAnsi="Times New Roman"/>
          <w:spacing w:val="3"/>
          <w:sz w:val="24"/>
        </w:rPr>
        <w:t>у </w:t>
      </w:r>
      <w:r>
        <w:rPr>
          <w:rFonts w:ascii="Times New Roman" w:hAnsi="Times New Roman"/>
          <w:sz w:val="24"/>
        </w:rPr>
        <w:t>текућем месецу за претходни месец</w:t>
      </w:r>
      <w:r>
        <w:rPr>
          <w:rFonts w:ascii="Times New Roman" w:hAnsi="Times New Roman"/>
          <w:sz w:val="24"/>
        </w:rPr>
        <w:t>) </w:t>
      </w:r>
      <w:r>
        <w:rPr>
          <w:rFonts w:ascii="Times New Roman" w:hAnsi="Times New Roman"/>
          <w:sz w:val="24"/>
        </w:rPr>
        <w:t>који је предвиђен чланом 8. Уговора број 1813/2014</w:t>
      </w:r>
      <w:r>
        <w:rPr>
          <w:rFonts w:ascii="Times New Roman" w:hAnsi="Times New Roman"/>
          <w:sz w:val="24"/>
        </w:rPr>
        <w:t>- 01 </w:t>
      </w:r>
      <w:r>
        <w:rPr>
          <w:rFonts w:ascii="Times New Roman" w:hAnsi="Times New Roman"/>
          <w:sz w:val="24"/>
        </w:rPr>
        <w:t>је закључен тек 21.05.2014.</w:t>
      </w:r>
      <w:r>
        <w:rPr>
          <w:rFonts w:ascii="Times New Roman" w:hAnsi="Times New Roman"/>
          <w:spacing w:val="-5"/>
          <w:sz w:val="24"/>
        </w:rPr>
        <w:t> </w:t>
      </w:r>
      <w:r>
        <w:rPr>
          <w:rFonts w:ascii="Times New Roman" w:hAnsi="Times New Roman"/>
          <w:sz w:val="24"/>
        </w:rPr>
        <w:t>године</w:t>
      </w:r>
      <w:r>
        <w:rPr>
          <w:rFonts w:ascii="Times New Roman" w:hAnsi="Times New Roman"/>
          <w:sz w:val="24"/>
        </w:rPr>
        <w:t>.</w:t>
      </w:r>
    </w:p>
    <w:p>
      <w:pPr>
        <w:pStyle w:val="ListParagraph"/>
        <w:numPr>
          <w:ilvl w:val="0"/>
          <w:numId w:val="9"/>
        </w:numPr>
        <w:tabs>
          <w:tab w:pos="303"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Неправилно је евидентиран расход у износу од 174.694 хиљаде динара за одржавање јавне хигијене, уместо на групи 421000</w:t>
      </w:r>
      <w:r>
        <w:rPr>
          <w:rFonts w:ascii="Times New Roman" w:hAnsi="Times New Roman"/>
          <w:sz w:val="24"/>
        </w:rPr>
        <w:t>-</w:t>
      </w:r>
      <w:r>
        <w:rPr>
          <w:rFonts w:ascii="Times New Roman" w:hAnsi="Times New Roman"/>
          <w:sz w:val="24"/>
        </w:rPr>
        <w:t>стални трошкови,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spacing w:val="-21"/>
          <w:sz w:val="24"/>
        </w:rPr>
        <w:t> </w:t>
      </w:r>
      <w:r>
        <w:rPr>
          <w:rFonts w:ascii="Times New Roman" w:hAnsi="Times New Roman"/>
          <w:sz w:val="24"/>
        </w:rPr>
        <w:t>систем.</w:t>
      </w:r>
    </w:p>
    <w:p>
      <w:pPr>
        <w:pStyle w:val="Heading2"/>
        <w:spacing w:line="240" w:lineRule="auto"/>
        <w:ind w:right="175"/>
        <w:jc w:val="both"/>
        <w:rPr>
          <w:b w:val="0"/>
          <w:bCs w:val="0"/>
          <w:i w:val="0"/>
        </w:rPr>
      </w:pPr>
      <w:r>
        <w:rPr>
          <w:i/>
        </w:rPr>
        <w:t>Препоручује се одговорним лицима да обезбеде основ за сваки расход из буџета, да се расход из буџета заснива на валидној рачуноводственој исправи и да се евидентирање пословних промена врши ажурно, да прате цене по којима се фактуришу услуге, обавезе измирују у уговореном року и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8"/>
        </w:rPr>
        <w:t> </w:t>
      </w:r>
      <w:r>
        <w:rPr>
          <w:i/>
        </w:rPr>
        <w:t>систем.</w:t>
      </w:r>
      <w:r>
        <w:rPr>
          <w:b w:val="0"/>
          <w:i w:val="0"/>
        </w:rPr>
      </w:r>
    </w:p>
    <w:p>
      <w:pPr>
        <w:pStyle w:val="ListParagraph"/>
        <w:numPr>
          <w:ilvl w:val="0"/>
          <w:numId w:val="35"/>
        </w:numPr>
        <w:tabs>
          <w:tab w:pos="1030" w:val="left" w:leader="none"/>
        </w:tabs>
        <w:spacing w:line="240" w:lineRule="auto" w:before="134" w:after="0"/>
        <w:ind w:left="160" w:right="178" w:firstLine="566"/>
        <w:jc w:val="both"/>
        <w:rPr>
          <w:rFonts w:ascii="Times New Roman" w:hAnsi="Times New Roman" w:cs="Times New Roman" w:eastAsia="Times New Roman" w:hint="default"/>
          <w:sz w:val="24"/>
          <w:szCs w:val="24"/>
        </w:rPr>
      </w:pPr>
      <w:r>
        <w:rPr>
          <w:rFonts w:ascii="Times New Roman" w:hAnsi="Times New Roman"/>
          <w:b/>
          <w:sz w:val="24"/>
        </w:rPr>
        <w:t>Управа за имовину и инспекцијске послове </w:t>
      </w:r>
      <w:r>
        <w:rPr>
          <w:rFonts w:ascii="Times New Roman" w:hAnsi="Times New Roman"/>
          <w:b/>
          <w:sz w:val="24"/>
        </w:rPr>
        <w:t>- </w:t>
      </w:r>
      <w:r>
        <w:rPr>
          <w:rFonts w:ascii="Times New Roman" w:hAnsi="Times New Roman"/>
          <w:sz w:val="24"/>
        </w:rPr>
        <w:t>Исказан је расход у укупном износу од 7.237 хиљада динара из буџета града. Исказан је расход за: услуге очувања животне средине, науке и геодетске услуге у износу од 915 хиљада динара и остале специјализоване услуге у износу од 6.322 хиљаде</w:t>
      </w:r>
      <w:r>
        <w:rPr>
          <w:rFonts w:ascii="Times New Roman" w:hAnsi="Times New Roman"/>
          <w:spacing w:val="-20"/>
          <w:sz w:val="24"/>
        </w:rPr>
        <w:t> </w:t>
      </w:r>
      <w:r>
        <w:rPr>
          <w:rFonts w:ascii="Times New Roman" w:hAnsi="Times New Roman"/>
          <w:sz w:val="24"/>
        </w:rPr>
        <w:t>динара.</w:t>
      </w:r>
    </w:p>
    <w:p>
      <w:pPr>
        <w:pStyle w:val="BodyText"/>
        <w:spacing w:line="240" w:lineRule="auto"/>
        <w:ind w:right="177" w:firstLine="719"/>
        <w:jc w:val="both"/>
      </w:pPr>
      <w:r>
        <w:rPr/>
        <w:t>На основу ревизије узорковане документације за </w:t>
      </w:r>
      <w:r>
        <w:rPr>
          <w:rFonts w:ascii="Times New Roman" w:hAnsi="Times New Roman"/>
        </w:rPr>
      </w:r>
      <w:r>
        <w:rPr>
          <w:rFonts w:ascii="Times New Roman" w:hAnsi="Times New Roman"/>
          <w:u w:val="single" w:color="000000"/>
        </w:rPr>
      </w:r>
      <w:r>
        <w:rPr>
          <w:u w:val="single" w:color="000000"/>
        </w:rPr>
        <w:t>геодетске услуге </w:t>
      </w:r>
      <w:r>
        <w:rPr/>
        <w:t>субаналитички </w:t>
      </w:r>
      <w:r>
        <w:rPr/>
        <w:t>конто 424631 и </w:t>
      </w:r>
      <w:r>
        <w:rPr>
          <w:rFonts w:ascii="Times New Roman" w:hAnsi="Times New Roman"/>
        </w:rPr>
      </w:r>
      <w:r>
        <w:rPr>
          <w:rFonts w:ascii="Times New Roman" w:hAnsi="Times New Roman"/>
          <w:u w:val="single" w:color="000000"/>
        </w:rPr>
      </w:r>
      <w:r>
        <w:rPr>
          <w:u w:val="single" w:color="000000"/>
        </w:rPr>
        <w:t>остале специјализоване услуге</w:t>
      </w:r>
      <w:r>
        <w:rPr/>
        <w:t>, синтетички конто 424911 нису утврђене </w:t>
      </w:r>
      <w:r>
        <w:rPr/>
        <w:t>неправилности.</w:t>
      </w:r>
    </w:p>
    <w:p>
      <w:pPr>
        <w:pStyle w:val="ListParagraph"/>
        <w:numPr>
          <w:ilvl w:val="0"/>
          <w:numId w:val="35"/>
        </w:numPr>
        <w:tabs>
          <w:tab w:pos="1006" w:val="left" w:leader="none"/>
        </w:tabs>
        <w:spacing w:line="240" w:lineRule="auto" w:before="137" w:after="0"/>
        <w:ind w:left="160" w:right="174" w:firstLine="566"/>
        <w:jc w:val="both"/>
        <w:rPr>
          <w:rFonts w:ascii="Times New Roman" w:hAnsi="Times New Roman" w:cs="Times New Roman" w:eastAsia="Times New Roman" w:hint="default"/>
          <w:sz w:val="24"/>
          <w:szCs w:val="24"/>
        </w:rPr>
      </w:pPr>
      <w:r>
        <w:rPr>
          <w:rFonts w:ascii="Times New Roman" w:hAnsi="Times New Roman"/>
          <w:b/>
          <w:sz w:val="24"/>
        </w:rPr>
        <w:t>Управа за привреду, одрживи развој и заштиту животне средине </w:t>
      </w:r>
      <w:r>
        <w:rPr>
          <w:rFonts w:ascii="Times New Roman" w:hAnsi="Times New Roman"/>
          <w:b/>
          <w:sz w:val="24"/>
        </w:rPr>
        <w:t>- </w:t>
      </w:r>
      <w:r>
        <w:rPr>
          <w:rFonts w:ascii="Times New Roman" w:hAnsi="Times New Roman"/>
          <w:sz w:val="24"/>
        </w:rPr>
        <w:t>Исказано је извршење у износу од 83.241 хиљаде динара и то из буџета града. Исказани су расходи за: услуге очувања животне средине, науке и геодетске услуге у износу од 29.309 хиљада динара и остале специјализоване услуге у износу од 53.932 хиљаде</w:t>
      </w:r>
      <w:r>
        <w:rPr>
          <w:rFonts w:ascii="Times New Roman" w:hAnsi="Times New Roman"/>
          <w:spacing w:val="-23"/>
          <w:sz w:val="24"/>
        </w:rPr>
        <w:t> </w:t>
      </w:r>
      <w:r>
        <w:rPr>
          <w:rFonts w:ascii="Times New Roman" w:hAnsi="Times New Roman"/>
          <w:sz w:val="24"/>
        </w:rPr>
        <w:t>динара.</w:t>
      </w:r>
    </w:p>
    <w:p>
      <w:pPr>
        <w:pStyle w:val="BodyText"/>
        <w:spacing w:line="240" w:lineRule="auto"/>
        <w:ind w:right="175"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Услуге очувања животне средине, субаналитички конто </w:t>
      </w:r>
      <w:r>
        <w:rPr>
          <w:rFonts w:ascii="Times New Roman" w:hAnsi="Times New Roman" w:cs="Times New Roman" w:eastAsia="Times New Roman" w:hint="default"/>
          <w:u w:val="single" w:color="000000"/>
        </w:rPr>
        <w:t>424611 </w:t>
      </w:r>
      <w:r>
        <w:rPr>
          <w:rFonts w:ascii="Times New Roman" w:hAnsi="Times New Roman" w:cs="Times New Roman" w:eastAsia="Times New Roman" w:hint="default"/>
        </w:rPr>
      </w:r>
      <w:r>
        <w:rPr/>
        <w:t>– Исказан је расход у износу од </w:t>
      </w:r>
      <w:r>
        <w:rPr>
          <w:rFonts w:ascii="Times New Roman" w:hAnsi="Times New Roman" w:cs="Times New Roman" w:eastAsia="Times New Roman" w:hint="default"/>
        </w:rPr>
        <w:t>15.932 </w:t>
      </w:r>
      <w:r>
        <w:rPr/>
        <w:t>хиљаде</w:t>
      </w:r>
      <w:r>
        <w:rPr>
          <w:spacing w:val="-9"/>
        </w:rPr>
        <w:t> </w:t>
      </w:r>
      <w:r>
        <w:rPr/>
        <w:t>динара.</w:t>
      </w:r>
    </w:p>
    <w:p>
      <w:pPr>
        <w:spacing w:before="0"/>
        <w:ind w:left="160" w:right="179"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месечни рачуни Факултета заштите на раду за услуге праћења нивоа комуналне буке у 2013. години, број 98 од 07.05.2013. године, број 121 од 03.06.2013. године, број   </w:t>
      </w:r>
      <w:r>
        <w:rPr>
          <w:rFonts w:ascii="Times New Roman" w:hAnsi="Times New Roman"/>
          <w:spacing w:val="12"/>
          <w:sz w:val="24"/>
        </w:rPr>
        <w:t> </w:t>
      </w:r>
      <w:r>
        <w:rPr>
          <w:rFonts w:ascii="Times New Roman" w:hAnsi="Times New Roman"/>
          <w:sz w:val="24"/>
        </w:rPr>
        <w:t>149 од 01.07.2013. године,</w:t>
      </w:r>
    </w:p>
    <w:p>
      <w:pPr>
        <w:pStyle w:val="BodyText"/>
        <w:spacing w:line="240" w:lineRule="auto"/>
        <w:ind w:right="0"/>
        <w:jc w:val="both"/>
      </w:pPr>
      <w:r>
        <w:rPr/>
        <w:t>број 165 од 30.08.2013. године, број 203 од 11.10.2013. године у укупном износу од </w:t>
      </w:r>
      <w:r>
        <w:rPr>
          <w:spacing w:val="24"/>
        </w:rPr>
        <w:t> </w:t>
      </w:r>
      <w:r>
        <w:rPr/>
        <w:t>1.000</w:t>
      </w:r>
    </w:p>
    <w:p>
      <w:pPr>
        <w:spacing w:after="0" w:line="240" w:lineRule="auto"/>
        <w:jc w:val="both"/>
        <w:sectPr>
          <w:pgSz w:w="12240" w:h="15840"/>
          <w:pgMar w:header="740" w:footer="1274" w:top="1280" w:bottom="1460" w:left="1400" w:right="1260"/>
        </w:sectPr>
      </w:pPr>
    </w:p>
    <w:p>
      <w:pPr>
        <w:pStyle w:val="BodyText"/>
        <w:spacing w:line="240" w:lineRule="auto" w:before="122"/>
        <w:ind w:right="182"/>
        <w:jc w:val="both"/>
      </w:pPr>
      <w:r>
        <w:rPr/>
        <w:t>хиљада динара не садрже потпис лица које је исправу контролисало и лица одговорног за настали догађај, тако да нису валидна документација за књижење, што је супротно</w:t>
      </w:r>
      <w:r>
        <w:rPr>
          <w:spacing w:val="42"/>
        </w:rPr>
        <w:t> </w:t>
      </w:r>
      <w:r>
        <w:rPr/>
        <w:t>члану</w:t>
      </w:r>
    </w:p>
    <w:p>
      <w:pPr>
        <w:pStyle w:val="BodyText"/>
        <w:spacing w:line="240" w:lineRule="auto"/>
        <w:ind w:right="0"/>
        <w:jc w:val="both"/>
      </w:pPr>
      <w:r>
        <w:rPr/>
        <w:t>58. Закона о буџетском сиситему и члану 16. Уредбе о буџетском</w:t>
      </w:r>
      <w:r>
        <w:rPr>
          <w:spacing w:val="-22"/>
        </w:rPr>
        <w:t> </w:t>
      </w:r>
      <w:r>
        <w:rPr/>
        <w:t>рачуноводству.</w:t>
      </w:r>
    </w:p>
    <w:p>
      <w:pPr>
        <w:pStyle w:val="Heading2"/>
        <w:spacing w:line="240" w:lineRule="auto"/>
        <w:ind w:right="141"/>
        <w:jc w:val="left"/>
        <w:rPr>
          <w:b w:val="0"/>
          <w:bCs w:val="0"/>
          <w:i w:val="0"/>
        </w:rPr>
      </w:pPr>
      <w:r>
        <w:rPr>
          <w:i/>
        </w:rPr>
        <w:t>Препоручује се одговорним лицима да обезбеде да се сваки расход из буџета заснива на валидној рачуноводственој</w:t>
      </w:r>
      <w:r>
        <w:rPr>
          <w:i/>
          <w:spacing w:val="-18"/>
        </w:rPr>
        <w:t> </w:t>
      </w:r>
      <w:r>
        <w:rPr>
          <w:i/>
        </w:rPr>
        <w:t>исправи.</w:t>
      </w:r>
      <w:r>
        <w:rPr>
          <w:b w:val="0"/>
          <w:i w:val="0"/>
        </w:rPr>
      </w:r>
    </w:p>
    <w:p>
      <w:pPr>
        <w:pStyle w:val="BodyText"/>
        <w:spacing w:line="240" w:lineRule="auto"/>
        <w:ind w:right="141" w:firstLine="566"/>
        <w:jc w:val="left"/>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Остале специјализоване услуге, субаналитички конто 424911 </w:t>
      </w:r>
      <w:r>
        <w:rPr/>
      </w:r>
      <w:r>
        <w:rPr>
          <w:rFonts w:ascii="Times New Roman" w:hAnsi="Times New Roman" w:cs="Times New Roman" w:eastAsia="Times New Roman" w:hint="default"/>
          <w:i/>
        </w:rPr>
        <w:t>– </w:t>
      </w:r>
      <w:r>
        <w:rPr/>
        <w:t>Исказан је расход у износу од 53.932 хиљаде динара.Узорковани су следећи</w:t>
      </w:r>
      <w:r>
        <w:rPr>
          <w:spacing w:val="-16"/>
        </w:rPr>
        <w:t> </w:t>
      </w:r>
      <w:r>
        <w:rPr/>
        <w:t>расходи:</w:t>
      </w:r>
    </w:p>
    <w:p>
      <w:pPr>
        <w:pStyle w:val="ListParagraph"/>
        <w:numPr>
          <w:ilvl w:val="0"/>
          <w:numId w:val="12"/>
        </w:numPr>
        <w:tabs>
          <w:tab w:pos="387" w:val="left" w:leader="none"/>
        </w:tabs>
        <w:spacing w:line="240" w:lineRule="auto" w:before="0" w:after="0"/>
        <w:ind w:left="386" w:right="0" w:hanging="226"/>
        <w:jc w:val="both"/>
        <w:rPr>
          <w:rFonts w:ascii="Times New Roman" w:hAnsi="Times New Roman" w:cs="Times New Roman" w:eastAsia="Times New Roman" w:hint="default"/>
          <w:sz w:val="24"/>
          <w:szCs w:val="24"/>
        </w:rPr>
      </w:pPr>
      <w:r>
        <w:rPr>
          <w:rFonts w:ascii="Times New Roman" w:hAnsi="Times New Roman"/>
          <w:sz w:val="24"/>
        </w:rPr>
        <w:t>у  износу  од  2.611  хиљада  динара  по  Уговору  о  помоћи  у  реализацији     </w:t>
      </w:r>
      <w:r>
        <w:rPr>
          <w:rFonts w:ascii="Times New Roman" w:hAnsi="Times New Roman"/>
          <w:spacing w:val="18"/>
          <w:sz w:val="24"/>
        </w:rPr>
        <w:t> </w:t>
      </w:r>
      <w:r>
        <w:rPr>
          <w:rFonts w:ascii="Times New Roman" w:hAnsi="Times New Roman"/>
          <w:sz w:val="24"/>
        </w:rPr>
        <w:t>пројекта</w:t>
      </w:r>
    </w:p>
    <w:p>
      <w:pPr>
        <w:pStyle w:val="BodyText"/>
        <w:spacing w:line="240" w:lineRule="auto"/>
        <w:ind w:right="173"/>
        <w:jc w:val="both"/>
      </w:pPr>
      <w:r>
        <w:rPr/>
        <w:t>„Менаџмент туристичких дестинација Ниш</w:t>
      </w:r>
      <w:r>
        <w:rPr>
          <w:rFonts w:ascii="Times New Roman" w:hAnsi="Times New Roman" w:cs="Times New Roman" w:eastAsia="Times New Roman" w:hint="default"/>
        </w:rPr>
        <w:t>-</w:t>
      </w:r>
      <w:r>
        <w:rPr/>
        <w:t>Софија“ број 3794/2013</w:t>
      </w:r>
      <w:r>
        <w:rPr>
          <w:rFonts w:ascii="Times New Roman" w:hAnsi="Times New Roman" w:cs="Times New Roman" w:eastAsia="Times New Roman" w:hint="default"/>
        </w:rPr>
        <w:t>-</w:t>
      </w:r>
      <w:r>
        <w:rPr/>
        <w:t>01 од 01.11.2013. године, по коме се град Ниш обавезао да обезбеди средства за реализацију пројекта у износу од 50.000 евра која ће по финансијској документацији преносити у динарској противвредности, по средњем курсу НБС на посебан динарски рачун пројекта. Град је укупно у 2013. и 2014. години по овом Уговору пренео Туристичкој организацији 5.283 хиљаде динара. На основу Уговора, Туристичка организација Ниш у обавези је да, након рефундирања средстава од стране Европске уније, иста по средњем курсу Народне банке Србије врати у буџет града Ниша у року од три дана од дана</w:t>
      </w:r>
      <w:r>
        <w:rPr>
          <w:spacing w:val="-11"/>
        </w:rPr>
        <w:t> </w:t>
      </w:r>
      <w:r>
        <w:rPr/>
        <w:t>рефундације;</w:t>
      </w:r>
    </w:p>
    <w:p>
      <w:pPr>
        <w:pStyle w:val="ListParagraph"/>
        <w:numPr>
          <w:ilvl w:val="0"/>
          <w:numId w:val="12"/>
        </w:numPr>
        <w:tabs>
          <w:tab w:pos="305" w:val="left" w:leader="none"/>
        </w:tabs>
        <w:spacing w:line="240" w:lineRule="auto" w:before="0" w:after="0"/>
        <w:ind w:left="160" w:right="18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износу од 1.064 хиљаде динара на име предфинансирања Пројекта „Јачање капацитета произвођача и прерађивача млека</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Eco-milk</w:t>
      </w:r>
      <w:r>
        <w:rPr>
          <w:rFonts w:ascii="Times New Roman" w:hAnsi="Times New Roman" w:cs="Times New Roman" w:eastAsia="Times New Roman" w:hint="default"/>
          <w:sz w:val="24"/>
          <w:szCs w:val="24"/>
        </w:rPr>
        <w:t>)“;</w:t>
      </w:r>
    </w:p>
    <w:p>
      <w:pPr>
        <w:pStyle w:val="ListParagraph"/>
        <w:numPr>
          <w:ilvl w:val="0"/>
          <w:numId w:val="12"/>
        </w:numPr>
        <w:tabs>
          <w:tab w:pos="324" w:val="left" w:leader="none"/>
        </w:tabs>
        <w:spacing w:line="240" w:lineRule="auto" w:before="0" w:after="0"/>
        <w:ind w:left="323" w:right="0" w:hanging="163"/>
        <w:jc w:val="both"/>
        <w:rPr>
          <w:rFonts w:ascii="Times New Roman" w:hAnsi="Times New Roman" w:cs="Times New Roman" w:eastAsia="Times New Roman" w:hint="default"/>
          <w:sz w:val="24"/>
          <w:szCs w:val="24"/>
        </w:rPr>
      </w:pPr>
      <w:r>
        <w:rPr>
          <w:rFonts w:ascii="Times New Roman" w:hAnsi="Times New Roman"/>
          <w:sz w:val="24"/>
        </w:rPr>
        <w:t>у</w:t>
      </w:r>
      <w:r>
        <w:rPr>
          <w:rFonts w:ascii="Times New Roman" w:hAnsi="Times New Roman"/>
          <w:spacing w:val="16"/>
          <w:sz w:val="24"/>
        </w:rPr>
        <w:t> </w:t>
      </w:r>
      <w:r>
        <w:rPr>
          <w:rFonts w:ascii="Times New Roman" w:hAnsi="Times New Roman"/>
          <w:sz w:val="24"/>
        </w:rPr>
        <w:t>износу</w:t>
      </w:r>
      <w:r>
        <w:rPr>
          <w:rFonts w:ascii="Times New Roman" w:hAnsi="Times New Roman"/>
          <w:spacing w:val="16"/>
          <w:sz w:val="24"/>
        </w:rPr>
        <w:t> </w:t>
      </w:r>
      <w:r>
        <w:rPr>
          <w:rFonts w:ascii="Times New Roman" w:hAnsi="Times New Roman"/>
          <w:sz w:val="24"/>
        </w:rPr>
        <w:t>од</w:t>
      </w:r>
      <w:r>
        <w:rPr>
          <w:rFonts w:ascii="Times New Roman" w:hAnsi="Times New Roman"/>
          <w:spacing w:val="21"/>
          <w:sz w:val="24"/>
        </w:rPr>
        <w:t> </w:t>
      </w:r>
      <w:r>
        <w:rPr>
          <w:rFonts w:ascii="Times New Roman" w:hAnsi="Times New Roman"/>
          <w:sz w:val="24"/>
        </w:rPr>
        <w:t>1.000</w:t>
      </w:r>
      <w:r>
        <w:rPr>
          <w:rFonts w:ascii="Times New Roman" w:hAnsi="Times New Roman"/>
          <w:spacing w:val="21"/>
          <w:sz w:val="24"/>
        </w:rPr>
        <w:t> </w:t>
      </w:r>
      <w:r>
        <w:rPr>
          <w:rFonts w:ascii="Times New Roman" w:hAnsi="Times New Roman"/>
          <w:sz w:val="24"/>
        </w:rPr>
        <w:t>хиљада</w:t>
      </w:r>
      <w:r>
        <w:rPr>
          <w:rFonts w:ascii="Times New Roman" w:hAnsi="Times New Roman"/>
          <w:spacing w:val="20"/>
          <w:sz w:val="24"/>
        </w:rPr>
        <w:t> </w:t>
      </w:r>
      <w:r>
        <w:rPr>
          <w:rFonts w:ascii="Times New Roman" w:hAnsi="Times New Roman"/>
          <w:sz w:val="24"/>
        </w:rPr>
        <w:t>динара</w:t>
      </w:r>
      <w:r>
        <w:rPr>
          <w:rFonts w:ascii="Times New Roman" w:hAnsi="Times New Roman"/>
          <w:spacing w:val="20"/>
          <w:sz w:val="24"/>
        </w:rPr>
        <w:t> </w:t>
      </w:r>
      <w:r>
        <w:rPr>
          <w:rFonts w:ascii="Times New Roman" w:hAnsi="Times New Roman"/>
          <w:sz w:val="24"/>
        </w:rPr>
        <w:t>на</w:t>
      </w:r>
      <w:r>
        <w:rPr>
          <w:rFonts w:ascii="Times New Roman" w:hAnsi="Times New Roman"/>
          <w:spacing w:val="20"/>
          <w:sz w:val="24"/>
        </w:rPr>
        <w:t> </w:t>
      </w:r>
      <w:r>
        <w:rPr>
          <w:rFonts w:ascii="Times New Roman" w:hAnsi="Times New Roman"/>
          <w:sz w:val="24"/>
        </w:rPr>
        <w:t>основу</w:t>
      </w:r>
      <w:r>
        <w:rPr>
          <w:rFonts w:ascii="Times New Roman" w:hAnsi="Times New Roman"/>
          <w:spacing w:val="23"/>
          <w:sz w:val="24"/>
        </w:rPr>
        <w:t> </w:t>
      </w:r>
      <w:r>
        <w:rPr>
          <w:rFonts w:ascii="Times New Roman" w:hAnsi="Times New Roman"/>
          <w:sz w:val="24"/>
        </w:rPr>
        <w:t>Уговора</w:t>
      </w:r>
      <w:r>
        <w:rPr>
          <w:rFonts w:ascii="Times New Roman" w:hAnsi="Times New Roman"/>
          <w:spacing w:val="20"/>
          <w:sz w:val="24"/>
        </w:rPr>
        <w:t> </w:t>
      </w:r>
      <w:r>
        <w:rPr>
          <w:rFonts w:ascii="Times New Roman" w:hAnsi="Times New Roman"/>
          <w:sz w:val="24"/>
        </w:rPr>
        <w:t>о</w:t>
      </w:r>
      <w:r>
        <w:rPr>
          <w:rFonts w:ascii="Times New Roman" w:hAnsi="Times New Roman"/>
          <w:spacing w:val="21"/>
          <w:sz w:val="24"/>
        </w:rPr>
        <w:t> </w:t>
      </w:r>
      <w:r>
        <w:rPr>
          <w:rFonts w:ascii="Times New Roman" w:hAnsi="Times New Roman"/>
          <w:sz w:val="24"/>
        </w:rPr>
        <w:t>помоћи</w:t>
      </w:r>
      <w:r>
        <w:rPr>
          <w:rFonts w:ascii="Times New Roman" w:hAnsi="Times New Roman"/>
          <w:spacing w:val="24"/>
          <w:sz w:val="24"/>
        </w:rPr>
        <w:t> </w:t>
      </w:r>
      <w:r>
        <w:rPr>
          <w:rFonts w:ascii="Times New Roman" w:hAnsi="Times New Roman"/>
          <w:sz w:val="24"/>
        </w:rPr>
        <w:t>у</w:t>
      </w:r>
      <w:r>
        <w:rPr>
          <w:rFonts w:ascii="Times New Roman" w:hAnsi="Times New Roman"/>
          <w:spacing w:val="16"/>
          <w:sz w:val="24"/>
        </w:rPr>
        <w:t> </w:t>
      </w:r>
      <w:r>
        <w:rPr>
          <w:rFonts w:ascii="Times New Roman" w:hAnsi="Times New Roman"/>
          <w:sz w:val="24"/>
        </w:rPr>
        <w:t>реализацији</w:t>
      </w:r>
      <w:r>
        <w:rPr>
          <w:rFonts w:ascii="Times New Roman" w:hAnsi="Times New Roman"/>
          <w:spacing w:val="22"/>
          <w:sz w:val="24"/>
        </w:rPr>
        <w:t> </w:t>
      </w:r>
      <w:r>
        <w:rPr>
          <w:rFonts w:ascii="Times New Roman" w:hAnsi="Times New Roman"/>
          <w:sz w:val="24"/>
        </w:rPr>
        <w:t>Пројекта</w:t>
      </w:r>
    </w:p>
    <w:p>
      <w:pPr>
        <w:pStyle w:val="BodyText"/>
        <w:spacing w:line="240" w:lineRule="auto"/>
        <w:ind w:right="174"/>
        <w:jc w:val="both"/>
        <w:rPr>
          <w:rFonts w:ascii="Times New Roman" w:hAnsi="Times New Roman" w:cs="Times New Roman" w:eastAsia="Times New Roman" w:hint="default"/>
        </w:rPr>
      </w:pPr>
      <w:r>
        <w:rPr/>
        <w:t>„Пословање без граница“ број 145/2014</w:t>
      </w:r>
      <w:r>
        <w:rPr>
          <w:rFonts w:ascii="Times New Roman" w:hAnsi="Times New Roman" w:cs="Times New Roman" w:eastAsia="Times New Roman" w:hint="default"/>
        </w:rPr>
        <w:t>-</w:t>
      </w:r>
      <w:r>
        <w:rPr/>
        <w:t>01 од 21.01.2014. године закљученог  између града Ниша и Регионалног центра за развој малих и средњих предузећа и  предузетништва доо Ниш. Пројекат је одобрен у оквиру Програма прекограничне сарадње Бугарска</w:t>
      </w:r>
      <w:r>
        <w:rPr>
          <w:rFonts w:ascii="Times New Roman" w:hAnsi="Times New Roman" w:cs="Times New Roman" w:eastAsia="Times New Roman" w:hint="default"/>
        </w:rPr>
        <w:t>-</w:t>
      </w:r>
      <w:r>
        <w:rPr/>
        <w:t>Србија. Град се обавезао да обезбеди средства у максималном износу до 1.000 хиљада динара која ће пренети по достављеној документацији на подрачун пројекта, а Регионални центар за развој малих и средњих предузећа и предузетништва да иста, по рефундацији од стране Европске уније, врати у буџет града Ниша за  2014. годину у паритету динар евро, у року од три дана од дана рефундације, а у случају непризнавања средстава, обавеза је Центра да врати средства из сопствених средстава до септембра 2014. године. Регионални центар је доставио соло меницу на износ од 1.000 хиљада динара, како је чланом 6.</w:t>
      </w:r>
      <w:r>
        <w:rPr>
          <w:spacing w:val="-9"/>
        </w:rPr>
        <w:t> </w:t>
      </w:r>
      <w:r>
        <w:rPr/>
        <w:t>Уговорено</w:t>
      </w:r>
      <w:r>
        <w:rPr>
          <w:rFonts w:ascii="Times New Roman" w:hAnsi="Times New Roman" w:cs="Times New Roman" w:eastAsia="Times New Roman" w:hint="default"/>
        </w:rPr>
        <w:t>;</w:t>
      </w:r>
    </w:p>
    <w:p>
      <w:pPr>
        <w:pStyle w:val="ListParagraph"/>
        <w:numPr>
          <w:ilvl w:val="0"/>
          <w:numId w:val="12"/>
        </w:numPr>
        <w:tabs>
          <w:tab w:pos="324" w:val="left" w:leader="none"/>
        </w:tabs>
        <w:spacing w:line="240" w:lineRule="auto" w:before="0" w:after="0"/>
        <w:ind w:left="323" w:right="0" w:hanging="163"/>
        <w:jc w:val="both"/>
        <w:rPr>
          <w:rFonts w:ascii="Times New Roman" w:hAnsi="Times New Roman" w:cs="Times New Roman" w:eastAsia="Times New Roman" w:hint="default"/>
          <w:sz w:val="24"/>
          <w:szCs w:val="24"/>
        </w:rPr>
      </w:pPr>
      <w:r>
        <w:rPr>
          <w:rFonts w:ascii="Times New Roman" w:hAnsi="Times New Roman"/>
          <w:sz w:val="24"/>
        </w:rPr>
        <w:t>у</w:t>
      </w:r>
      <w:r>
        <w:rPr>
          <w:rFonts w:ascii="Times New Roman" w:hAnsi="Times New Roman"/>
          <w:spacing w:val="13"/>
          <w:sz w:val="24"/>
        </w:rPr>
        <w:t> </w:t>
      </w:r>
      <w:r>
        <w:rPr>
          <w:rFonts w:ascii="Times New Roman" w:hAnsi="Times New Roman"/>
          <w:sz w:val="24"/>
        </w:rPr>
        <w:t>износу</w:t>
      </w:r>
      <w:r>
        <w:rPr>
          <w:rFonts w:ascii="Times New Roman" w:hAnsi="Times New Roman"/>
          <w:spacing w:val="15"/>
          <w:sz w:val="24"/>
        </w:rPr>
        <w:t> </w:t>
      </w:r>
      <w:r>
        <w:rPr>
          <w:rFonts w:ascii="Times New Roman" w:hAnsi="Times New Roman"/>
          <w:sz w:val="24"/>
        </w:rPr>
        <w:t>од</w:t>
      </w:r>
      <w:r>
        <w:rPr>
          <w:rFonts w:ascii="Times New Roman" w:hAnsi="Times New Roman"/>
          <w:spacing w:val="20"/>
          <w:sz w:val="24"/>
        </w:rPr>
        <w:t> </w:t>
      </w:r>
      <w:r>
        <w:rPr>
          <w:rFonts w:ascii="Times New Roman" w:hAnsi="Times New Roman"/>
          <w:sz w:val="24"/>
        </w:rPr>
        <w:t>1.000</w:t>
      </w:r>
      <w:r>
        <w:rPr>
          <w:rFonts w:ascii="Times New Roman" w:hAnsi="Times New Roman"/>
          <w:spacing w:val="20"/>
          <w:sz w:val="24"/>
        </w:rPr>
        <w:t> </w:t>
      </w:r>
      <w:r>
        <w:rPr>
          <w:rFonts w:ascii="Times New Roman" w:hAnsi="Times New Roman"/>
          <w:sz w:val="24"/>
        </w:rPr>
        <w:t>хиљаде</w:t>
      </w:r>
      <w:r>
        <w:rPr>
          <w:rFonts w:ascii="Times New Roman" w:hAnsi="Times New Roman"/>
          <w:spacing w:val="19"/>
          <w:sz w:val="24"/>
        </w:rPr>
        <w:t> </w:t>
      </w:r>
      <w:r>
        <w:rPr>
          <w:rFonts w:ascii="Times New Roman" w:hAnsi="Times New Roman"/>
          <w:sz w:val="24"/>
        </w:rPr>
        <w:t>динара</w:t>
      </w:r>
      <w:r>
        <w:rPr>
          <w:rFonts w:ascii="Times New Roman" w:hAnsi="Times New Roman"/>
          <w:spacing w:val="19"/>
          <w:sz w:val="24"/>
        </w:rPr>
        <w:t> </w:t>
      </w:r>
      <w:r>
        <w:rPr>
          <w:rFonts w:ascii="Times New Roman" w:hAnsi="Times New Roman"/>
          <w:sz w:val="24"/>
        </w:rPr>
        <w:t>по</w:t>
      </w:r>
      <w:r>
        <w:rPr>
          <w:rFonts w:ascii="Times New Roman" w:hAnsi="Times New Roman"/>
          <w:spacing w:val="17"/>
          <w:sz w:val="24"/>
        </w:rPr>
        <w:t> </w:t>
      </w:r>
      <w:r>
        <w:rPr>
          <w:rFonts w:ascii="Times New Roman" w:hAnsi="Times New Roman"/>
          <w:sz w:val="24"/>
        </w:rPr>
        <w:t>основу</w:t>
      </w:r>
      <w:r>
        <w:rPr>
          <w:rFonts w:ascii="Times New Roman" w:hAnsi="Times New Roman"/>
          <w:spacing w:val="20"/>
          <w:sz w:val="24"/>
        </w:rPr>
        <w:t> </w:t>
      </w:r>
      <w:r>
        <w:rPr>
          <w:rFonts w:ascii="Times New Roman" w:hAnsi="Times New Roman"/>
          <w:sz w:val="24"/>
        </w:rPr>
        <w:t>Уговора</w:t>
      </w:r>
      <w:r>
        <w:rPr>
          <w:rFonts w:ascii="Times New Roman" w:hAnsi="Times New Roman"/>
          <w:spacing w:val="19"/>
          <w:sz w:val="24"/>
        </w:rPr>
        <w:t> </w:t>
      </w:r>
      <w:r>
        <w:rPr>
          <w:rFonts w:ascii="Times New Roman" w:hAnsi="Times New Roman"/>
          <w:sz w:val="24"/>
        </w:rPr>
        <w:t>о</w:t>
      </w:r>
      <w:r>
        <w:rPr>
          <w:rFonts w:ascii="Times New Roman" w:hAnsi="Times New Roman"/>
          <w:spacing w:val="20"/>
          <w:sz w:val="24"/>
        </w:rPr>
        <w:t> </w:t>
      </w:r>
      <w:r>
        <w:rPr>
          <w:rFonts w:ascii="Times New Roman" w:hAnsi="Times New Roman"/>
          <w:sz w:val="24"/>
        </w:rPr>
        <w:t>помоћи</w:t>
      </w:r>
      <w:r>
        <w:rPr>
          <w:rFonts w:ascii="Times New Roman" w:hAnsi="Times New Roman"/>
          <w:spacing w:val="23"/>
          <w:sz w:val="24"/>
        </w:rPr>
        <w:t> </w:t>
      </w:r>
      <w:r>
        <w:rPr>
          <w:rFonts w:ascii="Times New Roman" w:hAnsi="Times New Roman"/>
          <w:sz w:val="24"/>
        </w:rPr>
        <w:t>у</w:t>
      </w:r>
      <w:r>
        <w:rPr>
          <w:rFonts w:ascii="Times New Roman" w:hAnsi="Times New Roman"/>
          <w:spacing w:val="13"/>
          <w:sz w:val="24"/>
        </w:rPr>
        <w:t> </w:t>
      </w:r>
      <w:r>
        <w:rPr>
          <w:rFonts w:ascii="Times New Roman" w:hAnsi="Times New Roman"/>
          <w:sz w:val="24"/>
        </w:rPr>
        <w:t>реализацији</w:t>
      </w:r>
      <w:r>
        <w:rPr>
          <w:rFonts w:ascii="Times New Roman" w:hAnsi="Times New Roman"/>
          <w:spacing w:val="21"/>
          <w:sz w:val="24"/>
        </w:rPr>
        <w:t> </w:t>
      </w:r>
      <w:r>
        <w:rPr>
          <w:rFonts w:ascii="Times New Roman" w:hAnsi="Times New Roman"/>
          <w:sz w:val="24"/>
        </w:rPr>
        <w:t>Пројекта</w:t>
      </w:r>
    </w:p>
    <w:p>
      <w:pPr>
        <w:pStyle w:val="BodyText"/>
        <w:spacing w:line="240" w:lineRule="auto"/>
        <w:ind w:right="174"/>
        <w:jc w:val="both"/>
      </w:pPr>
      <w:r>
        <w:rPr/>
        <w:t>„Откриј незнану страну Балкана“ број 144/2014</w:t>
      </w:r>
      <w:r>
        <w:rPr>
          <w:rFonts w:ascii="Times New Roman" w:hAnsi="Times New Roman" w:cs="Times New Roman" w:eastAsia="Times New Roman" w:hint="default"/>
        </w:rPr>
        <w:t>-</w:t>
      </w:r>
      <w:r>
        <w:rPr/>
        <w:t>01 од 21.01.2014. године закљученог између града Ниша и Регионалног центра за развој малих и средњих предузећа и предузетништва доо Ниш. Пројекат је одобрен у оквиру Програма прекограничне сарадње Бугарска</w:t>
      </w:r>
      <w:r>
        <w:rPr>
          <w:rFonts w:ascii="Times New Roman" w:hAnsi="Times New Roman" w:cs="Times New Roman" w:eastAsia="Times New Roman" w:hint="default"/>
        </w:rPr>
        <w:t>-</w:t>
      </w:r>
      <w:r>
        <w:rPr/>
        <w:t>Србија. Град се обавезао да обезбеди средства у максималном износу до 1.000 хиљада динара која ће пренети по достављеној документацији на подрачун пројекта, а Регионални центар за развој малих и средњих предузећа и предузетништва да иста, по рефундацији од стране Европске уније, врати у буџет града Ниша за 2014. годину, у року од три дана од дана рефундације, а у случају непризнавања средстава, обавеза је Центра да врати средства из сопствених средстава. Повраћај средстава на рачун извршења буџета града у износу од 1.000 хиљада динара извршен је дана 08.09.2014. године;</w:t>
      </w:r>
    </w:p>
    <w:p>
      <w:pPr>
        <w:pStyle w:val="ListParagraph"/>
        <w:numPr>
          <w:ilvl w:val="0"/>
          <w:numId w:val="12"/>
        </w:numPr>
        <w:tabs>
          <w:tab w:pos="382" w:val="left" w:leader="none"/>
        </w:tabs>
        <w:spacing w:line="240" w:lineRule="auto" w:before="0" w:after="0"/>
        <w:ind w:left="381" w:right="0" w:hanging="221"/>
        <w:jc w:val="both"/>
        <w:rPr>
          <w:rFonts w:ascii="Times New Roman" w:hAnsi="Times New Roman" w:cs="Times New Roman" w:eastAsia="Times New Roman" w:hint="default"/>
          <w:sz w:val="24"/>
          <w:szCs w:val="24"/>
        </w:rPr>
      </w:pPr>
      <w:r>
        <w:rPr>
          <w:rFonts w:ascii="Times New Roman" w:hAnsi="Times New Roman"/>
          <w:sz w:val="24"/>
        </w:rPr>
        <w:t>у  износу  од  5.000  хиљада  динара,  по  Уговору  о  помоћи  у  реализацији    </w:t>
      </w:r>
      <w:r>
        <w:rPr>
          <w:rFonts w:ascii="Times New Roman" w:hAnsi="Times New Roman"/>
          <w:spacing w:val="21"/>
          <w:sz w:val="24"/>
        </w:rPr>
        <w:t> </w:t>
      </w:r>
      <w:r>
        <w:rPr>
          <w:rFonts w:ascii="Times New Roman" w:hAnsi="Times New Roman"/>
          <w:sz w:val="24"/>
        </w:rPr>
        <w:t>пројекта</w:t>
      </w:r>
    </w:p>
    <w:p>
      <w:pPr>
        <w:pStyle w:val="BodyText"/>
        <w:spacing w:line="240" w:lineRule="auto"/>
        <w:ind w:right="174"/>
        <w:jc w:val="both"/>
        <w:rPr>
          <w:rFonts w:ascii="Times New Roman" w:hAnsi="Times New Roman" w:cs="Times New Roman" w:eastAsia="Times New Roman" w:hint="default"/>
        </w:rPr>
      </w:pPr>
      <w:r>
        <w:rPr/>
        <w:t>„Модерна и безбедна транспортна инфраструктура“ у оквиру Програма прекограничне сарадње Бугарска – Србија број 1452/2014</w:t>
      </w:r>
      <w:r>
        <w:rPr>
          <w:rFonts w:ascii="Times New Roman" w:hAnsi="Times New Roman" w:cs="Times New Roman" w:eastAsia="Times New Roman" w:hint="default"/>
        </w:rPr>
        <w:t>-</w:t>
      </w:r>
      <w:r>
        <w:rPr/>
        <w:t>01 од 16.04.2014. године закљученог између Града Ниша и градске општине</w:t>
      </w:r>
      <w:r>
        <w:rPr>
          <w:spacing w:val="-8"/>
        </w:rPr>
        <w:t> </w:t>
      </w:r>
      <w:r>
        <w:rPr/>
        <w:t>Пантелеј</w:t>
      </w:r>
      <w:r>
        <w:rPr>
          <w:rFonts w:ascii="Times New Roman" w:hAnsi="Times New Roman" w:cs="Times New Roman" w:eastAsia="Times New Roman" w:hint="default"/>
        </w:rPr>
        <w:t>;</w:t>
      </w:r>
    </w:p>
    <w:p>
      <w:pPr>
        <w:spacing w:after="0" w:line="240" w:lineRule="auto"/>
        <w:jc w:val="both"/>
        <w:rPr>
          <w:rFonts w:ascii="Times New Roman" w:hAnsi="Times New Roman" w:cs="Times New Roman" w:eastAsia="Times New Roman" w:hint="default"/>
        </w:rPr>
        <w:sectPr>
          <w:pgSz w:w="12240" w:h="15840"/>
          <w:pgMar w:header="740" w:footer="1274" w:top="1280" w:bottom="1460" w:left="1400" w:right="1260"/>
        </w:sectPr>
      </w:pPr>
    </w:p>
    <w:p>
      <w:pPr>
        <w:pStyle w:val="ListParagraph"/>
        <w:numPr>
          <w:ilvl w:val="0"/>
          <w:numId w:val="12"/>
        </w:numPr>
        <w:tabs>
          <w:tab w:pos="370" w:val="left" w:leader="none"/>
        </w:tabs>
        <w:spacing w:line="240" w:lineRule="auto" w:before="12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износу од 7.212 хиљада динара на основу Уговора о учешћу и суфинансирању пројекта Пројекта „Регионални центар за управљање отпадом Келеш – ЈПП“број </w:t>
      </w:r>
      <w:r>
        <w:rPr>
          <w:rFonts w:ascii="Times New Roman" w:hAnsi="Times New Roman" w:cs="Times New Roman" w:eastAsia="Times New Roman" w:hint="default"/>
          <w:sz w:val="24"/>
          <w:szCs w:val="24"/>
        </w:rPr>
        <w:t>4119/2013-</w:t>
      </w:r>
      <w:r>
        <w:rPr>
          <w:rFonts w:ascii="Times New Roman" w:hAnsi="Times New Roman" w:cs="Times New Roman" w:eastAsia="Times New Roman" w:hint="default"/>
          <w:sz w:val="24"/>
          <w:szCs w:val="24"/>
        </w:rPr>
        <w:t>01 од 28.11.2013. године закљученог између града Ниша и Регионалне  развојне агенције „Југ“ доо Ниш, као носиоца пројекта. Град Ниш суфинанира Пројекат са 9.212 хиљада динара и то у износу од 3.685 хиљада динара у 2013. години и у износу од 5.527 хиљада динара у 2014. години. Током 2014. године извршена је уплата у износу од 1.685 хиљада динара за обавезе из 2013. године и у износу од 5.527 хиљада динара за обавезе из 2014. године. По Уговору, период реализације пројекта је 10 месеци, који је продужен на период од 20 месеци Анексом од 23.10.2014.</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године;</w:t>
      </w:r>
    </w:p>
    <w:p>
      <w:pPr>
        <w:pStyle w:val="ListParagraph"/>
        <w:numPr>
          <w:ilvl w:val="0"/>
          <w:numId w:val="12"/>
        </w:numPr>
        <w:tabs>
          <w:tab w:pos="312" w:val="left" w:leader="none"/>
        </w:tabs>
        <w:spacing w:line="240" w:lineRule="auto" w:before="0"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износу од 843 хиљаде динара по Уговору о учешћу и суфинансирању пројекта „Ниш</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17 векова толеранције“ број 2651/2013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19.07.2013. године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На основу закљученог Уговора, обавеза Града је да суфинансира пројекат у износу од 2.000 хиљаде динара, путем месечних трансфера на основу наративног и финансијског извештаја и достављене финансијске документације о утрошеним</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средствима</w:t>
      </w:r>
      <w:r>
        <w:rPr>
          <w:rFonts w:ascii="Times New Roman" w:hAnsi="Times New Roman" w:cs="Times New Roman" w:eastAsia="Times New Roman" w:hint="default"/>
          <w:sz w:val="24"/>
          <w:szCs w:val="24"/>
        </w:rPr>
        <w:t>;</w:t>
      </w:r>
    </w:p>
    <w:p>
      <w:pPr>
        <w:pStyle w:val="ListParagraph"/>
        <w:numPr>
          <w:ilvl w:val="0"/>
          <w:numId w:val="12"/>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у износу од 20.560 хиљада динара по Уговору о пословно</w:t>
      </w:r>
      <w:r>
        <w:rPr>
          <w:rFonts w:ascii="Times New Roman" w:hAnsi="Times New Roman"/>
          <w:sz w:val="24"/>
        </w:rPr>
        <w:t>-</w:t>
      </w:r>
      <w:r>
        <w:rPr>
          <w:rFonts w:ascii="Times New Roman" w:hAnsi="Times New Roman"/>
          <w:sz w:val="24"/>
        </w:rPr>
        <w:t>техничкој сарадњи број </w:t>
      </w:r>
      <w:r>
        <w:rPr>
          <w:rFonts w:ascii="Times New Roman" w:hAnsi="Times New Roman"/>
          <w:sz w:val="24"/>
        </w:rPr>
        <w:t>1703/2013-</w:t>
      </w:r>
      <w:r>
        <w:rPr>
          <w:rFonts w:ascii="Times New Roman" w:hAnsi="Times New Roman"/>
          <w:sz w:val="24"/>
        </w:rPr>
        <w:t>01  од  07.05.2013.  године,  који  је  Градоначелник  града  Ниша  закључио </w:t>
      </w:r>
      <w:r>
        <w:rPr>
          <w:rFonts w:ascii="Times New Roman" w:hAnsi="Times New Roman"/>
          <w:spacing w:val="15"/>
          <w:sz w:val="24"/>
        </w:rPr>
        <w:t> </w:t>
      </w:r>
      <w:r>
        <w:rPr>
          <w:rFonts w:ascii="Times New Roman" w:hAnsi="Times New Roman"/>
          <w:sz w:val="24"/>
        </w:rPr>
        <w:t>са</w:t>
      </w:r>
    </w:p>
    <w:p>
      <w:pPr>
        <w:pStyle w:val="BodyText"/>
        <w:spacing w:line="240" w:lineRule="auto"/>
        <w:ind w:right="174"/>
        <w:jc w:val="both"/>
      </w:pPr>
      <w:r>
        <w:rPr/>
        <w:t>„Montenegro airlines“ ад Подгорица, а којим су регулисана међусобна права и обавезе уговорних</w:t>
      </w:r>
      <w:r>
        <w:rPr>
          <w:spacing w:val="34"/>
        </w:rPr>
        <w:t> </w:t>
      </w:r>
      <w:r>
        <w:rPr/>
        <w:t>страна</w:t>
      </w:r>
      <w:r>
        <w:rPr>
          <w:spacing w:val="31"/>
        </w:rPr>
        <w:t> </w:t>
      </w:r>
      <w:r>
        <w:rPr/>
        <w:t>везане</w:t>
      </w:r>
      <w:r>
        <w:rPr>
          <w:spacing w:val="31"/>
        </w:rPr>
        <w:t> </w:t>
      </w:r>
      <w:r>
        <w:rPr/>
        <w:t>за</w:t>
      </w:r>
      <w:r>
        <w:rPr>
          <w:spacing w:val="31"/>
        </w:rPr>
        <w:t> </w:t>
      </w:r>
      <w:r>
        <w:rPr/>
        <w:t>фиксни</w:t>
      </w:r>
      <w:r>
        <w:rPr>
          <w:spacing w:val="33"/>
        </w:rPr>
        <w:t> </w:t>
      </w:r>
      <w:r>
        <w:rPr/>
        <w:t>закуп</w:t>
      </w:r>
      <w:r>
        <w:rPr>
          <w:spacing w:val="33"/>
        </w:rPr>
        <w:t> </w:t>
      </w:r>
      <w:r>
        <w:rPr/>
        <w:t>места</w:t>
      </w:r>
      <w:r>
        <w:rPr>
          <w:rFonts w:ascii="Times New Roman" w:hAnsi="Times New Roman" w:cs="Times New Roman" w:eastAsia="Times New Roman" w:hint="default"/>
        </w:rPr>
        <w:t>-</w:t>
      </w:r>
      <w:r>
        <w:rPr/>
        <w:t>седишта</w:t>
      </w:r>
      <w:r>
        <w:rPr>
          <w:spacing w:val="31"/>
        </w:rPr>
        <w:t> </w:t>
      </w:r>
      <w:r>
        <w:rPr/>
        <w:t>на</w:t>
      </w:r>
      <w:r>
        <w:rPr>
          <w:spacing w:val="31"/>
        </w:rPr>
        <w:t> </w:t>
      </w:r>
      <w:r>
        <w:rPr/>
        <w:t>авио</w:t>
      </w:r>
      <w:r>
        <w:rPr>
          <w:spacing w:val="32"/>
        </w:rPr>
        <w:t> </w:t>
      </w:r>
      <w:r>
        <w:rPr/>
        <w:t>линији</w:t>
      </w:r>
      <w:r>
        <w:rPr>
          <w:spacing w:val="33"/>
        </w:rPr>
        <w:t> </w:t>
      </w:r>
      <w:r>
        <w:rPr/>
        <w:t>са</w:t>
      </w:r>
      <w:r>
        <w:rPr>
          <w:spacing w:val="31"/>
        </w:rPr>
        <w:t> </w:t>
      </w:r>
      <w:r>
        <w:rPr/>
        <w:t>Аеродрома</w:t>
      </w:r>
    </w:p>
    <w:p>
      <w:pPr>
        <w:pStyle w:val="BodyText"/>
        <w:spacing w:line="240" w:lineRule="auto"/>
        <w:ind w:right="173"/>
        <w:jc w:val="both"/>
        <w:rPr>
          <w:rFonts w:ascii="Times New Roman" w:hAnsi="Times New Roman" w:cs="Times New Roman" w:eastAsia="Times New Roman" w:hint="default"/>
        </w:rPr>
      </w:pPr>
      <w:r>
        <w:rPr/>
        <w:t>„Константин Велики“ на релацији Ниш</w:t>
      </w:r>
      <w:r>
        <w:rPr>
          <w:rFonts w:ascii="Times New Roman" w:hAnsi="Times New Roman" w:cs="Times New Roman" w:eastAsia="Times New Roman" w:hint="default"/>
        </w:rPr>
        <w:t>-</w:t>
      </w:r>
      <w:r>
        <w:rPr/>
        <w:t>Подгорица</w:t>
      </w:r>
      <w:r>
        <w:rPr>
          <w:rFonts w:ascii="Times New Roman" w:hAnsi="Times New Roman" w:cs="Times New Roman" w:eastAsia="Times New Roman" w:hint="default"/>
        </w:rPr>
        <w:t>-</w:t>
      </w:r>
      <w:r>
        <w:rPr/>
        <w:t>(разне дестинације)</w:t>
      </w:r>
      <w:r>
        <w:rPr>
          <w:rFonts w:ascii="Times New Roman" w:hAnsi="Times New Roman" w:cs="Times New Roman" w:eastAsia="Times New Roman" w:hint="default"/>
        </w:rPr>
        <w:t>-</w:t>
      </w:r>
      <w:r>
        <w:rPr/>
        <w:t>Подгорица</w:t>
      </w:r>
      <w:r>
        <w:rPr>
          <w:rFonts w:ascii="Times New Roman" w:hAnsi="Times New Roman" w:cs="Times New Roman" w:eastAsia="Times New Roman" w:hint="default"/>
        </w:rPr>
        <w:t>-</w:t>
      </w:r>
      <w:r>
        <w:rPr/>
        <w:t>Ниш, све у циљу даљег превоза путника</w:t>
      </w:r>
      <w:r>
        <w:rPr>
          <w:rFonts w:ascii="Times New Roman" w:hAnsi="Times New Roman" w:cs="Times New Roman" w:eastAsia="Times New Roman" w:hint="default"/>
        </w:rPr>
        <w:t>. </w:t>
      </w:r>
      <w:r>
        <w:rPr/>
        <w:t>Уговор је закључен по спроведеном поступку јавне набавке</w:t>
      </w:r>
      <w:r>
        <w:rPr>
          <w:rFonts w:ascii="Times New Roman" w:hAnsi="Times New Roman" w:cs="Times New Roman" w:eastAsia="Times New Roman" w:hint="default"/>
        </w:rPr>
        <w:t>. </w:t>
      </w:r>
      <w:r>
        <w:rPr/>
        <w:t>„Montenegro airlines“ ад Подгорица се обавезао да редовно обавља саобраћај са аеродрома „Константин Велики“ у Нишу, на релацији Ниш</w:t>
      </w:r>
      <w:r>
        <w:rPr>
          <w:rFonts w:ascii="Times New Roman" w:hAnsi="Times New Roman" w:cs="Times New Roman" w:eastAsia="Times New Roman" w:hint="default"/>
        </w:rPr>
        <w:t>-</w:t>
      </w:r>
      <w:r>
        <w:rPr/>
        <w:t>Подгорица</w:t>
      </w:r>
      <w:r>
        <w:rPr>
          <w:rFonts w:ascii="Times New Roman" w:hAnsi="Times New Roman" w:cs="Times New Roman" w:eastAsia="Times New Roman" w:hint="default"/>
        </w:rPr>
        <w:t>-</w:t>
      </w:r>
      <w:r>
        <w:rPr/>
        <w:t>(разне дестинације)</w:t>
      </w:r>
      <w:r>
        <w:rPr>
          <w:rFonts w:ascii="Times New Roman" w:hAnsi="Times New Roman" w:cs="Times New Roman" w:eastAsia="Times New Roman" w:hint="default"/>
        </w:rPr>
        <w:t>-</w:t>
      </w:r>
      <w:r>
        <w:rPr/>
        <w:t>Подгорица</w:t>
      </w:r>
      <w:r>
        <w:rPr>
          <w:rFonts w:ascii="Times New Roman" w:hAnsi="Times New Roman" w:cs="Times New Roman" w:eastAsia="Times New Roman" w:hint="default"/>
        </w:rPr>
        <w:t>-</w:t>
      </w:r>
      <w:r>
        <w:rPr/>
        <w:t>Ниш, све у циљу даљег превоза путника и да  граду Нишу по лету стави на располагање 40 авио карата у економској класи и то: на свим летовима на релацији Ниш</w:t>
      </w:r>
      <w:r>
        <w:rPr>
          <w:rFonts w:ascii="Times New Roman" w:hAnsi="Times New Roman" w:cs="Times New Roman" w:eastAsia="Times New Roman" w:hint="default"/>
        </w:rPr>
        <w:t>-</w:t>
      </w:r>
      <w:r>
        <w:rPr/>
        <w:t>Подгорица</w:t>
      </w:r>
      <w:r>
        <w:rPr>
          <w:rFonts w:ascii="Times New Roman" w:hAnsi="Times New Roman" w:cs="Times New Roman" w:eastAsia="Times New Roman" w:hint="default"/>
        </w:rPr>
        <w:t>-</w:t>
      </w:r>
      <w:r>
        <w:rPr/>
        <w:t>(разне дестинације)</w:t>
      </w:r>
      <w:r>
        <w:rPr>
          <w:rFonts w:ascii="Times New Roman" w:hAnsi="Times New Roman" w:cs="Times New Roman" w:eastAsia="Times New Roman" w:hint="default"/>
        </w:rPr>
        <w:t>-</w:t>
      </w:r>
      <w:r>
        <w:rPr/>
        <w:t>Подгорица</w:t>
      </w:r>
      <w:r>
        <w:rPr>
          <w:rFonts w:ascii="Times New Roman" w:hAnsi="Times New Roman" w:cs="Times New Roman" w:eastAsia="Times New Roman" w:hint="default"/>
        </w:rPr>
        <w:t>-</w:t>
      </w:r>
      <w:r>
        <w:rPr/>
        <w:t>Ниш, по цени од 169 евра по повратној карти укључујући све примењене таксе и доплатке и на свим летовима на релацији Ниш</w:t>
      </w:r>
      <w:r>
        <w:rPr>
          <w:rFonts w:ascii="Times New Roman" w:hAnsi="Times New Roman" w:cs="Times New Roman" w:eastAsia="Times New Roman" w:hint="default"/>
        </w:rPr>
        <w:t>-</w:t>
      </w:r>
      <w:r>
        <w:rPr/>
        <w:t>Подгорица</w:t>
      </w:r>
      <w:r>
        <w:rPr>
          <w:rFonts w:ascii="Times New Roman" w:hAnsi="Times New Roman" w:cs="Times New Roman" w:eastAsia="Times New Roman" w:hint="default"/>
        </w:rPr>
        <w:t>-</w:t>
      </w:r>
      <w:r>
        <w:rPr/>
        <w:t>Подгорица</w:t>
      </w:r>
      <w:r>
        <w:rPr>
          <w:rFonts w:ascii="Times New Roman" w:hAnsi="Times New Roman" w:cs="Times New Roman" w:eastAsia="Times New Roman" w:hint="default"/>
        </w:rPr>
        <w:t>-</w:t>
      </w:r>
      <w:r>
        <w:rPr/>
        <w:t>Ниш, по цени од 105 евра по повратној карти укључујући све примењене таксе и доплатке. Град Ниш се обавезао да „Montenegro airlines“ ад Подгорица уплати фиксни закуп места</w:t>
      </w:r>
      <w:r>
        <w:rPr>
          <w:rFonts w:ascii="Times New Roman" w:hAnsi="Times New Roman" w:cs="Times New Roman" w:eastAsia="Times New Roman" w:hint="default"/>
        </w:rPr>
        <w:t>-</w:t>
      </w:r>
      <w:r>
        <w:rPr/>
        <w:t>седишта до гарантованог броја у следећим износима: за просечан број транзитних путника на месечном нивоу </w:t>
      </w:r>
      <w:r>
        <w:rPr>
          <w:rFonts w:ascii="Times New Roman" w:hAnsi="Times New Roman" w:cs="Times New Roman" w:eastAsia="Times New Roman" w:hint="default"/>
        </w:rPr>
        <w:t>- </w:t>
      </w:r>
      <w:r>
        <w:rPr/>
        <w:t>30 евра по путнику помножен са бројем летова у току месеца</w:t>
      </w:r>
      <w:r>
        <w:rPr>
          <w:rFonts w:ascii="Times New Roman" w:hAnsi="Times New Roman" w:cs="Times New Roman" w:eastAsia="Times New Roman" w:hint="default"/>
        </w:rPr>
        <w:t>, </w:t>
      </w:r>
      <w:r>
        <w:rPr/>
        <w:t>за просечан број осталих путника на месечном нивоу </w:t>
      </w:r>
      <w:r>
        <w:rPr>
          <w:rFonts w:ascii="Times New Roman" w:hAnsi="Times New Roman" w:cs="Times New Roman" w:eastAsia="Times New Roman" w:hint="default"/>
        </w:rPr>
        <w:t>- </w:t>
      </w:r>
      <w:r>
        <w:rPr/>
        <w:t>94 евра по путнику помножен са бројем летова у току месеца и за просечан број непопуњених седишта до гарантованог броја на месечном нивоу – 199 евра по путнику помножен са бројем летова у току месеца. „Montenegro airlines“ ад Подгорица се обавезује да изврши најмање пет летова недељно за време трајања</w:t>
      </w:r>
      <w:r>
        <w:rPr>
          <w:spacing w:val="-18"/>
        </w:rPr>
        <w:t> </w:t>
      </w:r>
      <w:r>
        <w:rPr/>
        <w:t>уговора</w:t>
      </w:r>
      <w:r>
        <w:rPr>
          <w:rFonts w:ascii="Times New Roman" w:hAnsi="Times New Roman" w:cs="Times New Roman" w:eastAsia="Times New Roman" w:hint="default"/>
        </w:rPr>
        <w:t>;</w:t>
      </w:r>
    </w:p>
    <w:p>
      <w:pPr>
        <w:pStyle w:val="ListParagraph"/>
        <w:numPr>
          <w:ilvl w:val="0"/>
          <w:numId w:val="12"/>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износу од 2.000 хиљаде динара по Уговору о сарадњи између града Ниша и </w:t>
      </w:r>
      <w:r>
        <w:rPr>
          <w:rFonts w:ascii="Times New Roman" w:hAnsi="Times New Roman" w:cs="Times New Roman" w:eastAsia="Times New Roman" w:hint="default"/>
          <w:sz w:val="24"/>
          <w:szCs w:val="24"/>
        </w:rPr>
        <w:t>Help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Hilfe  zur  Selbsthilfe  e.</w:t>
      </w:r>
      <w:r>
        <w:rPr>
          <w:rFonts w:ascii="Times New Roman" w:hAnsi="Times New Roman" w:cs="Times New Roman" w:eastAsia="Times New Roman" w:hint="default"/>
          <w:sz w:val="24"/>
          <w:szCs w:val="24"/>
        </w:rPr>
        <w:t>број   3042</w:t>
      </w:r>
      <w:r>
        <w:rPr>
          <w:rFonts w:ascii="Times New Roman" w:hAnsi="Times New Roman" w:cs="Times New Roman" w:eastAsia="Times New Roman" w:hint="default"/>
          <w:sz w:val="24"/>
          <w:szCs w:val="24"/>
        </w:rPr>
        <w:t>/2013-</w:t>
      </w:r>
      <w:r>
        <w:rPr>
          <w:rFonts w:ascii="Times New Roman" w:hAnsi="Times New Roman" w:cs="Times New Roman" w:eastAsia="Times New Roman" w:hint="default"/>
          <w:sz w:val="24"/>
          <w:szCs w:val="24"/>
        </w:rPr>
        <w:t>01  од   27.08.2013.  године  у  оквиру      </w:t>
      </w:r>
      <w:r>
        <w:rPr>
          <w:rFonts w:ascii="Times New Roman" w:hAnsi="Times New Roman" w:cs="Times New Roman" w:eastAsia="Times New Roman" w:hint="default"/>
          <w:spacing w:val="44"/>
          <w:sz w:val="24"/>
          <w:szCs w:val="24"/>
        </w:rPr>
        <w:t> </w:t>
      </w:r>
      <w:r>
        <w:rPr>
          <w:rFonts w:ascii="Times New Roman" w:hAnsi="Times New Roman" w:cs="Times New Roman" w:eastAsia="Times New Roman" w:hint="default"/>
          <w:sz w:val="24"/>
          <w:szCs w:val="24"/>
        </w:rPr>
        <w:t>пројекта</w:t>
      </w:r>
    </w:p>
    <w:p>
      <w:pPr>
        <w:pStyle w:val="BodyText"/>
        <w:spacing w:line="240" w:lineRule="auto"/>
        <w:ind w:right="183"/>
        <w:jc w:val="both"/>
      </w:pPr>
      <w:r>
        <w:rPr/>
        <w:t>„Смањење сиромаштва и унапређење могућности запошљавања маргинализованих и угрожених група становништва у</w:t>
      </w:r>
      <w:r>
        <w:rPr>
          <w:spacing w:val="-12"/>
        </w:rPr>
        <w:t> </w:t>
      </w:r>
      <w:r>
        <w:rPr/>
        <w:t>Србији“;</w:t>
      </w:r>
    </w:p>
    <w:p>
      <w:pPr>
        <w:pStyle w:val="ListParagraph"/>
        <w:numPr>
          <w:ilvl w:val="0"/>
          <w:numId w:val="12"/>
        </w:numPr>
        <w:tabs>
          <w:tab w:pos="418"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износу од 18.501 хиљаде динара на основу Уговора о поступку и начину суфинансирања и учешћа у Пројекту „Покретање другог инкубационог циклуса и оснивање Центра за информационо</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комуникационе технологије Инкубатор центра у Нишу“ број 2939</w:t>
      </w:r>
      <w:r>
        <w:rPr>
          <w:rFonts w:ascii="Times New Roman" w:hAnsi="Times New Roman" w:cs="Times New Roman" w:eastAsia="Times New Roman" w:hint="default"/>
          <w:sz w:val="24"/>
          <w:szCs w:val="24"/>
        </w:rPr>
        <w:t>-1/2009-</w:t>
      </w:r>
      <w:r>
        <w:rPr>
          <w:rFonts w:ascii="Times New Roman" w:hAnsi="Times New Roman" w:cs="Times New Roman" w:eastAsia="Times New Roman" w:hint="default"/>
          <w:sz w:val="24"/>
          <w:szCs w:val="24"/>
        </w:rPr>
        <w:t>01 од 23.11.2009. године. Последњим Анексом </w:t>
      </w:r>
      <w:r>
        <w:rPr>
          <w:rFonts w:ascii="Times New Roman" w:hAnsi="Times New Roman" w:cs="Times New Roman" w:eastAsia="Times New Roman" w:hint="default"/>
          <w:sz w:val="24"/>
          <w:szCs w:val="24"/>
        </w:rPr>
        <w:t>IV </w:t>
      </w:r>
      <w:r>
        <w:rPr>
          <w:rFonts w:ascii="Times New Roman" w:hAnsi="Times New Roman" w:cs="Times New Roman" w:eastAsia="Times New Roman" w:hint="default"/>
          <w:sz w:val="24"/>
          <w:szCs w:val="24"/>
        </w:rPr>
        <w:t>уговора број </w:t>
      </w:r>
      <w:r>
        <w:rPr>
          <w:rFonts w:ascii="Times New Roman" w:hAnsi="Times New Roman" w:cs="Times New Roman" w:eastAsia="Times New Roman" w:hint="default"/>
          <w:sz w:val="24"/>
          <w:szCs w:val="24"/>
        </w:rPr>
        <w:t>1208/2014-</w:t>
      </w:r>
      <w:r>
        <w:rPr>
          <w:rFonts w:ascii="Times New Roman" w:hAnsi="Times New Roman" w:cs="Times New Roman" w:eastAsia="Times New Roman" w:hint="default"/>
          <w:sz w:val="24"/>
          <w:szCs w:val="24"/>
        </w:rPr>
        <w:t>01 од 30.05.2014. године утврђено је да вредност пројекта износи 72.182 хиљаде динара, од чега град Ниш као партнер на пројекту суфинансира пројекат у износу од  55.789  хиљада  динара.  Од  укупно  пренетих  средстава  у 2014.  години  у износу</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од</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5"/>
        <w:jc w:val="both"/>
      </w:pPr>
      <w:r>
        <w:rPr/>
        <w:t>18.501 хиљаде динара на измирење обавеза из 2013. године односи се 9.770 хиљада динара </w:t>
      </w:r>
      <w:r>
        <w:rPr>
          <w:rFonts w:ascii="Times New Roman" w:hAnsi="Times New Roman"/>
        </w:rPr>
        <w:t>(</w:t>
      </w:r>
      <w:r>
        <w:rPr/>
        <w:t>плате у износу од 3.865 хиљада динара по поднетим захтевима за корекцију обрачуна плате за период јануар</w:t>
      </w:r>
      <w:r>
        <w:rPr>
          <w:rFonts w:ascii="Times New Roman" w:hAnsi="Times New Roman"/>
        </w:rPr>
        <w:t>-</w:t>
      </w:r>
      <w:r>
        <w:rPr/>
        <w:t>септембар 2013. године, за први део плате за октобар </w:t>
      </w:r>
      <w:r>
        <w:rPr>
          <w:rFonts w:ascii="Times New Roman" w:hAnsi="Times New Roman"/>
        </w:rPr>
        <w:t>20</w:t>
      </w:r>
      <w:r>
        <w:rPr/>
        <w:t>13. године и први део плате за децембар 2013. године</w:t>
      </w:r>
      <w:r>
        <w:rPr>
          <w:rFonts w:ascii="Times New Roman" w:hAnsi="Times New Roman"/>
        </w:rPr>
        <w:t>; </w:t>
      </w:r>
      <w:r>
        <w:rPr/>
        <w:t>материјалне трошкове у износу од 445 хиљада динара за период август</w:t>
      </w:r>
      <w:r>
        <w:rPr>
          <w:rFonts w:ascii="Times New Roman" w:hAnsi="Times New Roman"/>
        </w:rPr>
        <w:t>-</w:t>
      </w:r>
      <w:r>
        <w:rPr/>
        <w:t>септембар и месец децембар 2013. године</w:t>
      </w:r>
      <w:r>
        <w:rPr>
          <w:rFonts w:ascii="Times New Roman" w:hAnsi="Times New Roman"/>
        </w:rPr>
        <w:t>; </w:t>
      </w:r>
      <w:r>
        <w:rPr/>
        <w:t>накнаду по уговору о делу за услуге чишћења у износу од 137 хиљада динара</w:t>
      </w:r>
      <w:r>
        <w:rPr>
          <w:rFonts w:ascii="Times New Roman" w:hAnsi="Times New Roman"/>
        </w:rPr>
        <w:t>; </w:t>
      </w:r>
      <w:r>
        <w:rPr/>
        <w:t>за радове на електроинсталацији у износу од 1.031 хиљаде динара</w:t>
      </w:r>
      <w:r>
        <w:rPr>
          <w:rFonts w:ascii="Times New Roman" w:hAnsi="Times New Roman"/>
        </w:rPr>
        <w:t>; </w:t>
      </w:r>
      <w:r>
        <w:rPr/>
        <w:t>за радове на поправци непроходног крова у износу од 3.802 хиљаде динара</w:t>
      </w:r>
      <w:r>
        <w:rPr>
          <w:rFonts w:ascii="Times New Roman" w:hAnsi="Times New Roman"/>
        </w:rPr>
        <w:t>; </w:t>
      </w:r>
      <w:r>
        <w:rPr/>
        <w:t>за израду главног пројекта адаптације објекта   </w:t>
      </w:r>
      <w:r>
        <w:rPr>
          <w:spacing w:val="18"/>
        </w:rPr>
        <w:t> </w:t>
      </w:r>
      <w:r>
        <w:rPr/>
        <w:t>у износу од 490 хиљада динара</w:t>
      </w:r>
      <w:r>
        <w:rPr>
          <w:rFonts w:ascii="Times New Roman" w:hAnsi="Times New Roman"/>
        </w:rPr>
        <w:t>), </w:t>
      </w:r>
      <w:r>
        <w:rPr/>
        <w:t>док је 8.731 хиљада динара пренето</w:t>
      </w:r>
    </w:p>
    <w:p>
      <w:pPr>
        <w:pStyle w:val="BodyText"/>
        <w:spacing w:line="240" w:lineRule="auto"/>
        <w:ind w:right="0"/>
        <w:jc w:val="both"/>
      </w:pPr>
      <w:r>
        <w:rPr/>
        <w:t>„Инкубатор</w:t>
      </w:r>
      <w:r>
        <w:rPr>
          <w:spacing w:val="32"/>
        </w:rPr>
        <w:t> </w:t>
      </w:r>
      <w:r>
        <w:rPr/>
        <w:t>центар“</w:t>
      </w:r>
      <w:r>
        <w:rPr>
          <w:spacing w:val="31"/>
        </w:rPr>
        <w:t> </w:t>
      </w:r>
      <w:r>
        <w:rPr/>
        <w:t>доо</w:t>
      </w:r>
      <w:r>
        <w:rPr>
          <w:spacing w:val="35"/>
        </w:rPr>
        <w:t> </w:t>
      </w:r>
      <w:r>
        <w:rPr/>
        <w:t>Ниш</w:t>
      </w:r>
      <w:r>
        <w:rPr>
          <w:spacing w:val="32"/>
        </w:rPr>
        <w:t> </w:t>
      </w:r>
      <w:r>
        <w:rPr/>
        <w:t>за</w:t>
      </w:r>
      <w:r>
        <w:rPr>
          <w:spacing w:val="31"/>
        </w:rPr>
        <w:t> </w:t>
      </w:r>
      <w:r>
        <w:rPr/>
        <w:t>измирење</w:t>
      </w:r>
      <w:r>
        <w:rPr>
          <w:spacing w:val="30"/>
        </w:rPr>
        <w:t> </w:t>
      </w:r>
      <w:r>
        <w:rPr/>
        <w:t>обавеза</w:t>
      </w:r>
      <w:r>
        <w:rPr>
          <w:spacing w:val="31"/>
        </w:rPr>
        <w:t> </w:t>
      </w:r>
      <w:r>
        <w:rPr/>
        <w:t>из</w:t>
      </w:r>
      <w:r>
        <w:rPr>
          <w:spacing w:val="33"/>
        </w:rPr>
        <w:t> </w:t>
      </w:r>
      <w:r>
        <w:rPr/>
        <w:t>2014.</w:t>
      </w:r>
      <w:r>
        <w:rPr>
          <w:spacing w:val="35"/>
        </w:rPr>
        <w:t> </w:t>
      </w:r>
      <w:r>
        <w:rPr/>
        <w:t>године</w:t>
      </w:r>
      <w:r>
        <w:rPr>
          <w:spacing w:val="32"/>
        </w:rPr>
        <w:t> </w:t>
      </w:r>
      <w:r>
        <w:rPr>
          <w:rFonts w:ascii="Times New Roman" w:hAnsi="Times New Roman" w:cs="Times New Roman" w:eastAsia="Times New Roman" w:hint="default"/>
        </w:rPr>
        <w:t>(</w:t>
      </w:r>
      <w:r>
        <w:rPr/>
        <w:t>плате</w:t>
      </w:r>
      <w:r>
        <w:rPr>
          <w:spacing w:val="33"/>
        </w:rPr>
        <w:t> </w:t>
      </w:r>
      <w:r>
        <w:rPr/>
        <w:t>у</w:t>
      </w:r>
      <w:r>
        <w:rPr>
          <w:spacing w:val="27"/>
        </w:rPr>
        <w:t> </w:t>
      </w:r>
      <w:r>
        <w:rPr/>
        <w:t>износу</w:t>
      </w:r>
      <w:r>
        <w:rPr>
          <w:spacing w:val="27"/>
        </w:rPr>
        <w:t> </w:t>
      </w:r>
      <w:r>
        <w:rPr/>
        <w:t>од</w:t>
      </w:r>
    </w:p>
    <w:p>
      <w:pPr>
        <w:pStyle w:val="BodyText"/>
        <w:spacing w:line="240" w:lineRule="auto"/>
        <w:ind w:right="175"/>
        <w:jc w:val="both"/>
      </w:pPr>
      <w:r>
        <w:rPr/>
        <w:t>6.325 хиљада динара за период јануар</w:t>
      </w:r>
      <w:r>
        <w:rPr>
          <w:rFonts w:ascii="Times New Roman" w:hAnsi="Times New Roman" w:cs="Times New Roman" w:eastAsia="Times New Roman" w:hint="default"/>
        </w:rPr>
        <w:t>-</w:t>
      </w:r>
      <w:r>
        <w:rPr/>
        <w:t>септембар 2014. године, накнаде за превоз запослених у износу од 246 хиљада динара, материјалне трошкове у износу од 1.941 хиљаде динара, </w:t>
      </w:r>
      <w:r>
        <w:rPr>
          <w:rFonts w:ascii="Times New Roman" w:hAnsi="Times New Roman" w:cs="Times New Roman" w:eastAsia="Times New Roman" w:hint="default"/>
        </w:rPr>
        <w:t>ISO </w:t>
      </w:r>
      <w:r>
        <w:rPr/>
        <w:t>стандард 9001 у износу од 201 хиљаде динара, адаптације текстилног огранка у износу од 18 хиљада динара</w:t>
      </w:r>
      <w:r>
        <w:rPr>
          <w:rFonts w:ascii="Times New Roman" w:hAnsi="Times New Roman" w:cs="Times New Roman" w:eastAsia="Times New Roman" w:hint="default"/>
        </w:rPr>
        <w:t>). </w:t>
      </w:r>
      <w:r>
        <w:rPr/>
        <w:t>Директор „Инкубатор центра“ доо Ниш је у 2014. години из средстава буџета Града примао месечну плату у износу од 103 хиљаде динара нето, односно 145 хиљада динара бруто, што заједно са доприносима на терет  послодавца износи 171 хиљаду</w:t>
      </w:r>
      <w:r>
        <w:rPr>
          <w:spacing w:val="-9"/>
        </w:rPr>
        <w:t> </w:t>
      </w:r>
      <w:r>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37" w:lineRule="auto" w:before="1"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Туристичка организација није вратила средства у буџет града у року од три дана по рефундацији истих од стране Европске уније, што је супротно члану 5. закљученог уговора. Од стране Европске уније средства су рефундирана дана 03.11.2014.</w:t>
      </w:r>
      <w:r>
        <w:rPr>
          <w:rFonts w:ascii="Times New Roman" w:hAnsi="Times New Roman"/>
          <w:spacing w:val="-16"/>
          <w:sz w:val="24"/>
        </w:rPr>
        <w:t> </w:t>
      </w:r>
      <w:r>
        <w:rPr>
          <w:rFonts w:ascii="Times New Roman" w:hAnsi="Times New Roman"/>
          <w:sz w:val="24"/>
        </w:rPr>
        <w:t>године.</w:t>
      </w:r>
    </w:p>
    <w:p>
      <w:pPr>
        <w:pStyle w:val="ListParagraph"/>
        <w:numPr>
          <w:ilvl w:val="0"/>
          <w:numId w:val="9"/>
        </w:numPr>
        <w:tabs>
          <w:tab w:pos="303" w:val="left" w:leader="none"/>
        </w:tabs>
        <w:spacing w:line="237" w:lineRule="auto" w:before="5"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Извршен је расход из буџета града у износу од 2.611 хиљада динара на име помоћи Туристичкој организацији у реализацији пројекта са обавезом враћања исте, без обезбеђења датих средстава средствима</w:t>
      </w:r>
      <w:r>
        <w:rPr>
          <w:rFonts w:ascii="Times New Roman" w:hAnsi="Times New Roman"/>
          <w:spacing w:val="-14"/>
          <w:sz w:val="24"/>
        </w:rPr>
        <w:t> </w:t>
      </w:r>
      <w:r>
        <w:rPr>
          <w:rFonts w:ascii="Times New Roman" w:hAnsi="Times New Roman"/>
          <w:sz w:val="24"/>
        </w:rPr>
        <w:t>обезбеђења.</w:t>
      </w:r>
    </w:p>
    <w:p>
      <w:pPr>
        <w:pStyle w:val="ListParagraph"/>
        <w:numPr>
          <w:ilvl w:val="0"/>
          <w:numId w:val="9"/>
        </w:numPr>
        <w:tabs>
          <w:tab w:pos="303"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Након ургенција за испуњење обавеза упућених Регионалном центру, покренут је поступак намирења дуговања наплатом менице, али је рачун дужника био у блокади. Решењем Привредног суда у Нишу број Посл.бр.2.Ст.40/2014 од 03.03.2015. године отворен је стечајни поступак над Регионалним центром за развој малих и средњих предузећа и предузетништва доо Ниш. Стечајни разлог је трајнија неспособност плаћања, рок пријаве потраживања је 90 дана од дана објављивања огласа, најкасније 120 дана; стечај је покренут од стране Центра као предлагача и дужника због обуставе плаћања 42 дана.</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У пословним књигама Управе за привреду, одрживи развој и заштиту животне средине није евидентирано потраживање од Туристичке организације Ниш у износу од 5.283 хиљаде динара и Регионалног центра за развој малих и средњих предузећа и предузетништва доо Ниш у износу од 1.000 хиљаде динара</w:t>
      </w:r>
      <w:r>
        <w:rPr>
          <w:rFonts w:ascii="Times New Roman" w:hAnsi="Times New Roman"/>
          <w:sz w:val="24"/>
        </w:rPr>
        <w:t>, </w:t>
      </w:r>
      <w:r>
        <w:rPr>
          <w:rFonts w:ascii="Times New Roman" w:hAnsi="Times New Roman"/>
          <w:sz w:val="24"/>
        </w:rPr>
        <w:t>што је супротно Уредби о буџетском рачуноводству и Правилнику о стандардном класификационом оквиру и контном плану за буџетски</w:t>
      </w:r>
      <w:r>
        <w:rPr>
          <w:rFonts w:ascii="Times New Roman" w:hAnsi="Times New Roman"/>
          <w:spacing w:val="-17"/>
          <w:sz w:val="24"/>
        </w:rPr>
        <w:t> </w:t>
      </w:r>
      <w:r>
        <w:rPr>
          <w:rFonts w:ascii="Times New Roman" w:hAnsi="Times New Roman"/>
          <w:sz w:val="24"/>
        </w:rPr>
        <w:t>систем.</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Извршен је расход без потписа одговорних лица за одобравање плаћања из Управе за финансије, изворне приходе локалне самоуправе и јавне набавке на захтеву за плаћање и то: у износу од 2.611 хиљада динара на име предфинансирања активности пројекта Туристичке организације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у износу од 1.064 хиљаде динара на име предфинансирања Пројекта „Јачање капацитета произвођача и прерађивача млека“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у износу од </w:t>
      </w:r>
      <w:r>
        <w:rPr>
          <w:rFonts w:ascii="Times New Roman" w:hAnsi="Times New Roman" w:cs="Times New Roman" w:eastAsia="Times New Roman" w:hint="default"/>
          <w:sz w:val="24"/>
          <w:szCs w:val="24"/>
        </w:rPr>
        <w:t>1.000 </w:t>
      </w:r>
      <w:r>
        <w:rPr>
          <w:rFonts w:ascii="Times New Roman" w:hAnsi="Times New Roman" w:cs="Times New Roman" w:eastAsia="Times New Roman" w:hint="default"/>
          <w:sz w:val="24"/>
          <w:szCs w:val="24"/>
        </w:rPr>
        <w:t>хиљаде динара на име помоћи града Ниша у реализацији пројекта „Откриј  незнану страну Балкана“ и у износу од </w:t>
      </w:r>
      <w:r>
        <w:rPr>
          <w:rFonts w:ascii="Times New Roman" w:hAnsi="Times New Roman" w:cs="Times New Roman" w:eastAsia="Times New Roman" w:hint="default"/>
          <w:sz w:val="24"/>
          <w:szCs w:val="24"/>
        </w:rPr>
        <w:t>1</w:t>
      </w:r>
      <w:r>
        <w:rPr>
          <w:rFonts w:ascii="Times New Roman" w:hAnsi="Times New Roman" w:cs="Times New Roman" w:eastAsia="Times New Roman" w:hint="default"/>
          <w:sz w:val="24"/>
          <w:szCs w:val="24"/>
        </w:rPr>
        <w:t>.000 хиљаде динара на име помоћи града Ниша у реализацији  пројекта  „Пословање  без  граница“,  што  је  супротно  члану  58.  Закона</w:t>
      </w:r>
      <w:r>
        <w:rPr>
          <w:rFonts w:ascii="Times New Roman" w:hAnsi="Times New Roman" w:cs="Times New Roman" w:eastAsia="Times New Roman" w:hint="default"/>
          <w:spacing w:val="59"/>
          <w:sz w:val="24"/>
          <w:szCs w:val="24"/>
        </w:rPr>
        <w:t> </w:t>
      </w:r>
      <w:r>
        <w:rPr>
          <w:rFonts w:ascii="Times New Roman" w:hAnsi="Times New Roman" w:cs="Times New Roman" w:eastAsia="Times New Roman" w:hint="default"/>
          <w:sz w:val="24"/>
          <w:szCs w:val="24"/>
        </w:rPr>
        <w:t>о</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5"/>
        <w:jc w:val="both"/>
        <w:rPr>
          <w:rFonts w:ascii="Times New Roman" w:hAnsi="Times New Roman" w:cs="Times New Roman" w:eastAsia="Times New Roman" w:hint="default"/>
        </w:rPr>
      </w:pPr>
      <w:r>
        <w:rPr/>
        <w:t>буџетском систему</w:t>
      </w:r>
      <w:r>
        <w:rPr>
          <w:rFonts w:ascii="Times New Roman" w:hAnsi="Times New Roman"/>
        </w:rPr>
        <w:t>, </w:t>
      </w:r>
      <w:r>
        <w:rPr/>
        <w:t>члану 16. Уредбе о буџетском рачуноводству и Упутству о раду трезора града</w:t>
      </w:r>
      <w:r>
        <w:rPr>
          <w:spacing w:val="-4"/>
        </w:rPr>
        <w:t> </w:t>
      </w:r>
      <w:r>
        <w:rPr/>
        <w:t>Ниша</w:t>
      </w:r>
      <w:r>
        <w:rPr>
          <w:rFonts w:ascii="Times New Roman" w:hAnsi="Times New Roman"/>
        </w:rPr>
        <w:t>.</w:t>
      </w:r>
    </w:p>
    <w:p>
      <w:pPr>
        <w:pStyle w:val="ListParagraph"/>
        <w:numPr>
          <w:ilvl w:val="0"/>
          <w:numId w:val="9"/>
        </w:numPr>
        <w:tabs>
          <w:tab w:pos="303" w:val="left" w:leader="none"/>
        </w:tabs>
        <w:spacing w:line="274" w:lineRule="exact" w:before="24"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Рачуни „Kopernikus cable network“ доо Ниш у износу од 683 хиљаде динара број </w:t>
      </w:r>
      <w:r>
        <w:rPr>
          <w:rFonts w:ascii="Times New Roman" w:hAnsi="Times New Roman" w:cs="Times New Roman" w:eastAsia="Times New Roman" w:hint="default"/>
          <w:sz w:val="24"/>
          <w:szCs w:val="24"/>
        </w:rPr>
        <w:t>KCN 1312/18-</w:t>
      </w:r>
      <w:r>
        <w:rPr>
          <w:rFonts w:ascii="Times New Roman" w:hAnsi="Times New Roman" w:cs="Times New Roman" w:eastAsia="Times New Roman" w:hint="default"/>
          <w:sz w:val="24"/>
          <w:szCs w:val="24"/>
        </w:rPr>
        <w:t>01  од  18.12.2013.  године,  </w:t>
      </w:r>
      <w:r>
        <w:rPr>
          <w:rFonts w:ascii="Times New Roman" w:hAnsi="Times New Roman" w:cs="Times New Roman" w:eastAsia="Times New Roman" w:hint="default"/>
          <w:sz w:val="24"/>
          <w:szCs w:val="24"/>
        </w:rPr>
        <w:t>KCN  1401/23-</w:t>
      </w:r>
      <w:r>
        <w:rPr>
          <w:rFonts w:ascii="Times New Roman" w:hAnsi="Times New Roman" w:cs="Times New Roman" w:eastAsia="Times New Roman" w:hint="default"/>
          <w:sz w:val="24"/>
          <w:szCs w:val="24"/>
        </w:rPr>
        <w:t>01  од  23.01.2014.  године  и    </w:t>
      </w:r>
      <w:r>
        <w:rPr>
          <w:rFonts w:ascii="Times New Roman" w:hAnsi="Times New Roman" w:cs="Times New Roman" w:eastAsia="Times New Roman" w:hint="default"/>
          <w:spacing w:val="42"/>
          <w:sz w:val="24"/>
          <w:szCs w:val="24"/>
        </w:rPr>
        <w:t> </w:t>
      </w:r>
      <w:r>
        <w:rPr>
          <w:rFonts w:ascii="Times New Roman" w:hAnsi="Times New Roman" w:cs="Times New Roman" w:eastAsia="Times New Roman" w:hint="default"/>
          <w:sz w:val="24"/>
          <w:szCs w:val="24"/>
        </w:rPr>
        <w:t>рачуни</w:t>
      </w:r>
    </w:p>
    <w:p>
      <w:pPr>
        <w:pStyle w:val="BodyText"/>
        <w:spacing w:line="240" w:lineRule="auto"/>
        <w:ind w:right="174"/>
        <w:jc w:val="both"/>
      </w:pPr>
      <w:r>
        <w:rPr/>
        <w:t>„Montenegro airlines“ ад Подгорица, Црна Гора у укупном износу од 20.560 хиљада динара број 2013/00/</w:t>
      </w:r>
      <w:r>
        <w:rPr>
          <w:rFonts w:ascii="Times New Roman" w:hAnsi="Times New Roman" w:cs="Times New Roman" w:eastAsia="Times New Roman" w:hint="default"/>
        </w:rPr>
        <w:t>S</w:t>
      </w:r>
      <w:r>
        <w:rPr/>
        <w:t>15/4842 од 19.08.2013. године</w:t>
      </w:r>
      <w:r>
        <w:rPr>
          <w:rFonts w:ascii="Times New Roman" w:hAnsi="Times New Roman" w:cs="Times New Roman" w:eastAsia="Times New Roman" w:hint="default"/>
        </w:rPr>
        <w:t>, </w:t>
      </w:r>
      <w:r>
        <w:rPr/>
        <w:t>број 2013/00/</w:t>
      </w:r>
      <w:r>
        <w:rPr>
          <w:rFonts w:ascii="Times New Roman" w:hAnsi="Times New Roman" w:cs="Times New Roman" w:eastAsia="Times New Roman" w:hint="default"/>
        </w:rPr>
        <w:t>S</w:t>
      </w:r>
      <w:r>
        <w:rPr/>
        <w:t>15/5163 од 04.09.2013. године, број 2013/00/</w:t>
      </w:r>
      <w:r>
        <w:rPr>
          <w:rFonts w:ascii="Times New Roman" w:hAnsi="Times New Roman" w:cs="Times New Roman" w:eastAsia="Times New Roman" w:hint="default"/>
        </w:rPr>
        <w:t>S</w:t>
      </w:r>
      <w:r>
        <w:rPr/>
        <w:t>15/5878 од 04.10.2013. године, број 2013/00/</w:t>
      </w:r>
      <w:r>
        <w:rPr>
          <w:rFonts w:ascii="Times New Roman" w:hAnsi="Times New Roman" w:cs="Times New Roman" w:eastAsia="Times New Roman" w:hint="default"/>
        </w:rPr>
        <w:t>S</w:t>
      </w:r>
      <w:r>
        <w:rPr/>
        <w:t>15/6499 од 31.10.2013. године</w:t>
      </w:r>
      <w:r>
        <w:rPr>
          <w:rFonts w:ascii="Times New Roman" w:hAnsi="Times New Roman" w:cs="Times New Roman" w:eastAsia="Times New Roman" w:hint="default"/>
        </w:rPr>
        <w:t>, </w:t>
      </w:r>
      <w:r>
        <w:rPr/>
        <w:t>нису потписани од стране лица које је исправу контролисало и лица одговорног  за насталу пословну промену, што је супротно члану 58. Закона о буџетском систему и члану 16. Уредбе о буџетском</w:t>
      </w:r>
      <w:r>
        <w:rPr>
          <w:spacing w:val="-12"/>
        </w:rPr>
        <w:t> </w:t>
      </w:r>
      <w:r>
        <w:rPr/>
        <w:t>рачуноводству.</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Закључен је Уговор о пословно</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техничкој сарадњи број 1703/2013</w:t>
      </w:r>
      <w:r>
        <w:rPr>
          <w:rFonts w:ascii="Times New Roman" w:hAnsi="Times New Roman" w:cs="Times New Roman" w:eastAsia="Times New Roman" w:hint="default"/>
          <w:sz w:val="24"/>
          <w:szCs w:val="24"/>
        </w:rPr>
        <w:t>-01 </w:t>
      </w:r>
      <w:r>
        <w:rPr>
          <w:rFonts w:ascii="Times New Roman" w:hAnsi="Times New Roman" w:cs="Times New Roman" w:eastAsia="Times New Roman" w:hint="default"/>
          <w:sz w:val="24"/>
          <w:szCs w:val="24"/>
        </w:rPr>
        <w:t>од 07.05.2013. године са „Montenegro airlines“ ад Подгорица за фиксни закуп места</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седишта на авио линији без вредности</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тако да износ преузетих обавеза није познат, што је супротно члану 56. и 58. Закона о буџетском</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систему.</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Управа за привреду, одрживи развој и заштиту животне средине је одобравала захтеве  за плаћање које је подносио „Инкубатор центар“ доо Ниш без претходне провере основаности поднетих захтева за плаћање, јер је „Инкубатор центар“ доо Ниш подносио захтеве за плаћање обавеза које су већ измирене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што је супротно члану 42. Упутства о раду трезора града Ниша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као на пример за накнаду по основу уговора о делу у износу од 137 хиљада динара по захтеву 05.03.2014. године док је обавеза измирена у 2013. години, што се потврђује пратећом документацијом </w:t>
      </w:r>
      <w:r>
        <w:rPr>
          <w:rFonts w:ascii="Times New Roman" w:hAnsi="Times New Roman" w:cs="Times New Roman" w:eastAsia="Times New Roman" w:hint="default"/>
          <w:spacing w:val="-3"/>
          <w:sz w:val="24"/>
          <w:szCs w:val="24"/>
        </w:rPr>
        <w:t>уз </w:t>
      </w:r>
      <w:r>
        <w:rPr>
          <w:rFonts w:ascii="Times New Roman" w:hAnsi="Times New Roman" w:cs="Times New Roman" w:eastAsia="Times New Roman" w:hint="default"/>
          <w:sz w:val="24"/>
          <w:szCs w:val="24"/>
        </w:rPr>
        <w:t>захтев (оверени обрасци ПП ОПЈ</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6 са датумом плаћања); по поднетим захтевима за плаћање дана 11.06.2014. године за исплату плате за јануар 2014. године у износу од 359 хиљада динара која је исплаћена 06.02.2014. године,</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плате</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за</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фебруар</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2014.</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године</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у</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износу</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од</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636</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хиљада</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динара</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која</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је</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исплаћена</w:t>
      </w:r>
    </w:p>
    <w:p>
      <w:pPr>
        <w:pStyle w:val="BodyText"/>
        <w:spacing w:line="240" w:lineRule="auto"/>
        <w:ind w:right="179"/>
        <w:jc w:val="both"/>
      </w:pPr>
      <w:r>
        <w:rPr/>
        <w:t>06. и 07.03.2014. године, плате за март 2014. године у износу од 815 хиљада динара која  је исплаћена 22.04.2014. године, плате за април 2014. године у износу од 861 хиљаде динара која је исплаћена у јуну 2014. године; захтев за плаћање од 06.06.2014. године за материјалне трошкове за период јануар</w:t>
      </w:r>
      <w:r>
        <w:rPr>
          <w:rFonts w:ascii="Times New Roman" w:hAnsi="Times New Roman"/>
        </w:rPr>
        <w:t>-</w:t>
      </w:r>
      <w:r>
        <w:rPr/>
        <w:t>април 2014. године у укупном износу од 1.169 хиљада динара за обавезе које су већим делом измирене пре дана подношења</w:t>
      </w:r>
      <w:r>
        <w:rPr>
          <w:spacing w:val="-28"/>
        </w:rPr>
        <w:t> </w:t>
      </w:r>
      <w:r>
        <w:rPr/>
        <w:t>захтева.</w:t>
      </w:r>
    </w:p>
    <w:p>
      <w:pPr>
        <w:pStyle w:val="ListParagraph"/>
        <w:numPr>
          <w:ilvl w:val="0"/>
          <w:numId w:val="9"/>
        </w:numPr>
        <w:tabs>
          <w:tab w:pos="303" w:val="left" w:leader="none"/>
        </w:tabs>
        <w:spacing w:line="274" w:lineRule="exact" w:before="24"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Обзиром да су буџетска средства пренета за већ извршене расходе, Инкубатор центар је поступио и супротно члану 18. Одлуке о буџету града Ниша за 2014.</w:t>
      </w:r>
      <w:r>
        <w:rPr>
          <w:rFonts w:ascii="Times New Roman" w:hAnsi="Times New Roman"/>
          <w:spacing w:val="-26"/>
          <w:sz w:val="24"/>
        </w:rPr>
        <w:t> </w:t>
      </w:r>
      <w:r>
        <w:rPr>
          <w:rFonts w:ascii="Times New Roman" w:hAnsi="Times New Roman"/>
          <w:sz w:val="24"/>
        </w:rPr>
        <w:t>годину.</w:t>
      </w:r>
    </w:p>
    <w:p>
      <w:pPr>
        <w:pStyle w:val="ListParagraph"/>
        <w:numPr>
          <w:ilvl w:val="0"/>
          <w:numId w:val="9"/>
        </w:numPr>
        <w:tabs>
          <w:tab w:pos="303" w:val="left" w:leader="none"/>
        </w:tabs>
        <w:spacing w:line="240" w:lineRule="auto" w:before="0" w:after="0"/>
        <w:ind w:left="160" w:right="17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Пренос средстава из буџета града одобраван је без испостављених тромесечних извештаја од стране „Инкубатор центар“ доо Ниш, односно прихватања извештаја од стране надлежне Управе за привреду, што је супротно члану 1. Анекса Уговора о поступку и начину суфинансирања и учешћа у пројекту „Покретање другог  инкубационог циклуса и оснивање центра за информационо</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комуникационе технологије Инкубатор центра у Нишу“ број 266/2013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29.01.2013.</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године.</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2014. години „Инкубатор центар“ доо Ниш је без сагласности Градоначелника  примио 11 запослених у радни однос на одређено време, што је супротно члану 38. Одлуке о буџету града Ниша за 2014. годину. Пријем запослених је извршен и без сагласности надлежног министарства, што је супротно члану 27е. Закона о буџетском систему.</w:t>
      </w:r>
    </w:p>
    <w:p>
      <w:pPr>
        <w:pStyle w:val="ListParagraph"/>
        <w:numPr>
          <w:ilvl w:val="0"/>
          <w:numId w:val="9"/>
        </w:numPr>
        <w:tabs>
          <w:tab w:pos="303" w:val="left" w:leader="none"/>
        </w:tabs>
        <w:spacing w:line="240" w:lineRule="auto" w:before="2" w:after="0"/>
        <w:ind w:left="160" w:right="18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По основу новог запошљавања код „Инкубатор центар“ доо Ниш увећан је расход из буџета за плате. Управа за привреду, одрживи развој и заштиту животне средине  и Управа за финансије, изворне приходе локалне самоуправе и јавне набавке је одобравала захтеве за плаћање, односно исплату плата новим</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запосленима.</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ListParagraph"/>
        <w:numPr>
          <w:ilvl w:val="0"/>
          <w:numId w:val="9"/>
        </w:numPr>
        <w:tabs>
          <w:tab w:pos="303" w:val="left" w:leader="none"/>
        </w:tabs>
        <w:spacing w:line="274" w:lineRule="exact" w:before="146"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је евидентиран износ од 35.231 хиљаде динара на групи 424000 – специјализоване услуге, уместо на групи 423000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услуге по уговору у укупном износу</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од</w:t>
      </w:r>
    </w:p>
    <w:p>
      <w:pPr>
        <w:pStyle w:val="BodyText"/>
        <w:spacing w:line="240" w:lineRule="auto"/>
        <w:ind w:right="170"/>
        <w:jc w:val="both"/>
      </w:pPr>
      <w:r>
        <w:rPr/>
        <w:t>3.378 хиљада динара (за пројекат „Менаџмент туристичких дестинација Ниш</w:t>
      </w:r>
      <w:r>
        <w:rPr>
          <w:rFonts w:ascii="Times New Roman" w:hAnsi="Times New Roman" w:cs="Times New Roman" w:eastAsia="Times New Roman" w:hint="default"/>
        </w:rPr>
        <w:t>-</w:t>
      </w:r>
      <w:r>
        <w:rPr/>
        <w:t>Софија“ у износу од 1.471 хиљаде динара, за пројекат „Јачање капацитета произвођача и прерађивача млека“ у износу од 1.064 хиљаде динара за накнаде по уговору о делу и услуге смештаја и пројекат „Ниш</w:t>
      </w:r>
      <w:r>
        <w:rPr>
          <w:rFonts w:ascii="Times New Roman" w:hAnsi="Times New Roman" w:cs="Times New Roman" w:eastAsia="Times New Roman" w:hint="default"/>
        </w:rPr>
        <w:t>-</w:t>
      </w:r>
      <w:r>
        <w:rPr/>
        <w:t>17 векова толеранције“ у износу од 843 хиљаде динара за услуге информисања</w:t>
      </w:r>
      <w:r>
        <w:rPr>
          <w:rFonts w:ascii="Times New Roman" w:hAnsi="Times New Roman" w:cs="Times New Roman" w:eastAsia="Times New Roman" w:hint="default"/>
        </w:rPr>
        <w:t>), </w:t>
      </w:r>
      <w:r>
        <w:rPr/>
        <w:t>уместо на групи 454000</w:t>
      </w:r>
      <w:r>
        <w:rPr>
          <w:rFonts w:ascii="Times New Roman" w:hAnsi="Times New Roman" w:cs="Times New Roman" w:eastAsia="Times New Roman" w:hint="default"/>
        </w:rPr>
        <w:t>-</w:t>
      </w:r>
      <w:r>
        <w:rPr/>
        <w:t>субвенције у износу од 7.212 хиљада динара за Регионалну развојну агенцију „Југ“ доо Ниш и у износу од 18.501 хиљаде динара за Инкубатор центар доо Ниш, уместо на групи 4</w:t>
      </w:r>
      <w:r>
        <w:rPr>
          <w:rFonts w:ascii="Times New Roman" w:hAnsi="Times New Roman" w:cs="Times New Roman" w:eastAsia="Times New Roman" w:hint="default"/>
        </w:rPr>
        <w:t>63000 </w:t>
      </w:r>
      <w:r>
        <w:rPr/>
        <w:t>– трансфери осталим нивоима власти у износу од </w:t>
      </w:r>
      <w:r>
        <w:rPr>
          <w:rFonts w:ascii="Times New Roman" w:hAnsi="Times New Roman" w:cs="Times New Roman" w:eastAsia="Times New Roman" w:hint="default"/>
        </w:rPr>
        <w:t>5.000 </w:t>
      </w:r>
      <w:r>
        <w:rPr/>
        <w:t>хиљада динара за трансфер градској општини Пантелеј и уместо на групи 512000 – опрема у износу од 1.140 хиљада динара за пројекат Мотодестинг, што је супротно члану 9. Уредбе о буџетском рачуноводству и Правилнику о стандардном класификационом оквиру и контном плану за буџетски</w:t>
      </w:r>
      <w:r>
        <w:rPr>
          <w:spacing w:val="-32"/>
        </w:rPr>
        <w:t> </w:t>
      </w:r>
      <w:r>
        <w:rPr/>
        <w:t>систем.</w:t>
      </w:r>
    </w:p>
    <w:p>
      <w:pPr>
        <w:pStyle w:val="Heading2"/>
        <w:spacing w:line="240" w:lineRule="auto"/>
        <w:ind w:right="175"/>
        <w:jc w:val="both"/>
        <w:rPr>
          <w:rFonts w:ascii="Times New Roman" w:hAnsi="Times New Roman" w:cs="Times New Roman" w:eastAsia="Times New Roman" w:hint="default"/>
          <w:b w:val="0"/>
          <w:bCs w:val="0"/>
          <w:i w:val="0"/>
        </w:rPr>
      </w:pPr>
      <w:r>
        <w:rPr>
          <w:i/>
        </w:rPr>
        <w:t>Препоручује се одговорним лицима да интерним контролним поступцима обезбеде уредно и ажурно враћање средстава у буџет града и онемогуће трошење буџетских средстава без претходне провере основаности поднетих захтева за плаћање корисника средстава, прате активности учесника пројеката којима су додељена средства, давање из буџета града са обавезом враћања обезбеде средствима обезбеђења</w:t>
      </w:r>
      <w:r>
        <w:rPr>
          <w:rFonts w:ascii="Times New Roman" w:hAnsi="Times New Roman"/>
          <w:i/>
        </w:rPr>
        <w:t>, </w:t>
      </w:r>
      <w:r>
        <w:rPr>
          <w:i/>
        </w:rPr>
        <w:t>обезбеде примену одредби закључених уговора</w:t>
      </w:r>
      <w:r>
        <w:rPr>
          <w:rFonts w:ascii="Times New Roman" w:hAnsi="Times New Roman"/>
          <w:i/>
        </w:rPr>
        <w:t>, </w:t>
      </w:r>
      <w:r>
        <w:rPr>
          <w:i/>
        </w:rPr>
        <w:t>прате реализацију уговора, обезбеде валидну документацију за сваки расход из буџета, да приликом закључења уговора уговоре вредност</w:t>
      </w:r>
      <w:r>
        <w:rPr>
          <w:rFonts w:ascii="Times New Roman" w:hAnsi="Times New Roman"/>
          <w:i/>
        </w:rPr>
        <w:t>, </w:t>
      </w:r>
      <w:r>
        <w:rPr>
          <w:i/>
        </w:rPr>
        <w:t>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3"/>
        </w:rPr>
        <w:t> </w:t>
      </w:r>
      <w:r>
        <w:rPr>
          <w:i/>
        </w:rPr>
        <w:t>систем</w:t>
      </w:r>
      <w:r>
        <w:rPr>
          <w:rFonts w:ascii="Times New Roman" w:hAnsi="Times New Roman"/>
          <w:i/>
        </w:rPr>
        <w:t>.</w:t>
      </w:r>
      <w:r>
        <w:rPr>
          <w:rFonts w:ascii="Times New Roman" w:hAnsi="Times New Roman"/>
          <w:b w:val="0"/>
          <w:i w:val="0"/>
        </w:rPr>
      </w:r>
    </w:p>
    <w:p>
      <w:pPr>
        <w:pStyle w:val="ListParagraph"/>
        <w:numPr>
          <w:ilvl w:val="0"/>
          <w:numId w:val="35"/>
        </w:numPr>
        <w:tabs>
          <w:tab w:pos="1013" w:val="left" w:leader="none"/>
        </w:tabs>
        <w:spacing w:line="240" w:lineRule="auto" w:before="132" w:after="0"/>
        <w:ind w:left="160" w:right="177" w:firstLine="566"/>
        <w:jc w:val="both"/>
        <w:rPr>
          <w:rFonts w:ascii="Times New Roman" w:hAnsi="Times New Roman" w:cs="Times New Roman" w:eastAsia="Times New Roman" w:hint="default"/>
          <w:sz w:val="24"/>
          <w:szCs w:val="24"/>
        </w:rPr>
      </w:pPr>
      <w:r>
        <w:rPr>
          <w:rFonts w:ascii="Times New Roman" w:hAnsi="Times New Roman"/>
          <w:b/>
          <w:sz w:val="24"/>
        </w:rPr>
        <w:t>Управа за пољопривреду и развој села </w:t>
      </w:r>
      <w:r>
        <w:rPr>
          <w:rFonts w:ascii="Times New Roman" w:hAnsi="Times New Roman"/>
          <w:sz w:val="24"/>
        </w:rPr>
        <w:t>- </w:t>
      </w:r>
      <w:r>
        <w:rPr>
          <w:rFonts w:ascii="Times New Roman" w:hAnsi="Times New Roman"/>
          <w:sz w:val="24"/>
        </w:rPr>
        <w:t>Исказано је извршење у укупном износу од 45.134 хиљаде динара из буџета града у износу од 45.121 хиљаде динара и из осталих извора у износу од 13 хиљада динара. Исказани су расходи за: услуге очувања животне средине, науке и геодетске услуге у износу од 252 хиљаде динара и остале специјализоване услуге у износу од 44.882 хиљаде динара. Исказани расход односи се на директног буџетског корисника Управа за пољопривреду и развој села у износу од 45.049 хиљада динара и индиректног буџетског корисника Фонд за развој и самофинансирање заједничких потреба грађана у износу од 85 хиљада</w:t>
      </w:r>
      <w:r>
        <w:rPr>
          <w:rFonts w:ascii="Times New Roman" w:hAnsi="Times New Roman"/>
          <w:spacing w:val="-21"/>
          <w:sz w:val="24"/>
        </w:rPr>
        <w:t> </w:t>
      </w:r>
      <w:r>
        <w:rPr>
          <w:rFonts w:ascii="Times New Roman" w:hAnsi="Times New Roman"/>
          <w:sz w:val="24"/>
        </w:rPr>
        <w:t>динара.</w:t>
      </w:r>
    </w:p>
    <w:p>
      <w:pPr>
        <w:pStyle w:val="BodyText"/>
        <w:spacing w:line="240" w:lineRule="auto"/>
        <w:ind w:right="174" w:firstLine="566"/>
        <w:jc w:val="both"/>
      </w:pPr>
      <w:r>
        <w:rPr/>
        <w:t>Скупштина Града Ниша донела је Програм заштите, уређивања и коришћења пољопривредног земљишта на територији града Ниша за 2014. годину број 06</w:t>
      </w:r>
      <w:r>
        <w:rPr>
          <w:rFonts w:ascii="Times New Roman" w:hAnsi="Times New Roman"/>
        </w:rPr>
        <w:t>-183/2014- 34-</w:t>
      </w:r>
      <w:r>
        <w:rPr/>
        <w:t>02 од 14.04.2014. године, након прибављене сагласности Министарства  пољопривреде, шумарства и водопривреде Републике Србије број 320</w:t>
      </w:r>
      <w:r>
        <w:rPr>
          <w:rFonts w:ascii="Times New Roman" w:hAnsi="Times New Roman"/>
        </w:rPr>
        <w:t>-11-2691/2014-14  </w:t>
      </w:r>
      <w:r>
        <w:rPr/>
        <w:t>од 04.04.2014. године на Предлог годишњем програма заштите, уређења и коришћења пољопривредног земљишта на територији града Ниша за 2014. годину и Позитивног мишљења Комисије за давање мишљења на наведени Предлог годишњег програма од 03.04.2014. године. У Програму радова на заштити и уређењу пољопривредног земљишта за 2014. годину предвиђени су студијско</w:t>
      </w:r>
      <w:r>
        <w:rPr>
          <w:rFonts w:ascii="Times New Roman" w:hAnsi="Times New Roman"/>
        </w:rPr>
        <w:t>-</w:t>
      </w:r>
      <w:r>
        <w:rPr/>
        <w:t>истраживачки радови и пројекти везани за наводњавање пољопривредног земљишта. Извештај о утрошку средстава по Програму достављен је надлежном министарсту, дописом број 10</w:t>
      </w:r>
      <w:r>
        <w:rPr>
          <w:rFonts w:ascii="Times New Roman" w:hAnsi="Times New Roman"/>
        </w:rPr>
        <w:t>-</w:t>
      </w:r>
      <w:r>
        <w:rPr/>
        <w:t>68/2015 дана 22.01.2015.</w:t>
      </w:r>
      <w:r>
        <w:rPr>
          <w:spacing w:val="-14"/>
        </w:rPr>
        <w:t> </w:t>
      </w:r>
      <w:r>
        <w:rPr/>
        <w:t>године.</w:t>
      </w:r>
    </w:p>
    <w:p>
      <w:pPr>
        <w:pStyle w:val="BodyText"/>
        <w:spacing w:line="240" w:lineRule="auto"/>
        <w:ind w:right="172"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Остале специјализоване услуге, субаналитички конто 424911 </w:t>
      </w:r>
      <w:r>
        <w:rPr/>
        <w:t>– Исказан је расход у </w:t>
      </w:r>
      <w:r>
        <w:rPr/>
        <w:t>износу од 44.803 хиљаде динара, од којих су узорковани расходи: у износу од 1.898 хиљада динара за истражне радове за потребе наводњавања пољопривредних парцела и вршење</w:t>
      </w:r>
      <w:r>
        <w:rPr>
          <w:spacing w:val="18"/>
        </w:rPr>
        <w:t> </w:t>
      </w:r>
      <w:r>
        <w:rPr/>
        <w:t>повременог</w:t>
      </w:r>
      <w:r>
        <w:rPr>
          <w:spacing w:val="20"/>
        </w:rPr>
        <w:t> </w:t>
      </w:r>
      <w:r>
        <w:rPr/>
        <w:t>надзора</w:t>
      </w:r>
      <w:r>
        <w:rPr>
          <w:spacing w:val="19"/>
        </w:rPr>
        <w:t> </w:t>
      </w:r>
      <w:r>
        <w:rPr/>
        <w:t>над</w:t>
      </w:r>
      <w:r>
        <w:rPr>
          <w:spacing w:val="20"/>
        </w:rPr>
        <w:t> </w:t>
      </w:r>
      <w:r>
        <w:rPr/>
        <w:t>радовима,</w:t>
      </w:r>
      <w:r>
        <w:rPr>
          <w:spacing w:val="22"/>
        </w:rPr>
        <w:t> </w:t>
      </w:r>
      <w:r>
        <w:rPr/>
        <w:t>у</w:t>
      </w:r>
      <w:r>
        <w:rPr>
          <w:spacing w:val="15"/>
        </w:rPr>
        <w:t> </w:t>
      </w:r>
      <w:r>
        <w:rPr/>
        <w:t>износу</w:t>
      </w:r>
      <w:r>
        <w:rPr>
          <w:spacing w:val="13"/>
        </w:rPr>
        <w:t> </w:t>
      </w:r>
      <w:r>
        <w:rPr/>
        <w:t>од</w:t>
      </w:r>
      <w:r>
        <w:rPr>
          <w:spacing w:val="20"/>
        </w:rPr>
        <w:t> </w:t>
      </w:r>
      <w:r>
        <w:rPr/>
        <w:t>1.244</w:t>
      </w:r>
      <w:r>
        <w:rPr>
          <w:spacing w:val="20"/>
        </w:rPr>
        <w:t> </w:t>
      </w:r>
      <w:r>
        <w:rPr/>
        <w:t>хиљаде</w:t>
      </w:r>
      <w:r>
        <w:rPr>
          <w:spacing w:val="23"/>
        </w:rPr>
        <w:t> </w:t>
      </w:r>
      <w:r>
        <w:rPr/>
        <w:t>динара</w:t>
      </w:r>
      <w:r>
        <w:rPr>
          <w:spacing w:val="19"/>
        </w:rPr>
        <w:t> </w:t>
      </w:r>
      <w:r>
        <w:rPr/>
        <w:t>за</w:t>
      </w:r>
      <w:r>
        <w:rPr>
          <w:spacing w:val="19"/>
        </w:rPr>
        <w:t> </w:t>
      </w:r>
      <w:r>
        <w:rPr/>
        <w:t>исплату</w:t>
      </w:r>
    </w:p>
    <w:p>
      <w:pPr>
        <w:spacing w:after="0" w:line="240" w:lineRule="auto"/>
        <w:jc w:val="both"/>
        <w:sectPr>
          <w:pgSz w:w="12240" w:h="15840"/>
          <w:pgMar w:header="740" w:footer="1274" w:top="1280" w:bottom="1460" w:left="1400" w:right="1260"/>
        </w:sectPr>
      </w:pPr>
    </w:p>
    <w:p>
      <w:pPr>
        <w:pStyle w:val="BodyText"/>
        <w:spacing w:line="240" w:lineRule="auto" w:before="122"/>
        <w:ind w:right="253"/>
        <w:jc w:val="both"/>
      </w:pPr>
      <w:r>
        <w:rPr/>
        <w:t>накнаде за рад 24 стрелаца противградне заштите</w:t>
      </w:r>
      <w:r>
        <w:rPr>
          <w:rFonts w:ascii="Times New Roman" w:hAnsi="Times New Roman"/>
        </w:rPr>
        <w:t>, </w:t>
      </w:r>
      <w:r>
        <w:rPr/>
        <w:t>у износу од 13.984 хиљаде динара за уређење атарских путева на основу закључених уговора у 2013. години</w:t>
      </w:r>
      <w:r>
        <w:rPr>
          <w:rFonts w:ascii="Times New Roman" w:hAnsi="Times New Roman"/>
        </w:rPr>
        <w:t>, </w:t>
      </w:r>
      <w:r>
        <w:rPr/>
        <w:t>у износу од 456 хиљада динара за услугу тестирања четири бунара у насељима Горња Трнава, Веле Поље и Хум</w:t>
      </w:r>
      <w:r>
        <w:rPr>
          <w:rFonts w:ascii="Times New Roman" w:hAnsi="Times New Roman"/>
        </w:rPr>
        <w:t>, </w:t>
      </w:r>
      <w:r>
        <w:rPr/>
        <w:t>у износу од 1.561 хиљаде динара за израду техничке документације, у износу од 8.682 хиљаде динара за радове на изради шест истражно</w:t>
      </w:r>
      <w:r>
        <w:rPr>
          <w:rFonts w:ascii="Times New Roman" w:hAnsi="Times New Roman"/>
        </w:rPr>
        <w:t>-</w:t>
      </w:r>
      <w:r>
        <w:rPr/>
        <w:t>експлоатационих бунара и у износу од 778 хиљада динара за услугу вршења стручног надзора над истражним радовима ради експлоатације подземних вода за потребе</w:t>
      </w:r>
      <w:r>
        <w:rPr>
          <w:spacing w:val="-22"/>
        </w:rPr>
        <w:t> </w:t>
      </w:r>
      <w:r>
        <w:rPr/>
        <w:t>наводњавања.</w:t>
      </w:r>
    </w:p>
    <w:p>
      <w:pPr>
        <w:pStyle w:val="Heading1"/>
        <w:spacing w:line="275" w:lineRule="exact"/>
        <w:ind w:right="253"/>
        <w:jc w:val="left"/>
        <w:rPr>
          <w:b w:val="0"/>
          <w:bCs w:val="0"/>
        </w:rPr>
      </w:pPr>
      <w:r>
        <w:rPr/>
        <w:t>На основу ревизије узорковане документације утврђено</w:t>
      </w:r>
      <w:r>
        <w:rPr>
          <w:spacing w:val="-12"/>
        </w:rPr>
        <w:t> </w:t>
      </w:r>
      <w:r>
        <w:rPr/>
        <w:t>је:</w:t>
      </w:r>
      <w:r>
        <w:rPr>
          <w:b w:val="0"/>
        </w:rPr>
      </w:r>
    </w:p>
    <w:p>
      <w:pPr>
        <w:pStyle w:val="ListParagraph"/>
        <w:numPr>
          <w:ilvl w:val="0"/>
          <w:numId w:val="9"/>
        </w:numPr>
        <w:tabs>
          <w:tab w:pos="303" w:val="left" w:leader="none"/>
        </w:tabs>
        <w:spacing w:line="240" w:lineRule="auto" w:before="0" w:after="0"/>
        <w:ind w:left="160" w:right="25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Рачун „Хидро Гео Еко Инжењеринг“ доо Београд број 66/13 од 13.11.2013. године у износу од 211 хиљада динара на име услуге вршења повременог стручног геолошког надзора над израдом истражних бушотина и истражно</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експлоатационих бунара на локацијама села Веле Поље и Хум, по Уговору број 10</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1136/2013 од 01.10.2013. године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није потписан од стране лица које је исправу контролисало и лица одговорног за насталу пословну промену, што је супротно члану 58. Закона о буџетском систему и члану 16. Уредбе о буџетском</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рачуноводству.</w:t>
      </w:r>
    </w:p>
    <w:p>
      <w:pPr>
        <w:pStyle w:val="ListParagraph"/>
        <w:numPr>
          <w:ilvl w:val="0"/>
          <w:numId w:val="9"/>
        </w:numPr>
        <w:tabs>
          <w:tab w:pos="303" w:val="left" w:leader="none"/>
        </w:tabs>
        <w:spacing w:line="237" w:lineRule="auto" w:before="4" w:after="0"/>
        <w:ind w:left="160" w:right="263" w:firstLine="0"/>
        <w:jc w:val="both"/>
        <w:rPr>
          <w:rFonts w:ascii="Times New Roman" w:hAnsi="Times New Roman" w:cs="Times New Roman" w:eastAsia="Times New Roman" w:hint="default"/>
          <w:sz w:val="24"/>
          <w:szCs w:val="24"/>
        </w:rPr>
      </w:pPr>
      <w:r>
        <w:rPr>
          <w:rFonts w:ascii="Times New Roman" w:hAnsi="Times New Roman"/>
          <w:sz w:val="24"/>
        </w:rPr>
        <w:t>Извршен је расход у износу од 1.244 хиљаде динара за накнаде противградним стрелцима, без основа који је у складу са законом, што је супротно члану 56. и 58. Закона о буџетском</w:t>
      </w:r>
      <w:r>
        <w:rPr>
          <w:rFonts w:ascii="Times New Roman" w:hAnsi="Times New Roman"/>
          <w:spacing w:val="-11"/>
          <w:sz w:val="24"/>
        </w:rPr>
        <w:t> </w:t>
      </w:r>
      <w:r>
        <w:rPr>
          <w:rFonts w:ascii="Times New Roman" w:hAnsi="Times New Roman"/>
          <w:sz w:val="24"/>
        </w:rPr>
        <w:t>систему.</w:t>
      </w:r>
    </w:p>
    <w:p>
      <w:pPr>
        <w:pStyle w:val="ListParagraph"/>
        <w:numPr>
          <w:ilvl w:val="0"/>
          <w:numId w:val="9"/>
        </w:numPr>
        <w:tabs>
          <w:tab w:pos="303" w:val="left" w:leader="none"/>
        </w:tabs>
        <w:spacing w:line="240" w:lineRule="auto" w:before="2" w:after="0"/>
        <w:ind w:left="160" w:right="25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Извођач радова на уређењу атарских путева „Про домо“ доо Ниш по Уговору број 10</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1556/2014 од 03.09.2014. године и „CD HIS“ доо Ниш по Уговору број 10</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1557/2014 од 03.09.2014. године уведени су у посао касније у односу на уговорени рок, што је супротно члану 5. наведених уговора. Извођачи радова су уведени у посао 16.09.2014. године, а уговорен је рок увођења у посао од три дана од дана закључења</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уговора.</w:t>
      </w:r>
    </w:p>
    <w:p>
      <w:pPr>
        <w:pStyle w:val="ListParagraph"/>
        <w:numPr>
          <w:ilvl w:val="0"/>
          <w:numId w:val="9"/>
        </w:numPr>
        <w:tabs>
          <w:tab w:pos="303" w:val="left" w:leader="none"/>
        </w:tabs>
        <w:spacing w:line="240" w:lineRule="auto" w:before="2" w:after="0"/>
        <w:ind w:left="160" w:right="25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је евидентиран износ од 34.477 хиљада динара на групи 424000</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специјализоване услуге, уместо на групи 425000 – текуће поправке и одржавање у износу од 25.445 хиљада динара за радове на уређењу атарских путева и уместо на групи </w:t>
      </w:r>
      <w:r>
        <w:rPr>
          <w:rFonts w:ascii="Times New Roman" w:hAnsi="Times New Roman" w:cs="Times New Roman" w:eastAsia="Times New Roman" w:hint="default"/>
          <w:sz w:val="24"/>
          <w:szCs w:val="24"/>
        </w:rPr>
        <w:t>511000-</w:t>
      </w:r>
      <w:r>
        <w:rPr>
          <w:rFonts w:ascii="Times New Roman" w:hAnsi="Times New Roman" w:cs="Times New Roman" w:eastAsia="Times New Roman" w:hint="default"/>
          <w:sz w:val="24"/>
          <w:szCs w:val="24"/>
        </w:rPr>
        <w:t>зграде и грађевински објекти у износу од </w:t>
      </w:r>
      <w:r>
        <w:rPr>
          <w:rFonts w:ascii="Times New Roman" w:hAnsi="Times New Roman" w:cs="Times New Roman" w:eastAsia="Times New Roman" w:hint="default"/>
          <w:sz w:val="24"/>
          <w:szCs w:val="24"/>
        </w:rPr>
        <w:t>9.032 </w:t>
      </w:r>
      <w:r>
        <w:rPr>
          <w:rFonts w:ascii="Times New Roman" w:hAnsi="Times New Roman" w:cs="Times New Roman" w:eastAsia="Times New Roman" w:hint="default"/>
          <w:sz w:val="24"/>
          <w:szCs w:val="24"/>
        </w:rPr>
        <w:t>хиљаде динара за радове на изради бунара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што је супротно члану 9. Уредбе о буџетском рачуноводству и Правилнику о стандардном класификационом оквиру и контном плану за буџетски систем.</w:t>
      </w:r>
    </w:p>
    <w:p>
      <w:pPr>
        <w:pStyle w:val="Heading2"/>
        <w:spacing w:line="240" w:lineRule="auto"/>
        <w:ind w:right="256"/>
        <w:jc w:val="both"/>
        <w:rPr>
          <w:b w:val="0"/>
          <w:bCs w:val="0"/>
          <w:i w:val="0"/>
        </w:rPr>
      </w:pPr>
      <w:r>
        <w:rPr>
          <w:i/>
        </w:rPr>
        <w:t>Препоручује се одговорним лицима да обезбеде валидну документацију за сваки расход из буџета, обезбеде основ за сваки расход из буџета</w:t>
      </w:r>
      <w:r>
        <w:rPr>
          <w:rFonts w:ascii="Times New Roman" w:hAnsi="Times New Roman"/>
          <w:i/>
        </w:rPr>
        <w:t>, </w:t>
      </w:r>
      <w:r>
        <w:rPr>
          <w:i/>
        </w:rPr>
        <w:t>обезбеде правилну примену одредби закључених уговора</w:t>
      </w:r>
      <w:r>
        <w:rPr>
          <w:rFonts w:ascii="Times New Roman" w:hAnsi="Times New Roman"/>
          <w:i/>
        </w:rPr>
        <w:t>, </w:t>
      </w:r>
      <w:r>
        <w:rPr>
          <w:i/>
        </w:rPr>
        <w:t>Уредбе о буџетском рачуноводству и Правилника о стандардном класификационом оквиру и контном плану за буџетски систем.</w:t>
      </w:r>
      <w:r>
        <w:rPr>
          <w:b w:val="0"/>
          <w:i w:val="0"/>
        </w:rPr>
      </w:r>
    </w:p>
    <w:p>
      <w:pPr>
        <w:pStyle w:val="Heading1"/>
        <w:spacing w:line="274" w:lineRule="exact" w:before="201"/>
        <w:ind w:left="160" w:right="0"/>
        <w:jc w:val="both"/>
        <w:rPr>
          <w:b w:val="0"/>
          <w:bCs w:val="0"/>
        </w:rPr>
      </w:pPr>
      <w:bookmarkStart w:name="_bookmark20" w:id="36"/>
      <w:bookmarkEnd w:id="36"/>
      <w:r>
        <w:rPr>
          <w:b w:val="0"/>
        </w:rPr>
      </w:r>
      <w:r>
        <w:rPr>
          <w:rFonts w:ascii="Times New Roman" w:hAnsi="Times New Roman"/>
        </w:rPr>
        <w:t>4.1.4.12 </w:t>
      </w:r>
      <w:r>
        <w:rPr/>
        <w:t>Текуће поправке и одржавање, група</w:t>
      </w:r>
      <w:r>
        <w:rPr>
          <w:spacing w:val="-14"/>
        </w:rPr>
        <w:t> </w:t>
      </w:r>
      <w:r>
        <w:rPr/>
        <w:t>425000</w:t>
      </w:r>
      <w:r>
        <w:rPr>
          <w:b w:val="0"/>
        </w:rPr>
      </w:r>
    </w:p>
    <w:p>
      <w:pPr>
        <w:pStyle w:val="BodyText"/>
        <w:spacing w:line="240" w:lineRule="auto"/>
        <w:ind w:right="257" w:firstLine="566"/>
        <w:jc w:val="both"/>
      </w:pPr>
      <w:r>
        <w:rPr/>
        <w:t>Група 42</w:t>
      </w:r>
      <w:r>
        <w:rPr>
          <w:rFonts w:ascii="Times New Roman" w:hAnsi="Times New Roman" w:cs="Times New Roman" w:eastAsia="Times New Roman" w:hint="default"/>
        </w:rPr>
        <w:t>5000 </w:t>
      </w:r>
      <w:r>
        <w:rPr/>
        <w:t>– Текуће поправке и одржавање садржи синтетичка конта: текуће поправке и одржавање зграда и објеката и текуће поправке и одржавање</w:t>
      </w:r>
      <w:r>
        <w:rPr>
          <w:spacing w:val="-19"/>
        </w:rPr>
        <w:t> </w:t>
      </w:r>
      <w:r>
        <w:rPr/>
        <w:t>опреме.</w:t>
      </w:r>
    </w:p>
    <w:p>
      <w:pPr>
        <w:spacing w:before="2" w:after="4"/>
        <w:ind w:left="0" w:right="252" w:firstLine="0"/>
        <w:jc w:val="right"/>
        <w:rPr>
          <w:rFonts w:ascii="Times New Roman" w:hAnsi="Times New Roman" w:cs="Times New Roman" w:eastAsia="Times New Roman" w:hint="default"/>
          <w:sz w:val="16"/>
          <w:szCs w:val="16"/>
        </w:rPr>
      </w:pPr>
      <w:r>
        <w:rPr>
          <w:rFonts w:ascii="Times New Roman" w:hAnsi="Times New Roman"/>
          <w:sz w:val="16"/>
        </w:rPr>
        <w:t>(</w:t>
      </w:r>
      <w:r>
        <w:rPr>
          <w:rFonts w:ascii="Times New Roman" w:hAnsi="Times New Roman"/>
          <w:sz w:val="16"/>
        </w:rPr>
        <w:t>у хиљадама</w:t>
      </w:r>
      <w:r>
        <w:rPr>
          <w:rFonts w:ascii="Times New Roman" w:hAnsi="Times New Roman"/>
          <w:spacing w:val="-4"/>
          <w:sz w:val="16"/>
        </w:rPr>
        <w:t> </w:t>
      </w:r>
      <w:r>
        <w:rPr>
          <w:rFonts w:ascii="Times New Roman" w:hAnsi="Times New Roman"/>
          <w:sz w:val="16"/>
        </w:rPr>
        <w:t>динара</w:t>
      </w:r>
      <w:r>
        <w:rPr>
          <w:rFonts w:ascii="Times New Roman" w:hAnsi="Times New Roman"/>
          <w:sz w:val="16"/>
        </w:rPr>
        <w:t>)</w:t>
      </w:r>
    </w:p>
    <w:tbl>
      <w:tblPr>
        <w:tblW w:w="0" w:type="auto"/>
        <w:jc w:val="left"/>
        <w:tblInd w:w="141" w:type="dxa"/>
        <w:tblLayout w:type="fixed"/>
        <w:tblCellMar>
          <w:top w:w="0" w:type="dxa"/>
          <w:left w:w="0" w:type="dxa"/>
          <w:bottom w:w="0" w:type="dxa"/>
          <w:right w:w="0" w:type="dxa"/>
        </w:tblCellMar>
        <w:tblLook w:val="01E0"/>
      </w:tblPr>
      <w:tblGrid>
        <w:gridCol w:w="876"/>
        <w:gridCol w:w="2542"/>
        <w:gridCol w:w="960"/>
        <w:gridCol w:w="1351"/>
        <w:gridCol w:w="1045"/>
        <w:gridCol w:w="936"/>
        <w:gridCol w:w="848"/>
        <w:gridCol w:w="845"/>
      </w:tblGrid>
      <w:tr>
        <w:trPr>
          <w:trHeight w:val="50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261" w:right="178" w:hanging="72"/>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4"/>
              <w:ind w:left="463"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8"/>
                <w:sz w:val="18"/>
              </w:rPr>
              <w:t> </w:t>
            </w:r>
            <w:r>
              <w:rPr>
                <w:rFonts w:ascii="Times New Roman" w:hAnsi="Times New Roman"/>
                <w:b/>
                <w:sz w:val="18"/>
              </w:rPr>
              <w:t>корисник</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4"/>
              <w:ind w:right="103"/>
              <w:jc w:val="right"/>
              <w:rPr>
                <w:rFonts w:ascii="Times New Roman" w:hAnsi="Times New Roman" w:cs="Times New Roman" w:eastAsia="Times New Roman" w:hint="default"/>
                <w:sz w:val="18"/>
                <w:szCs w:val="18"/>
              </w:rPr>
            </w:pPr>
            <w:r>
              <w:rPr>
                <w:rFonts w:ascii="Times New Roman" w:hAnsi="Times New Roman"/>
                <w:b/>
                <w:spacing w:val="-1"/>
                <w:sz w:val="18"/>
              </w:rPr>
              <w:t>Ребаланс</w:t>
            </w:r>
            <w:r>
              <w:rPr>
                <w:rFonts w:ascii="Times New Roman" w:hAns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03" w:right="93" w:firstLine="88"/>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реалокацијом</w:t>
            </w:r>
            <w:r>
              <w:rPr>
                <w:rFonts w:ascii="Times New Roman" w:hAnsi="Times New Roman"/>
                <w:sz w:val="18"/>
              </w:rPr>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03" w:right="93"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15" w:right="104"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02" w:right="110"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02" w:right="107"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4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403" w:right="0"/>
              <w:jc w:val="left"/>
              <w:rPr>
                <w:rFonts w:ascii="Times New Roman" w:hAnsi="Times New Roman" w:cs="Times New Roman" w:eastAsia="Times New Roman" w:hint="default"/>
                <w:sz w:val="12"/>
                <w:szCs w:val="12"/>
              </w:rPr>
            </w:pPr>
            <w:r>
              <w:rPr>
                <w:rFonts w:ascii="Times New Roman"/>
                <w:sz w:val="12"/>
              </w:rPr>
              <w:t>1</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2"/>
              <w:jc w:val="center"/>
              <w:rPr>
                <w:rFonts w:ascii="Times New Roman" w:hAnsi="Times New Roman" w:cs="Times New Roman" w:eastAsia="Times New Roman" w:hint="default"/>
                <w:sz w:val="12"/>
                <w:szCs w:val="12"/>
              </w:rPr>
            </w:pPr>
            <w:r>
              <w:rPr>
                <w:rFonts w:ascii="Times New Roman"/>
                <w:sz w:val="12"/>
              </w:rPr>
              <w:t>2</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4</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6</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2" w:right="0"/>
              <w:jc w:val="center"/>
              <w:rPr>
                <w:rFonts w:ascii="Times New Roman" w:hAnsi="Times New Roman" w:cs="Times New Roman" w:eastAsia="Times New Roman" w:hint="default"/>
                <w:sz w:val="12"/>
                <w:szCs w:val="12"/>
              </w:rPr>
            </w:pPr>
            <w:r>
              <w:rPr>
                <w:rFonts w:ascii="Times New Roman"/>
                <w:sz w:val="12"/>
              </w:rPr>
              <w:t>8</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1</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Служба за одржавање и</w:t>
            </w:r>
            <w:r>
              <w:rPr>
                <w:rFonts w:ascii="Times New Roman" w:hAnsi="Times New Roman"/>
                <w:spacing w:val="-6"/>
                <w:sz w:val="18"/>
              </w:rPr>
              <w:t> </w:t>
            </w:r>
            <w:r>
              <w:rPr>
                <w:rFonts w:ascii="Times New Roman" w:hAnsi="Times New Roman"/>
                <w:sz w:val="18"/>
              </w:rPr>
              <w:t>ИКТ</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23.200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23.200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14.248</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13.046</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56,23</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7"/>
              <w:jc w:val="right"/>
              <w:rPr>
                <w:rFonts w:ascii="Times New Roman" w:hAnsi="Times New Roman" w:cs="Times New Roman" w:eastAsia="Times New Roman" w:hint="default"/>
                <w:sz w:val="18"/>
                <w:szCs w:val="18"/>
              </w:rPr>
            </w:pPr>
            <w:r>
              <w:rPr>
                <w:rFonts w:ascii="Times New Roman"/>
                <w:sz w:val="18"/>
              </w:rPr>
              <w:t>91,56</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386" w:right="0"/>
              <w:jc w:val="left"/>
              <w:rPr>
                <w:rFonts w:ascii="Times New Roman" w:hAnsi="Times New Roman" w:cs="Times New Roman" w:eastAsia="Times New Roman" w:hint="default"/>
                <w:sz w:val="18"/>
                <w:szCs w:val="18"/>
              </w:rPr>
            </w:pPr>
            <w:r>
              <w:rPr>
                <w:rFonts w:ascii="Times New Roman"/>
                <w:sz w:val="18"/>
              </w:rPr>
              <w:t>2</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омладину и</w:t>
            </w:r>
            <w:r>
              <w:rPr>
                <w:rFonts w:ascii="Times New Roman" w:hAnsi="Times New Roman"/>
                <w:spacing w:val="-8"/>
                <w:sz w:val="18"/>
              </w:rPr>
              <w:t> </w:t>
            </w:r>
            <w:r>
              <w:rPr>
                <w:rFonts w:ascii="Times New Roman" w:hAnsi="Times New Roman"/>
                <w:sz w:val="18"/>
              </w:rPr>
              <w:t>спорт</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z w:val="18"/>
              </w:rPr>
              <w:t>9.767</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z w:val="18"/>
              </w:rPr>
              <w:t>9.767</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z w:val="18"/>
              </w:rPr>
              <w:t>3.377</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z w:val="18"/>
              </w:rPr>
              <w:t>3.229</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z w:val="18"/>
              </w:rPr>
              <w:t>33,06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97"/>
              <w:jc w:val="right"/>
              <w:rPr>
                <w:rFonts w:ascii="Times New Roman" w:hAnsi="Times New Roman" w:cs="Times New Roman" w:eastAsia="Times New Roman" w:hint="default"/>
                <w:sz w:val="18"/>
                <w:szCs w:val="18"/>
              </w:rPr>
            </w:pPr>
            <w:r>
              <w:rPr>
                <w:rFonts w:ascii="Times New Roman"/>
                <w:sz w:val="18"/>
              </w:rPr>
              <w:t>95,62</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hAnsi="Times New Roman"/>
                <w:sz w:val="18"/>
              </w:rPr>
              <w:t>2а</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СЦ</w:t>
            </w:r>
            <w:r>
              <w:rPr>
                <w:rFonts w:ascii="Times New Roman" w:hAnsi="Times New Roman"/>
                <w:spacing w:val="-1"/>
                <w:sz w:val="18"/>
              </w:rPr>
              <w:t> </w:t>
            </w:r>
            <w:r>
              <w:rPr>
                <w:rFonts w:ascii="Times New Roman" w:hAnsi="Times New Roman"/>
                <w:sz w:val="18"/>
              </w:rPr>
              <w:t>Чаир</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9.767</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9.767</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3.377</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3.229</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33,06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7"/>
              <w:jc w:val="right"/>
              <w:rPr>
                <w:rFonts w:ascii="Times New Roman" w:hAnsi="Times New Roman" w:cs="Times New Roman" w:eastAsia="Times New Roman" w:hint="default"/>
                <w:sz w:val="18"/>
                <w:szCs w:val="18"/>
              </w:rPr>
            </w:pPr>
            <w:r>
              <w:rPr>
                <w:rFonts w:ascii="Times New Roman"/>
                <w:sz w:val="18"/>
              </w:rPr>
              <w:t>95,62</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86" w:right="0"/>
              <w:jc w:val="left"/>
              <w:rPr>
                <w:rFonts w:ascii="Times New Roman" w:hAnsi="Times New Roman" w:cs="Times New Roman" w:eastAsia="Times New Roman" w:hint="default"/>
                <w:sz w:val="18"/>
                <w:szCs w:val="18"/>
              </w:rPr>
            </w:pPr>
            <w:r>
              <w:rPr>
                <w:rFonts w:ascii="Times New Roman"/>
                <w:sz w:val="18"/>
              </w:rPr>
              <w:t>3</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5"/>
                <w:sz w:val="18"/>
              </w:rPr>
              <w:t> </w:t>
            </w:r>
            <w:r>
              <w:rPr>
                <w:rFonts w:ascii="Times New Roman" w:hAnsi="Times New Roman"/>
                <w:sz w:val="18"/>
              </w:rPr>
              <w:t>образовање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13.655</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16.954</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13.522</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13.113</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77,34</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7"/>
              <w:jc w:val="right"/>
              <w:rPr>
                <w:rFonts w:ascii="Times New Roman" w:hAnsi="Times New Roman" w:cs="Times New Roman" w:eastAsia="Times New Roman" w:hint="default"/>
                <w:sz w:val="18"/>
                <w:szCs w:val="18"/>
              </w:rPr>
            </w:pPr>
            <w:r>
              <w:rPr>
                <w:rFonts w:ascii="Times New Roman"/>
                <w:sz w:val="18"/>
              </w:rPr>
              <w:t>96,98</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hAnsi="Times New Roman"/>
                <w:sz w:val="18"/>
              </w:rPr>
              <w:t>3а</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ПУ</w:t>
            </w:r>
            <w:r>
              <w:rPr>
                <w:rFonts w:ascii="Times New Roman" w:hAnsi="Times New Roman"/>
                <w:spacing w:val="-5"/>
                <w:sz w:val="18"/>
              </w:rPr>
              <w:t> </w:t>
            </w:r>
            <w:r>
              <w:rPr>
                <w:rFonts w:ascii="Times New Roman" w:hAnsi="Times New Roman"/>
                <w:sz w:val="18"/>
              </w:rPr>
              <w:t>Пчелица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13.000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16.299</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13.322</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12.913</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79,23</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7"/>
              <w:jc w:val="right"/>
              <w:rPr>
                <w:rFonts w:ascii="Times New Roman" w:hAnsi="Times New Roman" w:cs="Times New Roman" w:eastAsia="Times New Roman" w:hint="default"/>
                <w:sz w:val="18"/>
                <w:szCs w:val="18"/>
              </w:rPr>
            </w:pPr>
            <w:r>
              <w:rPr>
                <w:rFonts w:ascii="Times New Roman"/>
                <w:sz w:val="18"/>
              </w:rPr>
              <w:t>96,93</w:t>
            </w:r>
          </w:p>
        </w:tc>
      </w:tr>
    </w:tbl>
    <w:p>
      <w:pPr>
        <w:spacing w:after="0" w:line="202" w:lineRule="exact"/>
        <w:jc w:val="right"/>
        <w:rPr>
          <w:rFonts w:ascii="Times New Roman" w:hAnsi="Times New Roman" w:cs="Times New Roman" w:eastAsia="Times New Roman" w:hint="default"/>
          <w:sz w:val="18"/>
          <w:szCs w:val="18"/>
        </w:rPr>
        <w:sectPr>
          <w:pgSz w:w="12240" w:h="15840"/>
          <w:pgMar w:header="740" w:footer="1274" w:top="1280" w:bottom="1460" w:left="1400" w:right="1180"/>
        </w:sectPr>
      </w:pPr>
    </w:p>
    <w:p>
      <w:pPr>
        <w:spacing w:line="240" w:lineRule="auto" w:before="3"/>
        <w:rPr>
          <w:rFonts w:ascii="Times New Roman" w:hAnsi="Times New Roman" w:cs="Times New Roman" w:eastAsia="Times New Roman" w:hint="default"/>
          <w:sz w:val="11"/>
          <w:szCs w:val="11"/>
        </w:rPr>
      </w:pPr>
    </w:p>
    <w:tbl>
      <w:tblPr>
        <w:tblW w:w="0" w:type="auto"/>
        <w:jc w:val="left"/>
        <w:tblInd w:w="141" w:type="dxa"/>
        <w:tblLayout w:type="fixed"/>
        <w:tblCellMar>
          <w:top w:w="0" w:type="dxa"/>
          <w:left w:w="0" w:type="dxa"/>
          <w:bottom w:w="0" w:type="dxa"/>
          <w:right w:w="0" w:type="dxa"/>
        </w:tblCellMar>
        <w:tblLook w:val="01E0"/>
      </w:tblPr>
      <w:tblGrid>
        <w:gridCol w:w="876"/>
        <w:gridCol w:w="2542"/>
        <w:gridCol w:w="960"/>
        <w:gridCol w:w="1351"/>
        <w:gridCol w:w="1045"/>
        <w:gridCol w:w="936"/>
        <w:gridCol w:w="848"/>
        <w:gridCol w:w="845"/>
      </w:tblGrid>
      <w:tr>
        <w:trPr>
          <w:trHeight w:val="221"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86" w:right="0"/>
              <w:jc w:val="left"/>
              <w:rPr>
                <w:rFonts w:ascii="Times New Roman" w:hAnsi="Times New Roman" w:cs="Times New Roman" w:eastAsia="Times New Roman" w:hint="default"/>
                <w:sz w:val="18"/>
                <w:szCs w:val="18"/>
              </w:rPr>
            </w:pPr>
            <w:r>
              <w:rPr>
                <w:rFonts w:ascii="Times New Roman"/>
                <w:sz w:val="18"/>
              </w:rPr>
              <w:t>4</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ком.</w:t>
            </w:r>
            <w:r>
              <w:rPr>
                <w:rFonts w:ascii="Times New Roman" w:hAnsi="Times New Roman"/>
                <w:spacing w:val="-10"/>
                <w:sz w:val="18"/>
              </w:rPr>
              <w:t> </w:t>
            </w:r>
            <w:r>
              <w:rPr>
                <w:rFonts w:ascii="Times New Roman" w:hAnsi="Times New Roman"/>
                <w:sz w:val="18"/>
              </w:rPr>
              <w:t>делатн.</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pacing w:val="-1"/>
                <w:sz w:val="18"/>
              </w:rPr>
              <w:t>732.961</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732.961</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pacing w:val="-1"/>
                <w:sz w:val="18"/>
              </w:rPr>
              <w:t>423.732</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275.603</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37,60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7"/>
              <w:jc w:val="right"/>
              <w:rPr>
                <w:rFonts w:ascii="Times New Roman" w:hAnsi="Times New Roman" w:cs="Times New Roman" w:eastAsia="Times New Roman" w:hint="default"/>
                <w:sz w:val="18"/>
                <w:szCs w:val="18"/>
              </w:rPr>
            </w:pPr>
            <w:r>
              <w:rPr>
                <w:rFonts w:ascii="Times New Roman"/>
                <w:sz w:val="18"/>
              </w:rPr>
              <w:t>65,04</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9"/>
              <w:jc w:val="right"/>
              <w:rPr>
                <w:rFonts w:ascii="Times New Roman" w:hAnsi="Times New Roman" w:cs="Times New Roman" w:eastAsia="Times New Roman" w:hint="default"/>
                <w:sz w:val="18"/>
                <w:szCs w:val="18"/>
              </w:rPr>
            </w:pPr>
            <w:r>
              <w:rPr>
                <w:rFonts w:ascii="Times New Roman" w:hAnsi="Times New Roman"/>
                <w:sz w:val="18"/>
              </w:rPr>
              <w:t>4а</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ЈП</w:t>
            </w:r>
            <w:r>
              <w:rPr>
                <w:rFonts w:ascii="Times New Roman" w:hAnsi="Times New Roman"/>
                <w:spacing w:val="-6"/>
                <w:sz w:val="18"/>
              </w:rPr>
              <w:t> </w:t>
            </w:r>
            <w:r>
              <w:rPr>
                <w:rFonts w:ascii="Times New Roman" w:hAnsi="Times New Roman"/>
                <w:sz w:val="18"/>
              </w:rPr>
              <w:t>Дирекција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pacing w:val="-1"/>
                <w:sz w:val="18"/>
              </w:rPr>
              <w:t>685.961</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685.961</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pacing w:val="-1"/>
                <w:sz w:val="18"/>
              </w:rPr>
              <w:t>400.172</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252.043</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36,74</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7"/>
              <w:jc w:val="right"/>
              <w:rPr>
                <w:rFonts w:ascii="Times New Roman" w:hAnsi="Times New Roman" w:cs="Times New Roman" w:eastAsia="Times New Roman" w:hint="default"/>
                <w:sz w:val="18"/>
                <w:szCs w:val="18"/>
              </w:rPr>
            </w:pPr>
            <w:r>
              <w:rPr>
                <w:rFonts w:ascii="Times New Roman"/>
                <w:sz w:val="18"/>
              </w:rPr>
              <w:t>62,98</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5</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6"/>
                <w:sz w:val="18"/>
              </w:rPr>
              <w:t> </w:t>
            </w:r>
            <w:r>
              <w:rPr>
                <w:rFonts w:ascii="Times New Roman" w:hAnsi="Times New Roman"/>
                <w:sz w:val="18"/>
              </w:rPr>
              <w:t>културу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5.018</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5.018</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2.615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3.107</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61,92</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118,81</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hAnsi="Times New Roman"/>
                <w:sz w:val="18"/>
              </w:rPr>
              <w:t>5а</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Народни</w:t>
            </w:r>
            <w:r>
              <w:rPr>
                <w:rFonts w:ascii="Times New Roman" w:hAnsi="Times New Roman"/>
                <w:spacing w:val="-5"/>
                <w:sz w:val="18"/>
              </w:rPr>
              <w:t> </w:t>
            </w:r>
            <w:r>
              <w:rPr>
                <w:rFonts w:ascii="Times New Roman" w:hAnsi="Times New Roman"/>
                <w:sz w:val="18"/>
              </w:rPr>
              <w:t>музеј</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530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530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321</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813</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153,40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253,27</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6</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7"/>
                <w:sz w:val="18"/>
              </w:rPr>
              <w:t> </w:t>
            </w:r>
            <w:r>
              <w:rPr>
                <w:rFonts w:ascii="Times New Roman" w:hAnsi="Times New Roman"/>
                <w:sz w:val="18"/>
              </w:rPr>
              <w:t>пољопривреду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1.350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1.350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392</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29.199</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2.162,89</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7.448,72</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7</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9"/>
                <w:sz w:val="18"/>
              </w:rPr>
              <w:t> </w:t>
            </w:r>
            <w:r>
              <w:rPr>
                <w:rFonts w:ascii="Times New Roman" w:hAnsi="Times New Roman"/>
                <w:sz w:val="18"/>
              </w:rPr>
              <w:t>финансије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200</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0,00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0,00</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86" w:right="0"/>
              <w:jc w:val="left"/>
              <w:rPr>
                <w:rFonts w:ascii="Times New Roman" w:hAnsi="Times New Roman" w:cs="Times New Roman" w:eastAsia="Times New Roman" w:hint="default"/>
                <w:sz w:val="18"/>
                <w:szCs w:val="18"/>
              </w:rPr>
            </w:pPr>
            <w:r>
              <w:rPr>
                <w:rFonts w:ascii="Times New Roman"/>
                <w:sz w:val="18"/>
              </w:rPr>
              <w:t>8</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Градско јавно</w:t>
            </w:r>
            <w:r>
              <w:rPr>
                <w:rFonts w:ascii="Times New Roman" w:hAnsi="Times New Roman"/>
                <w:spacing w:val="-8"/>
                <w:sz w:val="18"/>
              </w:rPr>
              <w:t> </w:t>
            </w:r>
            <w:r>
              <w:rPr>
                <w:rFonts w:ascii="Times New Roman" w:hAnsi="Times New Roman"/>
                <w:sz w:val="18"/>
              </w:rPr>
              <w:t>правобранил</w:t>
            </w:r>
            <w:r>
              <w:rPr>
                <w:rFonts w:ascii="Times New Roman" w:hAnsi="Times New Roman"/>
                <w:sz w:val="18"/>
              </w:rPr>
              <w:t>.</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208</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0,00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7"/>
              <w:jc w:val="right"/>
              <w:rPr>
                <w:rFonts w:ascii="Times New Roman" w:hAnsi="Times New Roman" w:cs="Times New Roman" w:eastAsia="Times New Roman" w:hint="default"/>
                <w:sz w:val="18"/>
                <w:szCs w:val="18"/>
              </w:rPr>
            </w:pPr>
            <w:r>
              <w:rPr>
                <w:rFonts w:ascii="Times New Roman"/>
                <w:spacing w:val="-1"/>
                <w:sz w:val="18"/>
              </w:rPr>
              <w:t>0,00</w:t>
            </w:r>
          </w:p>
        </w:tc>
      </w:tr>
      <w:tr>
        <w:trPr>
          <w:trHeight w:val="216" w:hRule="exact"/>
        </w:trPr>
        <w:tc>
          <w:tcPr>
            <w:tcW w:w="3418"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719" w:right="0"/>
              <w:jc w:val="left"/>
              <w:rPr>
                <w:rFonts w:ascii="Times New Roman" w:hAnsi="Times New Roman" w:cs="Times New Roman" w:eastAsia="Times New Roman" w:hint="default"/>
                <w:sz w:val="18"/>
                <w:szCs w:val="18"/>
              </w:rPr>
            </w:pPr>
            <w:r>
              <w:rPr>
                <w:rFonts w:ascii="Times New Roman" w:hAnsi="Times New Roman"/>
                <w:b/>
                <w:sz w:val="18"/>
              </w:rPr>
              <w:t>Укупно корисници</w:t>
            </w:r>
            <w:r>
              <w:rPr>
                <w:rFonts w:ascii="Times New Roman" w:hAnsi="Times New Roman"/>
                <w:b/>
                <w:spacing w:val="-2"/>
                <w:sz w:val="18"/>
              </w:rPr>
              <w:t> </w:t>
            </w:r>
            <w:r>
              <w:rPr>
                <w:rFonts w:ascii="Times New Roman" w:hAnsi="Times New Roman"/>
                <w:b/>
                <w:sz w:val="18"/>
              </w:rPr>
              <w:t>(1</w:t>
            </w:r>
            <w:r>
              <w:rPr>
                <w:rFonts w:ascii="Times New Roman" w:hAnsi="Times New Roman"/>
                <w:b/>
                <w:sz w:val="18"/>
              </w:rPr>
              <w:t>-8)</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pacing w:val="-1"/>
                <w:sz w:val="18"/>
              </w:rPr>
              <w:t>785.951</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789.250</w:t>
            </w:r>
            <w:r>
              <w:rPr>
                <w:rFonts w:ascii="Times New Roman"/>
                <w:spacing w:val="-1"/>
                <w:sz w:val="18"/>
              </w:rPr>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pacing w:val="-1"/>
                <w:sz w:val="18"/>
              </w:rPr>
              <w:t>457.886</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337.705</w:t>
            </w:r>
            <w:r>
              <w:rPr>
                <w:rFonts w:ascii="Times New Roman"/>
                <w:spacing w:val="-1"/>
                <w:sz w:val="18"/>
              </w:rPr>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42,79</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7"/>
              <w:jc w:val="right"/>
              <w:rPr>
                <w:rFonts w:ascii="Times New Roman" w:hAnsi="Times New Roman" w:cs="Times New Roman" w:eastAsia="Times New Roman" w:hint="default"/>
                <w:sz w:val="18"/>
                <w:szCs w:val="18"/>
              </w:rPr>
            </w:pPr>
            <w:r>
              <w:rPr>
                <w:rFonts w:ascii="Times New Roman"/>
                <w:sz w:val="18"/>
              </w:rPr>
              <w:t>73,75</w:t>
            </w:r>
          </w:p>
        </w:tc>
      </w:tr>
      <w:tr>
        <w:trPr>
          <w:trHeight w:val="218" w:hRule="exact"/>
        </w:trPr>
        <w:tc>
          <w:tcPr>
            <w:tcW w:w="3418"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571" w:right="0"/>
              <w:jc w:val="left"/>
              <w:rPr>
                <w:rFonts w:ascii="Times New Roman" w:hAnsi="Times New Roman" w:cs="Times New Roman" w:eastAsia="Times New Roman" w:hint="default"/>
                <w:sz w:val="18"/>
                <w:szCs w:val="18"/>
              </w:rPr>
            </w:pPr>
            <w:r>
              <w:rPr>
                <w:rFonts w:ascii="Times New Roman" w:hAnsi="Times New Roman"/>
                <w:b/>
                <w:sz w:val="18"/>
              </w:rPr>
              <w:t>Укупно Град </w:t>
            </w:r>
            <w:r>
              <w:rPr>
                <w:rFonts w:ascii="Times New Roman" w:hAnsi="Times New Roman"/>
                <w:b/>
                <w:sz w:val="18"/>
              </w:rPr>
              <w:t>- </w:t>
            </w:r>
            <w:r>
              <w:rPr>
                <w:rFonts w:ascii="Times New Roman" w:hAnsi="Times New Roman"/>
                <w:b/>
                <w:sz w:val="18"/>
              </w:rPr>
              <w:t>група</w:t>
            </w:r>
            <w:r>
              <w:rPr>
                <w:rFonts w:ascii="Times New Roman" w:hAnsi="Times New Roman"/>
                <w:b/>
                <w:spacing w:val="-4"/>
                <w:sz w:val="18"/>
              </w:rPr>
              <w:t> </w:t>
            </w:r>
            <w:r>
              <w:rPr>
                <w:rFonts w:ascii="Times New Roman" w:hAnsi="Times New Roman"/>
                <w:b/>
                <w:sz w:val="18"/>
              </w:rPr>
              <w:t>425000</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pacing w:val="-1"/>
                <w:sz w:val="18"/>
              </w:rPr>
              <w:t>787.073</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790.372</w:t>
            </w:r>
            <w:r>
              <w:rPr>
                <w:rFonts w:ascii="Times New Roman"/>
                <w:spacing w:val="-1"/>
                <w:sz w:val="18"/>
              </w:rPr>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pacing w:val="-1"/>
                <w:sz w:val="18"/>
              </w:rPr>
              <w:t>459.457</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339.276</w:t>
            </w:r>
            <w:r>
              <w:rPr>
                <w:rFonts w:ascii="Times New Roman"/>
                <w:spacing w:val="-1"/>
                <w:sz w:val="18"/>
              </w:rPr>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42,93</w:t>
            </w:r>
            <w:r>
              <w:rPr>
                <w:rFonts w:asci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97"/>
              <w:jc w:val="right"/>
              <w:rPr>
                <w:rFonts w:ascii="Times New Roman" w:hAnsi="Times New Roman" w:cs="Times New Roman" w:eastAsia="Times New Roman" w:hint="default"/>
                <w:sz w:val="18"/>
                <w:szCs w:val="18"/>
              </w:rPr>
            </w:pPr>
            <w:r>
              <w:rPr>
                <w:rFonts w:ascii="Times New Roman"/>
                <w:b/>
                <w:sz w:val="18"/>
              </w:rPr>
              <w:t>73,84</w:t>
            </w:r>
            <w:r>
              <w:rPr>
                <w:rFonts w:ascii="Times New Roman"/>
                <w:sz w:val="18"/>
              </w:rPr>
            </w:r>
          </w:p>
        </w:tc>
      </w:tr>
    </w:tbl>
    <w:p>
      <w:pPr>
        <w:pStyle w:val="BodyText"/>
        <w:spacing w:line="240" w:lineRule="auto"/>
        <w:ind w:right="255" w:firstLine="566"/>
        <w:jc w:val="both"/>
      </w:pPr>
      <w:r>
        <w:rPr/>
        <w:t>Исказано је извршење у укупном износу од 459.457 хиљада динара и то из средстава  буџета  града  у износу од  442.245  хиљада  динара,  из Републике  у износу</w:t>
      </w:r>
      <w:r>
        <w:rPr>
          <w:spacing w:val="-26"/>
        </w:rPr>
        <w:t> </w:t>
      </w:r>
      <w:r>
        <w:rPr/>
        <w:t>од</w:t>
      </w:r>
    </w:p>
    <w:p>
      <w:pPr>
        <w:pStyle w:val="ListParagraph"/>
        <w:numPr>
          <w:ilvl w:val="1"/>
          <w:numId w:val="36"/>
        </w:numPr>
        <w:tabs>
          <w:tab w:pos="773" w:val="left" w:leader="none"/>
        </w:tabs>
        <w:spacing w:line="240" w:lineRule="auto" w:before="0" w:after="0"/>
        <w:ind w:left="160" w:right="255" w:firstLine="0"/>
        <w:jc w:val="both"/>
        <w:rPr>
          <w:rFonts w:ascii="Times New Roman" w:hAnsi="Times New Roman" w:cs="Times New Roman" w:eastAsia="Times New Roman" w:hint="default"/>
          <w:sz w:val="24"/>
          <w:szCs w:val="24"/>
        </w:rPr>
      </w:pPr>
      <w:r>
        <w:rPr>
          <w:rFonts w:ascii="Times New Roman" w:hAnsi="Times New Roman"/>
          <w:sz w:val="24"/>
        </w:rPr>
        <w:t>хиљада динара, из ООСО у износу од 1.133 хиљаде динара и из додатних извора у износу од 13.781 хиљаде динара. Исказани су трошкови за текуће поправке и одржавање зграда и објеката у износу од 443.505 хиљада динара и за текуће поправке и одржавање опреме у износу од 15.952 хиљаде</w:t>
      </w:r>
      <w:r>
        <w:rPr>
          <w:rFonts w:ascii="Times New Roman" w:hAnsi="Times New Roman"/>
          <w:spacing w:val="-9"/>
          <w:sz w:val="24"/>
        </w:rPr>
        <w:t> </w:t>
      </w:r>
      <w:r>
        <w:rPr>
          <w:rFonts w:ascii="Times New Roman" w:hAnsi="Times New Roman"/>
          <w:sz w:val="24"/>
        </w:rPr>
        <w:t>динара.</w:t>
      </w:r>
    </w:p>
    <w:p>
      <w:pPr>
        <w:pStyle w:val="ListParagraph"/>
        <w:numPr>
          <w:ilvl w:val="2"/>
          <w:numId w:val="36"/>
        </w:numPr>
        <w:tabs>
          <w:tab w:pos="1013" w:val="left" w:leader="none"/>
        </w:tabs>
        <w:spacing w:line="237" w:lineRule="auto" w:before="144" w:after="0"/>
        <w:ind w:left="160" w:right="257" w:firstLine="566"/>
        <w:jc w:val="both"/>
        <w:rPr>
          <w:rFonts w:ascii="Times New Roman" w:hAnsi="Times New Roman" w:cs="Times New Roman" w:eastAsia="Times New Roman" w:hint="default"/>
          <w:sz w:val="24"/>
          <w:szCs w:val="24"/>
        </w:rPr>
      </w:pPr>
      <w:r>
        <w:rPr>
          <w:rFonts w:ascii="Times New Roman" w:hAnsi="Times New Roman"/>
          <w:b/>
          <w:sz w:val="24"/>
        </w:rPr>
        <w:t>Служба за одржавање и информатичко</w:t>
      </w:r>
      <w:r>
        <w:rPr>
          <w:rFonts w:ascii="Times New Roman" w:hAnsi="Times New Roman"/>
          <w:b/>
          <w:sz w:val="24"/>
        </w:rPr>
        <w:t>-</w:t>
      </w:r>
      <w:r>
        <w:rPr>
          <w:rFonts w:ascii="Times New Roman" w:hAnsi="Times New Roman"/>
          <w:b/>
          <w:sz w:val="24"/>
        </w:rPr>
        <w:t>комуникационе технологије </w:t>
      </w:r>
      <w:r>
        <w:rPr>
          <w:rFonts w:ascii="Times New Roman" w:hAnsi="Times New Roman"/>
          <w:b/>
          <w:sz w:val="24"/>
        </w:rPr>
        <w:t>- </w:t>
      </w:r>
      <w:r>
        <w:rPr>
          <w:rFonts w:ascii="Times New Roman" w:hAnsi="Times New Roman"/>
          <w:sz w:val="24"/>
        </w:rPr>
        <w:t>Исказан је расход у износу од 14.248 хиљада динара из средстава буџета града и то: за текуће поправке и одржавање у износу од 7.423 хиљаде динара и за текуће поправке и одржавање опреме у износу од 6.825 хиљада</w:t>
      </w:r>
      <w:r>
        <w:rPr>
          <w:rFonts w:ascii="Times New Roman" w:hAnsi="Times New Roman"/>
          <w:spacing w:val="-12"/>
          <w:sz w:val="24"/>
        </w:rPr>
        <w:t> </w:t>
      </w:r>
      <w:r>
        <w:rPr>
          <w:rFonts w:ascii="Times New Roman" w:hAnsi="Times New Roman"/>
          <w:sz w:val="24"/>
        </w:rPr>
        <w:t>динара.</w:t>
      </w:r>
    </w:p>
    <w:p>
      <w:pPr>
        <w:pStyle w:val="BodyText"/>
        <w:spacing w:line="240" w:lineRule="auto"/>
        <w:ind w:right="260" w:firstLine="566"/>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Столарски радови, субаналитички конто 425112 </w:t>
      </w:r>
      <w:r>
        <w:rPr/>
      </w:r>
      <w:r>
        <w:rPr>
          <w:rFonts w:ascii="Times New Roman" w:hAnsi="Times New Roman"/>
          <w:i/>
        </w:rPr>
        <w:t>- </w:t>
      </w:r>
      <w:r>
        <w:rPr/>
        <w:t>Исказани су расходи у износу од </w:t>
      </w:r>
      <w:r>
        <w:rPr>
          <w:rFonts w:ascii="Times New Roman" w:hAnsi="Times New Roman"/>
        </w:rPr>
        <w:t>426 </w:t>
      </w:r>
      <w:r>
        <w:rPr/>
        <w:t>хиљада</w:t>
      </w:r>
      <w:r>
        <w:rPr>
          <w:spacing w:val="-2"/>
        </w:rPr>
        <w:t> </w:t>
      </w:r>
      <w:r>
        <w:rPr/>
        <w:t>динара</w:t>
      </w:r>
      <w:r>
        <w:rPr>
          <w:rFonts w:ascii="Times New Roman" w:hAnsi="Times New Roman"/>
        </w:rPr>
        <w:t>.</w:t>
      </w:r>
    </w:p>
    <w:p>
      <w:pPr>
        <w:pStyle w:val="Heading1"/>
        <w:spacing w:line="275" w:lineRule="exact"/>
        <w:ind w:right="253"/>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2"/>
        </w:rPr>
        <w:t> </w:t>
      </w:r>
      <w:r>
        <w:rPr/>
        <w:t>је</w:t>
      </w:r>
      <w:r>
        <w:rPr>
          <w:rFonts w:ascii="Times New Roman" w:hAnsi="Times New Roman"/>
        </w:rPr>
        <w:t>:</w:t>
      </w:r>
      <w:r>
        <w:rPr>
          <w:rFonts w:ascii="Times New Roman" w:hAnsi="Times New Roman"/>
          <w:b w:val="0"/>
        </w:rPr>
      </w:r>
    </w:p>
    <w:p>
      <w:pPr>
        <w:pStyle w:val="ListParagraph"/>
        <w:numPr>
          <w:ilvl w:val="0"/>
          <w:numId w:val="9"/>
        </w:numPr>
        <w:tabs>
          <w:tab w:pos="341" w:val="left" w:leader="none"/>
        </w:tabs>
        <w:spacing w:line="240" w:lineRule="auto" w:before="0" w:after="0"/>
        <w:ind w:left="160" w:right="25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је евидентиран расход за материјал набављен од „Рајк комерц“ доо Доње Међурово у износу од 225 хиљада динара, уместо на групи 426000</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материјал,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систем</w:t>
      </w:r>
      <w:r>
        <w:rPr>
          <w:rFonts w:ascii="Times New Roman" w:hAnsi="Times New Roman" w:cs="Times New Roman" w:eastAsia="Times New Roman" w:hint="default"/>
          <w:sz w:val="24"/>
          <w:szCs w:val="24"/>
        </w:rPr>
        <w:t>.</w:t>
      </w:r>
    </w:p>
    <w:p>
      <w:pPr>
        <w:pStyle w:val="Heading2"/>
        <w:spacing w:line="240" w:lineRule="auto"/>
        <w:ind w:right="261"/>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0"/>
        </w:rPr>
        <w:t> </w:t>
      </w:r>
      <w:r>
        <w:rPr>
          <w:i/>
        </w:rPr>
        <w:t>систем.</w:t>
      </w:r>
      <w:r>
        <w:rPr>
          <w:b w:val="0"/>
          <w:i w:val="0"/>
        </w:rPr>
      </w:r>
    </w:p>
    <w:p>
      <w:pPr>
        <w:pStyle w:val="BodyText"/>
        <w:spacing w:line="240" w:lineRule="auto"/>
        <w:ind w:right="255" w:firstLine="566"/>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Молерски радови, субаналитички конто 425113 </w:t>
      </w:r>
      <w:r>
        <w:rPr/>
      </w:r>
      <w:r>
        <w:rPr>
          <w:rFonts w:ascii="Times New Roman" w:hAnsi="Times New Roman"/>
        </w:rPr>
        <w:t>- </w:t>
      </w:r>
      <w:r>
        <w:rPr/>
        <w:t>Исказан је расход у износу од 160 хиљада</w:t>
      </w:r>
      <w:r>
        <w:rPr>
          <w:spacing w:val="-3"/>
        </w:rPr>
        <w:t> </w:t>
      </w:r>
      <w:r>
        <w:rPr/>
        <w:t>динара</w:t>
      </w:r>
      <w:r>
        <w:rPr>
          <w:rFonts w:ascii="Times New Roman" w:hAnsi="Times New Roman"/>
        </w:rPr>
        <w:t>.</w:t>
      </w:r>
    </w:p>
    <w:p>
      <w:pPr>
        <w:pStyle w:val="BodyText"/>
        <w:spacing w:line="240" w:lineRule="auto"/>
        <w:ind w:right="255" w:firstLine="566"/>
        <w:jc w:val="both"/>
        <w:rPr>
          <w:rFonts w:ascii="Times New Roman" w:hAnsi="Times New Roman" w:cs="Times New Roman" w:eastAsia="Times New Roman" w:hint="default"/>
        </w:rPr>
      </w:pPr>
      <w:r>
        <w:rPr>
          <w:rFonts w:ascii="Times New Roman" w:hAnsi="Times New Roman" w:cs="Times New Roman" w:eastAsia="Times New Roman" w:hint="default"/>
          <w:b/>
          <w:bCs/>
        </w:rPr>
        <w:t>На основу ревизије узорковане документације утврђено је </w:t>
      </w:r>
      <w:r>
        <w:rPr/>
        <w:t>да је неправилно евидентиран расход за материјал набављен од „Логос трговина“ доо Ниш у износу од </w:t>
      </w:r>
      <w:r>
        <w:rPr>
          <w:rFonts w:ascii="Times New Roman" w:hAnsi="Times New Roman" w:cs="Times New Roman" w:eastAsia="Times New Roman" w:hint="default"/>
        </w:rPr>
        <w:t>74 </w:t>
      </w:r>
      <w:r>
        <w:rPr/>
        <w:t>хиљаде динара, уместо на групи 426000</w:t>
      </w:r>
      <w:r>
        <w:rPr>
          <w:rFonts w:ascii="Times New Roman" w:hAnsi="Times New Roman" w:cs="Times New Roman" w:eastAsia="Times New Roman" w:hint="default"/>
        </w:rPr>
        <w:t>-</w:t>
      </w:r>
      <w:r>
        <w:rPr/>
        <w:t>материјал, што је супротно члану 9. Уредбе о буџетском рачуноводству и Правилнику о стандардном класификационом оквиру и контном плану за буџетски</w:t>
      </w:r>
      <w:r>
        <w:rPr>
          <w:spacing w:val="-14"/>
        </w:rPr>
        <w:t> </w:t>
      </w:r>
      <w:r>
        <w:rPr/>
        <w:t>систем</w:t>
      </w:r>
      <w:r>
        <w:rPr>
          <w:rFonts w:ascii="Times New Roman" w:hAnsi="Times New Roman" w:cs="Times New Roman" w:eastAsia="Times New Roman" w:hint="default"/>
        </w:rPr>
        <w:t>.</w:t>
      </w:r>
    </w:p>
    <w:p>
      <w:pPr>
        <w:pStyle w:val="Heading2"/>
        <w:spacing w:line="240" w:lineRule="auto"/>
        <w:ind w:right="256"/>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BodyText"/>
        <w:spacing w:line="240" w:lineRule="auto"/>
        <w:ind w:right="259" w:firstLine="566"/>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Радови на крову, субаналитички конто 425114 </w:t>
      </w:r>
      <w:r>
        <w:rPr/>
      </w:r>
      <w:r>
        <w:rPr>
          <w:rFonts w:ascii="Times New Roman" w:hAnsi="Times New Roman"/>
          <w:i/>
        </w:rPr>
        <w:t>- </w:t>
      </w:r>
      <w:r>
        <w:rPr/>
        <w:t>Исказан је расход у износу од </w:t>
      </w:r>
      <w:r>
        <w:rPr>
          <w:rFonts w:ascii="Times New Roman" w:hAnsi="Times New Roman"/>
        </w:rPr>
        <w:t>468 </w:t>
      </w:r>
      <w:r>
        <w:rPr/>
        <w:t>хиљада</w:t>
      </w:r>
      <w:r>
        <w:rPr>
          <w:spacing w:val="-3"/>
        </w:rPr>
        <w:t> </w:t>
      </w:r>
      <w:r>
        <w:rPr/>
        <w:t>динара</w:t>
      </w:r>
      <w:r>
        <w:rPr>
          <w:rFonts w:ascii="Times New Roman" w:hAnsi="Times New Roman"/>
        </w:rPr>
        <w:t>.</w:t>
      </w:r>
    </w:p>
    <w:p>
      <w:pPr>
        <w:pStyle w:val="BodyText"/>
        <w:spacing w:line="240" w:lineRule="auto"/>
        <w:ind w:left="726" w:right="253"/>
        <w:jc w:val="left"/>
      </w:pPr>
      <w:r>
        <w:rPr/>
        <w:t>Ревизијом је утврђено да узоркована документа не садрже</w:t>
      </w:r>
      <w:r>
        <w:rPr>
          <w:spacing w:val="-21"/>
        </w:rPr>
        <w:t> </w:t>
      </w:r>
      <w:r>
        <w:rPr/>
        <w:t>неправилности.</w:t>
      </w:r>
    </w:p>
    <w:p>
      <w:pPr>
        <w:pStyle w:val="BodyText"/>
        <w:spacing w:line="240" w:lineRule="auto"/>
        <w:ind w:right="254" w:firstLine="566"/>
        <w:jc w:val="both"/>
        <w:rPr>
          <w:rFonts w:ascii="Times New Roman" w:hAnsi="Times New Roman" w:cs="Times New Roman" w:eastAsia="Times New Roman" w:hint="default"/>
        </w:rPr>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Радови на водоводу и канализацији, субаналитички конто </w:t>
      </w:r>
      <w:r>
        <w:rPr>
          <w:rFonts w:ascii="Times New Roman" w:hAnsi="Times New Roman" w:cs="Times New Roman" w:eastAsia="Times New Roman" w:hint="default"/>
          <w:u w:val="single" w:color="000000"/>
        </w:rPr>
        <w:t>425115 </w:t>
      </w:r>
      <w:r>
        <w:rPr>
          <w:rFonts w:ascii="Times New Roman" w:hAnsi="Times New Roman" w:cs="Times New Roman" w:eastAsia="Times New Roman" w:hint="default"/>
        </w:rPr>
      </w:r>
      <w:r>
        <w:rPr>
          <w:rFonts w:ascii="Times New Roman" w:hAnsi="Times New Roman" w:cs="Times New Roman" w:eastAsia="Times New Roman" w:hint="default"/>
          <w:i/>
        </w:rPr>
        <w:t>– </w:t>
      </w:r>
      <w:r>
        <w:rPr/>
        <w:t>Исказан је расход у износу од </w:t>
      </w:r>
      <w:r>
        <w:rPr>
          <w:rFonts w:ascii="Times New Roman" w:hAnsi="Times New Roman" w:cs="Times New Roman" w:eastAsia="Times New Roman" w:hint="default"/>
        </w:rPr>
        <w:t>83 </w:t>
      </w:r>
      <w:r>
        <w:rPr/>
        <w:t>хиљаде</w:t>
      </w:r>
      <w:r>
        <w:rPr>
          <w:spacing w:val="-7"/>
        </w:rPr>
        <w:t> </w:t>
      </w:r>
      <w:r>
        <w:rPr/>
        <w:t>динара</w:t>
      </w:r>
      <w:r>
        <w:rPr>
          <w:rFonts w:ascii="Times New Roman" w:hAnsi="Times New Roman" w:cs="Times New Roman" w:eastAsia="Times New Roman" w:hint="default"/>
        </w:rPr>
        <w:t>.</w:t>
      </w:r>
    </w:p>
    <w:p>
      <w:pPr>
        <w:pStyle w:val="Heading1"/>
        <w:spacing w:line="275" w:lineRule="exact"/>
        <w:ind w:right="253"/>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1"/>
        </w:rPr>
        <w:t> </w:t>
      </w:r>
      <w:r>
        <w:rPr/>
        <w:t>је</w:t>
      </w:r>
      <w:r>
        <w:rPr>
          <w:rFonts w:ascii="Times New Roman" w:hAnsi="Times New Roman"/>
        </w:rPr>
        <w:t>:</w:t>
      </w:r>
      <w:r>
        <w:rPr>
          <w:rFonts w:ascii="Times New Roman" w:hAnsi="Times New Roman"/>
          <w:b w:val="0"/>
        </w:rPr>
      </w:r>
    </w:p>
    <w:p>
      <w:pPr>
        <w:pStyle w:val="ListParagraph"/>
        <w:numPr>
          <w:ilvl w:val="0"/>
          <w:numId w:val="9"/>
        </w:numPr>
        <w:tabs>
          <w:tab w:pos="303" w:val="left" w:leader="none"/>
        </w:tabs>
        <w:spacing w:line="274" w:lineRule="exact" w:before="20" w:after="0"/>
        <w:ind w:left="160" w:right="25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Добављач „Рајк комерц“ доо Доње Међурово је фактурисао водоводно – канализациони материјал који се не налази у понуди која је саставни део уговора о набавци добара  </w:t>
      </w:r>
      <w:r>
        <w:rPr>
          <w:rFonts w:ascii="Times New Roman" w:hAnsi="Times New Roman" w:cs="Times New Roman" w:eastAsia="Times New Roman" w:hint="default"/>
          <w:spacing w:val="40"/>
          <w:sz w:val="24"/>
          <w:szCs w:val="24"/>
        </w:rPr>
        <w:t> </w:t>
      </w:r>
      <w:r>
        <w:rPr>
          <w:rFonts w:ascii="Times New Roman" w:hAnsi="Times New Roman" w:cs="Times New Roman" w:eastAsia="Times New Roman" w:hint="default"/>
          <w:sz w:val="24"/>
          <w:szCs w:val="24"/>
        </w:rPr>
        <w:t>број</w:t>
      </w:r>
    </w:p>
    <w:p>
      <w:pPr>
        <w:spacing w:after="0" w:line="274" w:lineRule="exact"/>
        <w:jc w:val="both"/>
        <w:rPr>
          <w:rFonts w:ascii="Times New Roman" w:hAnsi="Times New Roman" w:cs="Times New Roman" w:eastAsia="Times New Roman" w:hint="default"/>
          <w:sz w:val="24"/>
          <w:szCs w:val="24"/>
        </w:rPr>
        <w:sectPr>
          <w:footerReference w:type="default" r:id="rId69"/>
          <w:pgSz w:w="12240" w:h="15840"/>
          <w:pgMar w:footer="1274" w:header="740" w:top="1280" w:bottom="1460" w:left="1400" w:right="1180"/>
          <w:pgNumType w:start="140"/>
        </w:sectPr>
      </w:pPr>
    </w:p>
    <w:p>
      <w:pPr>
        <w:pStyle w:val="BodyText"/>
        <w:spacing w:line="240" w:lineRule="auto" w:before="122"/>
        <w:ind w:right="179"/>
        <w:jc w:val="both"/>
      </w:pPr>
      <w:r>
        <w:rPr/>
        <w:t>1564/2012 од 21.03.2012. године (сушач) у ревидираном износу од најмање девет хиљада динара, што је супротно члану 1. наведеног</w:t>
      </w:r>
      <w:r>
        <w:rPr>
          <w:spacing w:val="-13"/>
        </w:rPr>
        <w:t> </w:t>
      </w:r>
      <w:r>
        <w:rPr/>
        <w:t>уговора.</w:t>
      </w:r>
    </w:p>
    <w:p>
      <w:pPr>
        <w:pStyle w:val="ListParagraph"/>
        <w:numPr>
          <w:ilvl w:val="0"/>
          <w:numId w:val="9"/>
        </w:numPr>
        <w:tabs>
          <w:tab w:pos="341" w:val="left" w:leader="none"/>
        </w:tabs>
        <w:spacing w:line="237" w:lineRule="auto" w:before="4"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Поједине цене из фактуре не слажу се са ценама из понуде понуђача која је саставни део уговора, што је супротно члану 2. Уговора број </w:t>
      </w:r>
      <w:r>
        <w:rPr>
          <w:rFonts w:ascii="Times New Roman" w:hAnsi="Times New Roman" w:cs="Times New Roman" w:eastAsia="Times New Roman" w:hint="default"/>
          <w:sz w:val="24"/>
          <w:szCs w:val="24"/>
        </w:rPr>
        <w:t>16-</w:t>
      </w:r>
      <w:r>
        <w:rPr>
          <w:rFonts w:ascii="Times New Roman" w:hAnsi="Times New Roman" w:cs="Times New Roman" w:eastAsia="Times New Roman" w:hint="default"/>
          <w:sz w:val="24"/>
          <w:szCs w:val="24"/>
        </w:rPr>
        <w:t>1564/2012 од 21.03.2012. године закљученог са „Рајк комерц“ доо Доње</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Међурово</w:t>
      </w:r>
      <w:r>
        <w:rPr>
          <w:rFonts w:ascii="Times New Roman" w:hAnsi="Times New Roman" w:cs="Times New Roman" w:eastAsia="Times New Roman" w:hint="default"/>
          <w:sz w:val="24"/>
          <w:szCs w:val="24"/>
        </w:rPr>
        <w:t>.</w:t>
      </w:r>
    </w:p>
    <w:p>
      <w:pPr>
        <w:pStyle w:val="ListParagraph"/>
        <w:numPr>
          <w:ilvl w:val="0"/>
          <w:numId w:val="9"/>
        </w:numPr>
        <w:tabs>
          <w:tab w:pos="341"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Неправилно је евидентиран расход за набавку материјала у износу од </w:t>
      </w:r>
      <w:r>
        <w:rPr>
          <w:rFonts w:ascii="Times New Roman" w:hAnsi="Times New Roman"/>
          <w:sz w:val="24"/>
        </w:rPr>
        <w:t>41 </w:t>
      </w:r>
      <w:r>
        <w:rPr>
          <w:rFonts w:ascii="Times New Roman" w:hAnsi="Times New Roman"/>
          <w:sz w:val="24"/>
        </w:rPr>
        <w:t>хиљаде  динара</w:t>
      </w:r>
      <w:r>
        <w:rPr>
          <w:rFonts w:ascii="Times New Roman" w:hAnsi="Times New Roman"/>
          <w:sz w:val="24"/>
        </w:rPr>
        <w:t>, </w:t>
      </w:r>
      <w:r>
        <w:rPr>
          <w:rFonts w:ascii="Times New Roman" w:hAnsi="Times New Roman"/>
          <w:sz w:val="24"/>
        </w:rPr>
        <w:t>уместо на групи 426000</w:t>
      </w:r>
      <w:r>
        <w:rPr>
          <w:rFonts w:ascii="Times New Roman" w:hAnsi="Times New Roman"/>
          <w:sz w:val="24"/>
        </w:rPr>
        <w:t>-</w:t>
      </w:r>
      <w:r>
        <w:rPr>
          <w:rFonts w:ascii="Times New Roman" w:hAnsi="Times New Roman"/>
          <w:sz w:val="24"/>
        </w:rPr>
        <w:t>материјал</w:t>
      </w:r>
      <w:r>
        <w:rPr>
          <w:rFonts w:ascii="Times New Roman" w:hAnsi="Times New Roman"/>
          <w:sz w:val="24"/>
        </w:rPr>
        <w:t>, </w:t>
      </w:r>
      <w:r>
        <w:rPr>
          <w:rFonts w:ascii="Times New Roman" w:hAnsi="Times New Roman"/>
          <w:sz w:val="24"/>
        </w:rPr>
        <w:t>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spacing w:val="-8"/>
          <w:sz w:val="24"/>
        </w:rPr>
        <w:t> </w:t>
      </w:r>
      <w:r>
        <w:rPr>
          <w:rFonts w:ascii="Times New Roman" w:hAnsi="Times New Roman"/>
          <w:sz w:val="24"/>
        </w:rPr>
        <w:t>систем</w:t>
      </w:r>
      <w:r>
        <w:rPr>
          <w:rFonts w:ascii="Times New Roman" w:hAnsi="Times New Roman"/>
          <w:sz w:val="24"/>
        </w:rPr>
        <w:t>.</w:t>
      </w:r>
    </w:p>
    <w:p>
      <w:pPr>
        <w:pStyle w:val="Heading2"/>
        <w:spacing w:line="240" w:lineRule="auto"/>
        <w:ind w:right="179"/>
        <w:jc w:val="both"/>
        <w:rPr>
          <w:b w:val="0"/>
          <w:bCs w:val="0"/>
          <w:i w:val="0"/>
        </w:rPr>
      </w:pPr>
      <w:r>
        <w:rPr>
          <w:i/>
        </w:rPr>
        <w:t>Препоручује се одговорним лицима да: набављају добра која су предвиђена уговором, контролишу уговорене цене и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1"/>
        </w:rPr>
        <w:t> </w:t>
      </w:r>
      <w:r>
        <w:rPr>
          <w:i/>
        </w:rPr>
        <w:t>систем.</w:t>
      </w:r>
      <w:r>
        <w:rPr>
          <w:b w:val="0"/>
          <w:i w:val="0"/>
        </w:rPr>
      </w:r>
    </w:p>
    <w:p>
      <w:pPr>
        <w:pStyle w:val="BodyText"/>
        <w:spacing w:line="240" w:lineRule="auto"/>
        <w:ind w:right="174" w:firstLine="566"/>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Електричне инсталације, субаналитички конто 425117 </w:t>
      </w:r>
      <w:r>
        <w:rPr/>
      </w:r>
      <w:r>
        <w:rPr>
          <w:rFonts w:ascii="Times New Roman" w:hAnsi="Times New Roman"/>
        </w:rPr>
        <w:t>- </w:t>
      </w:r>
      <w:r>
        <w:rPr/>
        <w:t>Исказан је расход у износу од </w:t>
      </w:r>
      <w:r>
        <w:rPr>
          <w:rFonts w:ascii="Times New Roman" w:hAnsi="Times New Roman"/>
        </w:rPr>
        <w:t>546 </w:t>
      </w:r>
      <w:r>
        <w:rPr/>
        <w:t>хиљада</w:t>
      </w:r>
      <w:r>
        <w:rPr>
          <w:spacing w:val="-3"/>
        </w:rPr>
        <w:t> </w:t>
      </w:r>
      <w:r>
        <w:rPr/>
        <w:t>динара</w:t>
      </w:r>
      <w:r>
        <w:rPr>
          <w:rFonts w:ascii="Times New Roman" w:hAnsi="Times New Roman"/>
        </w:rPr>
        <w:t>.</w:t>
      </w:r>
    </w:p>
    <w:p>
      <w:pPr>
        <w:pStyle w:val="Heading1"/>
        <w:spacing w:line="275" w:lineRule="exact"/>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1"/>
        </w:rPr>
        <w:t> </w:t>
      </w:r>
      <w:r>
        <w:rPr/>
        <w:t>је</w:t>
      </w:r>
      <w:r>
        <w:rPr>
          <w:rFonts w:ascii="Times New Roman" w:hAnsi="Times New Roman"/>
        </w:rPr>
        <w:t>:</w:t>
      </w:r>
      <w:r>
        <w:rPr>
          <w:rFonts w:ascii="Times New Roman" w:hAnsi="Times New Roman"/>
          <w:b w:val="0"/>
        </w:rPr>
      </w:r>
    </w:p>
    <w:p>
      <w:pPr>
        <w:pStyle w:val="ListParagraph"/>
        <w:numPr>
          <w:ilvl w:val="0"/>
          <w:numId w:val="9"/>
        </w:numPr>
        <w:tabs>
          <w:tab w:pos="341" w:val="left" w:leader="none"/>
        </w:tabs>
        <w:spacing w:line="237" w:lineRule="auto" w:before="1"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Уговор број </w:t>
      </w:r>
      <w:r>
        <w:rPr>
          <w:rFonts w:ascii="Times New Roman" w:hAnsi="Times New Roman" w:cs="Times New Roman" w:eastAsia="Times New Roman" w:hint="default"/>
          <w:sz w:val="24"/>
          <w:szCs w:val="24"/>
        </w:rPr>
        <w:t>16-5546/2013 </w:t>
      </w:r>
      <w:r>
        <w:rPr>
          <w:rFonts w:ascii="Times New Roman" w:hAnsi="Times New Roman" w:cs="Times New Roman" w:eastAsia="Times New Roman" w:hint="default"/>
          <w:sz w:val="24"/>
          <w:szCs w:val="24"/>
        </w:rPr>
        <w:t>од 31.10.2013. године закључен са „Елмакс“ доо Ниш за куповину електро материјала за годишње потребе града не садржи уговорену вредност, што је супротно члану 5</w:t>
      </w:r>
      <w:r>
        <w:rPr>
          <w:rFonts w:ascii="Times New Roman" w:hAnsi="Times New Roman" w:cs="Times New Roman" w:eastAsia="Times New Roman" w:hint="default"/>
          <w:sz w:val="24"/>
          <w:szCs w:val="24"/>
        </w:rPr>
        <w:t>6</w:t>
      </w:r>
      <w:r>
        <w:rPr>
          <w:rFonts w:ascii="Times New Roman" w:hAnsi="Times New Roman" w:cs="Times New Roman" w:eastAsia="Times New Roman" w:hint="default"/>
          <w:sz w:val="24"/>
          <w:szCs w:val="24"/>
        </w:rPr>
        <w:t>. и 5</w:t>
      </w:r>
      <w:r>
        <w:rPr>
          <w:rFonts w:ascii="Times New Roman" w:hAnsi="Times New Roman" w:cs="Times New Roman" w:eastAsia="Times New Roman" w:hint="default"/>
          <w:sz w:val="24"/>
          <w:szCs w:val="24"/>
        </w:rPr>
        <w:t>8</w:t>
      </w:r>
      <w:r>
        <w:rPr>
          <w:rFonts w:ascii="Times New Roman" w:hAnsi="Times New Roman" w:cs="Times New Roman" w:eastAsia="Times New Roman" w:hint="default"/>
          <w:sz w:val="24"/>
          <w:szCs w:val="24"/>
        </w:rPr>
        <w:t>. Закона о буџетском</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систему.</w:t>
      </w:r>
    </w:p>
    <w:p>
      <w:pPr>
        <w:pStyle w:val="ListParagraph"/>
        <w:numPr>
          <w:ilvl w:val="0"/>
          <w:numId w:val="9"/>
        </w:numPr>
        <w:tabs>
          <w:tab w:pos="341"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је евидентиран расход за материјал у износу од </w:t>
      </w:r>
      <w:r>
        <w:rPr>
          <w:rFonts w:ascii="Times New Roman" w:hAnsi="Times New Roman" w:cs="Times New Roman" w:eastAsia="Times New Roman" w:hint="default"/>
          <w:sz w:val="24"/>
          <w:szCs w:val="24"/>
        </w:rPr>
        <w:t>240 </w:t>
      </w:r>
      <w:r>
        <w:rPr>
          <w:rFonts w:ascii="Times New Roman" w:hAnsi="Times New Roman" w:cs="Times New Roman" w:eastAsia="Times New Roman" w:hint="default"/>
          <w:sz w:val="24"/>
          <w:szCs w:val="24"/>
        </w:rPr>
        <w:t>хиљада динара, уместо на групи 426000 – материјал,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систем</w:t>
      </w:r>
      <w:r>
        <w:rPr>
          <w:rFonts w:ascii="Times New Roman" w:hAnsi="Times New Roman" w:cs="Times New Roman" w:eastAsia="Times New Roman" w:hint="default"/>
          <w:sz w:val="24"/>
          <w:szCs w:val="24"/>
        </w:rPr>
        <w:t>.</w:t>
      </w:r>
    </w:p>
    <w:p>
      <w:pPr>
        <w:pStyle w:val="Heading2"/>
        <w:spacing w:line="240" w:lineRule="auto"/>
        <w:ind w:right="178"/>
        <w:jc w:val="both"/>
        <w:rPr>
          <w:b w:val="0"/>
          <w:bCs w:val="0"/>
          <w:i w:val="0"/>
        </w:rPr>
      </w:pPr>
      <w:r>
        <w:rPr>
          <w:i/>
        </w:rPr>
        <w:t>Препоручује се одговорним лицима да приликом закључивања уговора уговоре вредност и обезбеде правилну примену одредби Уредбе о буџетском рачуноводству и Правилника о стандардном класификационом оквиру и контном плану за буџетски систем.</w:t>
      </w:r>
      <w:r>
        <w:rPr>
          <w:b w:val="0"/>
          <w:i w:val="0"/>
        </w:rPr>
      </w:r>
    </w:p>
    <w:p>
      <w:pPr>
        <w:pStyle w:val="BodyText"/>
        <w:spacing w:line="240" w:lineRule="auto"/>
        <w:ind w:right="173"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Остале услуге и материјал за текуће поправке и одржавање, субаналитички конто </w:t>
      </w:r>
      <w:r>
        <w:rPr/>
      </w:r>
      <w:r>
        <w:rPr/>
      </w:r>
      <w:r>
        <w:rPr>
          <w:rFonts w:ascii="Times New Roman" w:hAnsi="Times New Roman" w:cs="Times New Roman" w:eastAsia="Times New Roman" w:hint="default"/>
        </w:rPr>
      </w:r>
      <w:r>
        <w:rPr>
          <w:rFonts w:ascii="Times New Roman" w:hAnsi="Times New Roman" w:cs="Times New Roman" w:eastAsia="Times New Roman" w:hint="default"/>
          <w:u w:val="single" w:color="000000"/>
        </w:rPr>
        <w:t>425119 </w:t>
      </w:r>
      <w:r>
        <w:rPr>
          <w:rFonts w:ascii="Times New Roman" w:hAnsi="Times New Roman" w:cs="Times New Roman" w:eastAsia="Times New Roman" w:hint="default"/>
        </w:rPr>
        <w:t>- </w:t>
      </w:r>
      <w:r>
        <w:rPr/>
        <w:t>Исказан је расход у износу од </w:t>
      </w:r>
      <w:r>
        <w:rPr>
          <w:rFonts w:ascii="Times New Roman" w:hAnsi="Times New Roman" w:cs="Times New Roman" w:eastAsia="Times New Roman" w:hint="default"/>
        </w:rPr>
        <w:t>5.463 </w:t>
      </w:r>
      <w:r>
        <w:rPr/>
        <w:t>хиљаде динара  за плаћање ЈП „Нишстан“  по Уговору број 16</w:t>
      </w:r>
      <w:r>
        <w:rPr>
          <w:rFonts w:ascii="Times New Roman" w:hAnsi="Times New Roman" w:cs="Times New Roman" w:eastAsia="Times New Roman" w:hint="default"/>
        </w:rPr>
        <w:t>-</w:t>
      </w:r>
      <w:r>
        <w:rPr/>
        <w:t>3537/2010 од 17.06.2010. године о текућем одржавању и хитним интервенцијама пословног простора, службених зграда и простора града Ниша и Анексу 1 Уговора број 16</w:t>
      </w:r>
      <w:r>
        <w:rPr>
          <w:rFonts w:ascii="Times New Roman" w:hAnsi="Times New Roman" w:cs="Times New Roman" w:eastAsia="Times New Roman" w:hint="default"/>
        </w:rPr>
        <w:t>-3537/2010 </w:t>
      </w:r>
      <w:r>
        <w:rPr/>
        <w:t>од 23.01.2013. године</w:t>
      </w:r>
      <w:r>
        <w:rPr>
          <w:rFonts w:ascii="Times New Roman" w:hAnsi="Times New Roman" w:cs="Times New Roman" w:eastAsia="Times New Roman" w:hint="default"/>
        </w:rPr>
        <w:t>. </w:t>
      </w:r>
      <w:r>
        <w:rPr/>
        <w:t>ЈП „Нишстан“ је испоставио фактуру</w:t>
      </w:r>
      <w:r>
        <w:rPr>
          <w:rFonts w:ascii="Times New Roman" w:hAnsi="Times New Roman" w:cs="Times New Roman" w:eastAsia="Times New Roman" w:hint="default"/>
        </w:rPr>
        <w:t>: </w:t>
      </w:r>
      <w:r>
        <w:rPr/>
        <w:t>за месец мај 2013. године на износ од 652 хиљаде динара, за месец </w:t>
      </w:r>
      <w:r>
        <w:rPr>
          <w:spacing w:val="-2"/>
        </w:rPr>
        <w:t>јун </w:t>
      </w:r>
      <w:r>
        <w:rPr/>
        <w:t>2013. године на </w:t>
      </w:r>
      <w:r>
        <w:rPr/>
        <w:t>износ од 653 хиљаде динара, за месец јул 2013. године на износ од 650 хиљада динара, за месец децембар 2013. године на износ од 644 хиљаде динара, за месец јануар 2014. године на износ од 644 хиљаде динара, за месец фебруар 2014. године, на износ од 644 хиљаде</w:t>
      </w:r>
      <w:r>
        <w:rPr>
          <w:spacing w:val="-3"/>
        </w:rPr>
        <w:t> </w:t>
      </w:r>
      <w:r>
        <w:rPr/>
        <w:t>динара.</w:t>
      </w:r>
    </w:p>
    <w:p>
      <w:pPr>
        <w:pStyle w:val="Heading1"/>
        <w:spacing w:line="275" w:lineRule="exact"/>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1"/>
        </w:rPr>
        <w:t> </w:t>
      </w:r>
      <w:r>
        <w:rPr/>
        <w:t>је</w:t>
      </w:r>
      <w:r>
        <w:rPr>
          <w:rFonts w:ascii="Times New Roman" w:hAnsi="Times New Roman"/>
        </w:rPr>
        <w:t>:</w:t>
      </w:r>
      <w:r>
        <w:rPr>
          <w:rFonts w:ascii="Times New Roman" w:hAnsi="Times New Roman"/>
          <w:b w:val="0"/>
        </w:rPr>
      </w:r>
    </w:p>
    <w:p>
      <w:pPr>
        <w:pStyle w:val="ListParagraph"/>
        <w:numPr>
          <w:ilvl w:val="0"/>
          <w:numId w:val="9"/>
        </w:numPr>
        <w:tabs>
          <w:tab w:pos="303"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Уговор број 16</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3537/2010 од 17.06.2010. године о текућем одржавању и хитним интервенцијама пословног простора, службених зграда и простора града Ниша закључен са ЈП „Нишстан“ Ниш, не садржи уговорену вредност, што је супротно члану 56. и 58. Закона о буџетском</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систему.</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Уговор број 16</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3537/2010 од 17.06.2010. године о текућем одржавању и хитним интервенцијама пословног простора, службених зграда и простора града Ниша закључен је са ЈП „Нишстан“ Ниш на неодређено време, што је супротно члану 54. и 56. Закона о буџетском</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систему.</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ListParagraph"/>
        <w:numPr>
          <w:ilvl w:val="0"/>
          <w:numId w:val="9"/>
        </w:numPr>
        <w:tabs>
          <w:tab w:pos="303" w:val="left" w:leader="none"/>
        </w:tabs>
        <w:spacing w:line="240" w:lineRule="auto" w:before="124"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ЈКП „Нишстан“ није сваког месеца, а најкасније до 10. у текућем месецу, кориснику услуга достављао месечне извештаје о реализованим пословима на текућем одржавању и хитним интервенцијама на објектима, што је супротно члану 10. Уговора број </w:t>
      </w:r>
      <w:r>
        <w:rPr>
          <w:rFonts w:ascii="Times New Roman" w:hAnsi="Times New Roman" w:cs="Times New Roman" w:eastAsia="Times New Roman" w:hint="default"/>
          <w:spacing w:val="3"/>
          <w:sz w:val="24"/>
          <w:szCs w:val="24"/>
        </w:rPr>
        <w:t>16</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3537/2010 </w:t>
      </w:r>
      <w:r>
        <w:rPr>
          <w:rFonts w:ascii="Times New Roman" w:hAnsi="Times New Roman" w:cs="Times New Roman" w:eastAsia="Times New Roman" w:hint="default"/>
          <w:sz w:val="24"/>
          <w:szCs w:val="24"/>
        </w:rPr>
        <w:t>од </w:t>
      </w:r>
      <w:r>
        <w:rPr>
          <w:rFonts w:ascii="Times New Roman" w:hAnsi="Times New Roman" w:cs="Times New Roman" w:eastAsia="Times New Roman" w:hint="default"/>
          <w:sz w:val="24"/>
          <w:szCs w:val="24"/>
        </w:rPr>
        <w:t>17.06.2010</w:t>
      </w:r>
      <w:r>
        <w:rPr>
          <w:rFonts w:ascii="Times New Roman" w:hAnsi="Times New Roman" w:cs="Times New Roman" w:eastAsia="Times New Roman" w:hint="default"/>
          <w:sz w:val="24"/>
          <w:szCs w:val="24"/>
        </w:rPr>
        <w:t>. године</w:t>
      </w:r>
      <w:r>
        <w:rPr>
          <w:rFonts w:ascii="Times New Roman" w:hAnsi="Times New Roman" w:cs="Times New Roman" w:eastAsia="Times New Roman" w:hint="default"/>
          <w:sz w:val="24"/>
          <w:szCs w:val="24"/>
        </w:rPr>
        <w:t>.</w:t>
      </w:r>
    </w:p>
    <w:p>
      <w:pPr>
        <w:pStyle w:val="Heading2"/>
        <w:spacing w:line="240" w:lineRule="auto"/>
        <w:ind w:right="177"/>
        <w:jc w:val="both"/>
        <w:rPr>
          <w:b w:val="0"/>
          <w:bCs w:val="0"/>
          <w:i w:val="0"/>
        </w:rPr>
      </w:pPr>
      <w:r>
        <w:rPr>
          <w:i/>
        </w:rPr>
        <w:t>Препоручује се одговорним лицима да приликом закључивања уговора уговоре вредност и рок важења уговора и да доследно примењују одредбе закључених</w:t>
      </w:r>
      <w:r>
        <w:rPr>
          <w:i/>
          <w:spacing w:val="-21"/>
        </w:rPr>
        <w:t> </w:t>
      </w:r>
      <w:r>
        <w:rPr>
          <w:i/>
        </w:rPr>
        <w:t>уговора.</w:t>
      </w:r>
      <w:r>
        <w:rPr>
          <w:b w:val="0"/>
          <w:i w:val="0"/>
        </w:rPr>
      </w:r>
    </w:p>
    <w:p>
      <w:pPr>
        <w:pStyle w:val="BodyText"/>
        <w:spacing w:line="240" w:lineRule="auto"/>
        <w:ind w:right="180" w:firstLine="566"/>
        <w:jc w:val="both"/>
        <w:rPr>
          <w:rFonts w:ascii="Times New Roman" w:hAnsi="Times New Roman" w:cs="Times New Roman" w:eastAsia="Times New Roman" w:hint="default"/>
        </w:rPr>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Механичке поправке, субаналитички конто </w:t>
      </w:r>
      <w:r>
        <w:rPr>
          <w:rFonts w:ascii="Times New Roman" w:hAnsi="Times New Roman" w:cs="Times New Roman" w:eastAsia="Times New Roman" w:hint="default"/>
          <w:u w:val="single" w:color="000000"/>
        </w:rPr>
        <w:t>425211 </w:t>
      </w:r>
      <w:r>
        <w:rPr>
          <w:rFonts w:ascii="Times New Roman" w:hAnsi="Times New Roman" w:cs="Times New Roman" w:eastAsia="Times New Roman" w:hint="default"/>
        </w:rPr>
      </w:r>
      <w:r>
        <w:rPr/>
        <w:t>– Исказан је расход у износу од </w:t>
      </w:r>
      <w:r>
        <w:rPr>
          <w:rFonts w:ascii="Times New Roman" w:hAnsi="Times New Roman" w:cs="Times New Roman" w:eastAsia="Times New Roman" w:hint="default"/>
        </w:rPr>
        <w:t>3.612 </w:t>
      </w:r>
      <w:r>
        <w:rPr/>
        <w:t>хиљада</w:t>
      </w:r>
      <w:r>
        <w:rPr>
          <w:spacing w:val="-3"/>
        </w:rPr>
        <w:t> </w:t>
      </w:r>
      <w:r>
        <w:rPr/>
        <w:t>динара</w:t>
      </w:r>
      <w:r>
        <w:rPr>
          <w:rFonts w:ascii="Times New Roman" w:hAnsi="Times New Roman" w:cs="Times New Roman" w:eastAsia="Times New Roman" w:hint="default"/>
        </w:rPr>
        <w:t>.</w:t>
      </w:r>
    </w:p>
    <w:p>
      <w:pPr>
        <w:pStyle w:val="Heading1"/>
        <w:spacing w:line="275" w:lineRule="exact"/>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1"/>
        </w:rPr>
        <w:t> </w:t>
      </w:r>
      <w:r>
        <w:rPr/>
        <w:t>је</w:t>
      </w:r>
      <w:r>
        <w:rPr>
          <w:rFonts w:ascii="Times New Roman" w:hAnsi="Times New Roman"/>
        </w:rPr>
        <w:t>:</w:t>
      </w:r>
      <w:r>
        <w:rPr>
          <w:rFonts w:ascii="Times New Roman" w:hAnsi="Times New Roman"/>
          <w:b w:val="0"/>
        </w:rPr>
      </w:r>
    </w:p>
    <w:p>
      <w:pPr>
        <w:pStyle w:val="ListParagraph"/>
        <w:numPr>
          <w:ilvl w:val="0"/>
          <w:numId w:val="9"/>
        </w:numPr>
        <w:tabs>
          <w:tab w:pos="303"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Уговор број </w:t>
      </w:r>
      <w:r>
        <w:rPr>
          <w:rFonts w:ascii="Times New Roman" w:hAnsi="Times New Roman" w:cs="Times New Roman" w:eastAsia="Times New Roman" w:hint="default"/>
          <w:sz w:val="24"/>
          <w:szCs w:val="24"/>
        </w:rPr>
        <w:t>16-</w:t>
      </w:r>
      <w:r>
        <w:rPr>
          <w:rFonts w:ascii="Times New Roman" w:hAnsi="Times New Roman" w:cs="Times New Roman" w:eastAsia="Times New Roman" w:hint="default"/>
          <w:sz w:val="24"/>
          <w:szCs w:val="24"/>
        </w:rPr>
        <w:t>3801/2013 од 18.07.2013. године за сервисирање и одржавање ТНГ уређаја на службеним возилима града Ниша закључен са „Метал</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Коммерце“ доо Ниш не садржи уговорену вредност, што је супротно члану 56. и 58. Закона о буџетском</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систему.</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Извршен је расход у већем износу од уговореног за 929 хиљада динара, по Уговору број </w:t>
      </w:r>
      <w:r>
        <w:rPr>
          <w:rFonts w:ascii="Times New Roman" w:hAnsi="Times New Roman" w:cs="Times New Roman" w:eastAsia="Times New Roman" w:hint="default"/>
          <w:sz w:val="24"/>
          <w:szCs w:val="24"/>
        </w:rPr>
        <w:t>16-</w:t>
      </w:r>
      <w:r>
        <w:rPr>
          <w:rFonts w:ascii="Times New Roman" w:hAnsi="Times New Roman" w:cs="Times New Roman" w:eastAsia="Times New Roman" w:hint="default"/>
          <w:sz w:val="24"/>
          <w:szCs w:val="24"/>
        </w:rPr>
        <w:t>5579/13 од 04.11.2013. године закљученом са „Формула“ доо Ниш за сервисирање и поправку службених возила марке „Шкода“, што је супротно члану 56. и 58. Закона о буџетском</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систему.</w:t>
      </w:r>
    </w:p>
    <w:p>
      <w:pPr>
        <w:pStyle w:val="ListParagraph"/>
        <w:numPr>
          <w:ilvl w:val="0"/>
          <w:numId w:val="9"/>
        </w:numPr>
        <w:tabs>
          <w:tab w:pos="303" w:val="left" w:leader="none"/>
        </w:tabs>
        <w:spacing w:line="237" w:lineRule="auto" w:before="4"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Добављач је фактурисао материјал (делове за ауто) који се не налазе у понуди која је саставни део уговора о набавци добара број 16</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5579/2013 од 04.11.2013. године закљученог са „Формула“ доо Ниш за сервисирање и поправку службених возила  </w:t>
      </w:r>
      <w:r>
        <w:rPr>
          <w:rFonts w:ascii="Times New Roman" w:hAnsi="Times New Roman" w:cs="Times New Roman" w:eastAsia="Times New Roman" w:hint="default"/>
          <w:spacing w:val="38"/>
          <w:sz w:val="24"/>
          <w:szCs w:val="24"/>
        </w:rPr>
        <w:t> </w:t>
      </w:r>
      <w:r>
        <w:rPr>
          <w:rFonts w:ascii="Times New Roman" w:hAnsi="Times New Roman" w:cs="Times New Roman" w:eastAsia="Times New Roman" w:hint="default"/>
          <w:sz w:val="24"/>
          <w:szCs w:val="24"/>
        </w:rPr>
        <w:t>марке</w:t>
      </w:r>
    </w:p>
    <w:p>
      <w:pPr>
        <w:pStyle w:val="BodyText"/>
        <w:spacing w:line="240" w:lineRule="auto"/>
        <w:ind w:right="181"/>
        <w:jc w:val="both"/>
      </w:pPr>
      <w:r>
        <w:rPr/>
        <w:t>„Шкода“ (замајац 03г15266БМ, сет квачила, друк лежај, цилиндар, сет зупчаника...) у ревидираном износу од најмање 333 хиљаде динара, што је супротно члану 1. наведеног уговора.</w:t>
      </w:r>
    </w:p>
    <w:p>
      <w:pPr>
        <w:pStyle w:val="ListParagraph"/>
        <w:numPr>
          <w:ilvl w:val="0"/>
          <w:numId w:val="9"/>
        </w:numPr>
        <w:tabs>
          <w:tab w:pos="341"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Неправилно су евидентирани расходи за материјал у износу од </w:t>
      </w:r>
      <w:r>
        <w:rPr>
          <w:rFonts w:ascii="Times New Roman" w:hAnsi="Times New Roman"/>
          <w:sz w:val="24"/>
        </w:rPr>
        <w:t>333 </w:t>
      </w:r>
      <w:r>
        <w:rPr>
          <w:rFonts w:ascii="Times New Roman" w:hAnsi="Times New Roman"/>
          <w:sz w:val="24"/>
        </w:rPr>
        <w:t>хиљаде динара, уместо на конту 4</w:t>
      </w:r>
      <w:r>
        <w:rPr>
          <w:rFonts w:ascii="Times New Roman" w:hAnsi="Times New Roman"/>
          <w:sz w:val="24"/>
        </w:rPr>
        <w:t>26000 - </w:t>
      </w:r>
      <w:r>
        <w:rPr>
          <w:rFonts w:ascii="Times New Roman" w:hAnsi="Times New Roman"/>
          <w:sz w:val="24"/>
        </w:rPr>
        <w:t>Материјал</w:t>
      </w:r>
      <w:r>
        <w:rPr>
          <w:rFonts w:ascii="Times New Roman" w:hAnsi="Times New Roman"/>
          <w:sz w:val="24"/>
        </w:rPr>
        <w:t>, </w:t>
      </w:r>
      <w:r>
        <w:rPr>
          <w:rFonts w:ascii="Times New Roman" w:hAnsi="Times New Roman"/>
          <w:sz w:val="24"/>
        </w:rPr>
        <w:t>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spacing w:val="-9"/>
          <w:sz w:val="24"/>
        </w:rPr>
        <w:t> </w:t>
      </w:r>
      <w:r>
        <w:rPr>
          <w:rFonts w:ascii="Times New Roman" w:hAnsi="Times New Roman"/>
          <w:sz w:val="24"/>
        </w:rPr>
        <w:t>систем.</w:t>
      </w:r>
    </w:p>
    <w:p>
      <w:pPr>
        <w:pStyle w:val="Heading2"/>
        <w:spacing w:line="240" w:lineRule="auto"/>
        <w:ind w:right="174"/>
        <w:jc w:val="both"/>
        <w:rPr>
          <w:b w:val="0"/>
          <w:bCs w:val="0"/>
          <w:i w:val="0"/>
        </w:rPr>
      </w:pPr>
      <w:r>
        <w:rPr>
          <w:i/>
        </w:rPr>
        <w:t>Препоручује се одговорним лицима да: да приликом закључивања уговора уговоре вредност</w:t>
      </w:r>
      <w:r>
        <w:rPr>
          <w:rFonts w:ascii="Times New Roman" w:hAnsi="Times New Roman"/>
          <w:i/>
        </w:rPr>
        <w:t>, </w:t>
      </w:r>
      <w:r>
        <w:rPr>
          <w:i/>
        </w:rPr>
        <w:t>набавку и плаћање врше до уговорене вредности</w:t>
      </w:r>
      <w:r>
        <w:rPr>
          <w:rFonts w:ascii="Times New Roman" w:hAnsi="Times New Roman"/>
          <w:i/>
        </w:rPr>
        <w:t>, </w:t>
      </w:r>
      <w:r>
        <w:rPr>
          <w:i/>
        </w:rPr>
        <w:t>набављају добра која су предвиђена уговором и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6"/>
        </w:rPr>
        <w:t> </w:t>
      </w:r>
      <w:r>
        <w:rPr>
          <w:i/>
        </w:rPr>
        <w:t>систем.</w:t>
      </w:r>
      <w:r>
        <w:rPr>
          <w:b w:val="0"/>
          <w:i w:val="0"/>
        </w:rPr>
      </w:r>
    </w:p>
    <w:p>
      <w:pPr>
        <w:pStyle w:val="BodyText"/>
        <w:spacing w:line="240" w:lineRule="auto"/>
        <w:ind w:right="174" w:firstLine="566"/>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Поправке електричне и електронске опреме, субаналитички конто </w:t>
      </w:r>
      <w:r>
        <w:rPr>
          <w:rFonts w:ascii="Times New Roman" w:hAnsi="Times New Roman"/>
          <w:u w:val="single" w:color="000000"/>
        </w:rPr>
        <w:t>425212 </w:t>
      </w:r>
      <w:r>
        <w:rPr>
          <w:rFonts w:ascii="Times New Roman" w:hAnsi="Times New Roman"/>
        </w:rPr>
      </w:r>
      <w:r>
        <w:rPr>
          <w:rFonts w:ascii="Times New Roman" w:hAnsi="Times New Roman"/>
          <w:i/>
        </w:rPr>
        <w:t>- </w:t>
      </w:r>
      <w:r>
        <w:rPr/>
        <w:t>Исказан је расход у износу од 416 хиљада</w:t>
      </w:r>
      <w:r>
        <w:rPr>
          <w:spacing w:val="-7"/>
        </w:rPr>
        <w:t> </w:t>
      </w:r>
      <w:r>
        <w:rPr/>
        <w:t>динара</w:t>
      </w:r>
      <w:r>
        <w:rPr>
          <w:rFonts w:ascii="Times New Roman" w:hAnsi="Times New Roman"/>
        </w:rPr>
        <w:t>.</w:t>
      </w:r>
    </w:p>
    <w:p>
      <w:pPr>
        <w:pStyle w:val="Heading1"/>
        <w:spacing w:line="275" w:lineRule="exact"/>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2"/>
        </w:rPr>
        <w:t> </w:t>
      </w:r>
      <w:r>
        <w:rPr/>
        <w:t>је</w:t>
      </w:r>
      <w:r>
        <w:rPr>
          <w:rFonts w:ascii="Times New Roman" w:hAnsi="Times New Roman"/>
        </w:rPr>
        <w:t>:</w:t>
      </w:r>
      <w:r>
        <w:rPr>
          <w:rFonts w:ascii="Times New Roman" w:hAnsi="Times New Roman"/>
          <w:b w:val="0"/>
        </w:rPr>
      </w:r>
    </w:p>
    <w:p>
      <w:pPr>
        <w:pStyle w:val="ListParagraph"/>
        <w:numPr>
          <w:ilvl w:val="0"/>
          <w:numId w:val="9"/>
        </w:numPr>
        <w:tabs>
          <w:tab w:pos="303" w:val="left" w:leader="none"/>
        </w:tabs>
        <w:spacing w:line="240" w:lineRule="auto" w:before="0"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Расходи за пружање услуга одржавања електронске опреме за потребе управа и служби града</w:t>
      </w:r>
      <w:r>
        <w:rPr>
          <w:rFonts w:ascii="Times New Roman" w:hAnsi="Times New Roman"/>
          <w:spacing w:val="19"/>
          <w:sz w:val="24"/>
        </w:rPr>
        <w:t> </w:t>
      </w:r>
      <w:r>
        <w:rPr>
          <w:rFonts w:ascii="Times New Roman" w:hAnsi="Times New Roman"/>
          <w:sz w:val="24"/>
        </w:rPr>
        <w:t>Ниша</w:t>
      </w:r>
      <w:r>
        <w:rPr>
          <w:rFonts w:ascii="Times New Roman" w:hAnsi="Times New Roman"/>
          <w:spacing w:val="22"/>
          <w:sz w:val="24"/>
        </w:rPr>
        <w:t> </w:t>
      </w:r>
      <w:r>
        <w:rPr>
          <w:rFonts w:ascii="Times New Roman" w:hAnsi="Times New Roman"/>
          <w:sz w:val="24"/>
        </w:rPr>
        <w:t>у</w:t>
      </w:r>
      <w:r>
        <w:rPr>
          <w:rFonts w:ascii="Times New Roman" w:hAnsi="Times New Roman"/>
          <w:spacing w:val="15"/>
          <w:sz w:val="24"/>
        </w:rPr>
        <w:t> </w:t>
      </w:r>
      <w:r>
        <w:rPr>
          <w:rFonts w:ascii="Times New Roman" w:hAnsi="Times New Roman"/>
          <w:sz w:val="24"/>
        </w:rPr>
        <w:t>износу</w:t>
      </w:r>
      <w:r>
        <w:rPr>
          <w:rFonts w:ascii="Times New Roman" w:hAnsi="Times New Roman"/>
          <w:spacing w:val="15"/>
          <w:sz w:val="24"/>
        </w:rPr>
        <w:t> </w:t>
      </w:r>
      <w:r>
        <w:rPr>
          <w:rFonts w:ascii="Times New Roman" w:hAnsi="Times New Roman"/>
          <w:sz w:val="24"/>
        </w:rPr>
        <w:t>од</w:t>
      </w:r>
      <w:r>
        <w:rPr>
          <w:rFonts w:ascii="Times New Roman" w:hAnsi="Times New Roman"/>
          <w:spacing w:val="20"/>
          <w:sz w:val="24"/>
        </w:rPr>
        <w:t> </w:t>
      </w:r>
      <w:r>
        <w:rPr>
          <w:rFonts w:ascii="Times New Roman" w:hAnsi="Times New Roman"/>
          <w:sz w:val="24"/>
        </w:rPr>
        <w:t>416</w:t>
      </w:r>
      <w:r>
        <w:rPr>
          <w:rFonts w:ascii="Times New Roman" w:hAnsi="Times New Roman"/>
          <w:spacing w:val="17"/>
          <w:sz w:val="24"/>
        </w:rPr>
        <w:t> </w:t>
      </w:r>
      <w:r>
        <w:rPr>
          <w:rFonts w:ascii="Times New Roman" w:hAnsi="Times New Roman"/>
          <w:sz w:val="24"/>
        </w:rPr>
        <w:t>хиљада</w:t>
      </w:r>
      <w:r>
        <w:rPr>
          <w:rFonts w:ascii="Times New Roman" w:hAnsi="Times New Roman"/>
          <w:spacing w:val="19"/>
          <w:sz w:val="24"/>
        </w:rPr>
        <w:t> </w:t>
      </w:r>
      <w:r>
        <w:rPr>
          <w:rFonts w:ascii="Times New Roman" w:hAnsi="Times New Roman"/>
          <w:sz w:val="24"/>
        </w:rPr>
        <w:t>динара</w:t>
      </w:r>
      <w:r>
        <w:rPr>
          <w:rFonts w:ascii="Times New Roman" w:hAnsi="Times New Roman"/>
          <w:spacing w:val="24"/>
          <w:sz w:val="24"/>
        </w:rPr>
        <w:t> </w:t>
      </w:r>
      <w:r>
        <w:rPr>
          <w:rFonts w:ascii="Times New Roman" w:hAnsi="Times New Roman"/>
          <w:sz w:val="24"/>
        </w:rPr>
        <w:t>су</w:t>
      </w:r>
      <w:r>
        <w:rPr>
          <w:rFonts w:ascii="Times New Roman" w:hAnsi="Times New Roman"/>
          <w:spacing w:val="15"/>
          <w:sz w:val="24"/>
        </w:rPr>
        <w:t> </w:t>
      </w:r>
      <w:r>
        <w:rPr>
          <w:rFonts w:ascii="Times New Roman" w:hAnsi="Times New Roman"/>
          <w:sz w:val="24"/>
        </w:rPr>
        <w:t>извршени</w:t>
      </w:r>
      <w:r>
        <w:rPr>
          <w:rFonts w:ascii="Times New Roman" w:hAnsi="Times New Roman"/>
          <w:spacing w:val="21"/>
          <w:sz w:val="24"/>
        </w:rPr>
        <w:t> </w:t>
      </w:r>
      <w:r>
        <w:rPr>
          <w:rFonts w:ascii="Times New Roman" w:hAnsi="Times New Roman"/>
          <w:sz w:val="24"/>
        </w:rPr>
        <w:t>и</w:t>
      </w:r>
      <w:r>
        <w:rPr>
          <w:rFonts w:ascii="Times New Roman" w:hAnsi="Times New Roman"/>
          <w:spacing w:val="21"/>
          <w:sz w:val="24"/>
        </w:rPr>
        <w:t> </w:t>
      </w:r>
      <w:r>
        <w:rPr>
          <w:rFonts w:ascii="Times New Roman" w:hAnsi="Times New Roman"/>
          <w:sz w:val="24"/>
        </w:rPr>
        <w:t>евидентирани,</w:t>
      </w:r>
      <w:r>
        <w:rPr>
          <w:rFonts w:ascii="Times New Roman" w:hAnsi="Times New Roman"/>
          <w:spacing w:val="24"/>
          <w:sz w:val="24"/>
        </w:rPr>
        <w:t> </w:t>
      </w:r>
      <w:r>
        <w:rPr>
          <w:rFonts w:ascii="Times New Roman" w:hAnsi="Times New Roman"/>
          <w:sz w:val="24"/>
        </w:rPr>
        <w:t>а</w:t>
      </w:r>
      <w:r>
        <w:rPr>
          <w:rFonts w:ascii="Times New Roman" w:hAnsi="Times New Roman"/>
          <w:spacing w:val="19"/>
          <w:sz w:val="24"/>
        </w:rPr>
        <w:t> </w:t>
      </w:r>
      <w:r>
        <w:rPr>
          <w:rFonts w:ascii="Times New Roman" w:hAnsi="Times New Roman"/>
          <w:sz w:val="24"/>
        </w:rPr>
        <w:t>да</w:t>
      </w:r>
      <w:r>
        <w:rPr>
          <w:rFonts w:ascii="Times New Roman" w:hAnsi="Times New Roman"/>
          <w:spacing w:val="22"/>
          <w:sz w:val="24"/>
        </w:rPr>
        <w:t> </w:t>
      </w:r>
      <w:r>
        <w:rPr>
          <w:rFonts w:ascii="Times New Roman" w:hAnsi="Times New Roman"/>
          <w:spacing w:val="-4"/>
          <w:sz w:val="24"/>
        </w:rPr>
        <w:t>уз</w:t>
      </w:r>
      <w:r>
        <w:rPr>
          <w:rFonts w:ascii="Times New Roman" w:hAnsi="Times New Roman"/>
          <w:spacing w:val="21"/>
          <w:sz w:val="24"/>
        </w:rPr>
        <w:t> </w:t>
      </w:r>
      <w:r>
        <w:rPr>
          <w:rFonts w:ascii="Times New Roman" w:hAnsi="Times New Roman"/>
          <w:sz w:val="24"/>
        </w:rPr>
        <w:t>рачун</w:t>
      </w:r>
    </w:p>
    <w:p>
      <w:pPr>
        <w:pStyle w:val="BodyText"/>
        <w:spacing w:line="240" w:lineRule="auto"/>
        <w:ind w:right="173"/>
        <w:jc w:val="both"/>
        <w:rPr>
          <w:rFonts w:ascii="Times New Roman" w:hAnsi="Times New Roman" w:cs="Times New Roman" w:eastAsia="Times New Roman" w:hint="default"/>
        </w:rPr>
      </w:pPr>
      <w:r>
        <w:rPr/>
        <w:t>„Coming computer engineering“ доо Београд, није достављен радни налог или извештај о извршеном послу, тако да не представљају валидну документацију за књижење, што је супротно члану 58. Закона о буџетском систему и члану 16. Уредбе о буџетском рачуноводству</w:t>
      </w:r>
      <w:r>
        <w:rPr>
          <w:rFonts w:ascii="Times New Roman" w:hAnsi="Times New Roman" w:cs="Times New Roman" w:eastAsia="Times New Roman" w:hint="default"/>
        </w:rPr>
        <w:t>.</w:t>
      </w:r>
    </w:p>
    <w:p>
      <w:pPr>
        <w:pStyle w:val="ListParagraph"/>
        <w:numPr>
          <w:ilvl w:val="0"/>
          <w:numId w:val="9"/>
        </w:numPr>
        <w:tabs>
          <w:tab w:pos="303" w:val="left" w:leader="none"/>
        </w:tabs>
        <w:spacing w:line="274" w:lineRule="exact" w:before="24"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Захтев за плаћање није потписан од стране лица из Управе за финансије које је извршило контролу, лица које оверава захтев и   </w:t>
      </w:r>
      <w:r>
        <w:rPr>
          <w:rFonts w:ascii="Times New Roman" w:hAnsi="Times New Roman"/>
          <w:spacing w:val="15"/>
          <w:sz w:val="24"/>
        </w:rPr>
        <w:t> </w:t>
      </w:r>
      <w:r>
        <w:rPr>
          <w:rFonts w:ascii="Times New Roman" w:hAnsi="Times New Roman"/>
          <w:sz w:val="24"/>
        </w:rPr>
        <w:t>одговорног лица, што је супротно члану</w:t>
      </w:r>
    </w:p>
    <w:p>
      <w:pPr>
        <w:pStyle w:val="BodyText"/>
        <w:spacing w:line="240" w:lineRule="auto"/>
        <w:ind w:right="179"/>
        <w:jc w:val="both"/>
        <w:rPr>
          <w:rFonts w:ascii="Times New Roman" w:hAnsi="Times New Roman" w:cs="Times New Roman" w:eastAsia="Times New Roman" w:hint="default"/>
        </w:rPr>
      </w:pPr>
      <w:r>
        <w:rPr/>
        <w:t>58. Закона о буџетском систему</w:t>
      </w:r>
      <w:r>
        <w:rPr>
          <w:rFonts w:ascii="Times New Roman" w:hAnsi="Times New Roman"/>
        </w:rPr>
        <w:t>, </w:t>
      </w:r>
      <w:r>
        <w:rPr/>
        <w:t>члану 16. Уредбе о буџетском рачуноводству и  Упутству о раду трезора града</w:t>
      </w:r>
      <w:r>
        <w:rPr>
          <w:spacing w:val="-10"/>
        </w:rPr>
        <w:t> </w:t>
      </w:r>
      <w:r>
        <w:rPr/>
        <w:t>Ниша</w:t>
      </w:r>
      <w:r>
        <w:rPr>
          <w:rFonts w:ascii="Times New Roman" w:hAnsi="Times New Roman"/>
        </w:rPr>
        <w:t>.</w:t>
      </w:r>
    </w:p>
    <w:p>
      <w:pPr>
        <w:pStyle w:val="Heading2"/>
        <w:spacing w:line="240" w:lineRule="auto"/>
        <w:ind w:right="176"/>
        <w:jc w:val="both"/>
        <w:rPr>
          <w:b w:val="0"/>
          <w:bCs w:val="0"/>
          <w:i w:val="0"/>
        </w:rPr>
      </w:pPr>
      <w:r>
        <w:rPr>
          <w:i/>
        </w:rPr>
        <w:t>Препоручује се одговорним лицима да за сваки расход обезбеде валидну документацију.</w:t>
      </w:r>
      <w:r>
        <w:rPr>
          <w:b w:val="0"/>
          <w:i w:val="0"/>
        </w:rPr>
      </w:r>
    </w:p>
    <w:p>
      <w:pPr>
        <w:spacing w:after="0" w:line="240" w:lineRule="auto"/>
        <w:jc w:val="both"/>
        <w:sectPr>
          <w:pgSz w:w="12240" w:h="15840"/>
          <w:pgMar w:header="740" w:footer="1274" w:top="1280" w:bottom="1460" w:left="1400" w:right="1260"/>
        </w:sectPr>
      </w:pPr>
    </w:p>
    <w:p>
      <w:pPr>
        <w:pStyle w:val="BodyText"/>
        <w:spacing w:line="240" w:lineRule="auto" w:before="122"/>
        <w:ind w:right="180" w:firstLine="566"/>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Рачунарска опрема, субаналитички конто 425222 </w:t>
      </w:r>
      <w:r>
        <w:rPr/>
      </w:r>
      <w:r>
        <w:rPr>
          <w:rFonts w:ascii="Times New Roman" w:hAnsi="Times New Roman"/>
        </w:rPr>
        <w:t>- </w:t>
      </w:r>
      <w:r>
        <w:rPr/>
        <w:t>Исказан је расход у износу од </w:t>
      </w:r>
      <w:r>
        <w:rPr>
          <w:rFonts w:ascii="Times New Roman" w:hAnsi="Times New Roman"/>
        </w:rPr>
        <w:t>383 </w:t>
      </w:r>
      <w:r>
        <w:rPr/>
        <w:t>хиљаде</w:t>
      </w:r>
      <w:r>
        <w:rPr>
          <w:spacing w:val="-2"/>
        </w:rPr>
        <w:t> </w:t>
      </w:r>
      <w:r>
        <w:rPr/>
        <w:t>динара</w:t>
      </w:r>
      <w:r>
        <w:rPr>
          <w:rFonts w:ascii="Times New Roman" w:hAnsi="Times New Roman"/>
        </w:rPr>
        <w:t>.</w:t>
      </w:r>
    </w:p>
    <w:p>
      <w:pPr>
        <w:pStyle w:val="Heading1"/>
        <w:spacing w:line="275" w:lineRule="exact"/>
        <w:ind w:right="141"/>
        <w:jc w:val="left"/>
        <w:rPr>
          <w:rFonts w:ascii="Times New Roman" w:hAnsi="Times New Roman" w:cs="Times New Roman" w:eastAsia="Times New Roman" w:hint="default"/>
          <w:b w:val="0"/>
          <w:bCs w:val="0"/>
        </w:rPr>
      </w:pPr>
      <w:r>
        <w:rPr/>
        <w:t>На основу извршене ревизије узорковане документације утврђено</w:t>
      </w:r>
      <w:r>
        <w:rPr>
          <w:spacing w:val="-13"/>
        </w:rPr>
        <w:t> </w:t>
      </w:r>
      <w:r>
        <w:rPr/>
        <w:t>је</w:t>
      </w:r>
      <w:r>
        <w:rPr>
          <w:rFonts w:ascii="Times New Roman" w:hAnsi="Times New Roman"/>
        </w:rPr>
        <w:t>:</w:t>
      </w:r>
      <w:r>
        <w:rPr>
          <w:rFonts w:ascii="Times New Roman" w:hAnsi="Times New Roman"/>
          <w:b w:val="0"/>
        </w:rPr>
      </w:r>
    </w:p>
    <w:p>
      <w:pPr>
        <w:pStyle w:val="ListParagraph"/>
        <w:numPr>
          <w:ilvl w:val="0"/>
          <w:numId w:val="9"/>
        </w:numPr>
        <w:tabs>
          <w:tab w:pos="303" w:val="left" w:leader="none"/>
        </w:tabs>
        <w:spacing w:line="237" w:lineRule="auto" w:before="1"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Уговор број 16</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5971/2013 од 21.11.2013. године закључен са „Национал сервис“ доо Ниш за сервисирање и одржавање опреме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не садржи уговорену вредност, што је супротно члану 56. и 58. Закона о буџетском</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систему.</w:t>
      </w:r>
    </w:p>
    <w:p>
      <w:pPr>
        <w:pStyle w:val="ListParagraph"/>
        <w:numPr>
          <w:ilvl w:val="0"/>
          <w:numId w:val="9"/>
        </w:numPr>
        <w:tabs>
          <w:tab w:pos="303" w:val="left" w:leader="none"/>
        </w:tabs>
        <w:spacing w:line="237" w:lineRule="auto" w:before="5"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Радни налог за сервис, није потписало лице које потврђује да су услуге извршене, тако да рачун није валидан документ за књижење, што је супротно члану 58. Закона о буџетском систему и члану 16. Уредбе о буџетском</w:t>
      </w:r>
      <w:r>
        <w:rPr>
          <w:rFonts w:ascii="Times New Roman" w:hAnsi="Times New Roman"/>
          <w:spacing w:val="-17"/>
          <w:sz w:val="24"/>
        </w:rPr>
        <w:t> </w:t>
      </w:r>
      <w:r>
        <w:rPr>
          <w:rFonts w:ascii="Times New Roman" w:hAnsi="Times New Roman"/>
          <w:sz w:val="24"/>
        </w:rPr>
        <w:t>рачуноводству</w:t>
      </w:r>
      <w:r>
        <w:rPr>
          <w:rFonts w:ascii="Times New Roman" w:hAnsi="Times New Roman"/>
          <w:sz w:val="24"/>
        </w:rPr>
        <w:t>.</w:t>
      </w:r>
    </w:p>
    <w:p>
      <w:pPr>
        <w:pStyle w:val="Heading2"/>
        <w:spacing w:line="240" w:lineRule="auto"/>
        <w:ind w:right="177"/>
        <w:jc w:val="both"/>
        <w:rPr>
          <w:b w:val="0"/>
          <w:bCs w:val="0"/>
          <w:i w:val="0"/>
        </w:rPr>
      </w:pPr>
      <w:r>
        <w:rPr>
          <w:i/>
        </w:rPr>
        <w:t>Препоручује се одговорним лицима да приликом закључивања уговора уговоре вредност</w:t>
      </w:r>
      <w:r>
        <w:rPr>
          <w:rFonts w:ascii="Times New Roman" w:hAnsi="Times New Roman"/>
          <w:i/>
        </w:rPr>
        <w:t>, </w:t>
      </w:r>
      <w:r>
        <w:rPr>
          <w:i/>
        </w:rPr>
        <w:t>набављају добра која су предвиђена уговором и да за сваки расход обезбеде валидну</w:t>
      </w:r>
      <w:r>
        <w:rPr>
          <w:i/>
          <w:spacing w:val="-11"/>
        </w:rPr>
        <w:t> </w:t>
      </w:r>
      <w:r>
        <w:rPr>
          <w:i/>
        </w:rPr>
        <w:t>документацију.</w:t>
      </w:r>
      <w:r>
        <w:rPr>
          <w:b w:val="0"/>
          <w:i w:val="0"/>
        </w:rPr>
      </w:r>
    </w:p>
    <w:p>
      <w:pPr>
        <w:pStyle w:val="BodyText"/>
        <w:spacing w:line="271" w:lineRule="exact"/>
        <w:ind w:left="726" w:right="141"/>
        <w:jc w:val="left"/>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Биротехничка опрема, субаналитички конто 425226 </w:t>
      </w:r>
      <w:r>
        <w:rPr/>
        <w:t>– Исказан је расход у износу</w:t>
      </w:r>
      <w:r>
        <w:rPr>
          <w:spacing w:val="20"/>
        </w:rPr>
        <w:t> </w:t>
      </w:r>
      <w:r>
        <w:rPr/>
        <w:t>од</w:t>
      </w:r>
    </w:p>
    <w:p>
      <w:pPr>
        <w:pStyle w:val="BodyText"/>
        <w:spacing w:line="240" w:lineRule="auto"/>
        <w:ind w:right="0"/>
        <w:jc w:val="both"/>
        <w:rPr>
          <w:rFonts w:ascii="Times New Roman" w:hAnsi="Times New Roman" w:cs="Times New Roman" w:eastAsia="Times New Roman" w:hint="default"/>
        </w:rPr>
      </w:pPr>
      <w:r>
        <w:rPr>
          <w:rFonts w:ascii="Times New Roman" w:hAnsi="Times New Roman"/>
        </w:rPr>
        <w:t>1.172 </w:t>
      </w:r>
      <w:r>
        <w:rPr/>
        <w:t>хиљаде</w:t>
      </w:r>
      <w:r>
        <w:rPr>
          <w:spacing w:val="-3"/>
        </w:rPr>
        <w:t> </w:t>
      </w:r>
      <w:r>
        <w:rPr/>
        <w:t>динара</w:t>
      </w:r>
      <w:r>
        <w:rPr>
          <w:rFonts w:ascii="Times New Roman" w:hAnsi="Times New Roman"/>
        </w:rPr>
        <w:t>.</w:t>
      </w:r>
    </w:p>
    <w:p>
      <w:pPr>
        <w:pStyle w:val="Heading1"/>
        <w:spacing w:line="275" w:lineRule="exact"/>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2"/>
        </w:rPr>
        <w:t> </w:t>
      </w:r>
      <w:r>
        <w:rPr/>
        <w:t>је</w:t>
      </w:r>
      <w:r>
        <w:rPr>
          <w:rFonts w:ascii="Times New Roman" w:hAnsi="Times New Roman"/>
        </w:rPr>
        <w:t>:</w:t>
      </w:r>
      <w:r>
        <w:rPr>
          <w:rFonts w:ascii="Times New Roman" w:hAnsi="Times New Roman"/>
          <w:b w:val="0"/>
        </w:rPr>
      </w:r>
    </w:p>
    <w:p>
      <w:pPr>
        <w:pStyle w:val="ListParagraph"/>
        <w:numPr>
          <w:ilvl w:val="0"/>
          <w:numId w:val="9"/>
        </w:numPr>
        <w:tabs>
          <w:tab w:pos="341" w:val="left" w:leader="none"/>
        </w:tabs>
        <w:spacing w:line="237" w:lineRule="auto" w:before="1"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Уговор број 16</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925/2014 13.02.2014. године за сервисирање фотокопир апарата,  писаћих и рачунских машина закључен са „Mikops“ доо Ниш, не садржи уговорену вредност, што је супротно члану 56</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и 58. Закона о буџетском</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систему.</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Добављач „Mikops“ доо Ниш је фактурисао материјал (тонер за штампач ТН</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712) који се не налази у понуди која је саставни део уговора број 16</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925/2014 13.02.2014. године за сервисирање фотокопир апарата, писаћих и рачунских машина у ревидираном износу од најмање 11 хиљада динара, што је супротно члану 1. поменутог</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уговора.</w:t>
      </w:r>
    </w:p>
    <w:p>
      <w:pPr>
        <w:pStyle w:val="ListParagraph"/>
        <w:numPr>
          <w:ilvl w:val="0"/>
          <w:numId w:val="9"/>
        </w:numPr>
        <w:tabs>
          <w:tab w:pos="341"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Неправилно су евидентирани расходи за материјал у износу од </w:t>
      </w:r>
      <w:r>
        <w:rPr>
          <w:rFonts w:ascii="Times New Roman" w:hAnsi="Times New Roman"/>
          <w:sz w:val="24"/>
        </w:rPr>
        <w:t>289 </w:t>
      </w:r>
      <w:r>
        <w:rPr>
          <w:rFonts w:ascii="Times New Roman" w:hAnsi="Times New Roman"/>
          <w:sz w:val="24"/>
        </w:rPr>
        <w:t>хиљада динара уместо на групи </w:t>
      </w:r>
      <w:r>
        <w:rPr>
          <w:rFonts w:ascii="Times New Roman" w:hAnsi="Times New Roman"/>
          <w:sz w:val="24"/>
        </w:rPr>
        <w:t>426000- </w:t>
      </w:r>
      <w:r>
        <w:rPr>
          <w:rFonts w:ascii="Times New Roman" w:hAnsi="Times New Roman"/>
          <w:sz w:val="24"/>
        </w:rPr>
        <w:t>Материјал,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spacing w:val="-10"/>
          <w:sz w:val="24"/>
        </w:rPr>
        <w:t> </w:t>
      </w:r>
      <w:r>
        <w:rPr>
          <w:rFonts w:ascii="Times New Roman" w:hAnsi="Times New Roman"/>
          <w:sz w:val="24"/>
        </w:rPr>
        <w:t>систем.</w:t>
      </w:r>
    </w:p>
    <w:p>
      <w:pPr>
        <w:pStyle w:val="Heading2"/>
        <w:spacing w:line="240" w:lineRule="auto"/>
        <w:ind w:right="178"/>
        <w:jc w:val="both"/>
        <w:rPr>
          <w:b w:val="0"/>
          <w:bCs w:val="0"/>
          <w:i w:val="0"/>
        </w:rPr>
      </w:pPr>
      <w:r>
        <w:rPr>
          <w:i/>
        </w:rPr>
        <w:t>Препоручује се одговорним лицима да приликом закључивања уговора уговоре вредност и обезбеде правилну примену одредби Уредбе о буџетском рачуноводству и Правилника о стандардном класификационом оквиру и контном плану за буџетски систем.</w:t>
      </w:r>
      <w:r>
        <w:rPr>
          <w:b w:val="0"/>
          <w:i w:val="0"/>
        </w:rPr>
      </w:r>
    </w:p>
    <w:p>
      <w:pPr>
        <w:pStyle w:val="BodyText"/>
        <w:spacing w:line="240" w:lineRule="auto"/>
        <w:ind w:right="175" w:firstLine="566"/>
        <w:jc w:val="both"/>
        <w:rPr>
          <w:rFonts w:ascii="Times New Roman" w:hAnsi="Times New Roman" w:cs="Times New Roman" w:eastAsia="Times New Roman" w:hint="default"/>
        </w:rPr>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Остале поправке и одржавање административне опреме, субаналитички конто </w:t>
      </w:r>
      <w:r>
        <w:rPr/>
      </w:r>
      <w:r>
        <w:rPr/>
      </w:r>
      <w:r>
        <w:rPr>
          <w:rFonts w:ascii="Times New Roman" w:hAnsi="Times New Roman" w:cs="Times New Roman" w:eastAsia="Times New Roman" w:hint="default"/>
        </w:rPr>
      </w:r>
      <w:r>
        <w:rPr>
          <w:rFonts w:ascii="Times New Roman" w:hAnsi="Times New Roman" w:cs="Times New Roman" w:eastAsia="Times New Roman" w:hint="default"/>
          <w:u w:val="single" w:color="000000"/>
        </w:rPr>
        <w:t>425229 </w:t>
      </w:r>
      <w:r>
        <w:rPr>
          <w:rFonts w:ascii="Times New Roman" w:hAnsi="Times New Roman" w:cs="Times New Roman" w:eastAsia="Times New Roman" w:hint="default"/>
        </w:rPr>
      </w:r>
      <w:r>
        <w:rPr/>
        <w:t>– Исказан је расход у износу од </w:t>
      </w:r>
      <w:r>
        <w:rPr>
          <w:rFonts w:ascii="Times New Roman" w:hAnsi="Times New Roman" w:cs="Times New Roman" w:eastAsia="Times New Roman" w:hint="default"/>
        </w:rPr>
        <w:t>1.008 </w:t>
      </w:r>
      <w:r>
        <w:rPr/>
        <w:t>хиљада</w:t>
      </w:r>
      <w:r>
        <w:rPr>
          <w:spacing w:val="-11"/>
        </w:rPr>
        <w:t> </w:t>
      </w:r>
      <w:r>
        <w:rPr/>
        <w:t>динара</w:t>
      </w:r>
      <w:r>
        <w:rPr>
          <w:rFonts w:ascii="Times New Roman" w:hAnsi="Times New Roman" w:cs="Times New Roman" w:eastAsia="Times New Roman" w:hint="default"/>
        </w:rPr>
        <w:t>.</w:t>
      </w:r>
    </w:p>
    <w:p>
      <w:pPr>
        <w:pStyle w:val="BodyText"/>
        <w:spacing w:line="240" w:lineRule="auto"/>
        <w:ind w:right="175" w:firstLine="566"/>
        <w:jc w:val="both"/>
      </w:pPr>
      <w:r>
        <w:rPr>
          <w:rFonts w:ascii="Times New Roman" w:hAnsi="Times New Roman" w:cs="Times New Roman" w:eastAsia="Times New Roman" w:hint="default"/>
          <w:b/>
          <w:bCs/>
        </w:rPr>
        <w:t>На основу ревизије узорковане документације утврђено је </w:t>
      </w:r>
      <w:r>
        <w:rPr/>
        <w:t>да је уговор о пружању услуга сервисирања и одржавања клима уређаја и фрижидера број </w:t>
      </w:r>
      <w:r>
        <w:rPr>
          <w:rFonts w:ascii="Times New Roman" w:hAnsi="Times New Roman" w:cs="Times New Roman" w:eastAsia="Times New Roman" w:hint="default"/>
        </w:rPr>
        <w:t>16-6339/2013 </w:t>
      </w:r>
      <w:r>
        <w:rPr/>
        <w:t>од </w:t>
      </w:r>
      <w:r>
        <w:rPr>
          <w:rFonts w:ascii="Times New Roman" w:hAnsi="Times New Roman" w:cs="Times New Roman" w:eastAsia="Times New Roman" w:hint="default"/>
        </w:rPr>
        <w:t>10.12.2013</w:t>
      </w:r>
      <w:r>
        <w:rPr/>
        <w:t>. године закључен са „Еко фриго“ пр Ниш не садржи уговорену вредност, што је супротно члану 56</w:t>
      </w:r>
      <w:r>
        <w:rPr>
          <w:rFonts w:ascii="Times New Roman" w:hAnsi="Times New Roman" w:cs="Times New Roman" w:eastAsia="Times New Roman" w:hint="default"/>
        </w:rPr>
        <w:t>. </w:t>
      </w:r>
      <w:r>
        <w:rPr/>
        <w:t>и 58. Закона о буџетском</w:t>
      </w:r>
      <w:r>
        <w:rPr>
          <w:spacing w:val="-20"/>
        </w:rPr>
        <w:t> </w:t>
      </w:r>
      <w:r>
        <w:rPr/>
        <w:t>систему.</w:t>
      </w:r>
    </w:p>
    <w:p>
      <w:pPr>
        <w:pStyle w:val="Heading2"/>
        <w:spacing w:line="240" w:lineRule="auto"/>
        <w:ind w:right="178"/>
        <w:jc w:val="both"/>
        <w:rPr>
          <w:rFonts w:ascii="Times New Roman" w:hAnsi="Times New Roman" w:cs="Times New Roman" w:eastAsia="Times New Roman" w:hint="default"/>
          <w:b w:val="0"/>
          <w:bCs w:val="0"/>
          <w:i w:val="0"/>
        </w:rPr>
      </w:pPr>
      <w:r>
        <w:rPr>
          <w:i/>
        </w:rPr>
        <w:t>Препоручује се одговорним лицима да приликом закључивања уговора уговоре вредност</w:t>
      </w:r>
      <w:r>
        <w:rPr>
          <w:rFonts w:ascii="Times New Roman" w:hAnsi="Times New Roman"/>
          <w:i/>
        </w:rPr>
        <w:t>.</w:t>
      </w:r>
      <w:r>
        <w:rPr>
          <w:rFonts w:ascii="Times New Roman" w:hAnsi="Times New Roman"/>
          <w:b w:val="0"/>
          <w:i w:val="0"/>
        </w:rPr>
      </w:r>
    </w:p>
    <w:p>
      <w:pPr>
        <w:pStyle w:val="ListParagraph"/>
        <w:numPr>
          <w:ilvl w:val="2"/>
          <w:numId w:val="36"/>
        </w:numPr>
        <w:tabs>
          <w:tab w:pos="1032" w:val="left" w:leader="none"/>
        </w:tabs>
        <w:spacing w:line="240" w:lineRule="auto" w:before="134" w:after="0"/>
        <w:ind w:left="160" w:right="178" w:firstLine="566"/>
        <w:jc w:val="both"/>
        <w:rPr>
          <w:rFonts w:ascii="Times New Roman" w:hAnsi="Times New Roman" w:cs="Times New Roman" w:eastAsia="Times New Roman" w:hint="default"/>
          <w:sz w:val="24"/>
          <w:szCs w:val="24"/>
        </w:rPr>
      </w:pPr>
      <w:r>
        <w:rPr>
          <w:rFonts w:ascii="Times New Roman" w:hAnsi="Times New Roman"/>
          <w:b/>
          <w:sz w:val="24"/>
        </w:rPr>
        <w:t>Управа за омладину и спорт </w:t>
      </w:r>
      <w:r>
        <w:rPr>
          <w:rFonts w:ascii="Times New Roman" w:hAnsi="Times New Roman"/>
          <w:b/>
          <w:sz w:val="24"/>
        </w:rPr>
        <w:t>- </w:t>
      </w:r>
      <w:r>
        <w:rPr>
          <w:rFonts w:ascii="Times New Roman" w:hAnsi="Times New Roman"/>
          <w:sz w:val="24"/>
        </w:rPr>
        <w:t>Исказан је расход у износу од 3.377 хиљада динара. Расход се у целости односи на индиректног буџетског</w:t>
      </w:r>
      <w:r>
        <w:rPr>
          <w:rFonts w:ascii="Times New Roman" w:hAnsi="Times New Roman"/>
          <w:spacing w:val="-27"/>
          <w:sz w:val="24"/>
        </w:rPr>
        <w:t> </w:t>
      </w:r>
      <w:r>
        <w:rPr>
          <w:rFonts w:ascii="Times New Roman" w:hAnsi="Times New Roman"/>
          <w:sz w:val="24"/>
        </w:rPr>
        <w:t>корисника:</w:t>
      </w:r>
    </w:p>
    <w:p>
      <w:pPr>
        <w:pStyle w:val="BodyText"/>
        <w:spacing w:line="240" w:lineRule="auto"/>
        <w:ind w:right="175" w:firstLine="566"/>
        <w:jc w:val="both"/>
      </w:pPr>
      <w:r>
        <w:rPr>
          <w:rFonts w:ascii="Times New Roman" w:hAnsi="Times New Roman" w:cs="Times New Roman" w:eastAsia="Times New Roman" w:hint="default"/>
          <w:b/>
          <w:bCs/>
        </w:rPr>
        <w:t>2а) СЦ Чаир – </w:t>
      </w:r>
      <w:r>
        <w:rPr/>
        <w:t>Исказан је расход у износу од 3.377 хиљада динара и то: из средстава буџета града у износу од 2.377 хиљада динара и из осталих извора у износу </w:t>
      </w:r>
      <w:r>
        <w:rPr>
          <w:spacing w:val="37"/>
        </w:rPr>
        <w:t> </w:t>
      </w:r>
      <w:r>
        <w:rPr/>
        <w:t>од</w:t>
      </w:r>
    </w:p>
    <w:p>
      <w:pPr>
        <w:pStyle w:val="BodyText"/>
        <w:spacing w:line="240" w:lineRule="auto"/>
        <w:ind w:right="0"/>
        <w:jc w:val="both"/>
      </w:pPr>
      <w:r>
        <w:rPr/>
        <w:t>1.000 хиљаде</w:t>
      </w:r>
      <w:r>
        <w:rPr>
          <w:spacing w:val="-3"/>
        </w:rPr>
        <w:t> </w:t>
      </w:r>
      <w:r>
        <w:rPr/>
        <w:t>динара.</w:t>
      </w:r>
    </w:p>
    <w:p>
      <w:pPr>
        <w:spacing w:after="0" w:line="240" w:lineRule="auto"/>
        <w:jc w:val="both"/>
        <w:sectPr>
          <w:pgSz w:w="12240" w:h="15840"/>
          <w:pgMar w:header="740" w:footer="1274" w:top="1280" w:bottom="1460" w:left="1400" w:right="1260"/>
        </w:sectPr>
      </w:pPr>
    </w:p>
    <w:p>
      <w:pPr>
        <w:pStyle w:val="BodyText"/>
        <w:spacing w:line="240" w:lineRule="auto" w:before="122"/>
        <w:ind w:left="726" w:right="141"/>
        <w:jc w:val="left"/>
      </w:pPr>
      <w:r>
        <w:rPr>
          <w:rFonts w:ascii="Times New Roman" w:hAnsi="Times New Roman"/>
        </w:rPr>
      </w:r>
      <w:r>
        <w:rPr>
          <w:rFonts w:ascii="Times New Roman" w:hAnsi="Times New Roman"/>
          <w:spacing w:val="-60"/>
          <w:u w:val="single" w:color="000000"/>
        </w:rPr>
        <w:t> </w:t>
      </w:r>
      <w:r>
        <w:rPr>
          <w:u w:val="single" w:color="000000"/>
        </w:rPr>
        <w:t>Текуће   поправке  и   одржавање  производне,  моторне,  непокретне  и    немоторне</w:t>
      </w:r>
      <w:r>
        <w:rPr/>
      </w:r>
    </w:p>
    <w:p>
      <w:pPr>
        <w:pStyle w:val="BodyText"/>
        <w:spacing w:line="240" w:lineRule="auto"/>
        <w:ind w:right="172"/>
        <w:jc w:val="both"/>
        <w:rPr>
          <w:rFonts w:ascii="Times New Roman" w:hAnsi="Times New Roman" w:cs="Times New Roman" w:eastAsia="Times New Roman" w:hint="default"/>
        </w:rPr>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опреме, субаналитички конто 425291 </w:t>
      </w:r>
      <w:r>
        <w:rPr/>
      </w:r>
      <w:r>
        <w:rPr>
          <w:rFonts w:ascii="Times New Roman" w:hAnsi="Times New Roman" w:cs="Times New Roman" w:eastAsia="Times New Roman" w:hint="default"/>
          <w:i/>
        </w:rPr>
        <w:t>– </w:t>
      </w:r>
      <w:r>
        <w:rPr/>
        <w:t>Исказан је расход у износу од </w:t>
      </w:r>
      <w:r>
        <w:rPr>
          <w:rFonts w:ascii="Times New Roman" w:hAnsi="Times New Roman" w:cs="Times New Roman" w:eastAsia="Times New Roman" w:hint="default"/>
        </w:rPr>
        <w:t>2.092 </w:t>
      </w:r>
      <w:r>
        <w:rPr/>
        <w:t>хиљаде динара</w:t>
      </w:r>
      <w:r>
        <w:rPr>
          <w:rFonts w:ascii="Times New Roman" w:hAnsi="Times New Roman" w:cs="Times New Roman" w:eastAsia="Times New Roman" w:hint="default"/>
        </w:rPr>
        <w:t>.</w:t>
      </w:r>
    </w:p>
    <w:p>
      <w:pPr>
        <w:pStyle w:val="Heading1"/>
        <w:spacing w:line="275" w:lineRule="exact"/>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1"/>
        </w:rPr>
        <w:t> </w:t>
      </w:r>
      <w:r>
        <w:rPr/>
        <w:t>је</w:t>
      </w:r>
      <w:r>
        <w:rPr>
          <w:rFonts w:ascii="Times New Roman" w:hAnsi="Times New Roman"/>
        </w:rPr>
        <w:t>:</w:t>
      </w:r>
      <w:r>
        <w:rPr>
          <w:rFonts w:ascii="Times New Roman" w:hAnsi="Times New Roman"/>
          <w:b w:val="0"/>
        </w:rPr>
      </w:r>
    </w:p>
    <w:p>
      <w:pPr>
        <w:pStyle w:val="ListParagraph"/>
        <w:numPr>
          <w:ilvl w:val="0"/>
          <w:numId w:val="9"/>
        </w:numPr>
        <w:tabs>
          <w:tab w:pos="341"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Према грађевинском дневнику по Уговору о пружању услуга са „Техником Информатика“ доо Ниш број 01</w:t>
      </w:r>
      <w:r>
        <w:rPr>
          <w:rFonts w:ascii="Times New Roman" w:hAnsi="Times New Roman" w:cs="Times New Roman" w:eastAsia="Times New Roman" w:hint="default"/>
          <w:sz w:val="24"/>
          <w:szCs w:val="24"/>
        </w:rPr>
        <w:t>-1975/1 </w:t>
      </w:r>
      <w:r>
        <w:rPr>
          <w:rFonts w:ascii="Times New Roman" w:hAnsi="Times New Roman" w:cs="Times New Roman" w:eastAsia="Times New Roman" w:hint="default"/>
          <w:sz w:val="24"/>
          <w:szCs w:val="24"/>
        </w:rPr>
        <w:t>од 14.11.2013. године радови су завршени 22.11.2013. године, а Записник о примопредаји радова сачињен је дана 13.12.2013. године, односно шест дана након уговореног рока (рок за примопредају је 15 дана од завршетка пружања услуга</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 што је супротно члану 15. наведеног</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Уговора</w:t>
      </w:r>
      <w:r>
        <w:rPr>
          <w:rFonts w:ascii="Times New Roman" w:hAnsi="Times New Roman" w:cs="Times New Roman" w:eastAsia="Times New Roman" w:hint="default"/>
          <w:sz w:val="24"/>
          <w:szCs w:val="24"/>
        </w:rPr>
        <w:t>.</w:t>
      </w:r>
    </w:p>
    <w:p>
      <w:pPr>
        <w:pStyle w:val="ListParagraph"/>
        <w:numPr>
          <w:ilvl w:val="0"/>
          <w:numId w:val="9"/>
        </w:numPr>
        <w:tabs>
          <w:tab w:pos="341"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Неправилно је евидентиран износ од 148 хиљада динара на групи 425000</w:t>
      </w:r>
      <w:r>
        <w:rPr>
          <w:rFonts w:ascii="Times New Roman" w:hAnsi="Times New Roman"/>
          <w:sz w:val="24"/>
        </w:rPr>
        <w:t>-</w:t>
      </w:r>
      <w:r>
        <w:rPr>
          <w:rFonts w:ascii="Times New Roman" w:hAnsi="Times New Roman"/>
          <w:sz w:val="24"/>
        </w:rPr>
        <w:t>Текуће поправке и одржавање, уместо на групи 512000 </w:t>
      </w:r>
      <w:r>
        <w:rPr>
          <w:rFonts w:ascii="Times New Roman" w:hAnsi="Times New Roman"/>
          <w:sz w:val="24"/>
        </w:rPr>
        <w:t>- </w:t>
      </w:r>
      <w:r>
        <w:rPr>
          <w:rFonts w:ascii="Times New Roman" w:hAnsi="Times New Roman"/>
          <w:sz w:val="24"/>
        </w:rPr>
        <w:t>Машине и опрема, што је супротно члану 9. Уредбе о буџетском рачуноводству и Правилнику о стандардном класификационом оквиру и контном плану за буџетски систем</w:t>
      </w:r>
      <w:r>
        <w:rPr>
          <w:rFonts w:ascii="Times New Roman" w:hAnsi="Times New Roman"/>
          <w:sz w:val="24"/>
        </w:rPr>
        <w:t>. </w:t>
      </w:r>
      <w:r>
        <w:rPr>
          <w:rFonts w:ascii="Times New Roman" w:hAnsi="Times New Roman"/>
          <w:sz w:val="24"/>
        </w:rPr>
        <w:t>У Билансу стања мање је исказана нефинансијска имовина и капитал у истом</w:t>
      </w:r>
      <w:r>
        <w:rPr>
          <w:rFonts w:ascii="Times New Roman" w:hAnsi="Times New Roman"/>
          <w:spacing w:val="-27"/>
          <w:sz w:val="24"/>
        </w:rPr>
        <w:t> </w:t>
      </w:r>
      <w:r>
        <w:rPr>
          <w:rFonts w:ascii="Times New Roman" w:hAnsi="Times New Roman"/>
          <w:sz w:val="24"/>
        </w:rPr>
        <w:t>износу.</w:t>
      </w:r>
    </w:p>
    <w:p>
      <w:pPr>
        <w:pStyle w:val="Heading2"/>
        <w:spacing w:line="240" w:lineRule="auto"/>
        <w:ind w:right="175"/>
        <w:jc w:val="both"/>
        <w:rPr>
          <w:b w:val="0"/>
          <w:bCs w:val="0"/>
          <w:i w:val="0"/>
        </w:rPr>
      </w:pPr>
      <w:r>
        <w:rPr>
          <w:i/>
        </w:rPr>
        <w:t>Препоручује се одговорним лицима да доследно примењују одредбе закључених уговора и обезбеде правилну примену одредби Уредбе о буџетском рачуноводству и Правилника о стандардном класификационом оквиру и контном плану за буџетски систем.</w:t>
      </w:r>
      <w:r>
        <w:rPr>
          <w:b w:val="0"/>
          <w:i w:val="0"/>
        </w:rPr>
      </w:r>
    </w:p>
    <w:p>
      <w:pPr>
        <w:pStyle w:val="ListParagraph"/>
        <w:numPr>
          <w:ilvl w:val="2"/>
          <w:numId w:val="36"/>
        </w:numPr>
        <w:tabs>
          <w:tab w:pos="1003" w:val="left" w:leader="none"/>
        </w:tabs>
        <w:spacing w:line="240" w:lineRule="auto" w:before="134" w:after="0"/>
        <w:ind w:left="160" w:right="182" w:firstLine="566"/>
        <w:jc w:val="both"/>
        <w:rPr>
          <w:rFonts w:ascii="Times New Roman" w:hAnsi="Times New Roman" w:cs="Times New Roman" w:eastAsia="Times New Roman" w:hint="default"/>
          <w:sz w:val="24"/>
          <w:szCs w:val="24"/>
        </w:rPr>
      </w:pPr>
      <w:r>
        <w:rPr>
          <w:rFonts w:ascii="Times New Roman" w:hAnsi="Times New Roman"/>
          <w:b/>
          <w:sz w:val="24"/>
        </w:rPr>
        <w:t>Управа за образовање </w:t>
      </w:r>
      <w:r>
        <w:rPr>
          <w:rFonts w:ascii="Times New Roman" w:hAnsi="Times New Roman"/>
          <w:b/>
          <w:sz w:val="24"/>
        </w:rPr>
        <w:t>- </w:t>
      </w:r>
      <w:r>
        <w:rPr>
          <w:rFonts w:ascii="Times New Roman" w:hAnsi="Times New Roman"/>
          <w:sz w:val="24"/>
        </w:rPr>
        <w:t>Исказан је расход у износу од 13.522 хиљаде динара и то: износ од 2.298 хиљада динара на терет буџета Републике, износ од седам хиљада динара на терет буџета града, износ од 14 хиљада динара из донација и износ од 11.203 хиљаде динара из сопствених средстава. Исказани расходи се односе на следеће индиректне кориснике: износ од 13.322 хиљаде динара на ПУ Пчелица, износ од 75 хиљада динара на Дечији центар и износ од 125 хиљада динара на Регионални центар за професионални развој запослених у</w:t>
      </w:r>
      <w:r>
        <w:rPr>
          <w:rFonts w:ascii="Times New Roman" w:hAnsi="Times New Roman"/>
          <w:spacing w:val="-21"/>
          <w:sz w:val="24"/>
        </w:rPr>
        <w:t> </w:t>
      </w:r>
      <w:r>
        <w:rPr>
          <w:rFonts w:ascii="Times New Roman" w:hAnsi="Times New Roman"/>
          <w:sz w:val="24"/>
        </w:rPr>
        <w:t>образовању.</w:t>
      </w:r>
    </w:p>
    <w:p>
      <w:pPr>
        <w:pStyle w:val="BodyText"/>
        <w:spacing w:line="240" w:lineRule="auto"/>
        <w:ind w:right="172" w:firstLine="566"/>
        <w:jc w:val="both"/>
      </w:pPr>
      <w:r>
        <w:rPr>
          <w:rFonts w:ascii="Times New Roman" w:hAnsi="Times New Roman" w:cs="Times New Roman" w:eastAsia="Times New Roman" w:hint="default"/>
          <w:b/>
          <w:bCs/>
        </w:rPr>
        <w:t>3</w:t>
      </w:r>
      <w:r>
        <w:rPr>
          <w:rFonts w:ascii="Times New Roman" w:hAnsi="Times New Roman" w:cs="Times New Roman" w:eastAsia="Times New Roman" w:hint="default"/>
          <w:b/>
          <w:bCs/>
        </w:rPr>
        <w:t>а) ПУ Пчелица – </w:t>
      </w:r>
      <w:r>
        <w:rPr/>
        <w:t>Исказан је расход у износу од </w:t>
      </w:r>
      <w:r>
        <w:rPr>
          <w:rFonts w:ascii="Times New Roman" w:hAnsi="Times New Roman" w:cs="Times New Roman" w:eastAsia="Times New Roman" w:hint="default"/>
        </w:rPr>
        <w:t>13.322 </w:t>
      </w:r>
      <w:r>
        <w:rPr/>
        <w:t>хиљаде динара и то на терет буџета Републике у износу од 2.298 хиљада динара и из осталих извора у износу</w:t>
      </w:r>
      <w:r>
        <w:rPr>
          <w:spacing w:val="20"/>
        </w:rPr>
        <w:t> </w:t>
      </w:r>
      <w:r>
        <w:rPr/>
        <w:t>од</w:t>
      </w:r>
    </w:p>
    <w:p>
      <w:pPr>
        <w:pStyle w:val="BodyText"/>
        <w:spacing w:line="240" w:lineRule="auto"/>
        <w:ind w:right="182"/>
        <w:jc w:val="both"/>
      </w:pPr>
      <w:r>
        <w:rPr/>
        <w:t>11.024 хиљаде динара. Исказани су расходи за: текуће поправке и одржавање зграда и објеката у износу од 9.479 хиљада динара и текуће поправке и одржавање опреме у износу од 3.843 хиљаде</w:t>
      </w:r>
      <w:r>
        <w:rPr>
          <w:spacing w:val="-6"/>
        </w:rPr>
        <w:t> </w:t>
      </w:r>
      <w:r>
        <w:rPr/>
        <w:t>динара.</w:t>
      </w:r>
    </w:p>
    <w:p>
      <w:pPr>
        <w:pStyle w:val="BodyText"/>
        <w:spacing w:line="240" w:lineRule="auto"/>
        <w:ind w:right="173"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Текуће поправке и одржавање зграда и објеката, синтетички конто </w:t>
      </w:r>
      <w:r>
        <w:rPr>
          <w:rFonts w:ascii="Times New Roman" w:hAnsi="Times New Roman" w:cs="Times New Roman" w:eastAsia="Times New Roman" w:hint="default"/>
          <w:u w:val="single" w:color="000000"/>
        </w:rPr>
        <w:t>425100 </w:t>
      </w:r>
      <w:r>
        <w:rPr>
          <w:rFonts w:ascii="Times New Roman" w:hAnsi="Times New Roman" w:cs="Times New Roman" w:eastAsia="Times New Roman" w:hint="default"/>
        </w:rPr>
      </w:r>
      <w:r>
        <w:rPr/>
        <w:t>–  Исказан је расход у износу од 9.479 хиљада динара и то из средстава буџета Републике у износу од 1.054 хиљаде динара и из осталих извора у износу од 8.425 хиљада</w:t>
      </w:r>
      <w:r>
        <w:rPr>
          <w:spacing w:val="-17"/>
        </w:rPr>
        <w:t> </w:t>
      </w:r>
      <w:r>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Извршена је набавка и извршен је расход у већем износу од уговореног за 32 хиљаде динара по Уговору о набавци добара – материјал од дрвета и иверице број 8277 од 05.12.2012. године закљученом са „</w:t>
      </w:r>
      <w:r>
        <w:rPr>
          <w:rFonts w:ascii="Times New Roman" w:hAnsi="Times New Roman" w:cs="Times New Roman" w:eastAsia="Times New Roman" w:hint="default"/>
          <w:sz w:val="24"/>
          <w:szCs w:val="24"/>
        </w:rPr>
        <w:t>Al-</w:t>
      </w:r>
      <w:r>
        <w:rPr>
          <w:rFonts w:ascii="Times New Roman" w:hAnsi="Times New Roman" w:cs="Times New Roman" w:eastAsia="Times New Roman" w:hint="default"/>
          <w:sz w:val="24"/>
          <w:szCs w:val="24"/>
        </w:rPr>
        <w:t>ma style“ пр Ниш, што је супротно члану 56. и 58. Закона о буџетском систему. По овом уговору уговорена је вредност од 2.434 хиљаде динара са ПДВ, а извршена је набавка добара у износу од 2.466 хиљада</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динара.</w:t>
      </w:r>
    </w:p>
    <w:p>
      <w:pPr>
        <w:pStyle w:val="ListParagraph"/>
        <w:numPr>
          <w:ilvl w:val="0"/>
          <w:numId w:val="9"/>
        </w:numPr>
        <w:tabs>
          <w:tab w:pos="303" w:val="left" w:leader="none"/>
        </w:tabs>
        <w:spacing w:line="240" w:lineRule="auto" w:before="2" w:after="0"/>
        <w:ind w:left="160" w:right="18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Извршена је набавка и извршен је расход у износу од 147 хиљада динара преко уговорене вредности на име одржавања косих и равних кровова, по Уговору о извођењу радова – одржавање косих и равних кровова број 13491 од 23.12.2013. године  закљученом са ЗЗ „Град екстра градња“ Ниш, без писане сагласности наручиоца, што је супротно члану 56. и 58. Закона о буџетском систему. Уговором је уговорена вредност радова у износу од 1.574 хиљаде динара, а изведени су радови у износу од 1.721 хиљаде динара.</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ListParagraph"/>
        <w:numPr>
          <w:ilvl w:val="0"/>
          <w:numId w:val="9"/>
        </w:numPr>
        <w:tabs>
          <w:tab w:pos="303" w:val="left" w:leader="none"/>
        </w:tabs>
        <w:spacing w:line="240" w:lineRule="auto" w:before="124"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Извршена је набавка у укупном износу од 1.136 хиљада динара преко уговорене вредности на име услуге одржавања лифтова и платформи и то по Уговору о пружању услуга – сервисирање опреме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редован сервис лифтова и платформи број 278 од 16.01.2013. године закљученом са „Еуролифт“ доо Ниш у износу од 599 хиљада динара и по Уговору о јавној набавци услуга – редован сервис лифтова и платформи број 452 од 21.01.2014. године закљученом са „Елеватор плус“ доо Ниш у износу од 537 хиљада динара,</w:t>
      </w:r>
      <w:r>
        <w:rPr>
          <w:rFonts w:ascii="Times New Roman" w:hAnsi="Times New Roman" w:cs="Times New Roman" w:eastAsia="Times New Roman" w:hint="default"/>
          <w:spacing w:val="46"/>
          <w:sz w:val="24"/>
          <w:szCs w:val="24"/>
        </w:rPr>
        <w:t> </w:t>
      </w:r>
      <w:r>
        <w:rPr>
          <w:rFonts w:ascii="Times New Roman" w:hAnsi="Times New Roman" w:cs="Times New Roman" w:eastAsia="Times New Roman" w:hint="default"/>
          <w:sz w:val="24"/>
          <w:szCs w:val="24"/>
        </w:rPr>
        <w:t>што</w:t>
      </w:r>
      <w:r>
        <w:rPr>
          <w:rFonts w:ascii="Times New Roman" w:hAnsi="Times New Roman" w:cs="Times New Roman" w:eastAsia="Times New Roman" w:hint="default"/>
          <w:spacing w:val="46"/>
          <w:sz w:val="24"/>
          <w:szCs w:val="24"/>
        </w:rPr>
        <w:t> </w:t>
      </w:r>
      <w:r>
        <w:rPr>
          <w:rFonts w:ascii="Times New Roman" w:hAnsi="Times New Roman" w:cs="Times New Roman" w:eastAsia="Times New Roman" w:hint="default"/>
          <w:sz w:val="24"/>
          <w:szCs w:val="24"/>
        </w:rPr>
        <w:t>је</w:t>
      </w:r>
      <w:r>
        <w:rPr>
          <w:rFonts w:ascii="Times New Roman" w:hAnsi="Times New Roman" w:cs="Times New Roman" w:eastAsia="Times New Roman" w:hint="default"/>
          <w:spacing w:val="46"/>
          <w:sz w:val="24"/>
          <w:szCs w:val="24"/>
        </w:rPr>
        <w:t> </w:t>
      </w:r>
      <w:r>
        <w:rPr>
          <w:rFonts w:ascii="Times New Roman" w:hAnsi="Times New Roman" w:cs="Times New Roman" w:eastAsia="Times New Roman" w:hint="default"/>
          <w:sz w:val="24"/>
          <w:szCs w:val="24"/>
        </w:rPr>
        <w:t>супротно</w:t>
      </w:r>
      <w:r>
        <w:rPr>
          <w:rFonts w:ascii="Times New Roman" w:hAnsi="Times New Roman" w:cs="Times New Roman" w:eastAsia="Times New Roman" w:hint="default"/>
          <w:spacing w:val="46"/>
          <w:sz w:val="24"/>
          <w:szCs w:val="24"/>
        </w:rPr>
        <w:t> </w:t>
      </w:r>
      <w:r>
        <w:rPr>
          <w:rFonts w:ascii="Times New Roman" w:hAnsi="Times New Roman" w:cs="Times New Roman" w:eastAsia="Times New Roman" w:hint="default"/>
          <w:sz w:val="24"/>
          <w:szCs w:val="24"/>
        </w:rPr>
        <w:t>члану</w:t>
      </w:r>
      <w:r>
        <w:rPr>
          <w:rFonts w:ascii="Times New Roman" w:hAnsi="Times New Roman" w:cs="Times New Roman" w:eastAsia="Times New Roman" w:hint="default"/>
          <w:spacing w:val="41"/>
          <w:sz w:val="24"/>
          <w:szCs w:val="24"/>
        </w:rPr>
        <w:t> </w:t>
      </w:r>
      <w:r>
        <w:rPr>
          <w:rFonts w:ascii="Times New Roman" w:hAnsi="Times New Roman" w:cs="Times New Roman" w:eastAsia="Times New Roman" w:hint="default"/>
          <w:sz w:val="24"/>
          <w:szCs w:val="24"/>
        </w:rPr>
        <w:t>56.</w:t>
      </w:r>
      <w:r>
        <w:rPr>
          <w:rFonts w:ascii="Times New Roman" w:hAnsi="Times New Roman" w:cs="Times New Roman" w:eastAsia="Times New Roman" w:hint="default"/>
          <w:spacing w:val="46"/>
          <w:sz w:val="24"/>
          <w:szCs w:val="24"/>
        </w:rPr>
        <w:t> </w:t>
      </w:r>
      <w:r>
        <w:rPr>
          <w:rFonts w:ascii="Times New Roman" w:hAnsi="Times New Roman" w:cs="Times New Roman" w:eastAsia="Times New Roman" w:hint="default"/>
          <w:sz w:val="24"/>
          <w:szCs w:val="24"/>
        </w:rPr>
        <w:t>и</w:t>
      </w:r>
      <w:r>
        <w:rPr>
          <w:rFonts w:ascii="Times New Roman" w:hAnsi="Times New Roman" w:cs="Times New Roman" w:eastAsia="Times New Roman" w:hint="default"/>
          <w:spacing w:val="47"/>
          <w:sz w:val="24"/>
          <w:szCs w:val="24"/>
        </w:rPr>
        <w:t> </w:t>
      </w:r>
      <w:r>
        <w:rPr>
          <w:rFonts w:ascii="Times New Roman" w:hAnsi="Times New Roman" w:cs="Times New Roman" w:eastAsia="Times New Roman" w:hint="default"/>
          <w:sz w:val="24"/>
          <w:szCs w:val="24"/>
        </w:rPr>
        <w:t>58.</w:t>
      </w:r>
      <w:r>
        <w:rPr>
          <w:rFonts w:ascii="Times New Roman" w:hAnsi="Times New Roman" w:cs="Times New Roman" w:eastAsia="Times New Roman" w:hint="default"/>
          <w:spacing w:val="46"/>
          <w:sz w:val="24"/>
          <w:szCs w:val="24"/>
        </w:rPr>
        <w:t> </w:t>
      </w:r>
      <w:r>
        <w:rPr>
          <w:rFonts w:ascii="Times New Roman" w:hAnsi="Times New Roman" w:cs="Times New Roman" w:eastAsia="Times New Roman" w:hint="default"/>
          <w:sz w:val="24"/>
          <w:szCs w:val="24"/>
        </w:rPr>
        <w:t>Закона</w:t>
      </w:r>
      <w:r>
        <w:rPr>
          <w:rFonts w:ascii="Times New Roman" w:hAnsi="Times New Roman" w:cs="Times New Roman" w:eastAsia="Times New Roman" w:hint="default"/>
          <w:spacing w:val="51"/>
          <w:sz w:val="24"/>
          <w:szCs w:val="24"/>
        </w:rPr>
        <w:t> </w:t>
      </w:r>
      <w:r>
        <w:rPr>
          <w:rFonts w:ascii="Times New Roman" w:hAnsi="Times New Roman" w:cs="Times New Roman" w:eastAsia="Times New Roman" w:hint="default"/>
          <w:sz w:val="24"/>
          <w:szCs w:val="24"/>
        </w:rPr>
        <w:t>о</w:t>
      </w:r>
      <w:r>
        <w:rPr>
          <w:rFonts w:ascii="Times New Roman" w:hAnsi="Times New Roman" w:cs="Times New Roman" w:eastAsia="Times New Roman" w:hint="default"/>
          <w:spacing w:val="46"/>
          <w:sz w:val="24"/>
          <w:szCs w:val="24"/>
        </w:rPr>
        <w:t> </w:t>
      </w:r>
      <w:r>
        <w:rPr>
          <w:rFonts w:ascii="Times New Roman" w:hAnsi="Times New Roman" w:cs="Times New Roman" w:eastAsia="Times New Roman" w:hint="default"/>
          <w:sz w:val="24"/>
          <w:szCs w:val="24"/>
        </w:rPr>
        <w:t>буџетском</w:t>
      </w:r>
      <w:r>
        <w:rPr>
          <w:rFonts w:ascii="Times New Roman" w:hAnsi="Times New Roman" w:cs="Times New Roman" w:eastAsia="Times New Roman" w:hint="default"/>
          <w:spacing w:val="46"/>
          <w:sz w:val="24"/>
          <w:szCs w:val="24"/>
        </w:rPr>
        <w:t> </w:t>
      </w:r>
      <w:r>
        <w:rPr>
          <w:rFonts w:ascii="Times New Roman" w:hAnsi="Times New Roman" w:cs="Times New Roman" w:eastAsia="Times New Roman" w:hint="default"/>
          <w:sz w:val="24"/>
          <w:szCs w:val="24"/>
        </w:rPr>
        <w:t>систему</w:t>
      </w:r>
      <w:r>
        <w:rPr>
          <w:rFonts w:ascii="Times New Roman" w:hAnsi="Times New Roman" w:cs="Times New Roman" w:eastAsia="Times New Roman" w:hint="default"/>
          <w:sz w:val="24"/>
          <w:szCs w:val="24"/>
        </w:rPr>
        <w:t>.</w:t>
      </w:r>
      <w:r>
        <w:rPr>
          <w:rFonts w:ascii="Times New Roman" w:hAnsi="Times New Roman" w:cs="Times New Roman" w:eastAsia="Times New Roman" w:hint="default"/>
          <w:spacing w:val="47"/>
          <w:sz w:val="24"/>
          <w:szCs w:val="24"/>
        </w:rPr>
        <w:t> </w:t>
      </w:r>
      <w:r>
        <w:rPr>
          <w:rFonts w:ascii="Times New Roman" w:hAnsi="Times New Roman" w:cs="Times New Roman" w:eastAsia="Times New Roman" w:hint="default"/>
          <w:sz w:val="24"/>
          <w:szCs w:val="24"/>
        </w:rPr>
        <w:t>По</w:t>
      </w:r>
      <w:r>
        <w:rPr>
          <w:rFonts w:ascii="Times New Roman" w:hAnsi="Times New Roman" w:cs="Times New Roman" w:eastAsia="Times New Roman" w:hint="default"/>
          <w:spacing w:val="51"/>
          <w:sz w:val="24"/>
          <w:szCs w:val="24"/>
        </w:rPr>
        <w:t> </w:t>
      </w:r>
      <w:r>
        <w:rPr>
          <w:rFonts w:ascii="Times New Roman" w:hAnsi="Times New Roman" w:cs="Times New Roman" w:eastAsia="Times New Roman" w:hint="default"/>
          <w:sz w:val="24"/>
          <w:szCs w:val="24"/>
        </w:rPr>
        <w:t>уговору</w:t>
      </w:r>
      <w:r>
        <w:rPr>
          <w:rFonts w:ascii="Times New Roman" w:hAnsi="Times New Roman" w:cs="Times New Roman" w:eastAsia="Times New Roman" w:hint="default"/>
          <w:spacing w:val="44"/>
          <w:sz w:val="24"/>
          <w:szCs w:val="24"/>
        </w:rPr>
        <w:t> </w:t>
      </w:r>
      <w:r>
        <w:rPr>
          <w:rFonts w:ascii="Times New Roman" w:hAnsi="Times New Roman" w:cs="Times New Roman" w:eastAsia="Times New Roman" w:hint="default"/>
          <w:sz w:val="24"/>
          <w:szCs w:val="24"/>
        </w:rPr>
        <w:t>са</w:t>
      </w:r>
    </w:p>
    <w:p>
      <w:pPr>
        <w:pStyle w:val="BodyText"/>
        <w:spacing w:line="240" w:lineRule="auto"/>
        <w:ind w:right="178"/>
        <w:jc w:val="both"/>
      </w:pPr>
      <w:r>
        <w:rPr/>
        <w:t>„Еуролифт“ доо Ниш уговорена је вредност услуге у износу од 65 хиљада динара са  ПДВ, а укупна вредност извршених услуга по наведеном Уговору износи 664 хиљаде динара</w:t>
      </w:r>
      <w:r>
        <w:rPr>
          <w:rFonts w:ascii="Times New Roman" w:hAnsi="Times New Roman" w:cs="Times New Roman" w:eastAsia="Times New Roman" w:hint="default"/>
        </w:rPr>
        <w:t>. </w:t>
      </w:r>
      <w:r>
        <w:rPr/>
        <w:t>По уговору са „Елеватор плус“ доо Ниш уговорена вредност услуге износи 99 хиљада динара са ПДВ, а укупно је извршена набавка услуге у износу од 636 хиљада динара.</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Извршен је расход у износу од 26 хиљада динара, делимичним измирењем коначне ситуације број 13/14 од 25.08.2014. године на име додатних радова на поправци подова у кухињи преко уговорене вредности по Уговору број 1480 од 20.02.2014. године закљученом са „Team system VMN“ доо Ниш, што је супротно члану 56. и 58. Закона о буџетском</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систему.</w:t>
      </w:r>
    </w:p>
    <w:p>
      <w:pPr>
        <w:pStyle w:val="ListParagraph"/>
        <w:numPr>
          <w:ilvl w:val="0"/>
          <w:numId w:val="9"/>
        </w:numPr>
        <w:tabs>
          <w:tab w:pos="303" w:val="left" w:leader="none"/>
        </w:tabs>
        <w:spacing w:line="237" w:lineRule="auto" w:before="4"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Уговор о набавци материјала од дрвета и иверице број 8277 од 05.12.2012. године и Уговор о набавци услуге сечења и кантовања иверице број 4982 од 30.05.2013. године закључени су са „</w:t>
      </w:r>
      <w:r>
        <w:rPr>
          <w:rFonts w:ascii="Times New Roman" w:hAnsi="Times New Roman" w:cs="Times New Roman" w:eastAsia="Times New Roman" w:hint="default"/>
          <w:sz w:val="24"/>
          <w:szCs w:val="24"/>
        </w:rPr>
        <w:t>Al-</w:t>
      </w:r>
      <w:r>
        <w:rPr>
          <w:rFonts w:ascii="Times New Roman" w:hAnsi="Times New Roman" w:cs="Times New Roman" w:eastAsia="Times New Roman" w:hint="default"/>
          <w:sz w:val="24"/>
          <w:szCs w:val="24"/>
        </w:rPr>
        <w:t>ma style“ пр Ниш без периода важења</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уговора.</w:t>
      </w:r>
    </w:p>
    <w:p>
      <w:pPr>
        <w:pStyle w:val="ListParagraph"/>
        <w:numPr>
          <w:ilvl w:val="0"/>
          <w:numId w:val="9"/>
        </w:numPr>
        <w:tabs>
          <w:tab w:pos="303"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ПУ Пчелица није поштовала рокове плаћања обавеза на име изведених радова на одржавању косих и равних кровова, што је супротно члану 4. Уговора број 13491 од 23.12.2013. године закљученог са ЗЗ „Град екстра градња“ Ниш и члану 4. Закона о роковима измирења новчаних обавеза у комерцијалним</w:t>
      </w:r>
      <w:r>
        <w:rPr>
          <w:rFonts w:ascii="Times New Roman" w:hAnsi="Times New Roman" w:cs="Times New Roman" w:eastAsia="Times New Roman" w:hint="default"/>
          <w:spacing w:val="-28"/>
          <w:sz w:val="24"/>
          <w:szCs w:val="24"/>
        </w:rPr>
        <w:t> </w:t>
      </w:r>
      <w:r>
        <w:rPr>
          <w:rFonts w:ascii="Times New Roman" w:hAnsi="Times New Roman" w:cs="Times New Roman" w:eastAsia="Times New Roman" w:hint="default"/>
          <w:sz w:val="24"/>
          <w:szCs w:val="24"/>
        </w:rPr>
        <w:t>трансакцијама.</w:t>
      </w:r>
    </w:p>
    <w:p>
      <w:pPr>
        <w:pStyle w:val="ListParagraph"/>
        <w:numPr>
          <w:ilvl w:val="0"/>
          <w:numId w:val="9"/>
        </w:numPr>
        <w:tabs>
          <w:tab w:pos="303" w:val="left" w:leader="none"/>
        </w:tabs>
        <w:spacing w:line="237" w:lineRule="auto" w:before="4"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ПУ Пчелица није поднела захтев за издавање Решења о одобрењу извођења радова органу надлежном за давање одобрења</w:t>
      </w:r>
      <w:r>
        <w:rPr>
          <w:rFonts w:ascii="Times New Roman" w:hAnsi="Times New Roman"/>
          <w:sz w:val="24"/>
        </w:rPr>
        <w:t>, </w:t>
      </w:r>
      <w:r>
        <w:rPr>
          <w:rFonts w:ascii="Times New Roman" w:hAnsi="Times New Roman"/>
          <w:sz w:val="24"/>
        </w:rPr>
        <w:t>за извођење радова на одржавању косих и равних кровова, што је супротно члану 145. Закона о планирању и</w:t>
      </w:r>
      <w:r>
        <w:rPr>
          <w:rFonts w:ascii="Times New Roman" w:hAnsi="Times New Roman"/>
          <w:spacing w:val="-18"/>
          <w:sz w:val="24"/>
        </w:rPr>
        <w:t> </w:t>
      </w:r>
      <w:r>
        <w:rPr>
          <w:rFonts w:ascii="Times New Roman" w:hAnsi="Times New Roman"/>
          <w:sz w:val="24"/>
        </w:rPr>
        <w:t>изградњи.</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Средства из буџета града пренета дана 04.04.2014. године у износу од 328 хиљада динара за плаћање радова на поправци ограде по окончаној ситуацији 28/13 од 13.11.2013. године утрошена су на измирење обавеза за радове на одржавању косих и равних кровова, по окончаној ситуацији број 3/14 од 20.02.2014. године, тако да је одступљено од захтева за плаћање и није извршено сравњење са директним корисником, што је супротно члану 78. Закона о буџетском систему</w:t>
      </w:r>
      <w:r>
        <w:rPr>
          <w:rFonts w:ascii="Times New Roman" w:hAnsi="Times New Roman"/>
          <w:sz w:val="24"/>
        </w:rPr>
        <w:t>, </w:t>
      </w:r>
      <w:r>
        <w:rPr>
          <w:rFonts w:ascii="Times New Roman" w:hAnsi="Times New Roman"/>
          <w:sz w:val="24"/>
        </w:rPr>
        <w:t>члану 6. Уредбе о буџетском рачуноводству и члану 18. Одлуке о буџету града Ниша за 2014.</w:t>
      </w:r>
      <w:r>
        <w:rPr>
          <w:rFonts w:ascii="Times New Roman" w:hAnsi="Times New Roman"/>
          <w:spacing w:val="-18"/>
          <w:sz w:val="24"/>
        </w:rPr>
        <w:t> </w:t>
      </w:r>
      <w:r>
        <w:rPr>
          <w:rFonts w:ascii="Times New Roman" w:hAnsi="Times New Roman"/>
          <w:sz w:val="24"/>
        </w:rPr>
        <w:t>годину</w:t>
      </w:r>
      <w:r>
        <w:rPr>
          <w:rFonts w:ascii="Times New Roman" w:hAnsi="Times New Roman"/>
          <w:sz w:val="24"/>
        </w:rPr>
        <w:t>.</w:t>
      </w:r>
    </w:p>
    <w:p>
      <w:pPr>
        <w:pStyle w:val="ListParagraph"/>
        <w:numPr>
          <w:ilvl w:val="0"/>
          <w:numId w:val="9"/>
        </w:numPr>
        <w:tabs>
          <w:tab w:pos="303" w:val="left" w:leader="none"/>
        </w:tabs>
        <w:spacing w:line="237" w:lineRule="auto" w:before="4"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ПУ Пчелица набавку радова на одржавању врата и прозора и радова на замени стакала</w:t>
      </w:r>
      <w:r>
        <w:rPr>
          <w:rFonts w:ascii="Times New Roman" w:hAnsi="Times New Roman"/>
          <w:spacing w:val="-22"/>
          <w:sz w:val="24"/>
        </w:rPr>
        <w:t> </w:t>
      </w:r>
      <w:r>
        <w:rPr>
          <w:rFonts w:ascii="Times New Roman" w:hAnsi="Times New Roman"/>
          <w:sz w:val="24"/>
        </w:rPr>
        <w:t>у </w:t>
      </w:r>
      <w:r>
        <w:rPr>
          <w:rFonts w:ascii="Times New Roman" w:hAnsi="Times New Roman"/>
          <w:sz w:val="24"/>
        </w:rPr>
        <w:t>износу од 633 хиљаде динара, није спровела у поступку јавне набавке, као истоврсне радове, што је супротно члану 39. Закона о јавним</w:t>
      </w:r>
      <w:r>
        <w:rPr>
          <w:rFonts w:ascii="Times New Roman" w:hAnsi="Times New Roman"/>
          <w:spacing w:val="-13"/>
          <w:sz w:val="24"/>
        </w:rPr>
        <w:t> </w:t>
      </w:r>
      <w:r>
        <w:rPr>
          <w:rFonts w:ascii="Times New Roman" w:hAnsi="Times New Roman"/>
          <w:sz w:val="24"/>
        </w:rPr>
        <w:t>набавкама.</w:t>
      </w:r>
    </w:p>
    <w:p>
      <w:pPr>
        <w:pStyle w:val="ListParagraph"/>
        <w:numPr>
          <w:ilvl w:val="0"/>
          <w:numId w:val="9"/>
        </w:numPr>
        <w:tabs>
          <w:tab w:pos="303" w:val="left" w:leader="none"/>
        </w:tabs>
        <w:spacing w:line="237" w:lineRule="auto" w:before="5"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Извршен је расход у износу од 337 хиљада динара на име водоинсталатерских радова на објекту „Звончићи“ који нису уговорени, односно без правног основа, што је супротно члану 56. и 58. Закона о буџетском</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систему.</w:t>
      </w:r>
    </w:p>
    <w:p>
      <w:pPr>
        <w:pStyle w:val="ListParagraph"/>
        <w:numPr>
          <w:ilvl w:val="0"/>
          <w:numId w:val="9"/>
        </w:numPr>
        <w:tabs>
          <w:tab w:pos="303" w:val="left" w:leader="none"/>
        </w:tabs>
        <w:spacing w:line="240" w:lineRule="auto" w:before="2" w:after="0"/>
        <w:ind w:left="160" w:right="18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ПУ Пчелица у својим пословним књигама врши евидентирање пословних промена на контима чији су називи супротни називима конта прописаних Правилником о стандардном класификационом оквиру и контном плану за буџетски систем, као на пример 425119 – материјал за текуће</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поправке.</w:t>
      </w:r>
    </w:p>
    <w:p>
      <w:pPr>
        <w:pStyle w:val="Heading2"/>
        <w:tabs>
          <w:tab w:pos="2238" w:val="left" w:leader="none"/>
          <w:tab w:pos="2664" w:val="left" w:leader="none"/>
          <w:tab w:pos="4106" w:val="left" w:leader="none"/>
          <w:tab w:pos="5127" w:val="left" w:leader="none"/>
          <w:tab w:pos="5582" w:val="left" w:leader="none"/>
          <w:tab w:pos="6568" w:val="left" w:leader="none"/>
          <w:tab w:pos="7935" w:val="left" w:leader="none"/>
          <w:tab w:pos="8388" w:val="left" w:leader="none"/>
        </w:tabs>
        <w:spacing w:line="240" w:lineRule="auto"/>
        <w:ind w:right="178"/>
        <w:jc w:val="left"/>
        <w:rPr>
          <w:b w:val="0"/>
          <w:bCs w:val="0"/>
          <w:i w:val="0"/>
        </w:rPr>
      </w:pPr>
      <w:r>
        <w:rPr>
          <w:i/>
        </w:rPr>
        <w:t>Препоручује</w:t>
        <w:tab/>
        <w:t>се</w:t>
        <w:tab/>
        <w:t>одговорним</w:t>
        <w:tab/>
        <w:t>лицима</w:t>
        <w:tab/>
        <w:t>да</w:t>
        <w:tab/>
        <w:t>обавезе</w:t>
        <w:tab/>
        <w:t>преузимају</w:t>
        <w:tab/>
        <w:t>до</w:t>
        <w:tab/>
        <w:t>уговорене вредности</w:t>
      </w:r>
      <w:r>
        <w:rPr>
          <w:rFonts w:ascii="Times New Roman" w:hAnsi="Times New Roman"/>
          <w:i/>
        </w:rPr>
        <w:t>,</w:t>
      </w:r>
      <w:r>
        <w:rPr>
          <w:rFonts w:ascii="Times New Roman" w:hAnsi="Times New Roman"/>
          <w:i/>
          <w:spacing w:val="29"/>
        </w:rPr>
        <w:t> </w:t>
      </w:r>
      <w:r>
        <w:rPr>
          <w:i/>
        </w:rPr>
        <w:t>примењују</w:t>
      </w:r>
      <w:r>
        <w:rPr>
          <w:i/>
          <w:spacing w:val="30"/>
        </w:rPr>
        <w:t> </w:t>
      </w:r>
      <w:r>
        <w:rPr>
          <w:i/>
        </w:rPr>
        <w:t>одредбе</w:t>
      </w:r>
      <w:r>
        <w:rPr>
          <w:i/>
          <w:spacing w:val="30"/>
        </w:rPr>
        <w:t> </w:t>
      </w:r>
      <w:r>
        <w:rPr>
          <w:i/>
        </w:rPr>
        <w:t>уговора,</w:t>
      </w:r>
      <w:r>
        <w:rPr>
          <w:i/>
          <w:spacing w:val="31"/>
        </w:rPr>
        <w:t> </w:t>
      </w:r>
      <w:r>
        <w:rPr>
          <w:i/>
        </w:rPr>
        <w:t>обавезе</w:t>
      </w:r>
      <w:r>
        <w:rPr>
          <w:i/>
          <w:spacing w:val="30"/>
        </w:rPr>
        <w:t> </w:t>
      </w:r>
      <w:r>
        <w:rPr>
          <w:i/>
        </w:rPr>
        <w:t>измирују</w:t>
      </w:r>
      <w:r>
        <w:rPr>
          <w:i/>
          <w:spacing w:val="30"/>
        </w:rPr>
        <w:t> </w:t>
      </w:r>
      <w:r>
        <w:rPr>
          <w:i/>
        </w:rPr>
        <w:t>у</w:t>
      </w:r>
      <w:r>
        <w:rPr>
          <w:i/>
          <w:spacing w:val="30"/>
        </w:rPr>
        <w:t> </w:t>
      </w:r>
      <w:r>
        <w:rPr>
          <w:i/>
        </w:rPr>
        <w:t>прописаном</w:t>
      </w:r>
      <w:r>
        <w:rPr>
          <w:i/>
          <w:spacing w:val="32"/>
        </w:rPr>
        <w:t> </w:t>
      </w:r>
      <w:r>
        <w:rPr>
          <w:i/>
        </w:rPr>
        <w:t>року,</w:t>
      </w:r>
      <w:r>
        <w:rPr>
          <w:i/>
          <w:spacing w:val="28"/>
        </w:rPr>
        <w:t> </w:t>
      </w:r>
      <w:r>
        <w:rPr>
          <w:i/>
        </w:rPr>
        <w:t>набавку</w:t>
      </w:r>
      <w:r>
        <w:rPr>
          <w:b w:val="0"/>
          <w:i w:val="0"/>
        </w:rPr>
      </w:r>
    </w:p>
    <w:p>
      <w:pPr>
        <w:spacing w:after="0" w:line="240" w:lineRule="auto"/>
        <w:jc w:val="left"/>
        <w:sectPr>
          <w:pgSz w:w="12240" w:h="15840"/>
          <w:pgMar w:header="740" w:footer="1274" w:top="1280" w:bottom="1460" w:left="1400" w:right="1260"/>
        </w:sectPr>
      </w:pPr>
    </w:p>
    <w:p>
      <w:pPr>
        <w:spacing w:before="126"/>
        <w:ind w:left="160" w:right="174" w:firstLine="0"/>
        <w:jc w:val="both"/>
        <w:rPr>
          <w:rFonts w:ascii="Times New Roman" w:hAnsi="Times New Roman" w:cs="Times New Roman" w:eastAsia="Times New Roman" w:hint="default"/>
          <w:sz w:val="24"/>
          <w:szCs w:val="24"/>
        </w:rPr>
      </w:pPr>
      <w:r>
        <w:rPr>
          <w:rFonts w:ascii="Times New Roman" w:hAnsi="Times New Roman"/>
          <w:b/>
          <w:i/>
          <w:sz w:val="24"/>
        </w:rPr>
        <w:t>врше у поступку јавне набавке, обезбеде правилну примену одредби Закона о планирању и изградњи, Правилника о стандардном класификационом оквиру и контном плану за буџетски систем, врше сравњење са директним корисником и обезбеде основ за сваки расход из</w:t>
      </w:r>
      <w:r>
        <w:rPr>
          <w:rFonts w:ascii="Times New Roman" w:hAnsi="Times New Roman"/>
          <w:b/>
          <w:i/>
          <w:spacing w:val="-8"/>
          <w:sz w:val="24"/>
        </w:rPr>
        <w:t> </w:t>
      </w:r>
      <w:r>
        <w:rPr>
          <w:rFonts w:ascii="Times New Roman" w:hAnsi="Times New Roman"/>
          <w:b/>
          <w:i/>
          <w:sz w:val="24"/>
        </w:rPr>
        <w:t>буџета.</w:t>
      </w:r>
      <w:r>
        <w:rPr>
          <w:rFonts w:ascii="Times New Roman" w:hAnsi="Times New Roman"/>
          <w:sz w:val="24"/>
        </w:rPr>
      </w:r>
    </w:p>
    <w:p>
      <w:pPr>
        <w:pStyle w:val="BodyText"/>
        <w:spacing w:line="240" w:lineRule="auto"/>
        <w:ind w:right="178"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Текуће поправке и одржавање опреме, синтетички конто 425200 </w:t>
      </w:r>
      <w:r>
        <w:rPr/>
        <w:t>– Исказан је  </w:t>
      </w:r>
      <w:r>
        <w:rPr/>
        <w:t>расход у износу од 3.843 хиљаде динара и то из средстава буџета Републике у износу  </w:t>
      </w:r>
      <w:r>
        <w:rPr>
          <w:spacing w:val="16"/>
        </w:rPr>
        <w:t> </w:t>
      </w:r>
      <w:r>
        <w:rPr/>
        <w:t>од</w:t>
      </w:r>
    </w:p>
    <w:p>
      <w:pPr>
        <w:pStyle w:val="BodyText"/>
        <w:spacing w:line="240" w:lineRule="auto"/>
        <w:ind w:right="0"/>
        <w:jc w:val="both"/>
      </w:pPr>
      <w:r>
        <w:rPr/>
        <w:t>1.244 хиљаде динара и из осталих извора у износу од 2.599 хиљада</w:t>
      </w:r>
      <w:r>
        <w:rPr>
          <w:spacing w:val="-21"/>
        </w:rPr>
        <w:t> </w:t>
      </w:r>
      <w:r>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Извршен је расход у износу од </w:t>
      </w:r>
      <w:r>
        <w:rPr>
          <w:rFonts w:ascii="Times New Roman" w:hAnsi="Times New Roman" w:cs="Times New Roman" w:eastAsia="Times New Roman" w:hint="default"/>
          <w:sz w:val="24"/>
          <w:szCs w:val="24"/>
        </w:rPr>
        <w:t>30 </w:t>
      </w:r>
      <w:r>
        <w:rPr>
          <w:rFonts w:ascii="Times New Roman" w:hAnsi="Times New Roman" w:cs="Times New Roman" w:eastAsia="Times New Roman" w:hint="default"/>
          <w:sz w:val="24"/>
          <w:szCs w:val="24"/>
        </w:rPr>
        <w:t>хиљада динара, делимичним измирењем коначне ситуације број 13/14 од 25.08.2014. године на име додатних радова на поправци подова у кухињи преко уговорене вредности по Уговору број 1480 од 20.02.2014. године закљученом са „Team system VMN“ доо Ниш, што је супротно члану 56. и 58. Закона о буџетском</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систему.</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По Уговору број 3177 од 18.04.2013. године закљученом са „Дефриго“ пр Ниш, извршена је набавка услуга монтаже и демонтаже клима у вредности већој од уговорене за 63 хиљаде динара, што је супротно члану 56. и 58. Закона о буџетском систему. По Уговору број 3177 од 18.04.2013. године уговорена вредност услуга износи 135 хиљада динара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а извршена је набавка услуга у износу од 198 хиљада</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динара</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је евидентиран расход у укупном износу од 583 хиљаде динара и то за радове на санацији пода у кухињи у износу од 122 хиљаде динара, водоинсталатерске радове у износу од 301 хиљаде динара, радове на замени стакала у износу од 110 хиљада динара, услуге сервисирања лифтова и платформи у износу од 50 хиљада динара уместо на синтетичком конту 425100 – текуће поправке и одржавање зграда и објеката, што је супротно Правилнику о стандардном класификационом оквиру и контном плану за буџетски</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систем.</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је евидентиран расход у укупном износу од 509 хиљада динара и то за набавку зимских спољних гума у износу од 50 хиљада динара и за набавку тепиха у износу од 250 хиљада динара уместо на групи 426000 – материјал и за услуге одржавања рачунара и софтвера у износу од 209 хиљада динара уместо на групи 423000</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услуге по уговору,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31"/>
          <w:sz w:val="24"/>
          <w:szCs w:val="24"/>
        </w:rPr>
        <w:t> </w:t>
      </w:r>
      <w:r>
        <w:rPr>
          <w:rFonts w:ascii="Times New Roman" w:hAnsi="Times New Roman" w:cs="Times New Roman" w:eastAsia="Times New Roman" w:hint="default"/>
          <w:sz w:val="24"/>
          <w:szCs w:val="24"/>
        </w:rPr>
        <w:t>систем.</w:t>
      </w:r>
    </w:p>
    <w:p>
      <w:pPr>
        <w:pStyle w:val="ListParagraph"/>
        <w:numPr>
          <w:ilvl w:val="0"/>
          <w:numId w:val="9"/>
        </w:numPr>
        <w:tabs>
          <w:tab w:pos="303"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Извршен је расход у износу од 209 хиљада динара за услуге одржавања рачунара и софтвера по рачунима у којима није наведена услуга која је извршена и као такви нису валидан документ за евидентирање, што је супротно члану 58. Закона о буџетском систему и члану 16. Уредбе о буџетском</w:t>
      </w:r>
      <w:r>
        <w:rPr>
          <w:rFonts w:ascii="Times New Roman" w:hAnsi="Times New Roman"/>
          <w:spacing w:val="-15"/>
          <w:sz w:val="24"/>
        </w:rPr>
        <w:t> </w:t>
      </w:r>
      <w:r>
        <w:rPr>
          <w:rFonts w:ascii="Times New Roman" w:hAnsi="Times New Roman"/>
          <w:sz w:val="24"/>
        </w:rPr>
        <w:t>рачуноводству.</w:t>
      </w:r>
    </w:p>
    <w:p>
      <w:pPr>
        <w:pStyle w:val="Heading2"/>
        <w:spacing w:line="240" w:lineRule="auto"/>
        <w:ind w:right="174"/>
        <w:jc w:val="both"/>
        <w:rPr>
          <w:b w:val="0"/>
          <w:bCs w:val="0"/>
          <w:i w:val="0"/>
        </w:rPr>
      </w:pPr>
      <w:r>
        <w:rPr>
          <w:i/>
        </w:rPr>
        <w:t>Препоручује се одговорним лицима да обавезе преузимају до уговорене  вредности</w:t>
      </w:r>
      <w:r>
        <w:rPr>
          <w:rFonts w:ascii="Times New Roman" w:hAnsi="Times New Roman"/>
          <w:i/>
        </w:rPr>
        <w:t>, </w:t>
      </w:r>
      <w:r>
        <w:rPr>
          <w:i/>
        </w:rPr>
        <w:t>обезбеде правилну примену одредби Уредбе о буџетском рачуноводству и Правилника о стандардном класификационом оквиру и контном плану за буџетски систем и  обезбеде за сваки расход валидну</w:t>
      </w:r>
      <w:r>
        <w:rPr>
          <w:i/>
          <w:spacing w:val="-13"/>
        </w:rPr>
        <w:t> </w:t>
      </w:r>
      <w:r>
        <w:rPr>
          <w:i/>
        </w:rPr>
        <w:t>документацију.</w:t>
      </w:r>
      <w:r>
        <w:rPr>
          <w:b w:val="0"/>
          <w:i w:val="0"/>
        </w:rPr>
      </w:r>
    </w:p>
    <w:p>
      <w:pPr>
        <w:pStyle w:val="ListParagraph"/>
        <w:numPr>
          <w:ilvl w:val="2"/>
          <w:numId w:val="36"/>
        </w:numPr>
        <w:tabs>
          <w:tab w:pos="998" w:val="left" w:leader="none"/>
        </w:tabs>
        <w:spacing w:line="240" w:lineRule="auto" w:before="134" w:after="0"/>
        <w:ind w:left="160" w:right="172" w:firstLine="566"/>
        <w:jc w:val="both"/>
        <w:rPr>
          <w:rFonts w:ascii="Times New Roman" w:hAnsi="Times New Roman" w:cs="Times New Roman" w:eastAsia="Times New Roman" w:hint="default"/>
          <w:sz w:val="24"/>
          <w:szCs w:val="24"/>
        </w:rPr>
      </w:pPr>
      <w:r>
        <w:rPr>
          <w:rFonts w:ascii="Times New Roman" w:hAnsi="Times New Roman"/>
          <w:b/>
          <w:sz w:val="24"/>
        </w:rPr>
        <w:t>Управа за комуналне делатности, енергетику и саобраћај </w:t>
      </w:r>
      <w:r>
        <w:rPr>
          <w:rFonts w:ascii="Times New Roman" w:hAnsi="Times New Roman"/>
          <w:sz w:val="24"/>
        </w:rPr>
        <w:t>- </w:t>
      </w:r>
      <w:r>
        <w:rPr>
          <w:rFonts w:ascii="Times New Roman" w:hAnsi="Times New Roman"/>
          <w:sz w:val="24"/>
        </w:rPr>
        <w:t>Исказан је расход у износу од </w:t>
      </w:r>
      <w:r>
        <w:rPr>
          <w:rFonts w:ascii="Times New Roman" w:hAnsi="Times New Roman"/>
          <w:sz w:val="24"/>
        </w:rPr>
        <w:t>423.732 </w:t>
      </w:r>
      <w:r>
        <w:rPr>
          <w:rFonts w:ascii="Times New Roman" w:hAnsi="Times New Roman"/>
          <w:sz w:val="24"/>
        </w:rPr>
        <w:t>хиљаде динара и то из средстава буџета града. Исказани расход се односи на директног буџетског корисника Управу за комуналне делатности, енергетику и саобраћај у износу од 23.560 хиљада динара и индиректног буџетског корисника ЈП Дирекција за изградњу града Ниша у износу од 400.172 хиљаде</w:t>
      </w:r>
      <w:r>
        <w:rPr>
          <w:rFonts w:ascii="Times New Roman" w:hAnsi="Times New Roman"/>
          <w:spacing w:val="-15"/>
          <w:sz w:val="24"/>
        </w:rPr>
        <w:t> </w:t>
      </w:r>
      <w:r>
        <w:rPr>
          <w:rFonts w:ascii="Times New Roman" w:hAnsi="Times New Roman"/>
          <w:sz w:val="24"/>
        </w:rPr>
        <w:t>динара.</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6" w:firstLine="566"/>
        <w:jc w:val="both"/>
      </w:pPr>
      <w:r>
        <w:rPr>
          <w:rFonts w:ascii="Times New Roman" w:hAnsi="Times New Roman" w:cs="Times New Roman" w:eastAsia="Times New Roman" w:hint="default"/>
          <w:b/>
          <w:bCs/>
        </w:rPr>
        <w:t>На основу ревизије узорковане документације утврђено је </w:t>
      </w:r>
      <w:r>
        <w:rPr/>
        <w:t>да је Управа за комуналне делатности, енергетику и саобраћај у Извештају о извршењу буџета, исказала расход на групи 425000 – текуће поправке и одржавање у износу већем за 348 хиљада динара, што није у складу са Правилником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буџетских</w:t>
      </w:r>
      <w:r>
        <w:rPr>
          <w:spacing w:val="-24"/>
        </w:rPr>
        <w:t> </w:t>
      </w:r>
      <w:r>
        <w:rPr/>
        <w:t>фондова.</w:t>
      </w:r>
    </w:p>
    <w:p>
      <w:pPr>
        <w:pStyle w:val="Heading2"/>
        <w:spacing w:line="240" w:lineRule="auto"/>
        <w:ind w:right="178"/>
        <w:jc w:val="both"/>
        <w:rPr>
          <w:b w:val="0"/>
          <w:bCs w:val="0"/>
          <w:i w:val="0"/>
        </w:rPr>
      </w:pPr>
      <w:r>
        <w:rPr>
          <w:i/>
        </w:rPr>
        <w:t>Препоручује се одговорним лицима да обезбеде правилну примену одредби Правилника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буџетских</w:t>
      </w:r>
      <w:r>
        <w:rPr>
          <w:i/>
          <w:spacing w:val="-11"/>
        </w:rPr>
        <w:t> </w:t>
      </w:r>
      <w:r>
        <w:rPr>
          <w:i/>
        </w:rPr>
        <w:t>фондова.</w:t>
      </w:r>
      <w:r>
        <w:rPr>
          <w:b w:val="0"/>
          <w:i w:val="0"/>
        </w:rPr>
      </w:r>
    </w:p>
    <w:p>
      <w:pPr>
        <w:pStyle w:val="BodyText"/>
        <w:spacing w:line="240" w:lineRule="auto"/>
        <w:ind w:right="174"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Текуће поправке и одржавање осталих објеката, субаналитички конто 425191 </w:t>
      </w:r>
      <w:r>
        <w:rPr/>
      </w:r>
      <w:r>
        <w:rPr>
          <w:rFonts w:ascii="Times New Roman" w:hAnsi="Times New Roman" w:cs="Times New Roman" w:eastAsia="Times New Roman" w:hint="default"/>
          <w:i/>
        </w:rPr>
        <w:t>- </w:t>
      </w:r>
      <w:r>
        <w:rPr/>
        <w:t>Исказан је расход у износу од </w:t>
      </w:r>
      <w:r>
        <w:rPr>
          <w:rFonts w:ascii="Times New Roman" w:hAnsi="Times New Roman" w:cs="Times New Roman" w:eastAsia="Times New Roman" w:hint="default"/>
        </w:rPr>
        <w:t>23.560 </w:t>
      </w:r>
      <w:r>
        <w:rPr/>
        <w:t>хиљада динара, по основу Уговора број </w:t>
      </w:r>
      <w:r>
        <w:rPr>
          <w:rFonts w:ascii="Times New Roman" w:hAnsi="Times New Roman" w:cs="Times New Roman" w:eastAsia="Times New Roman" w:hint="default"/>
        </w:rPr>
        <w:t>2640/2014- </w:t>
      </w:r>
      <w:r>
        <w:rPr/>
        <w:t>01 о одржавању атмосферске канализације, који је закључио Градоначелник града Ниша са ЈКП „</w:t>
      </w:r>
      <w:r>
        <w:rPr>
          <w:rFonts w:ascii="Times New Roman" w:hAnsi="Times New Roman" w:cs="Times New Roman" w:eastAsia="Times New Roman" w:hint="default"/>
        </w:rPr>
        <w:t>Naissus</w:t>
      </w:r>
      <w:r>
        <w:rPr/>
        <w:t>“ Ниш, дана 30.07.2014.</w:t>
      </w:r>
      <w:r>
        <w:rPr>
          <w:spacing w:val="-8"/>
        </w:rPr>
        <w:t> </w:t>
      </w:r>
      <w:r>
        <w:rPr/>
        <w:t>године.</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74" w:lineRule="exact" w:before="20"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Уговором број </w:t>
      </w:r>
      <w:r>
        <w:rPr>
          <w:rFonts w:ascii="Times New Roman" w:hAnsi="Times New Roman"/>
          <w:sz w:val="24"/>
        </w:rPr>
        <w:t>2640/2014-</w:t>
      </w:r>
      <w:r>
        <w:rPr>
          <w:rFonts w:ascii="Times New Roman" w:hAnsi="Times New Roman"/>
          <w:sz w:val="24"/>
        </w:rPr>
        <w:t>01 о одржавању атмосферске канализације није уговорена банкарска гаранција као средство обезбеђења за испуњење уговорене</w:t>
      </w:r>
      <w:r>
        <w:rPr>
          <w:rFonts w:ascii="Times New Roman" w:hAnsi="Times New Roman"/>
          <w:spacing w:val="-24"/>
          <w:sz w:val="24"/>
        </w:rPr>
        <w:t> </w:t>
      </w:r>
      <w:r>
        <w:rPr>
          <w:rFonts w:ascii="Times New Roman" w:hAnsi="Times New Roman"/>
          <w:sz w:val="24"/>
        </w:rPr>
        <w:t>обавезе.</w:t>
      </w:r>
    </w:p>
    <w:p>
      <w:pPr>
        <w:pStyle w:val="ListParagraph"/>
        <w:numPr>
          <w:ilvl w:val="0"/>
          <w:numId w:val="9"/>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Управа за комуналне делатности, енергетику и саобраћај није створила обавезу за неплаћени део треће привремене ситуације у износу од 2.183 хиљаде динара </w:t>
      </w:r>
      <w:r>
        <w:rPr>
          <w:rFonts w:ascii="Times New Roman" w:hAnsi="Times New Roman" w:cs="Times New Roman" w:eastAsia="Times New Roman" w:hint="default"/>
          <w:spacing w:val="6"/>
          <w:sz w:val="24"/>
          <w:szCs w:val="24"/>
        </w:rPr>
        <w:t>(</w:t>
      </w:r>
      <w:r>
        <w:rPr>
          <w:rFonts w:ascii="Times New Roman" w:hAnsi="Times New Roman" w:cs="Times New Roman" w:eastAsia="Times New Roman" w:hint="default"/>
          <w:spacing w:val="6"/>
          <w:sz w:val="24"/>
          <w:szCs w:val="24"/>
        </w:rPr>
        <w:t>I </w:t>
      </w:r>
      <w:r>
        <w:rPr>
          <w:rFonts w:ascii="Times New Roman" w:hAnsi="Times New Roman" w:cs="Times New Roman" w:eastAsia="Times New Roman" w:hint="default"/>
          <w:sz w:val="24"/>
          <w:szCs w:val="24"/>
        </w:rPr>
        <w:t>број 2/446/1 од 05.11.2014. године) и самим тим је мање исказала обавезе на групи 252000 – обавезе према добављачима,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систем.</w:t>
      </w:r>
    </w:p>
    <w:p>
      <w:pPr>
        <w:pStyle w:val="ListParagraph"/>
        <w:numPr>
          <w:ilvl w:val="0"/>
          <w:numId w:val="9"/>
        </w:numPr>
        <w:tabs>
          <w:tab w:pos="303" w:val="left" w:leader="none"/>
        </w:tabs>
        <w:spacing w:line="240" w:lineRule="auto" w:before="2"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Грађевински дневник о одржавању атмосферске канализације по Уговору број </w:t>
      </w:r>
      <w:r>
        <w:rPr>
          <w:rFonts w:ascii="Times New Roman" w:hAnsi="Times New Roman"/>
          <w:sz w:val="24"/>
        </w:rPr>
        <w:t>2640/2014-01 </w:t>
      </w:r>
      <w:r>
        <w:rPr>
          <w:rFonts w:ascii="Times New Roman" w:hAnsi="Times New Roman"/>
          <w:sz w:val="24"/>
        </w:rPr>
        <w:t>није оверен печатом од стране надзорног органа и одговорног руководиоца радова, што је супротно члану 3. и 11. Правилника о садржини и начину вођења књиге инспекције и грађевинског дневника и члану 6. Правилника о садржини и начину вођења стручног</w:t>
      </w:r>
      <w:r>
        <w:rPr>
          <w:rFonts w:ascii="Times New Roman" w:hAnsi="Times New Roman"/>
          <w:spacing w:val="-6"/>
          <w:sz w:val="24"/>
        </w:rPr>
        <w:t> </w:t>
      </w:r>
      <w:r>
        <w:rPr>
          <w:rFonts w:ascii="Times New Roman" w:hAnsi="Times New Roman"/>
          <w:sz w:val="24"/>
        </w:rPr>
        <w:t>надзора.</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Расход није књиговодствено евидентиран преко класе 200000 </w:t>
      </w:r>
      <w:r>
        <w:rPr>
          <w:rFonts w:ascii="Times New Roman" w:hAnsi="Times New Roman"/>
          <w:sz w:val="24"/>
        </w:rPr>
        <w:t>- </w:t>
      </w:r>
      <w:r>
        <w:rPr>
          <w:rFonts w:ascii="Times New Roman" w:hAnsi="Times New Roman"/>
          <w:sz w:val="24"/>
        </w:rPr>
        <w:t>обавезе</w:t>
      </w:r>
      <w:r>
        <w:rPr>
          <w:rFonts w:ascii="Times New Roman" w:hAnsi="Times New Roman"/>
          <w:sz w:val="24"/>
        </w:rPr>
        <w:t>, </w:t>
      </w:r>
      <w:r>
        <w:rPr>
          <w:rFonts w:ascii="Times New Roman" w:hAnsi="Times New Roman"/>
          <w:sz w:val="24"/>
        </w:rPr>
        <w:t>у укупном износу од 2</w:t>
      </w:r>
      <w:r>
        <w:rPr>
          <w:rFonts w:ascii="Times New Roman" w:hAnsi="Times New Roman"/>
          <w:sz w:val="24"/>
        </w:rPr>
        <w:t>5.743 </w:t>
      </w:r>
      <w:r>
        <w:rPr>
          <w:rFonts w:ascii="Times New Roman" w:hAnsi="Times New Roman"/>
          <w:sz w:val="24"/>
        </w:rPr>
        <w:t>хиљаде динара,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spacing w:val="-10"/>
          <w:sz w:val="24"/>
        </w:rPr>
        <w:t> </w:t>
      </w:r>
      <w:r>
        <w:rPr>
          <w:rFonts w:ascii="Times New Roman" w:hAnsi="Times New Roman"/>
          <w:sz w:val="24"/>
        </w:rPr>
        <w:t>систем.</w:t>
      </w:r>
    </w:p>
    <w:p>
      <w:pPr>
        <w:pStyle w:val="Heading2"/>
        <w:spacing w:line="240" w:lineRule="auto"/>
        <w:ind w:right="174"/>
        <w:jc w:val="both"/>
        <w:rPr>
          <w:b w:val="0"/>
          <w:bCs w:val="0"/>
          <w:i w:val="0"/>
        </w:rPr>
      </w:pPr>
      <w:r>
        <w:rPr>
          <w:i/>
        </w:rPr>
        <w:t>Препоручује се одговорним лицима да: уговоре средства обезбеђења, обезбеде правилну примену одредби Уредбе о буџетском рачуноводству, Правилника о стандардном класификационом оквиру и контном плану за буџетски систем, Правилника о садржини и начину вођења књиге инспекције и грађевинског дневника и Правилника о садржини и начину вођења стручног</w:t>
      </w:r>
      <w:r>
        <w:rPr>
          <w:i/>
          <w:spacing w:val="-17"/>
        </w:rPr>
        <w:t> </w:t>
      </w:r>
      <w:r>
        <w:rPr>
          <w:i/>
        </w:rPr>
        <w:t>надзора.</w:t>
      </w:r>
      <w:r>
        <w:rPr>
          <w:b w:val="0"/>
          <w:i w:val="0"/>
        </w:rPr>
      </w:r>
    </w:p>
    <w:p>
      <w:pPr>
        <w:pStyle w:val="BodyText"/>
        <w:spacing w:line="240" w:lineRule="auto"/>
        <w:ind w:right="184" w:firstLine="566"/>
        <w:jc w:val="both"/>
      </w:pPr>
      <w:r>
        <w:rPr>
          <w:rFonts w:ascii="Times New Roman" w:hAnsi="Times New Roman"/>
          <w:b/>
        </w:rPr>
        <w:t>4a) </w:t>
      </w:r>
      <w:r>
        <w:rPr>
          <w:rFonts w:ascii="Times New Roman" w:hAnsi="Times New Roman"/>
          <w:b/>
        </w:rPr>
        <w:t>ЈП Дирекција </w:t>
      </w:r>
      <w:r>
        <w:rPr>
          <w:rFonts w:ascii="Times New Roman" w:hAnsi="Times New Roman"/>
          <w:b/>
        </w:rPr>
        <w:t>- </w:t>
      </w:r>
      <w:r>
        <w:rPr/>
        <w:t>Исказан је расход у износу од 400.172 хиљаде динара за: текуће поправке и одржавање зграда и објеката у износу од 399.404 хиљаде динара и текуће поправке и одржавање опреме у износу од 768 хиљада</w:t>
      </w:r>
      <w:r>
        <w:rPr>
          <w:spacing w:val="-15"/>
        </w:rPr>
        <w:t> </w:t>
      </w:r>
      <w:r>
        <w:rPr/>
        <w:t>динара.</w:t>
      </w:r>
    </w:p>
    <w:p>
      <w:pPr>
        <w:pStyle w:val="BodyText"/>
        <w:spacing w:line="240" w:lineRule="auto"/>
        <w:ind w:right="173" w:firstLine="566"/>
        <w:jc w:val="both"/>
      </w:pPr>
      <w:r>
        <w:rPr>
          <w:rFonts w:ascii="Times New Roman" w:hAnsi="Times New Roman"/>
        </w:rPr>
      </w:r>
      <w:r>
        <w:rPr>
          <w:rFonts w:ascii="Times New Roman" w:hAnsi="Times New Roman"/>
          <w:spacing w:val="-60"/>
          <w:u w:val="single" w:color="000000"/>
        </w:rPr>
        <w:t> </w:t>
      </w:r>
      <w:r>
        <w:rPr>
          <w:u w:val="single" w:color="000000"/>
        </w:rPr>
        <w:t>Текуће поправке и одржавање осталих објеката, субаналитички конто 425191 </w:t>
      </w:r>
      <w:r>
        <w:rPr/>
      </w:r>
      <w:r>
        <w:rPr>
          <w:rFonts w:ascii="Times New Roman" w:hAnsi="Times New Roman"/>
          <w:b/>
          <w:i/>
        </w:rPr>
        <w:t>- </w:t>
      </w:r>
      <w:r>
        <w:rPr/>
        <w:t>Исказан је расход у износу од </w:t>
      </w:r>
      <w:r>
        <w:rPr>
          <w:rFonts w:ascii="Times New Roman" w:hAnsi="Times New Roman"/>
        </w:rPr>
        <w:t>399.385 </w:t>
      </w:r>
      <w:r>
        <w:rPr/>
        <w:t>хиљада динара. Узорковани су расходи за</w:t>
      </w:r>
      <w:r>
        <w:rPr>
          <w:rFonts w:ascii="Times New Roman" w:hAnsi="Times New Roman"/>
        </w:rPr>
        <w:t>: </w:t>
      </w:r>
      <w:r>
        <w:rPr/>
        <w:t>редовно, ургентно и периодично одржавање путева у износу од </w:t>
      </w:r>
      <w:r>
        <w:rPr>
          <w:rFonts w:ascii="Times New Roman" w:hAnsi="Times New Roman"/>
        </w:rPr>
        <w:t>89.115 </w:t>
      </w:r>
      <w:r>
        <w:rPr/>
        <w:t>хиљада динара</w:t>
      </w:r>
      <w:r>
        <w:rPr>
          <w:rFonts w:ascii="Times New Roman" w:hAnsi="Times New Roman"/>
        </w:rPr>
        <w:t>, </w:t>
      </w:r>
      <w:r>
        <w:rPr/>
        <w:t>зимско одржавање путева у износу од 6.637 хиљада динара</w:t>
      </w:r>
      <w:r>
        <w:rPr>
          <w:rFonts w:ascii="Times New Roman" w:hAnsi="Times New Roman"/>
        </w:rPr>
        <w:t>, </w:t>
      </w:r>
      <w:r>
        <w:rPr/>
        <w:t>одржавање вертикалне, хоризонталне и светлеће сигнализације у 2014. години у износу од 78.641 хиљаде динара, одржавање  пружних  прелаза  у  износу  од  14.860  хиљада  динара,    услуге</w:t>
      </w:r>
      <w:r>
        <w:rPr>
          <w:spacing w:val="49"/>
        </w:rPr>
        <w:t> </w:t>
      </w:r>
      <w:r>
        <w:rPr/>
        <w:t>електричне</w:t>
      </w:r>
    </w:p>
    <w:p>
      <w:pPr>
        <w:spacing w:after="0" w:line="240" w:lineRule="auto"/>
        <w:jc w:val="both"/>
        <w:sectPr>
          <w:pgSz w:w="12240" w:h="15840"/>
          <w:pgMar w:header="740" w:footer="1274" w:top="1280" w:bottom="1460" w:left="1400" w:right="1260"/>
        </w:sectPr>
      </w:pPr>
    </w:p>
    <w:p>
      <w:pPr>
        <w:pStyle w:val="BodyText"/>
        <w:spacing w:line="240" w:lineRule="auto" w:before="122"/>
        <w:ind w:right="175"/>
        <w:jc w:val="both"/>
        <w:rPr>
          <w:rFonts w:ascii="Times New Roman" w:hAnsi="Times New Roman" w:cs="Times New Roman" w:eastAsia="Times New Roman" w:hint="default"/>
        </w:rPr>
      </w:pPr>
      <w:r>
        <w:rPr/>
        <w:t>енергије за јавну расвету у износу од 153.245 хиљада динара, одржавање јавне расвете у износу од 21.207 хиљада динара, одржавање атмосферске канализације у износу од 3.342 хиљаде динара, одржавање државних путева у износу од 6.510 хиљада</w:t>
      </w:r>
      <w:r>
        <w:rPr>
          <w:spacing w:val="-14"/>
        </w:rPr>
        <w:t> </w:t>
      </w:r>
      <w:r>
        <w:rPr/>
        <w:t>динара</w:t>
      </w:r>
      <w:r>
        <w:rPr>
          <w:rFonts w:ascii="Times New Roman" w:hAnsi="Times New Roman"/>
        </w:rPr>
        <w:t>.</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91" w:lineRule="exact" w:before="0" w:after="0"/>
        <w:ind w:left="302" w:right="0" w:hanging="142"/>
        <w:jc w:val="both"/>
        <w:rPr>
          <w:rFonts w:ascii="Times New Roman" w:hAnsi="Times New Roman" w:cs="Times New Roman" w:eastAsia="Times New Roman" w:hint="default"/>
          <w:sz w:val="24"/>
          <w:szCs w:val="24"/>
        </w:rPr>
      </w:pPr>
      <w:bookmarkStart w:name="_bookmark21" w:id="37"/>
      <w:bookmarkEnd w:id="37"/>
      <w:r>
        <w:rPr/>
      </w:r>
      <w:bookmarkStart w:name="_bookmark21" w:id="38"/>
      <w:bookmarkEnd w:id="38"/>
      <w:r>
        <w:rPr>
          <w:rFonts w:ascii="Times New Roman" w:hAnsi="Times New Roman"/>
          <w:sz w:val="24"/>
        </w:rPr>
        <w:t>Гра</w:t>
      </w:r>
      <w:r>
        <w:rPr>
          <w:rFonts w:ascii="Times New Roman" w:hAnsi="Times New Roman"/>
          <w:sz w:val="24"/>
        </w:rPr>
        <w:t>ђевински</w:t>
      </w:r>
      <w:r>
        <w:rPr>
          <w:rFonts w:ascii="Times New Roman" w:hAnsi="Times New Roman"/>
          <w:spacing w:val="41"/>
          <w:sz w:val="24"/>
        </w:rPr>
        <w:t> </w:t>
      </w:r>
      <w:r>
        <w:rPr>
          <w:rFonts w:ascii="Times New Roman" w:hAnsi="Times New Roman"/>
          <w:sz w:val="24"/>
        </w:rPr>
        <w:t>дневници</w:t>
      </w:r>
      <w:r>
        <w:rPr>
          <w:rFonts w:ascii="Times New Roman" w:hAnsi="Times New Roman"/>
          <w:spacing w:val="40"/>
          <w:sz w:val="24"/>
        </w:rPr>
        <w:t> </w:t>
      </w:r>
      <w:r>
        <w:rPr>
          <w:rFonts w:ascii="Times New Roman" w:hAnsi="Times New Roman"/>
          <w:sz w:val="24"/>
        </w:rPr>
        <w:t>по</w:t>
      </w:r>
      <w:r>
        <w:rPr>
          <w:rFonts w:ascii="Times New Roman" w:hAnsi="Times New Roman"/>
          <w:spacing w:val="42"/>
          <w:sz w:val="24"/>
        </w:rPr>
        <w:t> </w:t>
      </w:r>
      <w:r>
        <w:rPr>
          <w:rFonts w:ascii="Times New Roman" w:hAnsi="Times New Roman"/>
          <w:sz w:val="24"/>
        </w:rPr>
        <w:t>уговору:</w:t>
      </w:r>
      <w:r>
        <w:rPr>
          <w:rFonts w:ascii="Times New Roman" w:hAnsi="Times New Roman"/>
          <w:spacing w:val="41"/>
          <w:sz w:val="24"/>
        </w:rPr>
        <w:t> </w:t>
      </w:r>
      <w:r>
        <w:rPr>
          <w:rFonts w:ascii="Times New Roman" w:hAnsi="Times New Roman"/>
          <w:sz w:val="24"/>
        </w:rPr>
        <w:t>број</w:t>
      </w:r>
      <w:r>
        <w:rPr>
          <w:rFonts w:ascii="Times New Roman" w:hAnsi="Times New Roman"/>
          <w:spacing w:val="42"/>
          <w:sz w:val="24"/>
        </w:rPr>
        <w:t> </w:t>
      </w:r>
      <w:r>
        <w:rPr>
          <w:rFonts w:ascii="Times New Roman" w:hAnsi="Times New Roman"/>
          <w:sz w:val="24"/>
        </w:rPr>
        <w:t>03-</w:t>
      </w:r>
      <w:r>
        <w:rPr>
          <w:rFonts w:ascii="Times New Roman" w:hAnsi="Times New Roman"/>
          <w:sz w:val="24"/>
        </w:rPr>
        <w:t>328</w:t>
      </w:r>
      <w:r>
        <w:rPr>
          <w:rFonts w:ascii="Times New Roman" w:hAnsi="Times New Roman"/>
          <w:spacing w:val="40"/>
          <w:sz w:val="24"/>
        </w:rPr>
        <w:t> </w:t>
      </w:r>
      <w:r>
        <w:rPr>
          <w:rFonts w:ascii="Times New Roman" w:hAnsi="Times New Roman"/>
          <w:sz w:val="24"/>
        </w:rPr>
        <w:t>од</w:t>
      </w:r>
      <w:r>
        <w:rPr>
          <w:rFonts w:ascii="Times New Roman" w:hAnsi="Times New Roman"/>
          <w:spacing w:val="41"/>
          <w:sz w:val="24"/>
        </w:rPr>
        <w:t> </w:t>
      </w:r>
      <w:r>
        <w:rPr>
          <w:rFonts w:ascii="Times New Roman" w:hAnsi="Times New Roman"/>
          <w:sz w:val="24"/>
        </w:rPr>
        <w:t>18.01.2013.</w:t>
      </w:r>
      <w:r>
        <w:rPr>
          <w:rFonts w:ascii="Times New Roman" w:hAnsi="Times New Roman"/>
          <w:spacing w:val="40"/>
          <w:sz w:val="24"/>
        </w:rPr>
        <w:t> </w:t>
      </w:r>
      <w:r>
        <w:rPr>
          <w:rFonts w:ascii="Times New Roman" w:hAnsi="Times New Roman"/>
          <w:sz w:val="24"/>
        </w:rPr>
        <w:t>године</w:t>
      </w:r>
      <w:r>
        <w:rPr>
          <w:rFonts w:ascii="Times New Roman" w:hAnsi="Times New Roman"/>
          <w:spacing w:val="40"/>
          <w:sz w:val="24"/>
        </w:rPr>
        <w:t> </w:t>
      </w:r>
      <w:r>
        <w:rPr>
          <w:rFonts w:ascii="Times New Roman" w:hAnsi="Times New Roman"/>
          <w:sz w:val="24"/>
        </w:rPr>
        <w:t>закљученом</w:t>
      </w:r>
      <w:r>
        <w:rPr>
          <w:rFonts w:ascii="Times New Roman" w:hAnsi="Times New Roman"/>
          <w:spacing w:val="40"/>
          <w:sz w:val="24"/>
        </w:rPr>
        <w:t> </w:t>
      </w:r>
      <w:r>
        <w:rPr>
          <w:rFonts w:ascii="Times New Roman" w:hAnsi="Times New Roman"/>
          <w:sz w:val="24"/>
        </w:rPr>
        <w:t>са</w:t>
      </w:r>
    </w:p>
    <w:p>
      <w:pPr>
        <w:pStyle w:val="BodyText"/>
        <w:spacing w:line="240" w:lineRule="auto"/>
        <w:ind w:right="172"/>
        <w:jc w:val="both"/>
      </w:pPr>
      <w:r>
        <w:rPr/>
        <w:t>„МД ГИТ“ доо Ниш за редовно и ургентно одржавање путева на градском подручју; број </w:t>
      </w:r>
      <w:r>
        <w:rPr>
          <w:rFonts w:ascii="Times New Roman" w:hAnsi="Times New Roman" w:cs="Times New Roman" w:eastAsia="Times New Roman" w:hint="default"/>
        </w:rPr>
        <w:t>03-</w:t>
      </w:r>
      <w:r>
        <w:rPr/>
        <w:t>331 од 18.01.2013. године закљученом са „Нискоградња“ ад Ниш за редовно и ургентно одржавање путева на градском подручју; број 03</w:t>
      </w:r>
      <w:r>
        <w:rPr>
          <w:rFonts w:ascii="Times New Roman" w:hAnsi="Times New Roman" w:cs="Times New Roman" w:eastAsia="Times New Roman" w:hint="default"/>
        </w:rPr>
        <w:t>-</w:t>
      </w:r>
      <w:r>
        <w:rPr/>
        <w:t>329 од 18.01.2013. године закљученом са „МД ГИТ“ доо Ниш за редовно и ургентно одржавање путева на сеоском подручју; број 03</w:t>
      </w:r>
      <w:r>
        <w:rPr>
          <w:rFonts w:ascii="Times New Roman" w:hAnsi="Times New Roman" w:cs="Times New Roman" w:eastAsia="Times New Roman" w:hint="default"/>
        </w:rPr>
        <w:t>-</w:t>
      </w:r>
      <w:r>
        <w:rPr/>
        <w:t>330 од 18.</w:t>
      </w:r>
      <w:r>
        <w:rPr>
          <w:rFonts w:ascii="Times New Roman" w:hAnsi="Times New Roman" w:cs="Times New Roman" w:eastAsia="Times New Roman" w:hint="default"/>
        </w:rPr>
        <w:t>0</w:t>
      </w:r>
      <w:r>
        <w:rPr/>
        <w:t>1.2013. године закљученом са „Нискоградња“ ад Ниш за редовно и ургентно одржавање путева на сеоском подручју</w:t>
      </w:r>
      <w:r>
        <w:rPr>
          <w:rFonts w:ascii="Times New Roman" w:hAnsi="Times New Roman" w:cs="Times New Roman" w:eastAsia="Times New Roman" w:hint="default"/>
        </w:rPr>
        <w:t>; </w:t>
      </w:r>
      <w:r>
        <w:rPr/>
        <w:t>број 03</w:t>
      </w:r>
      <w:r>
        <w:rPr>
          <w:rFonts w:ascii="Times New Roman" w:hAnsi="Times New Roman" w:cs="Times New Roman" w:eastAsia="Times New Roman" w:hint="default"/>
        </w:rPr>
        <w:t>-350 </w:t>
      </w:r>
      <w:r>
        <w:rPr/>
        <w:t>од </w:t>
      </w:r>
      <w:r>
        <w:rPr>
          <w:rFonts w:ascii="Times New Roman" w:hAnsi="Times New Roman" w:cs="Times New Roman" w:eastAsia="Times New Roman" w:hint="default"/>
        </w:rPr>
        <w:t>21.01.2013. </w:t>
      </w:r>
      <w:r>
        <w:rPr/>
        <w:t>године закљученом са „Нискоградња“ доо Ниш за зимско одржавање путева</w:t>
      </w:r>
      <w:r>
        <w:rPr>
          <w:rFonts w:ascii="Times New Roman" w:hAnsi="Times New Roman" w:cs="Times New Roman" w:eastAsia="Times New Roman" w:hint="default"/>
        </w:rPr>
        <w:t>; </w:t>
      </w:r>
      <w:r>
        <w:rPr/>
        <w:t>број 03</w:t>
      </w:r>
      <w:r>
        <w:rPr>
          <w:rFonts w:ascii="Times New Roman" w:hAnsi="Times New Roman" w:cs="Times New Roman" w:eastAsia="Times New Roman" w:hint="default"/>
        </w:rPr>
        <w:t>- 1626/1</w:t>
      </w:r>
      <w:r>
        <w:rPr>
          <w:rFonts w:ascii="Times New Roman" w:hAnsi="Times New Roman" w:cs="Times New Roman" w:eastAsia="Times New Roman" w:hint="default"/>
          <w:spacing w:val="21"/>
        </w:rPr>
        <w:t> </w:t>
      </w:r>
      <w:r>
        <w:rPr/>
        <w:t>од</w:t>
      </w:r>
      <w:r>
        <w:rPr>
          <w:spacing w:val="20"/>
        </w:rPr>
        <w:t> </w:t>
      </w:r>
      <w:r>
        <w:rPr/>
        <w:t>0</w:t>
      </w:r>
      <w:r>
        <w:rPr>
          <w:rFonts w:ascii="Times New Roman" w:hAnsi="Times New Roman" w:cs="Times New Roman" w:eastAsia="Times New Roman" w:hint="default"/>
        </w:rPr>
        <w:t>5.03</w:t>
      </w:r>
      <w:r>
        <w:rPr/>
        <w:t>.2013.</w:t>
      </w:r>
      <w:r>
        <w:rPr>
          <w:spacing w:val="20"/>
        </w:rPr>
        <w:t> </w:t>
      </w:r>
      <w:r>
        <w:rPr/>
        <w:t>године</w:t>
      </w:r>
      <w:r>
        <w:rPr>
          <w:spacing w:val="17"/>
        </w:rPr>
        <w:t> </w:t>
      </w:r>
      <w:r>
        <w:rPr/>
        <w:t>и</w:t>
      </w:r>
      <w:r>
        <w:rPr>
          <w:spacing w:val="21"/>
        </w:rPr>
        <w:t> </w:t>
      </w:r>
      <w:r>
        <w:rPr/>
        <w:t>број</w:t>
      </w:r>
      <w:r>
        <w:rPr>
          <w:spacing w:val="18"/>
        </w:rPr>
        <w:t> </w:t>
      </w:r>
      <w:r>
        <w:rPr/>
        <w:t>03</w:t>
      </w:r>
      <w:r>
        <w:rPr>
          <w:rFonts w:ascii="Times New Roman" w:hAnsi="Times New Roman" w:cs="Times New Roman" w:eastAsia="Times New Roman" w:hint="default"/>
        </w:rPr>
        <w:t>-2812/1</w:t>
      </w:r>
      <w:r>
        <w:rPr>
          <w:rFonts w:ascii="Times New Roman" w:hAnsi="Times New Roman" w:cs="Times New Roman" w:eastAsia="Times New Roman" w:hint="default"/>
          <w:spacing w:val="20"/>
        </w:rPr>
        <w:t> </w:t>
      </w:r>
      <w:r>
        <w:rPr/>
        <w:t>од</w:t>
      </w:r>
      <w:r>
        <w:rPr>
          <w:spacing w:val="20"/>
        </w:rPr>
        <w:t> </w:t>
      </w:r>
      <w:r>
        <w:rPr/>
        <w:t>08</w:t>
      </w:r>
      <w:r>
        <w:rPr>
          <w:rFonts w:ascii="Times New Roman" w:hAnsi="Times New Roman" w:cs="Times New Roman" w:eastAsia="Times New Roman" w:hint="default"/>
        </w:rPr>
        <w:t>.</w:t>
      </w:r>
      <w:r>
        <w:rPr/>
        <w:t>05.2014.</w:t>
      </w:r>
      <w:r>
        <w:rPr>
          <w:spacing w:val="20"/>
        </w:rPr>
        <w:t> </w:t>
      </w:r>
      <w:r>
        <w:rPr/>
        <w:t>године</w:t>
      </w:r>
      <w:r>
        <w:rPr>
          <w:spacing w:val="17"/>
        </w:rPr>
        <w:t> </w:t>
      </w:r>
      <w:r>
        <w:rPr/>
        <w:t>закљученим</w:t>
      </w:r>
      <w:r>
        <w:rPr>
          <w:spacing w:val="19"/>
        </w:rPr>
        <w:t> </w:t>
      </w:r>
      <w:r>
        <w:rPr/>
        <w:t>са</w:t>
      </w:r>
      <w:r>
        <w:rPr>
          <w:spacing w:val="19"/>
        </w:rPr>
        <w:t> </w:t>
      </w:r>
      <w:r>
        <w:rPr/>
        <w:t>ЈКП</w:t>
      </w:r>
    </w:p>
    <w:p>
      <w:pPr>
        <w:pStyle w:val="BodyText"/>
        <w:spacing w:line="240" w:lineRule="auto"/>
        <w:ind w:right="173"/>
        <w:jc w:val="both"/>
        <w:rPr>
          <w:rFonts w:ascii="Times New Roman" w:hAnsi="Times New Roman" w:cs="Times New Roman" w:eastAsia="Times New Roman" w:hint="default"/>
        </w:rPr>
      </w:pPr>
      <w:r>
        <w:rPr/>
        <w:t>„Горица“ Ниш за услуге одржавања хоризонталне, вертикалне и светлосне  сигнализације</w:t>
      </w:r>
      <w:r>
        <w:rPr>
          <w:rFonts w:ascii="Times New Roman" w:hAnsi="Times New Roman" w:cs="Times New Roman" w:eastAsia="Times New Roman" w:hint="default"/>
        </w:rPr>
        <w:t>; </w:t>
      </w:r>
      <w:r>
        <w:rPr/>
        <w:t>број 03</w:t>
      </w:r>
      <w:r>
        <w:rPr>
          <w:rFonts w:ascii="Times New Roman" w:hAnsi="Times New Roman" w:cs="Times New Roman" w:eastAsia="Times New Roman" w:hint="default"/>
        </w:rPr>
        <w:t>-</w:t>
      </w:r>
      <w:r>
        <w:rPr/>
        <w:t>1021 од 11.02.2013. године и број 03</w:t>
      </w:r>
      <w:r>
        <w:rPr>
          <w:rFonts w:ascii="Times New Roman" w:hAnsi="Times New Roman" w:cs="Times New Roman" w:eastAsia="Times New Roman" w:hint="default"/>
        </w:rPr>
        <w:t>-</w:t>
      </w:r>
      <w:r>
        <w:rPr/>
        <w:t>2810/1 од 08.05.2014. године закљученим са ЈКП „Горица“ Ниш за услуге одржавањ</w:t>
      </w:r>
      <w:r>
        <w:rPr>
          <w:rFonts w:ascii="Times New Roman" w:hAnsi="Times New Roman" w:cs="Times New Roman" w:eastAsia="Times New Roman" w:hint="default"/>
        </w:rPr>
        <w:t>a, </w:t>
      </w:r>
      <w:r>
        <w:rPr/>
        <w:t>адаптације и унапређења објеката и инсталација јавног осветљења</w:t>
      </w:r>
      <w:r>
        <w:rPr>
          <w:rFonts w:ascii="Times New Roman" w:hAnsi="Times New Roman" w:cs="Times New Roman" w:eastAsia="Times New Roman" w:hint="default"/>
        </w:rPr>
        <w:t>; </w:t>
      </w:r>
      <w:r>
        <w:rPr/>
        <w:t>број 03</w:t>
      </w:r>
      <w:r>
        <w:rPr>
          <w:rFonts w:ascii="Times New Roman" w:hAnsi="Times New Roman" w:cs="Times New Roman" w:eastAsia="Times New Roman" w:hint="default"/>
        </w:rPr>
        <w:t>-</w:t>
      </w:r>
      <w:r>
        <w:rPr/>
        <w:t>1501/1 од 27.02.2013. године закљученом са ЈКП „Naissus“ Ниш за услуге редовног одржавања атмосферске канализације, сливника, шахти и разводног система и број 03</w:t>
      </w:r>
      <w:r>
        <w:rPr>
          <w:rFonts w:ascii="Times New Roman" w:hAnsi="Times New Roman" w:cs="Times New Roman" w:eastAsia="Times New Roman" w:hint="default"/>
        </w:rPr>
        <w:t>-</w:t>
      </w:r>
      <w:r>
        <w:rPr/>
        <w:t>5186/1 од 05.09.2014. године закљученом са „Коридор градња“ пр Ниш за набавку и уградњу сливних  решетака и других грађевинских радова на атмосферској канализацији</w:t>
      </w:r>
      <w:r>
        <w:rPr>
          <w:rFonts w:ascii="Times New Roman" w:hAnsi="Times New Roman" w:cs="Times New Roman" w:eastAsia="Times New Roman" w:hint="default"/>
        </w:rPr>
        <w:t>, </w:t>
      </w:r>
      <w:r>
        <w:rPr/>
        <w:t>нису оверени печатом од стране одговорног извођача радова, као и од стране надзорног органа, што је супротно члану 3. и члану 11. Правилника о садржини и начину вођења књиге  инспекције и грађевинског дневника и члану 6. и 8. Правилника о садржини и начину вођења стручног</w:t>
      </w:r>
      <w:r>
        <w:rPr>
          <w:spacing w:val="-5"/>
        </w:rPr>
        <w:t> </w:t>
      </w:r>
      <w:r>
        <w:rPr/>
        <w:t>надзора</w:t>
      </w:r>
      <w:r>
        <w:rPr>
          <w:rFonts w:ascii="Times New Roman" w:hAnsi="Times New Roman" w:cs="Times New Roman" w:eastAsia="Times New Roman" w:hint="default"/>
        </w:rPr>
        <w:t>.</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Уговором: број </w:t>
      </w:r>
      <w:r>
        <w:rPr>
          <w:rFonts w:ascii="Times New Roman" w:hAnsi="Times New Roman" w:cs="Times New Roman" w:eastAsia="Times New Roman" w:hint="default"/>
          <w:sz w:val="24"/>
          <w:szCs w:val="24"/>
        </w:rPr>
        <w:t>03-</w:t>
      </w:r>
      <w:r>
        <w:rPr>
          <w:rFonts w:ascii="Times New Roman" w:hAnsi="Times New Roman" w:cs="Times New Roman" w:eastAsia="Times New Roman" w:hint="default"/>
          <w:sz w:val="24"/>
          <w:szCs w:val="24"/>
        </w:rPr>
        <w:t>328 од 18.01.2013. године закљученим са „МД ГИТ“ доо Ниш за редовно и ургентно одржавање путева на градском подручју;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331 од 18.01.2013. године закљученим са „Нискоградња“ ад Ниш за редовно и ургентно одржавање путева на градском подручју;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329 од 18.01.2013. године закљученим са „МД ГИТ“ доо Ниш за редовно и ургентно одржавање путева на сеоском подручју;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330 од 18.01.2013. године закљученим са „Нискоградња“ ад Ниш за редовно и ургентно одржавање путева на сеоском подручју;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350 од 21.01.2013. године закљученим</w:t>
      </w:r>
      <w:r>
        <w:rPr>
          <w:rFonts w:ascii="Times New Roman" w:hAnsi="Times New Roman" w:cs="Times New Roman" w:eastAsia="Times New Roman" w:hint="default"/>
          <w:spacing w:val="35"/>
          <w:sz w:val="24"/>
          <w:szCs w:val="24"/>
        </w:rPr>
        <w:t> </w:t>
      </w:r>
      <w:r>
        <w:rPr>
          <w:rFonts w:ascii="Times New Roman" w:hAnsi="Times New Roman" w:cs="Times New Roman" w:eastAsia="Times New Roman" w:hint="default"/>
          <w:sz w:val="24"/>
          <w:szCs w:val="24"/>
        </w:rPr>
        <w:t>са</w:t>
      </w:r>
    </w:p>
    <w:p>
      <w:pPr>
        <w:pStyle w:val="BodyText"/>
        <w:spacing w:line="240" w:lineRule="auto"/>
        <w:ind w:right="172"/>
        <w:jc w:val="both"/>
      </w:pPr>
      <w:r>
        <w:rPr/>
        <w:t>„Нискоградња“ доо Ниш за зимско одржавање путева; број 03</w:t>
      </w:r>
      <w:r>
        <w:rPr>
          <w:rFonts w:ascii="Times New Roman" w:hAnsi="Times New Roman" w:cs="Times New Roman" w:eastAsia="Times New Roman" w:hint="default"/>
        </w:rPr>
        <w:t>-1626/1 </w:t>
      </w:r>
      <w:r>
        <w:rPr/>
        <w:t>од 0</w:t>
      </w:r>
      <w:r>
        <w:rPr>
          <w:rFonts w:ascii="Times New Roman" w:hAnsi="Times New Roman" w:cs="Times New Roman" w:eastAsia="Times New Roman" w:hint="default"/>
        </w:rPr>
        <w:t>5.03.2013. </w:t>
      </w:r>
      <w:r>
        <w:rPr/>
        <w:t>године и број 03</w:t>
      </w:r>
      <w:r>
        <w:rPr>
          <w:rFonts w:ascii="Times New Roman" w:hAnsi="Times New Roman" w:cs="Times New Roman" w:eastAsia="Times New Roman" w:hint="default"/>
        </w:rPr>
        <w:t>-2812/1 </w:t>
      </w:r>
      <w:r>
        <w:rPr/>
        <w:t>од 08</w:t>
      </w:r>
      <w:r>
        <w:rPr>
          <w:rFonts w:ascii="Times New Roman" w:hAnsi="Times New Roman" w:cs="Times New Roman" w:eastAsia="Times New Roman" w:hint="default"/>
        </w:rPr>
        <w:t>.</w:t>
      </w:r>
      <w:r>
        <w:rPr/>
        <w:t>05.2014. године закљученим са ЈКП „Горица“ Ниш за услуге одржавања хоризонталне, вертикалне и светлосне сигнализације; број 03</w:t>
      </w:r>
      <w:r>
        <w:rPr>
          <w:rFonts w:ascii="Times New Roman" w:hAnsi="Times New Roman" w:cs="Times New Roman" w:eastAsia="Times New Roman" w:hint="default"/>
        </w:rPr>
        <w:t>-</w:t>
      </w:r>
      <w:r>
        <w:rPr/>
        <w:t>1021 од 11.02.2013. године и број 03</w:t>
      </w:r>
      <w:r>
        <w:rPr>
          <w:rFonts w:ascii="Times New Roman" w:hAnsi="Times New Roman" w:cs="Times New Roman" w:eastAsia="Times New Roman" w:hint="default"/>
        </w:rPr>
        <w:t>-</w:t>
      </w:r>
      <w:r>
        <w:rPr/>
        <w:t>2810/1 од 08.05.2014. године закљученим са ЈКП „Горица“ Ниш за услуге одржавањ</w:t>
      </w:r>
      <w:r>
        <w:rPr>
          <w:rFonts w:ascii="Times New Roman" w:hAnsi="Times New Roman" w:cs="Times New Roman" w:eastAsia="Times New Roman" w:hint="default"/>
        </w:rPr>
        <w:t>a, </w:t>
      </w:r>
      <w:r>
        <w:rPr/>
        <w:t>адаптације и унапређења објеката и инсталација јавног осветљења; број 03</w:t>
      </w:r>
      <w:r>
        <w:rPr>
          <w:rFonts w:ascii="Times New Roman" w:hAnsi="Times New Roman" w:cs="Times New Roman" w:eastAsia="Times New Roman" w:hint="default"/>
        </w:rPr>
        <w:t>-</w:t>
      </w:r>
      <w:r>
        <w:rPr/>
        <w:t>1501/1 од 27.02.2013. године закљученим са ЈКП „Naissus“ Ниш за услуге редовног одржавања атмосферске канализације, сливника, шахти и разводног система и број 03</w:t>
      </w:r>
      <w:r>
        <w:rPr>
          <w:rFonts w:ascii="Times New Roman" w:hAnsi="Times New Roman" w:cs="Times New Roman" w:eastAsia="Times New Roman" w:hint="default"/>
        </w:rPr>
        <w:t>-</w:t>
      </w:r>
      <w:r>
        <w:rPr/>
        <w:t>5186/1 од 05.09.2014. године закљученим са „Коридор градња“ пр Ниш за набавку и уградњу сливних решетака и других грађевинских радова на атмосферској канализацији, није уговорено средство обезбеђења за добро извршење</w:t>
      </w:r>
      <w:r>
        <w:rPr>
          <w:spacing w:val="-24"/>
        </w:rPr>
        <w:t> </w:t>
      </w:r>
      <w:r>
        <w:rPr/>
        <w:t>посла.</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Радови на одржавању путева изводе се на основу писаних посебних налога које месечно наручилац доставља извођачу. Програмом одржавања комуналне инфраструктуре јавног земљишта градског и сеоског подручја са финансијским планом за 2014. годину, нису одређене  улице  на  којима  ће  се  изводити  радови  на  одржавању  у  2014.  години.  </w:t>
      </w:r>
      <w:r>
        <w:rPr>
          <w:rFonts w:ascii="Times New Roman" w:hAnsi="Times New Roman"/>
          <w:spacing w:val="52"/>
          <w:sz w:val="24"/>
        </w:rPr>
        <w:t> </w:t>
      </w:r>
      <w:r>
        <w:rPr>
          <w:rFonts w:ascii="Times New Roman" w:hAnsi="Times New Roman"/>
          <w:sz w:val="24"/>
        </w:rPr>
        <w:t>У</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81"/>
        <w:jc w:val="both"/>
      </w:pPr>
      <w:r>
        <w:rPr/>
        <w:t>поступку ревизије нисмо се уверили да су улице одржаване по приоритетима, као и да постоје критеријуми о избору улица на којима ће се изводити</w:t>
      </w:r>
      <w:r>
        <w:rPr>
          <w:spacing w:val="-19"/>
        </w:rPr>
        <w:t> </w:t>
      </w:r>
      <w:r>
        <w:rPr/>
        <w:t>радови.</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Другу привремену ситуацију за зимско одржавање путева по Уговору број 03</w:t>
      </w:r>
      <w:r>
        <w:rPr>
          <w:rFonts w:ascii="Times New Roman" w:hAnsi="Times New Roman" w:cs="Times New Roman" w:eastAsia="Times New Roman" w:hint="default"/>
          <w:sz w:val="24"/>
          <w:szCs w:val="24"/>
        </w:rPr>
        <w:t>-350 </w:t>
      </w:r>
      <w:r>
        <w:rPr>
          <w:rFonts w:ascii="Times New Roman" w:hAnsi="Times New Roman" w:cs="Times New Roman" w:eastAsia="Times New Roman" w:hint="default"/>
          <w:sz w:val="24"/>
          <w:szCs w:val="24"/>
        </w:rPr>
        <w:t>од 21.01.2013. године закљученом са „Нискоградња“ ад Ниш, није потписало и оверило  лице које је одредила ЈП Дирекција да врши надзор, што је супротно члану 4. и 8. Правилника о садржини и начину вођења стручног</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надзора.</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Увидом у грађевински књигу за зимско одржавање путева по Уговору број 03</w:t>
      </w:r>
      <w:r>
        <w:rPr>
          <w:rFonts w:ascii="Times New Roman" w:hAnsi="Times New Roman" w:cs="Times New Roman" w:eastAsia="Times New Roman" w:hint="default"/>
          <w:sz w:val="24"/>
          <w:szCs w:val="24"/>
        </w:rPr>
        <w:t>-350 </w:t>
      </w:r>
      <w:r>
        <w:rPr>
          <w:rFonts w:ascii="Times New Roman" w:hAnsi="Times New Roman" w:cs="Times New Roman" w:eastAsia="Times New Roman" w:hint="default"/>
          <w:sz w:val="24"/>
          <w:szCs w:val="24"/>
        </w:rPr>
        <w:t>од 21.01.2013. године закљученом са „Нискоградња“ ад Ниш, утврдили смо да постоји неслагање између грађевинске књиге и испостављене ситуације за износ од 122 хиљаде динара,</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тако</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да</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је</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више</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наплаћено</w:t>
      </w:r>
      <w:r>
        <w:rPr>
          <w:rFonts w:ascii="Times New Roman" w:hAnsi="Times New Roman" w:cs="Times New Roman" w:eastAsia="Times New Roman" w:hint="default"/>
          <w:spacing w:val="25"/>
          <w:sz w:val="24"/>
          <w:szCs w:val="24"/>
        </w:rPr>
        <w:t> </w:t>
      </w:r>
      <w:r>
        <w:rPr>
          <w:rFonts w:ascii="Times New Roman" w:hAnsi="Times New Roman" w:cs="Times New Roman" w:eastAsia="Times New Roman" w:hint="default"/>
          <w:sz w:val="24"/>
          <w:szCs w:val="24"/>
        </w:rPr>
        <w:t>у</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односу</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на</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изведене</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радове,</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што</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је</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супротно</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члану</w:t>
      </w:r>
    </w:p>
    <w:p>
      <w:pPr>
        <w:pStyle w:val="BodyText"/>
        <w:spacing w:line="240" w:lineRule="auto"/>
        <w:ind w:right="0"/>
        <w:jc w:val="both"/>
      </w:pPr>
      <w:r>
        <w:rPr/>
        <w:t>153. Закона о планирању и изградњи и члану 56. Закона о буџетском</w:t>
      </w:r>
      <w:r>
        <w:rPr>
          <w:spacing w:val="-29"/>
        </w:rPr>
        <w:t> </w:t>
      </w:r>
      <w:r>
        <w:rPr/>
        <w:t>систему.</w:t>
      </w:r>
    </w:p>
    <w:p>
      <w:pPr>
        <w:pStyle w:val="ListParagraph"/>
        <w:numPr>
          <w:ilvl w:val="0"/>
          <w:numId w:val="9"/>
        </w:numPr>
        <w:tabs>
          <w:tab w:pos="303" w:val="left" w:leader="none"/>
        </w:tabs>
        <w:spacing w:line="292" w:lineRule="exact" w:before="2"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Уговор број 03</w:t>
      </w:r>
      <w:r>
        <w:rPr>
          <w:rFonts w:ascii="Times New Roman" w:hAnsi="Times New Roman"/>
          <w:sz w:val="24"/>
        </w:rPr>
        <w:t>-2812/1 </w:t>
      </w:r>
      <w:r>
        <w:rPr>
          <w:rFonts w:ascii="Times New Roman" w:hAnsi="Times New Roman"/>
          <w:sz w:val="24"/>
        </w:rPr>
        <w:t>закључен је дана 08.05.2014. године између ЈП Дирекција и  </w:t>
      </w:r>
      <w:r>
        <w:rPr>
          <w:rFonts w:ascii="Times New Roman" w:hAnsi="Times New Roman"/>
          <w:spacing w:val="24"/>
          <w:sz w:val="24"/>
        </w:rPr>
        <w:t> </w:t>
      </w:r>
      <w:r>
        <w:rPr>
          <w:rFonts w:ascii="Times New Roman" w:hAnsi="Times New Roman"/>
          <w:sz w:val="24"/>
        </w:rPr>
        <w:t>ЈКП</w:t>
      </w:r>
    </w:p>
    <w:p>
      <w:pPr>
        <w:pStyle w:val="BodyText"/>
        <w:spacing w:line="240" w:lineRule="auto"/>
        <w:ind w:right="173"/>
        <w:jc w:val="both"/>
      </w:pPr>
      <w:r>
        <w:rPr/>
        <w:t>„Горица“ Ниш за услуге одржавања хоризонталне, вертикалне и светлосне  сигнализације, а односи се на период од 01.01.2014. године; затим Уговор број 03</w:t>
      </w:r>
      <w:r>
        <w:rPr>
          <w:rFonts w:ascii="Times New Roman" w:hAnsi="Times New Roman" w:cs="Times New Roman" w:eastAsia="Times New Roman" w:hint="default"/>
        </w:rPr>
        <w:t>-2810/1 </w:t>
      </w:r>
      <w:r>
        <w:rPr/>
        <w:t>између ЈП Дирекција и ЈКП „Горица“ је закључен дана 08.05.2014. године, а односи се на период од 01.01.2014. године, тако да су уговори закључени</w:t>
      </w:r>
      <w:r>
        <w:rPr>
          <w:spacing w:val="-19"/>
        </w:rPr>
        <w:t> </w:t>
      </w:r>
      <w:r>
        <w:rPr/>
        <w:t>ретроактивно.</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ЈКП „Горица“ Ниш је испоставило прву привремену ситуацију, у којој је испоставило обрачуне за изведене услуге одржавања хоризонталне, вертикалне и светлосне сигнализације за јануар, фебруар, март и април месец </w:t>
      </w:r>
      <w:r>
        <w:rPr>
          <w:rFonts w:ascii="Times New Roman" w:hAnsi="Times New Roman" w:cs="Times New Roman" w:eastAsia="Times New Roman" w:hint="default"/>
          <w:sz w:val="24"/>
          <w:szCs w:val="24"/>
        </w:rPr>
        <w:t>2014. </w:t>
      </w:r>
      <w:r>
        <w:rPr>
          <w:rFonts w:ascii="Times New Roman" w:hAnsi="Times New Roman" w:cs="Times New Roman" w:eastAsia="Times New Roman" w:hint="default"/>
          <w:sz w:val="24"/>
          <w:szCs w:val="24"/>
        </w:rPr>
        <w:t>године у износу од 9.475 хиљада динара, а уговор број 03</w:t>
      </w:r>
      <w:r>
        <w:rPr>
          <w:rFonts w:ascii="Times New Roman" w:hAnsi="Times New Roman" w:cs="Times New Roman" w:eastAsia="Times New Roman" w:hint="default"/>
          <w:sz w:val="24"/>
          <w:szCs w:val="24"/>
        </w:rPr>
        <w:t>-2812/1 </w:t>
      </w:r>
      <w:r>
        <w:rPr>
          <w:rFonts w:ascii="Times New Roman" w:hAnsi="Times New Roman" w:cs="Times New Roman" w:eastAsia="Times New Roman" w:hint="default"/>
          <w:sz w:val="24"/>
          <w:szCs w:val="24"/>
        </w:rPr>
        <w:t>је закључен 08.05.2014. године, што значи да је ЈП</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Дирекција</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преузела</w:t>
      </w:r>
      <w:r>
        <w:rPr>
          <w:rFonts w:ascii="Times New Roman" w:hAnsi="Times New Roman" w:cs="Times New Roman" w:eastAsia="Times New Roman" w:hint="default"/>
          <w:spacing w:val="25"/>
          <w:sz w:val="24"/>
          <w:szCs w:val="24"/>
        </w:rPr>
        <w:t> </w:t>
      </w:r>
      <w:r>
        <w:rPr>
          <w:rFonts w:ascii="Times New Roman" w:hAnsi="Times New Roman" w:cs="Times New Roman" w:eastAsia="Times New Roman" w:hint="default"/>
          <w:sz w:val="24"/>
          <w:szCs w:val="24"/>
        </w:rPr>
        <w:t>обавезу</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и</w:t>
      </w:r>
      <w:r>
        <w:rPr>
          <w:rFonts w:ascii="Times New Roman" w:hAnsi="Times New Roman" w:cs="Times New Roman" w:eastAsia="Times New Roman" w:hint="default"/>
          <w:spacing w:val="25"/>
          <w:sz w:val="24"/>
          <w:szCs w:val="24"/>
        </w:rPr>
        <w:t> </w:t>
      </w:r>
      <w:r>
        <w:rPr>
          <w:rFonts w:ascii="Times New Roman" w:hAnsi="Times New Roman" w:cs="Times New Roman" w:eastAsia="Times New Roman" w:hint="default"/>
          <w:sz w:val="24"/>
          <w:szCs w:val="24"/>
        </w:rPr>
        <w:t>извршила</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плаћање</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без</w:t>
      </w:r>
      <w:r>
        <w:rPr>
          <w:rFonts w:ascii="Times New Roman" w:hAnsi="Times New Roman" w:cs="Times New Roman" w:eastAsia="Times New Roman" w:hint="default"/>
          <w:spacing w:val="25"/>
          <w:sz w:val="24"/>
          <w:szCs w:val="24"/>
        </w:rPr>
        <w:t> </w:t>
      </w:r>
      <w:r>
        <w:rPr>
          <w:rFonts w:ascii="Times New Roman" w:hAnsi="Times New Roman" w:cs="Times New Roman" w:eastAsia="Times New Roman" w:hint="default"/>
          <w:sz w:val="24"/>
          <w:szCs w:val="24"/>
        </w:rPr>
        <w:t>основа,</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што</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је</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супротно</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члану</w:t>
      </w:r>
    </w:p>
    <w:p>
      <w:pPr>
        <w:pStyle w:val="BodyText"/>
        <w:spacing w:line="240" w:lineRule="auto"/>
        <w:ind w:right="0"/>
        <w:jc w:val="both"/>
      </w:pPr>
      <w:r>
        <w:rPr/>
        <w:t>56. Закона о буџетском</w:t>
      </w:r>
      <w:r>
        <w:rPr>
          <w:spacing w:val="-12"/>
        </w:rPr>
        <w:t> </w:t>
      </w:r>
      <w:r>
        <w:rPr/>
        <w:t>систему.</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ЈКП „Горица“ је испоставило прву привремену ситуацију, у којој је обрачунала  изведене услуге одржавањ</w:t>
      </w:r>
      <w:r>
        <w:rPr>
          <w:rFonts w:ascii="Times New Roman" w:hAnsi="Times New Roman" w:cs="Times New Roman" w:eastAsia="Times New Roman" w:hint="default"/>
          <w:sz w:val="24"/>
          <w:szCs w:val="24"/>
        </w:rPr>
        <w:t>a, </w:t>
      </w:r>
      <w:r>
        <w:rPr>
          <w:rFonts w:ascii="Times New Roman" w:hAnsi="Times New Roman" w:cs="Times New Roman" w:eastAsia="Times New Roman" w:hint="default"/>
          <w:sz w:val="24"/>
          <w:szCs w:val="24"/>
        </w:rPr>
        <w:t>адаптације и унапређења објеката и инсталација јавног осветљења за јануар, фебруар, март и април месец </w:t>
      </w:r>
      <w:r>
        <w:rPr>
          <w:rFonts w:ascii="Times New Roman" w:hAnsi="Times New Roman" w:cs="Times New Roman" w:eastAsia="Times New Roman" w:hint="default"/>
          <w:sz w:val="24"/>
          <w:szCs w:val="24"/>
        </w:rPr>
        <w:t>2014. </w:t>
      </w:r>
      <w:r>
        <w:rPr>
          <w:rFonts w:ascii="Times New Roman" w:hAnsi="Times New Roman" w:cs="Times New Roman" w:eastAsia="Times New Roman" w:hint="default"/>
          <w:sz w:val="24"/>
          <w:szCs w:val="24"/>
        </w:rPr>
        <w:t>године у износу од 3.612 хиљада динара, а уговор број 03</w:t>
      </w:r>
      <w:r>
        <w:rPr>
          <w:rFonts w:ascii="Times New Roman" w:hAnsi="Times New Roman" w:cs="Times New Roman" w:eastAsia="Times New Roman" w:hint="default"/>
          <w:sz w:val="24"/>
          <w:szCs w:val="24"/>
        </w:rPr>
        <w:t>-2810/1 </w:t>
      </w:r>
      <w:r>
        <w:rPr>
          <w:rFonts w:ascii="Times New Roman" w:hAnsi="Times New Roman" w:cs="Times New Roman" w:eastAsia="Times New Roman" w:hint="default"/>
          <w:sz w:val="24"/>
          <w:szCs w:val="24"/>
        </w:rPr>
        <w:t>је закључен 08.05.2014. године, што значи да је ЈП Дирекција преузела обавезу и извршила плаћање без основа, што је супротно члану 56. Закона о буџетском</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систему.</w:t>
      </w:r>
    </w:p>
    <w:p>
      <w:pPr>
        <w:pStyle w:val="ListParagraph"/>
        <w:numPr>
          <w:ilvl w:val="0"/>
          <w:numId w:val="9"/>
        </w:numPr>
        <w:tabs>
          <w:tab w:pos="341"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ЈП Дирекција је у току 2014. године преузела обавезу и платила „ЕПС Снабдевање“ доо Београд укупно 78.242 хиљаде динара и то: 61.328 хиљада динара за услуге електричне енергије за јавну расвету на градском подручју града Ниша и 16.914 хиљада динара за услуге електричне енергије за јавну расвету у околним селима, без спроведеног поступка јавне набавке, што је супротно члану 32. Закона о јавним набавкама и члану 56. Закона о буџетском</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систему.</w:t>
      </w:r>
    </w:p>
    <w:p>
      <w:pPr>
        <w:pStyle w:val="ListParagraph"/>
        <w:numPr>
          <w:ilvl w:val="0"/>
          <w:numId w:val="9"/>
        </w:numPr>
        <w:tabs>
          <w:tab w:pos="303" w:val="left" w:leader="none"/>
        </w:tabs>
        <w:spacing w:line="237" w:lineRule="auto" w:before="4" w:after="0"/>
        <w:ind w:left="160" w:right="18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Одговорни извођач радова ЈКП „Naissus“ Ниш није водио грађевинску књигу за  редовно одржавање атмосферске канализације за новембар месец иако је био дужан по члану 152. Закона о планирању и</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изградњи.</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Наручилац није извршио комисијску примопредају радова на летњем одржавању локалних путева најкасније у року од 15 дана од дана завршетка радова, што је супротно члану 18. Уговора број </w:t>
      </w:r>
      <w:r>
        <w:rPr>
          <w:rFonts w:ascii="Times New Roman" w:hAnsi="Times New Roman" w:cs="Times New Roman" w:eastAsia="Times New Roman" w:hint="default"/>
          <w:sz w:val="24"/>
          <w:szCs w:val="24"/>
        </w:rPr>
        <w:t>03-</w:t>
      </w:r>
      <w:r>
        <w:rPr>
          <w:rFonts w:ascii="Times New Roman" w:hAnsi="Times New Roman" w:cs="Times New Roman" w:eastAsia="Times New Roman" w:hint="default"/>
          <w:sz w:val="24"/>
          <w:szCs w:val="24"/>
        </w:rPr>
        <w:t>9333/1 од 04.11.2013. године закљученог са „Атина плус“ доо Ниш и члану 18. Уговора број </w:t>
      </w:r>
      <w:r>
        <w:rPr>
          <w:rFonts w:ascii="Times New Roman" w:hAnsi="Times New Roman" w:cs="Times New Roman" w:eastAsia="Times New Roman" w:hint="default"/>
          <w:sz w:val="24"/>
          <w:szCs w:val="24"/>
        </w:rPr>
        <w:t>03-</w:t>
      </w:r>
      <w:r>
        <w:rPr>
          <w:rFonts w:ascii="Times New Roman" w:hAnsi="Times New Roman" w:cs="Times New Roman" w:eastAsia="Times New Roman" w:hint="default"/>
          <w:sz w:val="24"/>
          <w:szCs w:val="24"/>
        </w:rPr>
        <w:t>10804/1 од 04.11.2013. године закљученог са „МД ГИТ“ доо</w:t>
      </w:r>
      <w:r>
        <w:rPr>
          <w:rFonts w:ascii="Times New Roman" w:hAnsi="Times New Roman" w:cs="Times New Roman" w:eastAsia="Times New Roman" w:hint="default"/>
          <w:spacing w:val="-1"/>
          <w:sz w:val="24"/>
          <w:szCs w:val="24"/>
        </w:rPr>
        <w:t> </w:t>
      </w:r>
      <w:r>
        <w:rPr>
          <w:rFonts w:ascii="Times New Roman" w:hAnsi="Times New Roman" w:cs="Times New Roman" w:eastAsia="Times New Roman" w:hint="default"/>
          <w:sz w:val="24"/>
          <w:szCs w:val="24"/>
        </w:rPr>
        <w:t>Ниш.</w:t>
      </w:r>
    </w:p>
    <w:p>
      <w:pPr>
        <w:pStyle w:val="ListParagraph"/>
        <w:numPr>
          <w:ilvl w:val="0"/>
          <w:numId w:val="9"/>
        </w:numPr>
        <w:tabs>
          <w:tab w:pos="341" w:val="left" w:leader="none"/>
        </w:tabs>
        <w:spacing w:line="237" w:lineRule="auto" w:before="5" w:after="0"/>
        <w:ind w:left="160" w:right="17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Извођач радова „МД ГИТ“ доо Ниш није доставио меницу као средство обезбеђења за добро извршење посла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за радове на летњем одржавању локалних путева, иако је био у обавези, што је супротно члану 16. Уговора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10804/1 од 04.11.2013.</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године.</w:t>
      </w:r>
    </w:p>
    <w:p>
      <w:pPr>
        <w:spacing w:after="0" w:line="237"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ListParagraph"/>
        <w:numPr>
          <w:ilvl w:val="0"/>
          <w:numId w:val="9"/>
        </w:numPr>
        <w:tabs>
          <w:tab w:pos="341" w:val="left" w:leader="none"/>
        </w:tabs>
        <w:spacing w:line="240" w:lineRule="auto" w:before="124" w:after="0"/>
        <w:ind w:left="160" w:right="25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су на групи </w:t>
      </w:r>
      <w:r>
        <w:rPr>
          <w:rFonts w:ascii="Times New Roman" w:hAnsi="Times New Roman" w:cs="Times New Roman" w:eastAsia="Times New Roman" w:hint="default"/>
          <w:sz w:val="24"/>
          <w:szCs w:val="24"/>
        </w:rPr>
        <w:t>425000 - </w:t>
      </w:r>
      <w:r>
        <w:rPr>
          <w:rFonts w:ascii="Times New Roman" w:hAnsi="Times New Roman" w:cs="Times New Roman" w:eastAsia="Times New Roman" w:hint="default"/>
          <w:sz w:val="24"/>
          <w:szCs w:val="24"/>
        </w:rPr>
        <w:t>текуће поправке и одржавање евидентирани расходи за услуге електричне енергије за јавну расвету у износу од 153.245 хиљада динара уместо на групи </w:t>
      </w:r>
      <w:r>
        <w:rPr>
          <w:rFonts w:ascii="Times New Roman" w:hAnsi="Times New Roman" w:cs="Times New Roman" w:eastAsia="Times New Roman" w:hint="default"/>
          <w:sz w:val="24"/>
          <w:szCs w:val="24"/>
        </w:rPr>
        <w:t>421000 </w:t>
      </w:r>
      <w:r>
        <w:rPr>
          <w:rFonts w:ascii="Times New Roman" w:hAnsi="Times New Roman" w:cs="Times New Roman" w:eastAsia="Times New Roman" w:hint="default"/>
          <w:sz w:val="24"/>
          <w:szCs w:val="24"/>
        </w:rPr>
        <w:t>– стални трошкови и трошкови извршења принудне наплате за неплаћене рачуне за одржавање пружних прелаза у износу од 3.174 хиљаде динара, уместо на групи </w:t>
      </w:r>
      <w:r>
        <w:rPr>
          <w:rFonts w:ascii="Times New Roman" w:hAnsi="Times New Roman" w:cs="Times New Roman" w:eastAsia="Times New Roman" w:hint="default"/>
          <w:sz w:val="24"/>
          <w:szCs w:val="24"/>
        </w:rPr>
        <w:t>483000 </w:t>
      </w:r>
      <w:r>
        <w:rPr>
          <w:rFonts w:ascii="Times New Roman" w:hAnsi="Times New Roman" w:cs="Times New Roman" w:eastAsia="Times New Roman" w:hint="default"/>
          <w:sz w:val="24"/>
          <w:szCs w:val="24"/>
        </w:rPr>
        <w:t>– новчане казне и пенали по решењу судова,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систем</w:t>
      </w:r>
      <w:r>
        <w:rPr>
          <w:rFonts w:ascii="Times New Roman" w:hAnsi="Times New Roman" w:cs="Times New Roman" w:eastAsia="Times New Roman" w:hint="default"/>
          <w:sz w:val="24"/>
          <w:szCs w:val="24"/>
        </w:rPr>
        <w:t>.</w:t>
      </w:r>
    </w:p>
    <w:p>
      <w:pPr>
        <w:pStyle w:val="Heading2"/>
        <w:spacing w:line="240" w:lineRule="auto"/>
        <w:ind w:right="253"/>
        <w:jc w:val="both"/>
        <w:rPr>
          <w:b w:val="0"/>
          <w:bCs w:val="0"/>
          <w:i w:val="0"/>
        </w:rPr>
      </w:pPr>
      <w:r>
        <w:rPr>
          <w:i/>
        </w:rPr>
        <w:t>Препоручује се одговорним лицима да обезбеде правилну примену одредби Закона о планирању и изградњи, Правилника о садржини и начину вођења књиге инспекције  и грађевинског дневника, Правилника о садржини и начину вођења стручног надзора</w:t>
      </w:r>
      <w:r>
        <w:rPr>
          <w:rFonts w:ascii="Times New Roman" w:hAnsi="Times New Roman"/>
          <w:i/>
        </w:rPr>
        <w:t>, </w:t>
      </w:r>
      <w:r>
        <w:rPr>
          <w:i/>
        </w:rPr>
        <w:t>Уредбе о буџетском рачуноводству и Правилника о стандардном класификационом оквиру и контном плану за буџетски систем, да уговоре средства обезбеђења, обезбеде да испостављене ситуације буду засноване на стварном стању констатованом у грађевинској књизи, обезбеде основ за сваки расход из буџета, набавку услуга врше у поступку јавне набавке и примењују одредбе закључених  уговора.</w:t>
      </w:r>
      <w:r>
        <w:rPr>
          <w:b w:val="0"/>
          <w:i w:val="0"/>
        </w:rPr>
      </w:r>
    </w:p>
    <w:p>
      <w:pPr>
        <w:spacing w:line="240" w:lineRule="auto" w:before="0"/>
        <w:rPr>
          <w:rFonts w:ascii="Times New Roman" w:hAnsi="Times New Roman" w:cs="Times New Roman" w:eastAsia="Times New Roman" w:hint="default"/>
          <w:b/>
          <w:bCs/>
          <w:i/>
          <w:sz w:val="24"/>
          <w:szCs w:val="24"/>
        </w:rPr>
      </w:pPr>
    </w:p>
    <w:p>
      <w:pPr>
        <w:pStyle w:val="Heading1"/>
        <w:spacing w:line="274" w:lineRule="exact" w:before="0"/>
        <w:ind w:left="160" w:right="0"/>
        <w:jc w:val="both"/>
        <w:rPr>
          <w:b w:val="0"/>
          <w:bCs w:val="0"/>
        </w:rPr>
      </w:pPr>
      <w:r>
        <w:rPr>
          <w:rFonts w:ascii="Times New Roman" w:hAnsi="Times New Roman"/>
        </w:rPr>
        <w:t>4.1.4.13  </w:t>
      </w:r>
      <w:r>
        <w:rPr/>
        <w:t>Материјал, група</w:t>
      </w:r>
      <w:r>
        <w:rPr>
          <w:spacing w:val="-5"/>
        </w:rPr>
        <w:t> </w:t>
      </w:r>
      <w:r>
        <w:rPr/>
        <w:t>426000</w:t>
      </w:r>
      <w:r>
        <w:rPr>
          <w:b w:val="0"/>
        </w:rPr>
      </w:r>
    </w:p>
    <w:p>
      <w:pPr>
        <w:pStyle w:val="BodyText"/>
        <w:spacing w:line="240" w:lineRule="auto"/>
        <w:ind w:right="255" w:firstLine="566"/>
        <w:jc w:val="both"/>
      </w:pPr>
      <w:r>
        <w:rPr/>
        <w:t>Група 42</w:t>
      </w:r>
      <w:r>
        <w:rPr>
          <w:rFonts w:ascii="Times New Roman" w:hAnsi="Times New Roman" w:cs="Times New Roman" w:eastAsia="Times New Roman" w:hint="default"/>
        </w:rPr>
        <w:t>6000 </w:t>
      </w:r>
      <w:r>
        <w:rPr/>
        <w:t>– Материјал садржи синтетичка конта: административни материјал, материјали за пољопривреду, материјали за образовање и усавршавање запослених, материјали за саобраћај, материјали за очување животне средине и науку, материјали за образовање</w:t>
      </w:r>
      <w:r>
        <w:rPr>
          <w:rFonts w:ascii="Times New Roman" w:hAnsi="Times New Roman" w:cs="Times New Roman" w:eastAsia="Times New Roman" w:hint="default"/>
        </w:rPr>
        <w:t>, </w:t>
      </w:r>
      <w:r>
        <w:rPr/>
        <w:t>културу и спорт, медицински и лабораторијски материјали, материјали за одржавање хигијене и угоститељство и материјали за посебне</w:t>
      </w:r>
      <w:r>
        <w:rPr>
          <w:spacing w:val="-22"/>
        </w:rPr>
        <w:t> </w:t>
      </w:r>
      <w:r>
        <w:rPr/>
        <w:t>намене.</w:t>
      </w:r>
    </w:p>
    <w:p>
      <w:pPr>
        <w:spacing w:before="2" w:after="4"/>
        <w:ind w:left="0" w:right="254" w:firstLine="0"/>
        <w:jc w:val="right"/>
        <w:rPr>
          <w:rFonts w:ascii="Times New Roman" w:hAnsi="Times New Roman" w:cs="Times New Roman" w:eastAsia="Times New Roman" w:hint="default"/>
          <w:sz w:val="16"/>
          <w:szCs w:val="16"/>
        </w:rPr>
      </w:pPr>
      <w:r>
        <w:rPr>
          <w:rFonts w:ascii="Times New Roman" w:hAnsi="Times New Roman"/>
          <w:sz w:val="16"/>
        </w:rPr>
        <w:t>(</w:t>
      </w:r>
      <w:r>
        <w:rPr>
          <w:rFonts w:ascii="Times New Roman" w:hAnsi="Times New Roman"/>
          <w:sz w:val="16"/>
        </w:rPr>
        <w:t>у хиљадама</w:t>
      </w:r>
      <w:r>
        <w:rPr>
          <w:rFonts w:ascii="Times New Roman" w:hAnsi="Times New Roman"/>
          <w:spacing w:val="-6"/>
          <w:sz w:val="16"/>
        </w:rPr>
        <w:t> </w:t>
      </w:r>
      <w:r>
        <w:rPr>
          <w:rFonts w:ascii="Times New Roman" w:hAnsi="Times New Roman"/>
          <w:sz w:val="16"/>
        </w:rPr>
        <w:t>динара</w:t>
      </w:r>
      <w:r>
        <w:rPr>
          <w:rFonts w:ascii="Times New Roman" w:hAnsi="Times New Roman"/>
          <w:sz w:val="16"/>
        </w:rPr>
        <w:t>)</w:t>
      </w:r>
    </w:p>
    <w:tbl>
      <w:tblPr>
        <w:tblW w:w="0" w:type="auto"/>
        <w:jc w:val="left"/>
        <w:tblInd w:w="141" w:type="dxa"/>
        <w:tblLayout w:type="fixed"/>
        <w:tblCellMar>
          <w:top w:w="0" w:type="dxa"/>
          <w:left w:w="0" w:type="dxa"/>
          <w:bottom w:w="0" w:type="dxa"/>
          <w:right w:w="0" w:type="dxa"/>
        </w:tblCellMar>
        <w:tblLook w:val="01E0"/>
      </w:tblPr>
      <w:tblGrid>
        <w:gridCol w:w="876"/>
        <w:gridCol w:w="2542"/>
        <w:gridCol w:w="960"/>
        <w:gridCol w:w="1351"/>
        <w:gridCol w:w="1045"/>
        <w:gridCol w:w="936"/>
        <w:gridCol w:w="848"/>
        <w:gridCol w:w="845"/>
      </w:tblGrid>
      <w:tr>
        <w:trPr>
          <w:trHeight w:val="50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261" w:right="178" w:hanging="72"/>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6"/>
              <w:ind w:left="463"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8"/>
                <w:sz w:val="18"/>
              </w:rPr>
              <w:t> </w:t>
            </w:r>
            <w:r>
              <w:rPr>
                <w:rFonts w:ascii="Times New Roman" w:hAnsi="Times New Roman"/>
                <w:b/>
                <w:sz w:val="18"/>
              </w:rPr>
              <w:t>корисник</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6"/>
              <w:ind w:right="103"/>
              <w:jc w:val="right"/>
              <w:rPr>
                <w:rFonts w:ascii="Times New Roman" w:hAnsi="Times New Roman" w:cs="Times New Roman" w:eastAsia="Times New Roman" w:hint="default"/>
                <w:sz w:val="18"/>
                <w:szCs w:val="18"/>
              </w:rPr>
            </w:pPr>
            <w:r>
              <w:rPr>
                <w:rFonts w:ascii="Times New Roman" w:hAnsi="Times New Roman"/>
                <w:b/>
                <w:spacing w:val="-1"/>
                <w:sz w:val="18"/>
              </w:rPr>
              <w:t>Ребаланс</w:t>
            </w:r>
            <w:r>
              <w:rPr>
                <w:rFonts w:ascii="Times New Roman" w:hAns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03" w:right="93" w:firstLine="88"/>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реалокацијом</w:t>
            </w:r>
            <w:r>
              <w:rPr>
                <w:rFonts w:ascii="Times New Roman" w:hAnsi="Times New Roman"/>
                <w:sz w:val="18"/>
              </w:rPr>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03" w:right="93"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15" w:right="104"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02" w:right="110"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02" w:right="107"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49"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403" w:right="0"/>
              <w:jc w:val="left"/>
              <w:rPr>
                <w:rFonts w:ascii="Times New Roman" w:hAnsi="Times New Roman" w:cs="Times New Roman" w:eastAsia="Times New Roman" w:hint="default"/>
                <w:sz w:val="12"/>
                <w:szCs w:val="12"/>
              </w:rPr>
            </w:pPr>
            <w:r>
              <w:rPr>
                <w:rFonts w:ascii="Times New Roman"/>
                <w:sz w:val="12"/>
              </w:rPr>
              <w:t>1</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2"/>
              <w:jc w:val="center"/>
              <w:rPr>
                <w:rFonts w:ascii="Times New Roman" w:hAnsi="Times New Roman" w:cs="Times New Roman" w:eastAsia="Times New Roman" w:hint="default"/>
                <w:sz w:val="12"/>
                <w:szCs w:val="12"/>
              </w:rPr>
            </w:pPr>
            <w:r>
              <w:rPr>
                <w:rFonts w:ascii="Times New Roman"/>
                <w:sz w:val="12"/>
              </w:rPr>
              <w:t>2</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4</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6</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2" w:right="0"/>
              <w:jc w:val="center"/>
              <w:rPr>
                <w:rFonts w:ascii="Times New Roman" w:hAnsi="Times New Roman" w:cs="Times New Roman" w:eastAsia="Times New Roman" w:hint="default"/>
                <w:sz w:val="12"/>
                <w:szCs w:val="12"/>
              </w:rPr>
            </w:pPr>
            <w:r>
              <w:rPr>
                <w:rFonts w:ascii="Times New Roman"/>
                <w:sz w:val="12"/>
              </w:rPr>
              <w:t>8</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1</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8"/>
                <w:sz w:val="18"/>
              </w:rPr>
              <w:t> </w:t>
            </w:r>
            <w:r>
              <w:rPr>
                <w:rFonts w:ascii="Times New Roman" w:hAnsi="Times New Roman"/>
                <w:sz w:val="18"/>
              </w:rPr>
              <w:t>финансије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1.200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1.200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767</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967</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80,58</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126,08</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2</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6"/>
                <w:sz w:val="18"/>
              </w:rPr>
              <w:t> </w:t>
            </w:r>
            <w:r>
              <w:rPr>
                <w:rFonts w:ascii="Times New Roman" w:hAnsi="Times New Roman"/>
                <w:sz w:val="18"/>
              </w:rPr>
              <w:t>културу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12.600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12.600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8.690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8.690</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68,97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9"/>
              <w:jc w:val="right"/>
              <w:rPr>
                <w:rFonts w:ascii="Times New Roman" w:hAnsi="Times New Roman" w:cs="Times New Roman" w:eastAsia="Times New Roman" w:hint="default"/>
                <w:sz w:val="18"/>
                <w:szCs w:val="18"/>
              </w:rPr>
            </w:pPr>
            <w:r>
              <w:rPr>
                <w:rFonts w:ascii="Times New Roman" w:hAnsi="Times New Roman"/>
                <w:sz w:val="18"/>
              </w:rPr>
              <w:t>2а</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Нишки симфонијски</w:t>
            </w:r>
            <w:r>
              <w:rPr>
                <w:rFonts w:ascii="Times New Roman" w:hAnsi="Times New Roman"/>
                <w:spacing w:val="-9"/>
                <w:sz w:val="18"/>
              </w:rPr>
              <w:t> </w:t>
            </w:r>
            <w:r>
              <w:rPr>
                <w:rFonts w:ascii="Times New Roman" w:hAnsi="Times New Roman"/>
                <w:sz w:val="18"/>
              </w:rPr>
              <w:t>оркестар</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876</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876</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714</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714</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81,51</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hAnsi="Times New Roman"/>
                <w:sz w:val="18"/>
              </w:rPr>
              <w:t>2б</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Народно</w:t>
            </w:r>
            <w:r>
              <w:rPr>
                <w:rFonts w:ascii="Times New Roman" w:hAnsi="Times New Roman"/>
                <w:spacing w:val="-4"/>
                <w:sz w:val="18"/>
              </w:rPr>
              <w:t> </w:t>
            </w:r>
            <w:r>
              <w:rPr>
                <w:rFonts w:ascii="Times New Roman" w:hAnsi="Times New Roman"/>
                <w:sz w:val="18"/>
              </w:rPr>
              <w:t>позориште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3.233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3.233</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1.928</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1.928</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59,64</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hAnsi="Times New Roman"/>
                <w:sz w:val="18"/>
              </w:rPr>
              <w:t>2в</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Народни</w:t>
            </w:r>
            <w:r>
              <w:rPr>
                <w:rFonts w:ascii="Times New Roman" w:hAnsi="Times New Roman"/>
                <w:spacing w:val="-5"/>
                <w:sz w:val="18"/>
              </w:rPr>
              <w:t> </w:t>
            </w:r>
            <w:r>
              <w:rPr>
                <w:rFonts w:ascii="Times New Roman" w:hAnsi="Times New Roman"/>
                <w:sz w:val="18"/>
              </w:rPr>
              <w:t>музеј</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2.877</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2.877</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1.902</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1.902</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66,11</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3</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грађанска</w:t>
            </w:r>
            <w:r>
              <w:rPr>
                <w:rFonts w:ascii="Times New Roman" w:hAnsi="Times New Roman"/>
                <w:spacing w:val="-11"/>
                <w:sz w:val="18"/>
              </w:rPr>
              <w:t> </w:t>
            </w:r>
            <w:r>
              <w:rPr>
                <w:rFonts w:ascii="Times New Roman" w:hAnsi="Times New Roman"/>
                <w:sz w:val="18"/>
              </w:rPr>
              <w:t>стања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5.400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5.400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5.365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5.365</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99,35</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4</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Служба за одржавање и</w:t>
            </w:r>
            <w:r>
              <w:rPr>
                <w:rFonts w:ascii="Times New Roman" w:hAnsi="Times New Roman"/>
                <w:spacing w:val="-5"/>
                <w:sz w:val="18"/>
              </w:rPr>
              <w:t> </w:t>
            </w:r>
            <w:r>
              <w:rPr>
                <w:rFonts w:ascii="Times New Roman" w:hAnsi="Times New Roman"/>
                <w:sz w:val="18"/>
              </w:rPr>
              <w:t>ИКТ</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25.350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25.350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22.272</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22.733</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89,68</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102,07</w:t>
            </w:r>
          </w:p>
        </w:tc>
      </w:tr>
      <w:tr>
        <w:trPr>
          <w:trHeight w:val="250"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left="386" w:right="0"/>
              <w:jc w:val="left"/>
              <w:rPr>
                <w:rFonts w:ascii="Times New Roman" w:hAnsi="Times New Roman" w:cs="Times New Roman" w:eastAsia="Times New Roman" w:hint="default"/>
                <w:sz w:val="18"/>
                <w:szCs w:val="18"/>
              </w:rPr>
            </w:pPr>
            <w:r>
              <w:rPr>
                <w:rFonts w:ascii="Times New Roman"/>
                <w:sz w:val="18"/>
              </w:rPr>
              <w:t>5</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5"/>
                <w:sz w:val="18"/>
              </w:rPr>
              <w:t> </w:t>
            </w:r>
            <w:r>
              <w:rPr>
                <w:rFonts w:ascii="Times New Roman" w:hAnsi="Times New Roman"/>
                <w:sz w:val="18"/>
              </w:rPr>
              <w:t>образовање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101"/>
              <w:jc w:val="right"/>
              <w:rPr>
                <w:rFonts w:ascii="Times New Roman" w:hAnsi="Times New Roman" w:cs="Times New Roman" w:eastAsia="Times New Roman" w:hint="default"/>
                <w:sz w:val="18"/>
                <w:szCs w:val="18"/>
              </w:rPr>
            </w:pPr>
            <w:r>
              <w:rPr>
                <w:rFonts w:ascii="Times New Roman"/>
                <w:spacing w:val="-1"/>
                <w:sz w:val="18"/>
              </w:rPr>
              <w:t>188.233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100"/>
              <w:jc w:val="right"/>
              <w:rPr>
                <w:rFonts w:ascii="Times New Roman" w:hAnsi="Times New Roman" w:cs="Times New Roman" w:eastAsia="Times New Roman" w:hint="default"/>
                <w:sz w:val="18"/>
                <w:szCs w:val="18"/>
              </w:rPr>
            </w:pPr>
            <w:r>
              <w:rPr>
                <w:rFonts w:ascii="Times New Roman"/>
                <w:spacing w:val="-1"/>
                <w:sz w:val="18"/>
              </w:rPr>
              <w:t>188.233</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101"/>
              <w:jc w:val="right"/>
              <w:rPr>
                <w:rFonts w:ascii="Times New Roman" w:hAnsi="Times New Roman" w:cs="Times New Roman" w:eastAsia="Times New Roman" w:hint="default"/>
                <w:sz w:val="18"/>
                <w:szCs w:val="18"/>
              </w:rPr>
            </w:pPr>
            <w:r>
              <w:rPr>
                <w:rFonts w:ascii="Times New Roman"/>
                <w:spacing w:val="-1"/>
                <w:sz w:val="18"/>
              </w:rPr>
              <w:t>142.033</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100"/>
              <w:jc w:val="right"/>
              <w:rPr>
                <w:rFonts w:ascii="Times New Roman" w:hAnsi="Times New Roman" w:cs="Times New Roman" w:eastAsia="Times New Roman" w:hint="default"/>
                <w:sz w:val="18"/>
                <w:szCs w:val="18"/>
              </w:rPr>
            </w:pPr>
            <w:r>
              <w:rPr>
                <w:rFonts w:ascii="Times New Roman"/>
                <w:spacing w:val="-1"/>
                <w:sz w:val="18"/>
              </w:rPr>
              <w:t>138.581</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100"/>
              <w:jc w:val="right"/>
              <w:rPr>
                <w:rFonts w:ascii="Times New Roman" w:hAnsi="Times New Roman" w:cs="Times New Roman" w:eastAsia="Times New Roman" w:hint="default"/>
                <w:sz w:val="18"/>
                <w:szCs w:val="18"/>
              </w:rPr>
            </w:pPr>
            <w:r>
              <w:rPr>
                <w:rFonts w:ascii="Times New Roman"/>
                <w:sz w:val="18"/>
              </w:rPr>
              <w:t>73,62</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97"/>
              <w:jc w:val="right"/>
              <w:rPr>
                <w:rFonts w:ascii="Times New Roman" w:hAnsi="Times New Roman" w:cs="Times New Roman" w:eastAsia="Times New Roman" w:hint="default"/>
                <w:sz w:val="18"/>
                <w:szCs w:val="18"/>
              </w:rPr>
            </w:pPr>
            <w:r>
              <w:rPr>
                <w:rFonts w:ascii="Times New Roman"/>
                <w:sz w:val="18"/>
              </w:rPr>
              <w:t>97,57</w:t>
            </w:r>
          </w:p>
        </w:tc>
      </w:tr>
      <w:tr>
        <w:trPr>
          <w:trHeight w:val="219"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hAnsi="Times New Roman"/>
                <w:sz w:val="18"/>
              </w:rPr>
              <w:t>5а</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ПУ</w:t>
            </w:r>
            <w:r>
              <w:rPr>
                <w:rFonts w:ascii="Times New Roman" w:hAnsi="Times New Roman"/>
                <w:spacing w:val="-5"/>
                <w:sz w:val="18"/>
              </w:rPr>
              <w:t> </w:t>
            </w:r>
            <w:r>
              <w:rPr>
                <w:rFonts w:ascii="Times New Roman" w:hAnsi="Times New Roman"/>
                <w:sz w:val="18"/>
              </w:rPr>
              <w:t>Пчелица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182.723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182.723</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139.991</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136.539</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74,72</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7"/>
              <w:jc w:val="right"/>
              <w:rPr>
                <w:rFonts w:ascii="Times New Roman" w:hAnsi="Times New Roman" w:cs="Times New Roman" w:eastAsia="Times New Roman" w:hint="default"/>
                <w:sz w:val="18"/>
                <w:szCs w:val="18"/>
              </w:rPr>
            </w:pPr>
            <w:r>
              <w:rPr>
                <w:rFonts w:ascii="Times New Roman"/>
                <w:sz w:val="18"/>
              </w:rPr>
              <w:t>97,53</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6</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ком.</w:t>
            </w:r>
            <w:r>
              <w:rPr>
                <w:rFonts w:ascii="Times New Roman" w:hAnsi="Times New Roman"/>
                <w:spacing w:val="-10"/>
                <w:sz w:val="18"/>
              </w:rPr>
              <w:t> </w:t>
            </w:r>
            <w:r>
              <w:rPr>
                <w:rFonts w:ascii="Times New Roman" w:hAnsi="Times New Roman"/>
                <w:sz w:val="18"/>
              </w:rPr>
              <w:t>делатн.</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2.500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2.500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1.970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1.879</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75,16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7"/>
              <w:jc w:val="right"/>
              <w:rPr>
                <w:rFonts w:ascii="Times New Roman" w:hAnsi="Times New Roman" w:cs="Times New Roman" w:eastAsia="Times New Roman" w:hint="default"/>
                <w:sz w:val="18"/>
                <w:szCs w:val="18"/>
              </w:rPr>
            </w:pPr>
            <w:r>
              <w:rPr>
                <w:rFonts w:ascii="Times New Roman"/>
                <w:sz w:val="18"/>
              </w:rPr>
              <w:t>95,38</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hAnsi="Times New Roman"/>
                <w:sz w:val="18"/>
              </w:rPr>
              <w:t>6а</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ЈП</w:t>
            </w:r>
            <w:r>
              <w:rPr>
                <w:rFonts w:ascii="Times New Roman" w:hAnsi="Times New Roman"/>
                <w:spacing w:val="-6"/>
                <w:sz w:val="18"/>
              </w:rPr>
              <w:t> </w:t>
            </w:r>
            <w:r>
              <w:rPr>
                <w:rFonts w:ascii="Times New Roman" w:hAnsi="Times New Roman"/>
                <w:sz w:val="18"/>
              </w:rPr>
              <w:t>Дирекција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2.500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2.500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1.970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1.879</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75,16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7"/>
              <w:jc w:val="right"/>
              <w:rPr>
                <w:rFonts w:ascii="Times New Roman" w:hAnsi="Times New Roman" w:cs="Times New Roman" w:eastAsia="Times New Roman" w:hint="default"/>
                <w:sz w:val="18"/>
                <w:szCs w:val="18"/>
              </w:rPr>
            </w:pPr>
            <w:r>
              <w:rPr>
                <w:rFonts w:ascii="Times New Roman"/>
                <w:sz w:val="18"/>
              </w:rPr>
              <w:t>95,38</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86" w:right="0"/>
              <w:jc w:val="left"/>
              <w:rPr>
                <w:rFonts w:ascii="Times New Roman" w:hAnsi="Times New Roman" w:cs="Times New Roman" w:eastAsia="Times New Roman" w:hint="default"/>
                <w:sz w:val="18"/>
                <w:szCs w:val="18"/>
              </w:rPr>
            </w:pPr>
            <w:r>
              <w:rPr>
                <w:rFonts w:ascii="Times New Roman"/>
                <w:sz w:val="18"/>
              </w:rPr>
              <w:t>7</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7"/>
                <w:sz w:val="18"/>
              </w:rPr>
              <w:t> </w:t>
            </w:r>
            <w:r>
              <w:rPr>
                <w:rFonts w:ascii="Times New Roman" w:hAnsi="Times New Roman"/>
                <w:sz w:val="18"/>
              </w:rPr>
              <w:t>пољопривреду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2.300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4.435</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1.999</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9.122</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pacing w:val="-1"/>
                <w:sz w:val="18"/>
              </w:rPr>
              <w:t>205,68</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pacing w:val="-1"/>
                <w:sz w:val="18"/>
              </w:rPr>
              <w:t>456,33</w:t>
            </w:r>
          </w:p>
        </w:tc>
      </w:tr>
      <w:tr>
        <w:trPr>
          <w:trHeight w:val="250" w:hRule="exact"/>
        </w:trPr>
        <w:tc>
          <w:tcPr>
            <w:tcW w:w="3418"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719" w:right="0"/>
              <w:jc w:val="left"/>
              <w:rPr>
                <w:rFonts w:ascii="Times New Roman" w:hAnsi="Times New Roman" w:cs="Times New Roman" w:eastAsia="Times New Roman" w:hint="default"/>
                <w:sz w:val="18"/>
                <w:szCs w:val="18"/>
              </w:rPr>
            </w:pPr>
            <w:r>
              <w:rPr>
                <w:rFonts w:ascii="Times New Roman" w:hAnsi="Times New Roman"/>
                <w:b/>
                <w:sz w:val="18"/>
              </w:rPr>
              <w:t>Укупно корисници</w:t>
            </w:r>
            <w:r>
              <w:rPr>
                <w:rFonts w:ascii="Times New Roman" w:hAnsi="Times New Roman"/>
                <w:b/>
                <w:spacing w:val="-2"/>
                <w:sz w:val="18"/>
              </w:rPr>
              <w:t> </w:t>
            </w:r>
            <w:r>
              <w:rPr>
                <w:rFonts w:ascii="Times New Roman" w:hAnsi="Times New Roman"/>
                <w:b/>
                <w:sz w:val="18"/>
              </w:rPr>
              <w:t>(1</w:t>
            </w:r>
            <w:r>
              <w:rPr>
                <w:rFonts w:ascii="Times New Roman" w:hAnsi="Times New Roman"/>
                <w:b/>
                <w:sz w:val="18"/>
              </w:rPr>
              <w:t>-7)</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8"/>
                <w:szCs w:val="18"/>
              </w:rPr>
            </w:pPr>
            <w:r>
              <w:rPr>
                <w:rFonts w:ascii="Times New Roman"/>
                <w:b/>
                <w:spacing w:val="-1"/>
                <w:sz w:val="18"/>
              </w:rPr>
              <w:t>237.583</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8"/>
                <w:szCs w:val="18"/>
              </w:rPr>
            </w:pPr>
            <w:r>
              <w:rPr>
                <w:rFonts w:ascii="Times New Roman"/>
                <w:b/>
                <w:spacing w:val="-1"/>
                <w:sz w:val="18"/>
              </w:rPr>
              <w:t>239.718</w:t>
            </w:r>
            <w:r>
              <w:rPr>
                <w:rFonts w:ascii="Times New Roman"/>
                <w:spacing w:val="-1"/>
                <w:sz w:val="18"/>
              </w:rPr>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8"/>
                <w:szCs w:val="18"/>
              </w:rPr>
            </w:pPr>
            <w:r>
              <w:rPr>
                <w:rFonts w:ascii="Times New Roman"/>
                <w:b/>
                <w:spacing w:val="-1"/>
                <w:sz w:val="18"/>
              </w:rPr>
              <w:t>183.096</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8"/>
                <w:szCs w:val="18"/>
              </w:rPr>
            </w:pPr>
            <w:r>
              <w:rPr>
                <w:rFonts w:ascii="Times New Roman"/>
                <w:b/>
                <w:spacing w:val="-1"/>
                <w:sz w:val="18"/>
              </w:rPr>
              <w:t>187.337</w:t>
            </w:r>
            <w:r>
              <w:rPr>
                <w:rFonts w:ascii="Times New Roman"/>
                <w:spacing w:val="-1"/>
                <w:sz w:val="18"/>
              </w:rPr>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100"/>
              <w:jc w:val="right"/>
              <w:rPr>
                <w:rFonts w:ascii="Times New Roman" w:hAnsi="Times New Roman" w:cs="Times New Roman" w:eastAsia="Times New Roman" w:hint="default"/>
                <w:sz w:val="18"/>
                <w:szCs w:val="18"/>
              </w:rPr>
            </w:pPr>
            <w:r>
              <w:rPr>
                <w:rFonts w:ascii="Times New Roman"/>
                <w:sz w:val="18"/>
              </w:rPr>
              <w:t>78,15</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98"/>
              <w:jc w:val="right"/>
              <w:rPr>
                <w:rFonts w:ascii="Times New Roman" w:hAnsi="Times New Roman" w:cs="Times New Roman" w:eastAsia="Times New Roman" w:hint="default"/>
                <w:sz w:val="18"/>
                <w:szCs w:val="18"/>
              </w:rPr>
            </w:pPr>
            <w:r>
              <w:rPr>
                <w:rFonts w:ascii="Times New Roman"/>
                <w:spacing w:val="-1"/>
                <w:sz w:val="18"/>
              </w:rPr>
              <w:t>102,32</w:t>
            </w:r>
          </w:p>
        </w:tc>
      </w:tr>
      <w:tr>
        <w:trPr>
          <w:trHeight w:val="218" w:hRule="exact"/>
        </w:trPr>
        <w:tc>
          <w:tcPr>
            <w:tcW w:w="3418"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571" w:right="0"/>
              <w:jc w:val="left"/>
              <w:rPr>
                <w:rFonts w:ascii="Times New Roman" w:hAnsi="Times New Roman" w:cs="Times New Roman" w:eastAsia="Times New Roman" w:hint="default"/>
                <w:sz w:val="18"/>
                <w:szCs w:val="18"/>
              </w:rPr>
            </w:pPr>
            <w:r>
              <w:rPr>
                <w:rFonts w:ascii="Times New Roman" w:hAnsi="Times New Roman"/>
                <w:b/>
                <w:sz w:val="18"/>
              </w:rPr>
              <w:t>Укупно Град </w:t>
            </w:r>
            <w:r>
              <w:rPr>
                <w:rFonts w:ascii="Times New Roman" w:hAnsi="Times New Roman"/>
                <w:b/>
                <w:sz w:val="18"/>
              </w:rPr>
              <w:t>- </w:t>
            </w:r>
            <w:r>
              <w:rPr>
                <w:rFonts w:ascii="Times New Roman" w:hAnsi="Times New Roman"/>
                <w:b/>
                <w:sz w:val="18"/>
              </w:rPr>
              <w:t>група</w:t>
            </w:r>
            <w:r>
              <w:rPr>
                <w:rFonts w:ascii="Times New Roman" w:hAnsi="Times New Roman"/>
                <w:b/>
                <w:spacing w:val="-4"/>
                <w:sz w:val="18"/>
              </w:rPr>
              <w:t> </w:t>
            </w:r>
            <w:r>
              <w:rPr>
                <w:rFonts w:ascii="Times New Roman" w:hAnsi="Times New Roman"/>
                <w:b/>
                <w:sz w:val="18"/>
              </w:rPr>
              <w:t>426000</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1"/>
              <w:jc w:val="right"/>
              <w:rPr>
                <w:rFonts w:ascii="Times New Roman" w:hAnsi="Times New Roman" w:cs="Times New Roman" w:eastAsia="Times New Roman" w:hint="default"/>
                <w:sz w:val="18"/>
                <w:szCs w:val="18"/>
              </w:rPr>
            </w:pPr>
            <w:r>
              <w:rPr>
                <w:rFonts w:ascii="Times New Roman"/>
                <w:b/>
                <w:spacing w:val="-1"/>
                <w:sz w:val="18"/>
              </w:rPr>
              <w:t>245.800</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b/>
                <w:spacing w:val="-1"/>
                <w:sz w:val="18"/>
              </w:rPr>
              <w:t>247.935</w:t>
            </w:r>
            <w:r>
              <w:rPr>
                <w:rFonts w:ascii="Times New Roman"/>
                <w:spacing w:val="-1"/>
                <w:sz w:val="18"/>
              </w:rPr>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1"/>
              <w:jc w:val="right"/>
              <w:rPr>
                <w:rFonts w:ascii="Times New Roman" w:hAnsi="Times New Roman" w:cs="Times New Roman" w:eastAsia="Times New Roman" w:hint="default"/>
                <w:sz w:val="18"/>
                <w:szCs w:val="18"/>
              </w:rPr>
            </w:pPr>
            <w:r>
              <w:rPr>
                <w:rFonts w:ascii="Times New Roman"/>
                <w:b/>
                <w:spacing w:val="-1"/>
                <w:sz w:val="18"/>
              </w:rPr>
              <w:t>188.863</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b/>
                <w:spacing w:val="-1"/>
                <w:sz w:val="18"/>
              </w:rPr>
              <w:t>193.104</w:t>
            </w:r>
            <w:r>
              <w:rPr>
                <w:rFonts w:ascii="Times New Roman"/>
                <w:spacing w:val="-1"/>
                <w:sz w:val="18"/>
              </w:rPr>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77,88</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pacing w:val="-1"/>
                <w:sz w:val="18"/>
              </w:rPr>
              <w:t>102,25</w:t>
            </w:r>
          </w:p>
        </w:tc>
      </w:tr>
    </w:tbl>
    <w:p>
      <w:pPr>
        <w:pStyle w:val="BodyText"/>
        <w:spacing w:line="240" w:lineRule="auto"/>
        <w:ind w:right="255" w:firstLine="566"/>
        <w:jc w:val="both"/>
      </w:pPr>
      <w:r>
        <w:rPr/>
        <w:t>Исказано је извршење у укупном износу од 188.863 хиљад</w:t>
      </w:r>
      <w:r>
        <w:rPr>
          <w:rFonts w:ascii="Times New Roman" w:hAnsi="Times New Roman"/>
        </w:rPr>
        <w:t>e </w:t>
      </w:r>
      <w:r>
        <w:rPr/>
        <w:t>динара и то из средстава  буџета  града  у износу од  76.402  хиљаде  динара,  из  Републике  у износу</w:t>
      </w:r>
      <w:r>
        <w:rPr>
          <w:spacing w:val="35"/>
        </w:rPr>
        <w:t> </w:t>
      </w:r>
      <w:r>
        <w:rPr/>
        <w:t>од</w:t>
      </w:r>
    </w:p>
    <w:p>
      <w:pPr>
        <w:pStyle w:val="BodyText"/>
        <w:spacing w:line="240" w:lineRule="auto"/>
        <w:ind w:right="253"/>
        <w:jc w:val="left"/>
      </w:pPr>
      <w:r>
        <w:rPr/>
        <w:t>12.481 хиљаде динара, из донација у износу од 103 хиљаде динара и из осталих извора у износу од 99.877 хиљада</w:t>
      </w:r>
      <w:r>
        <w:rPr>
          <w:spacing w:val="-11"/>
        </w:rPr>
        <w:t> </w:t>
      </w:r>
      <w:r>
        <w:rPr/>
        <w:t>динара.</w:t>
      </w:r>
    </w:p>
    <w:p>
      <w:pPr>
        <w:pStyle w:val="ListParagraph"/>
        <w:numPr>
          <w:ilvl w:val="0"/>
          <w:numId w:val="37"/>
        </w:numPr>
        <w:tabs>
          <w:tab w:pos="1013" w:val="left" w:leader="none"/>
        </w:tabs>
        <w:spacing w:line="237" w:lineRule="auto" w:before="144" w:after="0"/>
        <w:ind w:left="160" w:right="254" w:firstLine="566"/>
        <w:jc w:val="both"/>
        <w:rPr>
          <w:rFonts w:ascii="Times New Roman" w:hAnsi="Times New Roman" w:cs="Times New Roman" w:eastAsia="Times New Roman" w:hint="default"/>
          <w:sz w:val="24"/>
          <w:szCs w:val="24"/>
        </w:rPr>
      </w:pPr>
      <w:r>
        <w:rPr>
          <w:rFonts w:ascii="Times New Roman" w:hAnsi="Times New Roman"/>
          <w:b/>
          <w:sz w:val="24"/>
        </w:rPr>
        <w:t>Управа за финансије, изворне приходе локалне самоуправе и јавне набавке </w:t>
      </w:r>
      <w:r>
        <w:rPr>
          <w:rFonts w:ascii="Times New Roman" w:hAnsi="Times New Roman"/>
          <w:b/>
          <w:sz w:val="24"/>
        </w:rPr>
        <w:t>- </w:t>
      </w:r>
      <w:r>
        <w:rPr>
          <w:rFonts w:ascii="Times New Roman" w:hAnsi="Times New Roman"/>
          <w:sz w:val="24"/>
        </w:rPr>
        <w:t>Исказан је расход у износу од 767 хиљада динара и то из средстава буџета града. Исказани су расходи за материјал за образовање и усавршавање запослених у износу од 767 хиљада</w:t>
      </w:r>
      <w:r>
        <w:rPr>
          <w:rFonts w:ascii="Times New Roman" w:hAnsi="Times New Roman"/>
          <w:spacing w:val="-3"/>
          <w:sz w:val="24"/>
        </w:rPr>
        <w:t> </w:t>
      </w:r>
      <w:r>
        <w:rPr>
          <w:rFonts w:ascii="Times New Roman" w:hAnsi="Times New Roman"/>
          <w:sz w:val="24"/>
        </w:rPr>
        <w:t>динара.</w:t>
      </w:r>
    </w:p>
    <w:p>
      <w:pPr>
        <w:spacing w:after="0" w:line="237" w:lineRule="auto"/>
        <w:jc w:val="both"/>
        <w:rPr>
          <w:rFonts w:ascii="Times New Roman" w:hAnsi="Times New Roman" w:cs="Times New Roman" w:eastAsia="Times New Roman" w:hint="default"/>
          <w:sz w:val="24"/>
          <w:szCs w:val="24"/>
        </w:rPr>
        <w:sectPr>
          <w:footerReference w:type="default" r:id="rId70"/>
          <w:pgSz w:w="12240" w:h="15840"/>
          <w:pgMar w:footer="1274" w:header="740" w:top="1280" w:bottom="1460" w:left="1400" w:right="1180"/>
          <w:pgNumType w:start="150"/>
        </w:sectPr>
      </w:pPr>
    </w:p>
    <w:p>
      <w:pPr>
        <w:pStyle w:val="BodyText"/>
        <w:spacing w:line="240" w:lineRule="auto" w:before="122"/>
        <w:ind w:right="174" w:firstLine="566"/>
        <w:jc w:val="both"/>
      </w:pPr>
      <w:r>
        <w:rPr>
          <w:rFonts w:ascii="Times New Roman" w:hAnsi="Times New Roman"/>
        </w:rPr>
      </w:r>
      <w:r>
        <w:rPr>
          <w:rFonts w:ascii="Times New Roman" w:hAnsi="Times New Roman"/>
          <w:spacing w:val="-60"/>
          <w:u w:val="single" w:color="000000"/>
        </w:rPr>
        <w:t> </w:t>
      </w:r>
      <w:r>
        <w:rPr>
          <w:u w:val="single" w:color="000000"/>
        </w:rPr>
        <w:t>Стручна литература за редовне потребе запослених, субаналитички конто 426311 </w:t>
      </w:r>
      <w:r>
        <w:rPr/>
      </w:r>
      <w:r>
        <w:rPr>
          <w:rFonts w:ascii="Times New Roman" w:hAnsi="Times New Roman"/>
          <w:i/>
        </w:rPr>
        <w:t>- </w:t>
      </w:r>
      <w:r>
        <w:rPr/>
        <w:t>Исказани су расходи у износу од 767 хиљада динара по основу рачуна из 2013. године у износу од 203 хиљаде динара и по основу рачуна из 2014. године у износу од 565 хиљада динара.</w:t>
      </w:r>
    </w:p>
    <w:p>
      <w:pPr>
        <w:pStyle w:val="BodyText"/>
        <w:spacing w:line="240" w:lineRule="auto"/>
        <w:ind w:right="174" w:firstLine="566"/>
        <w:jc w:val="both"/>
        <w:rPr>
          <w:rFonts w:ascii="Times New Roman" w:hAnsi="Times New Roman" w:cs="Times New Roman" w:eastAsia="Times New Roman" w:hint="default"/>
        </w:rPr>
      </w:pPr>
      <w:r>
        <w:rPr>
          <w:rFonts w:ascii="Times New Roman" w:hAnsi="Times New Roman" w:cs="Times New Roman" w:eastAsia="Times New Roman" w:hint="default"/>
          <w:b/>
          <w:bCs/>
        </w:rPr>
        <w:t>На основу ревизије узорковане документације утврђено је </w:t>
      </w:r>
      <w:r>
        <w:rPr/>
        <w:t>да плаћање аванса у износу од 81 хиљаде динара добављачу „</w:t>
      </w:r>
      <w:r>
        <w:rPr>
          <w:rFonts w:ascii="Times New Roman" w:hAnsi="Times New Roman" w:cs="Times New Roman" w:eastAsia="Times New Roman" w:hint="default"/>
        </w:rPr>
        <w:t>IPC</w:t>
      </w:r>
      <w:r>
        <w:rPr/>
        <w:t>“ доо Београд, није евидентирано на групи конта 123000 – краткорочни пласмани, што је супротно члану 9. Уредбе о буџетском рачуноводству и Правилнику о стандардном класификационом оквиру и контном плану за буџетски</w:t>
      </w:r>
      <w:r>
        <w:rPr>
          <w:spacing w:val="-8"/>
        </w:rPr>
        <w:t> </w:t>
      </w:r>
      <w:r>
        <w:rPr/>
        <w:t>систем</w:t>
      </w:r>
      <w:r>
        <w:rPr>
          <w:rFonts w:ascii="Times New Roman" w:hAnsi="Times New Roman" w:cs="Times New Roman" w:eastAsia="Times New Roman" w:hint="default"/>
        </w:rPr>
        <w:t>.</w:t>
      </w:r>
    </w:p>
    <w:p>
      <w:pPr>
        <w:pStyle w:val="Heading2"/>
        <w:spacing w:line="240" w:lineRule="auto"/>
        <w:ind w:right="172"/>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i/>
        </w:rPr>
        <w:t>.</w:t>
      </w:r>
      <w:r>
        <w:rPr>
          <w:rFonts w:ascii="Times New Roman" w:hAnsi="Times New Roman"/>
          <w:b w:val="0"/>
          <w:i w:val="0"/>
        </w:rPr>
      </w:r>
    </w:p>
    <w:p>
      <w:pPr>
        <w:pStyle w:val="ListParagraph"/>
        <w:numPr>
          <w:ilvl w:val="0"/>
          <w:numId w:val="37"/>
        </w:numPr>
        <w:tabs>
          <w:tab w:pos="1013" w:val="left" w:leader="none"/>
        </w:tabs>
        <w:spacing w:line="240" w:lineRule="auto" w:before="132" w:after="0"/>
        <w:ind w:left="160" w:right="171" w:firstLine="566"/>
        <w:jc w:val="both"/>
        <w:rPr>
          <w:rFonts w:ascii="Times New Roman" w:hAnsi="Times New Roman" w:cs="Times New Roman" w:eastAsia="Times New Roman" w:hint="default"/>
          <w:sz w:val="24"/>
          <w:szCs w:val="24"/>
        </w:rPr>
      </w:pPr>
      <w:r>
        <w:rPr>
          <w:rFonts w:ascii="Times New Roman" w:hAnsi="Times New Roman"/>
          <w:b/>
          <w:sz w:val="24"/>
        </w:rPr>
        <w:t>Управа за културу </w:t>
      </w:r>
      <w:r>
        <w:rPr>
          <w:rFonts w:ascii="Times New Roman" w:hAnsi="Times New Roman"/>
          <w:b/>
          <w:sz w:val="24"/>
        </w:rPr>
        <w:t>- </w:t>
      </w:r>
      <w:r>
        <w:rPr>
          <w:rFonts w:ascii="Times New Roman" w:hAnsi="Times New Roman"/>
          <w:sz w:val="24"/>
        </w:rPr>
        <w:t>Исказан је расход у износу од 8.690 хиљада динара и то: из средстава буџета града у износу од 4.956 хиљада динара и из осталих извора у износу од 3.647 хиљада динара. Исказани расходи се односе на индиректне кориснике: Галерију савремене ликовне уметности у износу од 625 хиљада динара, Историјски архив у износу од 413 хиљада динара, Народну библиотеку Стеван Сремац у износу од 526 хиљада динара, Народни музеј у износу од 1.902 хиљаде динара, Народно позориште у износу од 1.928 хиљада динара, Нишки културни центар у износу од </w:t>
      </w:r>
      <w:r>
        <w:rPr>
          <w:rFonts w:ascii="Times New Roman" w:hAnsi="Times New Roman"/>
          <w:spacing w:val="2"/>
          <w:sz w:val="24"/>
        </w:rPr>
        <w:t>631 </w:t>
      </w:r>
      <w:r>
        <w:rPr>
          <w:rFonts w:ascii="Times New Roman" w:hAnsi="Times New Roman"/>
          <w:sz w:val="24"/>
        </w:rPr>
        <w:t>хиљаде  динара, </w:t>
      </w:r>
      <w:r>
        <w:rPr>
          <w:rFonts w:ascii="Times New Roman" w:hAnsi="Times New Roman"/>
          <w:sz w:val="24"/>
        </w:rPr>
        <w:t>Позориште лутака у износу од 960 хиљада динара, Завод за заштиту споменика културе у износу од 1.035 хиљада динара и Нишки симфонијски оркестар у износу од 714 хиљада динара</w:t>
      </w:r>
      <w:r>
        <w:rPr>
          <w:rFonts w:ascii="Times New Roman" w:hAnsi="Times New Roman"/>
          <w:sz w:val="24"/>
        </w:rPr>
        <w:t>.</w:t>
      </w:r>
    </w:p>
    <w:p>
      <w:pPr>
        <w:pStyle w:val="BodyText"/>
        <w:spacing w:line="240" w:lineRule="auto"/>
        <w:ind w:right="173" w:firstLine="566"/>
        <w:jc w:val="both"/>
      </w:pPr>
      <w:r>
        <w:rPr>
          <w:rFonts w:ascii="Times New Roman" w:hAnsi="Times New Roman" w:cs="Times New Roman" w:eastAsia="Times New Roman" w:hint="default"/>
          <w:b/>
          <w:bCs/>
        </w:rPr>
        <w:t>На основу ревизије узорковане документације утврђено је </w:t>
      </w:r>
      <w:r>
        <w:rPr/>
        <w:t>да је Управа за културу у Извештају о извршењу буџета, исказала расход на групи конта 426000 – материјал у колони 5</w:t>
      </w:r>
      <w:r>
        <w:rPr>
          <w:rFonts w:ascii="Times New Roman" w:hAnsi="Times New Roman" w:cs="Times New Roman" w:eastAsia="Times New Roman" w:hint="default"/>
        </w:rPr>
        <w:t>-</w:t>
      </w:r>
      <w:r>
        <w:rPr/>
        <w:t>укупно у износу од 8.690 хиљада динара, док збир колона 8 и 11 износи 8.603 хиљаде динара. Такође, збир расхода исказаних на синтетичким контима групе 426000 износи 8.603 хиљаде динара. Збир расхода за материјал који су исказали индиректни корисници износи 8.734 хиљаде динара. Оваквим поступком консолидације поступљено је супротно Правилнику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буџетских</w:t>
      </w:r>
      <w:r>
        <w:rPr>
          <w:spacing w:val="-24"/>
        </w:rPr>
        <w:t> </w:t>
      </w:r>
      <w:r>
        <w:rPr/>
        <w:t>фондова.</w:t>
      </w:r>
    </w:p>
    <w:p>
      <w:pPr>
        <w:pStyle w:val="Heading2"/>
        <w:spacing w:line="240" w:lineRule="auto"/>
        <w:ind w:right="174"/>
        <w:jc w:val="both"/>
        <w:rPr>
          <w:b w:val="0"/>
          <w:bCs w:val="0"/>
          <w:i w:val="0"/>
        </w:rPr>
      </w:pPr>
      <w:r>
        <w:rPr>
          <w:i/>
        </w:rPr>
        <w:t>Препоручује се одговорним лицима да обезбеде правилну примену одредби Правилника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буџетских</w:t>
      </w:r>
      <w:r>
        <w:rPr>
          <w:i/>
          <w:spacing w:val="-11"/>
        </w:rPr>
        <w:t> </w:t>
      </w:r>
      <w:r>
        <w:rPr>
          <w:i/>
        </w:rPr>
        <w:t>фондова.</w:t>
      </w:r>
      <w:r>
        <w:rPr>
          <w:b w:val="0"/>
          <w:i w:val="0"/>
        </w:rPr>
      </w:r>
    </w:p>
    <w:p>
      <w:pPr>
        <w:pStyle w:val="BodyText"/>
        <w:spacing w:line="240" w:lineRule="auto"/>
        <w:ind w:right="177" w:firstLine="566"/>
        <w:jc w:val="both"/>
      </w:pPr>
      <w:r>
        <w:rPr>
          <w:rFonts w:ascii="Times New Roman" w:hAnsi="Times New Roman" w:cs="Times New Roman" w:eastAsia="Times New Roman" w:hint="default"/>
          <w:b/>
          <w:bCs/>
        </w:rPr>
        <w:t>2а) Нишки симфонијски оркестар – </w:t>
      </w:r>
      <w:r>
        <w:rPr/>
        <w:t>Исказан је расход у износу од 714 хиљада динара и то 568 хиљада динара на терет буџета града, а 146 хиљада динара из сопствених средстава.</w:t>
      </w:r>
    </w:p>
    <w:p>
      <w:pPr>
        <w:pStyle w:val="BodyText"/>
        <w:spacing w:line="240" w:lineRule="auto"/>
        <w:ind w:right="180" w:firstLine="566"/>
        <w:jc w:val="both"/>
        <w:rPr>
          <w:rFonts w:ascii="Times New Roman" w:hAnsi="Times New Roman" w:cs="Times New Roman" w:eastAsia="Times New Roman" w:hint="default"/>
        </w:rPr>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Материјал за културу, субаналитички конто 426621 </w:t>
      </w:r>
      <w:r>
        <w:rPr/>
      </w:r>
      <w:r>
        <w:rPr>
          <w:rFonts w:ascii="Times New Roman" w:hAnsi="Times New Roman" w:cs="Times New Roman" w:eastAsia="Times New Roman" w:hint="default"/>
          <w:i/>
        </w:rPr>
        <w:t>– </w:t>
      </w:r>
      <w:r>
        <w:rPr/>
        <w:t>Исказан је расход у износу од </w:t>
      </w:r>
      <w:r>
        <w:rPr>
          <w:rFonts w:ascii="Times New Roman" w:hAnsi="Times New Roman" w:cs="Times New Roman" w:eastAsia="Times New Roman" w:hint="default"/>
        </w:rPr>
        <w:t>458 </w:t>
      </w:r>
      <w:r>
        <w:rPr/>
        <w:t>хиљада</w:t>
      </w:r>
      <w:r>
        <w:rPr>
          <w:spacing w:val="-2"/>
        </w:rPr>
        <w:t> </w:t>
      </w:r>
      <w:r>
        <w:rPr/>
        <w:t>динара</w:t>
      </w:r>
      <w:r>
        <w:rPr>
          <w:rFonts w:ascii="Times New Roman" w:hAnsi="Times New Roman" w:cs="Times New Roman" w:eastAsia="Times New Roman" w:hint="default"/>
        </w:rPr>
        <w:t>.</w:t>
      </w:r>
    </w:p>
    <w:p>
      <w:pPr>
        <w:pStyle w:val="BodyText"/>
        <w:spacing w:line="240" w:lineRule="auto"/>
        <w:ind w:left="726" w:right="141"/>
        <w:jc w:val="left"/>
      </w:pPr>
      <w:r>
        <w:rPr/>
        <w:t>Ревизијом је утврђено да узоркована документа не садрже</w:t>
      </w:r>
      <w:r>
        <w:rPr>
          <w:spacing w:val="-23"/>
        </w:rPr>
        <w:t> </w:t>
      </w:r>
      <w:r>
        <w:rPr/>
        <w:t>неправилности.</w:t>
      </w:r>
    </w:p>
    <w:p>
      <w:pPr>
        <w:spacing w:before="0"/>
        <w:ind w:left="726" w:right="141" w:firstLine="0"/>
        <w:jc w:val="left"/>
        <w:rPr>
          <w:rFonts w:ascii="Times New Roman" w:hAnsi="Times New Roman" w:cs="Times New Roman" w:eastAsia="Times New Roman" w:hint="default"/>
          <w:sz w:val="24"/>
          <w:szCs w:val="24"/>
        </w:rPr>
      </w:pPr>
      <w:r>
        <w:rPr>
          <w:rFonts w:ascii="Times New Roman" w:hAnsi="Times New Roman"/>
          <w:b/>
          <w:sz w:val="24"/>
        </w:rPr>
        <w:t>2б) Народно позориште </w:t>
      </w:r>
      <w:r>
        <w:rPr>
          <w:rFonts w:ascii="Times New Roman" w:hAnsi="Times New Roman"/>
          <w:b/>
          <w:sz w:val="24"/>
        </w:rPr>
        <w:t>- </w:t>
      </w:r>
      <w:r>
        <w:rPr>
          <w:rFonts w:ascii="Times New Roman" w:hAnsi="Times New Roman"/>
          <w:sz w:val="24"/>
        </w:rPr>
        <w:t>Исказан је расход у износу од 1.928 хиљада динара и  </w:t>
      </w:r>
      <w:r>
        <w:rPr>
          <w:rFonts w:ascii="Times New Roman" w:hAnsi="Times New Roman"/>
          <w:spacing w:val="56"/>
          <w:sz w:val="24"/>
        </w:rPr>
        <w:t> </w:t>
      </w:r>
      <w:r>
        <w:rPr>
          <w:rFonts w:ascii="Times New Roman" w:hAnsi="Times New Roman"/>
          <w:sz w:val="24"/>
        </w:rPr>
        <w:t>то</w:t>
      </w:r>
    </w:p>
    <w:p>
      <w:pPr>
        <w:pStyle w:val="BodyText"/>
        <w:spacing w:line="240" w:lineRule="auto"/>
        <w:ind w:right="234"/>
        <w:jc w:val="left"/>
      </w:pPr>
      <w:r>
        <w:rPr/>
        <w:t>1.222 хиљаде динара на терет буџета града, а 706 хиљада динара из сопствених  средстава.</w:t>
      </w:r>
    </w:p>
    <w:p>
      <w:pPr>
        <w:pStyle w:val="BodyText"/>
        <w:spacing w:line="240" w:lineRule="auto"/>
        <w:ind w:left="726" w:right="141"/>
        <w:jc w:val="left"/>
      </w:pPr>
      <w:r>
        <w:rPr>
          <w:rFonts w:ascii="Times New Roman" w:hAnsi="Times New Roman"/>
        </w:rPr>
      </w:r>
      <w:r>
        <w:rPr>
          <w:rFonts w:ascii="Times New Roman" w:hAnsi="Times New Roman"/>
          <w:spacing w:val="-60"/>
          <w:u w:val="single" w:color="000000"/>
        </w:rPr>
        <w:t> </w:t>
      </w:r>
      <w:r>
        <w:rPr>
          <w:u w:val="single" w:color="000000"/>
        </w:rPr>
        <w:t>Материјал за културу, субаналитички конто 426621 </w:t>
      </w:r>
      <w:r>
        <w:rPr/>
      </w:r>
      <w:r>
        <w:rPr>
          <w:rFonts w:ascii="Times New Roman" w:hAnsi="Times New Roman"/>
          <w:i/>
        </w:rPr>
        <w:t>-</w:t>
      </w:r>
      <w:r>
        <w:rPr/>
        <w:t>Исказан је расход у износу  </w:t>
      </w:r>
      <w:r>
        <w:rPr>
          <w:spacing w:val="18"/>
        </w:rPr>
        <w:t> </w:t>
      </w:r>
      <w:r>
        <w:rPr/>
        <w:t>од</w:t>
      </w:r>
    </w:p>
    <w:p>
      <w:pPr>
        <w:spacing w:after="0" w:line="240" w:lineRule="auto"/>
        <w:jc w:val="left"/>
        <w:sectPr>
          <w:footerReference w:type="default" r:id="rId71"/>
          <w:pgSz w:w="12240" w:h="15840"/>
          <w:pgMar w:footer="1636" w:header="740" w:top="1280" w:bottom="1820" w:left="1400" w:right="1260"/>
        </w:sectPr>
      </w:pPr>
    </w:p>
    <w:p>
      <w:pPr>
        <w:pStyle w:val="BodyText"/>
        <w:spacing w:line="240" w:lineRule="auto" w:before="122"/>
        <w:ind w:left="726" w:right="141"/>
        <w:jc w:val="left"/>
      </w:pPr>
      <w:r>
        <w:rPr/>
        <w:t>Ревизијом је утврђено да узоркована документа не садрже</w:t>
      </w:r>
      <w:r>
        <w:rPr>
          <w:spacing w:val="-20"/>
        </w:rPr>
        <w:t> </w:t>
      </w:r>
      <w:r>
        <w:rPr/>
        <w:t>неправилности.</w:t>
      </w:r>
    </w:p>
    <w:p>
      <w:pPr>
        <w:pStyle w:val="BodyText"/>
        <w:spacing w:line="240" w:lineRule="auto"/>
        <w:ind w:right="178" w:firstLine="566"/>
        <w:jc w:val="both"/>
      </w:pPr>
      <w:r>
        <w:rPr>
          <w:rFonts w:ascii="Times New Roman" w:hAnsi="Times New Roman"/>
          <w:b/>
        </w:rPr>
        <w:t>2</w:t>
      </w:r>
      <w:r>
        <w:rPr>
          <w:rFonts w:ascii="Times New Roman" w:hAnsi="Times New Roman"/>
          <w:b/>
        </w:rPr>
        <w:t>в) Народни музеј </w:t>
      </w:r>
      <w:r>
        <w:rPr>
          <w:rFonts w:ascii="Times New Roman" w:hAnsi="Times New Roman"/>
          <w:b/>
        </w:rPr>
        <w:t>- </w:t>
      </w:r>
      <w:r>
        <w:rPr/>
        <w:t>Исказан је расход у износу од 1.902 хиљаде динара и то 887 хиљада динара на терет буџета града, а 1.015 хиљада динара из сопствених</w:t>
      </w:r>
      <w:r>
        <w:rPr>
          <w:spacing w:val="-25"/>
        </w:rPr>
        <w:t> </w:t>
      </w:r>
      <w:r>
        <w:rPr/>
        <w:t>средстава.</w:t>
      </w:r>
    </w:p>
    <w:p>
      <w:pPr>
        <w:pStyle w:val="BodyText"/>
        <w:spacing w:line="240" w:lineRule="auto"/>
        <w:ind w:right="180" w:firstLine="566"/>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Материјал за културу, субаналитички конто </w:t>
      </w:r>
      <w:r>
        <w:rPr>
          <w:rFonts w:ascii="Times New Roman" w:hAnsi="Times New Roman"/>
          <w:u w:val="single" w:color="000000"/>
        </w:rPr>
        <w:t>426621 </w:t>
      </w:r>
      <w:r>
        <w:rPr>
          <w:rFonts w:ascii="Times New Roman" w:hAnsi="Times New Roman"/>
        </w:rPr>
      </w:r>
      <w:r>
        <w:rPr>
          <w:rFonts w:ascii="Times New Roman" w:hAnsi="Times New Roman"/>
          <w:i/>
        </w:rPr>
        <w:t>- </w:t>
      </w:r>
      <w:r>
        <w:rPr/>
        <w:t>Исказан је расход у износу од </w:t>
      </w:r>
      <w:r>
        <w:rPr>
          <w:rFonts w:ascii="Times New Roman" w:hAnsi="Times New Roman"/>
        </w:rPr>
        <w:t>869 </w:t>
      </w:r>
      <w:r>
        <w:rPr/>
        <w:t>хиљада</w:t>
      </w:r>
      <w:r>
        <w:rPr>
          <w:spacing w:val="-2"/>
        </w:rPr>
        <w:t> </w:t>
      </w:r>
      <w:r>
        <w:rPr/>
        <w:t>динара</w:t>
      </w:r>
      <w:r>
        <w:rPr>
          <w:rFonts w:ascii="Times New Roman" w:hAnsi="Times New Roman"/>
        </w:rPr>
        <w:t>.</w:t>
      </w:r>
    </w:p>
    <w:p>
      <w:pPr>
        <w:pStyle w:val="Heading1"/>
        <w:spacing w:line="275" w:lineRule="exact"/>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2"/>
        </w:rPr>
        <w:t> </w:t>
      </w:r>
      <w:r>
        <w:rPr/>
        <w:t>је</w:t>
      </w:r>
      <w:r>
        <w:rPr>
          <w:rFonts w:ascii="Times New Roman" w:hAnsi="Times New Roman"/>
        </w:rPr>
        <w:t>:</w:t>
      </w:r>
      <w:r>
        <w:rPr>
          <w:rFonts w:ascii="Times New Roman" w:hAnsi="Times New Roman"/>
          <w:b w:val="0"/>
        </w:rPr>
      </w:r>
    </w:p>
    <w:p>
      <w:pPr>
        <w:pStyle w:val="ListParagraph"/>
        <w:numPr>
          <w:ilvl w:val="0"/>
          <w:numId w:val="9"/>
        </w:numPr>
        <w:tabs>
          <w:tab w:pos="303"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Извршено је књижење набавке панела у износу од 199 хиљада динара, по основу профактуре „Музејско снабдевање“ доо Београд, односно, невалидне рачуноводствене документације, што је супротно члану 58. Закона о буџетском систему и члану  16. Уредбе о буџетском</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рачуноводству.</w:t>
      </w:r>
    </w:p>
    <w:p>
      <w:pPr>
        <w:pStyle w:val="Heading2"/>
        <w:spacing w:line="244" w:lineRule="auto" w:before="0"/>
        <w:ind w:right="172"/>
        <w:jc w:val="both"/>
        <w:rPr>
          <w:rFonts w:ascii="Times New Roman" w:hAnsi="Times New Roman" w:cs="Times New Roman" w:eastAsia="Times New Roman" w:hint="default"/>
          <w:b w:val="0"/>
          <w:bCs w:val="0"/>
          <w:i w:val="0"/>
        </w:rPr>
      </w:pPr>
      <w:r>
        <w:rPr>
          <w:i/>
        </w:rPr>
        <w:t>Препоручује се одговорним лицима да за сваки расход обезбеде валидну рачуноводствену</w:t>
      </w:r>
      <w:r>
        <w:rPr>
          <w:i/>
          <w:spacing w:val="-9"/>
        </w:rPr>
        <w:t> </w:t>
      </w:r>
      <w:r>
        <w:rPr>
          <w:i/>
        </w:rPr>
        <w:t>документацију</w:t>
      </w:r>
      <w:r>
        <w:rPr>
          <w:rFonts w:ascii="Times New Roman" w:hAnsi="Times New Roman"/>
          <w:i/>
        </w:rPr>
        <w:t>.</w:t>
      </w:r>
      <w:r>
        <w:rPr>
          <w:rFonts w:ascii="Times New Roman" w:hAnsi="Times New Roman"/>
          <w:b w:val="0"/>
          <w:i w:val="0"/>
        </w:rPr>
      </w:r>
    </w:p>
    <w:p>
      <w:pPr>
        <w:pStyle w:val="ListParagraph"/>
        <w:numPr>
          <w:ilvl w:val="0"/>
          <w:numId w:val="37"/>
        </w:numPr>
        <w:tabs>
          <w:tab w:pos="1013" w:val="left" w:leader="none"/>
        </w:tabs>
        <w:spacing w:line="240" w:lineRule="auto" w:before="126" w:after="0"/>
        <w:ind w:left="1012" w:right="0" w:hanging="286"/>
        <w:jc w:val="left"/>
        <w:rPr>
          <w:rFonts w:ascii="Times New Roman" w:hAnsi="Times New Roman" w:cs="Times New Roman" w:eastAsia="Times New Roman" w:hint="default"/>
          <w:sz w:val="24"/>
          <w:szCs w:val="24"/>
        </w:rPr>
      </w:pPr>
      <w:r>
        <w:rPr>
          <w:rFonts w:ascii="Times New Roman" w:hAnsi="Times New Roman"/>
          <w:b/>
          <w:sz w:val="24"/>
        </w:rPr>
        <w:t>Управа</w:t>
      </w:r>
      <w:r>
        <w:rPr>
          <w:rFonts w:ascii="Times New Roman" w:hAnsi="Times New Roman"/>
          <w:b/>
          <w:spacing w:val="20"/>
          <w:sz w:val="24"/>
        </w:rPr>
        <w:t> </w:t>
      </w:r>
      <w:r>
        <w:rPr>
          <w:rFonts w:ascii="Times New Roman" w:hAnsi="Times New Roman"/>
          <w:b/>
          <w:sz w:val="24"/>
        </w:rPr>
        <w:t>за</w:t>
      </w:r>
      <w:r>
        <w:rPr>
          <w:rFonts w:ascii="Times New Roman" w:hAnsi="Times New Roman"/>
          <w:b/>
          <w:spacing w:val="19"/>
          <w:sz w:val="24"/>
        </w:rPr>
        <w:t> </w:t>
      </w:r>
      <w:r>
        <w:rPr>
          <w:rFonts w:ascii="Times New Roman" w:hAnsi="Times New Roman"/>
          <w:b/>
          <w:sz w:val="24"/>
        </w:rPr>
        <w:t>грађанска</w:t>
      </w:r>
      <w:r>
        <w:rPr>
          <w:rFonts w:ascii="Times New Roman" w:hAnsi="Times New Roman"/>
          <w:b/>
          <w:spacing w:val="20"/>
          <w:sz w:val="24"/>
        </w:rPr>
        <w:t> </w:t>
      </w:r>
      <w:r>
        <w:rPr>
          <w:rFonts w:ascii="Times New Roman" w:hAnsi="Times New Roman"/>
          <w:b/>
          <w:sz w:val="24"/>
        </w:rPr>
        <w:t>стања</w:t>
      </w:r>
      <w:r>
        <w:rPr>
          <w:rFonts w:ascii="Times New Roman" w:hAnsi="Times New Roman"/>
          <w:b/>
          <w:spacing w:val="20"/>
          <w:sz w:val="24"/>
        </w:rPr>
        <w:t> </w:t>
      </w:r>
      <w:r>
        <w:rPr>
          <w:rFonts w:ascii="Times New Roman" w:hAnsi="Times New Roman"/>
          <w:b/>
          <w:sz w:val="24"/>
        </w:rPr>
        <w:t>и</w:t>
      </w:r>
      <w:r>
        <w:rPr>
          <w:rFonts w:ascii="Times New Roman" w:hAnsi="Times New Roman"/>
          <w:b/>
          <w:spacing w:val="21"/>
          <w:sz w:val="24"/>
        </w:rPr>
        <w:t> </w:t>
      </w:r>
      <w:r>
        <w:rPr>
          <w:rFonts w:ascii="Times New Roman" w:hAnsi="Times New Roman"/>
          <w:b/>
          <w:sz w:val="24"/>
        </w:rPr>
        <w:t>опште</w:t>
      </w:r>
      <w:r>
        <w:rPr>
          <w:rFonts w:ascii="Times New Roman" w:hAnsi="Times New Roman"/>
          <w:b/>
          <w:spacing w:val="19"/>
          <w:sz w:val="24"/>
        </w:rPr>
        <w:t> </w:t>
      </w:r>
      <w:r>
        <w:rPr>
          <w:rFonts w:ascii="Times New Roman" w:hAnsi="Times New Roman"/>
          <w:b/>
          <w:sz w:val="24"/>
        </w:rPr>
        <w:t>послове</w:t>
      </w:r>
      <w:r>
        <w:rPr>
          <w:rFonts w:ascii="Times New Roman" w:hAnsi="Times New Roman"/>
          <w:b/>
          <w:spacing w:val="25"/>
          <w:sz w:val="24"/>
        </w:rPr>
        <w:t> </w:t>
      </w:r>
      <w:r>
        <w:rPr>
          <w:rFonts w:ascii="Times New Roman" w:hAnsi="Times New Roman"/>
          <w:b/>
          <w:sz w:val="24"/>
        </w:rPr>
        <w:t>-</w:t>
      </w:r>
      <w:r>
        <w:rPr>
          <w:rFonts w:ascii="Times New Roman" w:hAnsi="Times New Roman"/>
          <w:b/>
          <w:spacing w:val="19"/>
          <w:sz w:val="24"/>
        </w:rPr>
        <w:t> </w:t>
      </w:r>
      <w:r>
        <w:rPr>
          <w:rFonts w:ascii="Times New Roman" w:hAnsi="Times New Roman"/>
          <w:sz w:val="24"/>
        </w:rPr>
        <w:t>Исказан</w:t>
      </w:r>
      <w:r>
        <w:rPr>
          <w:rFonts w:ascii="Times New Roman" w:hAnsi="Times New Roman"/>
          <w:spacing w:val="21"/>
          <w:sz w:val="24"/>
        </w:rPr>
        <w:t> </w:t>
      </w:r>
      <w:r>
        <w:rPr>
          <w:rFonts w:ascii="Times New Roman" w:hAnsi="Times New Roman"/>
          <w:sz w:val="24"/>
        </w:rPr>
        <w:t>је</w:t>
      </w:r>
      <w:r>
        <w:rPr>
          <w:rFonts w:ascii="Times New Roman" w:hAnsi="Times New Roman"/>
          <w:spacing w:val="19"/>
          <w:sz w:val="24"/>
        </w:rPr>
        <w:t> </w:t>
      </w:r>
      <w:r>
        <w:rPr>
          <w:rFonts w:ascii="Times New Roman" w:hAnsi="Times New Roman"/>
          <w:sz w:val="24"/>
        </w:rPr>
        <w:t>расход</w:t>
      </w:r>
      <w:r>
        <w:rPr>
          <w:rFonts w:ascii="Times New Roman" w:hAnsi="Times New Roman"/>
          <w:spacing w:val="20"/>
          <w:sz w:val="24"/>
        </w:rPr>
        <w:t> </w:t>
      </w:r>
      <w:r>
        <w:rPr>
          <w:rFonts w:ascii="Times New Roman" w:hAnsi="Times New Roman"/>
          <w:sz w:val="24"/>
        </w:rPr>
        <w:t>у</w:t>
      </w:r>
      <w:r>
        <w:rPr>
          <w:rFonts w:ascii="Times New Roman" w:hAnsi="Times New Roman"/>
          <w:spacing w:val="17"/>
          <w:sz w:val="24"/>
        </w:rPr>
        <w:t> </w:t>
      </w:r>
      <w:r>
        <w:rPr>
          <w:rFonts w:ascii="Times New Roman" w:hAnsi="Times New Roman"/>
          <w:sz w:val="24"/>
        </w:rPr>
        <w:t>износу</w:t>
      </w:r>
      <w:r>
        <w:rPr>
          <w:rFonts w:ascii="Times New Roman" w:hAnsi="Times New Roman"/>
          <w:spacing w:val="15"/>
          <w:sz w:val="24"/>
        </w:rPr>
        <w:t> </w:t>
      </w:r>
      <w:r>
        <w:rPr>
          <w:rFonts w:ascii="Times New Roman" w:hAnsi="Times New Roman"/>
          <w:sz w:val="24"/>
        </w:rPr>
        <w:t>од</w:t>
      </w:r>
    </w:p>
    <w:p>
      <w:pPr>
        <w:pStyle w:val="BodyText"/>
        <w:spacing w:line="240" w:lineRule="auto"/>
        <w:ind w:right="182"/>
        <w:jc w:val="both"/>
      </w:pPr>
      <w:r>
        <w:rPr/>
        <w:t>5.365 хиљада динара и то из средстава буџета града за административни материјал у целом</w:t>
      </w:r>
      <w:r>
        <w:rPr>
          <w:spacing w:val="-8"/>
        </w:rPr>
        <w:t> </w:t>
      </w:r>
      <w:r>
        <w:rPr/>
        <w:t>износу.</w:t>
      </w:r>
    </w:p>
    <w:p>
      <w:pPr>
        <w:pStyle w:val="BodyText"/>
        <w:spacing w:line="240" w:lineRule="auto"/>
        <w:ind w:right="170" w:firstLine="566"/>
        <w:jc w:val="both"/>
        <w:rPr>
          <w:rFonts w:ascii="Times New Roman" w:hAnsi="Times New Roman" w:cs="Times New Roman" w:eastAsia="Times New Roman" w:hint="default"/>
        </w:rPr>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Канцеларијски материјал, субаналитички конто 42611</w:t>
      </w:r>
      <w:r>
        <w:rPr/>
      </w:r>
      <w:r>
        <w:rPr>
          <w:rFonts w:ascii="Times New Roman" w:hAnsi="Times New Roman" w:cs="Times New Roman" w:eastAsia="Times New Roman" w:hint="default"/>
        </w:rPr>
        <w:t>1 </w:t>
      </w:r>
      <w:r>
        <w:rPr>
          <w:rFonts w:ascii="Times New Roman" w:hAnsi="Times New Roman" w:cs="Times New Roman" w:eastAsia="Times New Roman" w:hint="default"/>
          <w:i/>
        </w:rPr>
        <w:t>– </w:t>
      </w:r>
      <w:r>
        <w:rPr/>
        <w:t>Исказан је расход у  износу од </w:t>
      </w:r>
      <w:r>
        <w:rPr>
          <w:rFonts w:ascii="Times New Roman" w:hAnsi="Times New Roman" w:cs="Times New Roman" w:eastAsia="Times New Roman" w:hint="default"/>
        </w:rPr>
        <w:t>5.295 </w:t>
      </w:r>
      <w:r>
        <w:rPr/>
        <w:t>хиљада</w:t>
      </w:r>
      <w:r>
        <w:rPr>
          <w:spacing w:val="-6"/>
        </w:rPr>
        <w:t> </w:t>
      </w:r>
      <w:r>
        <w:rPr/>
        <w:t>динара</w:t>
      </w:r>
      <w:r>
        <w:rPr>
          <w:rFonts w:ascii="Times New Roman" w:hAnsi="Times New Roman" w:cs="Times New Roman" w:eastAsia="Times New Roman" w:hint="default"/>
        </w:rPr>
        <w:t>.</w:t>
      </w:r>
    </w:p>
    <w:p>
      <w:pPr>
        <w:spacing w:before="0"/>
        <w:ind w:left="726" w:right="141" w:firstLine="0"/>
        <w:jc w:val="left"/>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плаћање аванса </w:t>
      </w:r>
      <w:r>
        <w:rPr>
          <w:rFonts w:ascii="Times New Roman" w:hAnsi="Times New Roman"/>
          <w:spacing w:val="7"/>
          <w:sz w:val="24"/>
        </w:rPr>
        <w:t> </w:t>
      </w:r>
      <w:r>
        <w:rPr>
          <w:rFonts w:ascii="Times New Roman" w:hAnsi="Times New Roman"/>
          <w:sz w:val="24"/>
        </w:rPr>
        <w:t>од</w:t>
      </w:r>
    </w:p>
    <w:p>
      <w:pPr>
        <w:pStyle w:val="BodyText"/>
        <w:spacing w:line="240" w:lineRule="auto"/>
        <w:ind w:right="179"/>
        <w:jc w:val="both"/>
        <w:rPr>
          <w:rFonts w:ascii="Times New Roman" w:hAnsi="Times New Roman" w:cs="Times New Roman" w:eastAsia="Times New Roman" w:hint="default"/>
        </w:rPr>
      </w:pPr>
      <w:r>
        <w:rPr/>
        <w:t>4.170 хиљада динара није евидентирано преко групе </w:t>
      </w:r>
      <w:r>
        <w:rPr>
          <w:rFonts w:ascii="Times New Roman" w:hAnsi="Times New Roman" w:cs="Times New Roman" w:eastAsia="Times New Roman" w:hint="default"/>
        </w:rPr>
        <w:t>123000 </w:t>
      </w:r>
      <w:r>
        <w:rPr/>
        <w:t>– краткорочни пласмани, што је супротно члану 9. Уредбе о буџетском рачуноводству и Правилнику о стандардном класификационом оквиру и контном плану за буџетски</w:t>
      </w:r>
      <w:r>
        <w:rPr>
          <w:spacing w:val="-23"/>
        </w:rPr>
        <w:t> </w:t>
      </w:r>
      <w:r>
        <w:rPr/>
        <w:t>систем</w:t>
      </w:r>
      <w:r>
        <w:rPr>
          <w:rFonts w:ascii="Times New Roman" w:hAnsi="Times New Roman" w:cs="Times New Roman" w:eastAsia="Times New Roman" w:hint="default"/>
        </w:rPr>
        <w:t>.</w:t>
      </w:r>
    </w:p>
    <w:p>
      <w:pPr>
        <w:pStyle w:val="Heading2"/>
        <w:spacing w:line="240" w:lineRule="auto"/>
        <w:ind w:right="178"/>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i/>
        </w:rPr>
        <w:t>.</w:t>
      </w:r>
      <w:r>
        <w:rPr>
          <w:rFonts w:ascii="Times New Roman" w:hAnsi="Times New Roman"/>
          <w:b w:val="0"/>
          <w:i w:val="0"/>
        </w:rPr>
      </w:r>
    </w:p>
    <w:p>
      <w:pPr>
        <w:pStyle w:val="ListParagraph"/>
        <w:numPr>
          <w:ilvl w:val="0"/>
          <w:numId w:val="37"/>
        </w:numPr>
        <w:tabs>
          <w:tab w:pos="1073" w:val="left" w:leader="none"/>
        </w:tabs>
        <w:spacing w:line="240" w:lineRule="auto" w:before="139" w:after="0"/>
        <w:ind w:left="160" w:right="177" w:firstLine="566"/>
        <w:jc w:val="both"/>
        <w:rPr>
          <w:rFonts w:ascii="Times New Roman" w:hAnsi="Times New Roman" w:cs="Times New Roman" w:eastAsia="Times New Roman" w:hint="default"/>
          <w:sz w:val="24"/>
          <w:szCs w:val="24"/>
        </w:rPr>
      </w:pPr>
      <w:r>
        <w:rPr>
          <w:rFonts w:ascii="Times New Roman" w:hAnsi="Times New Roman"/>
          <w:b/>
          <w:sz w:val="24"/>
        </w:rPr>
        <w:t>Служба за одржавање и информатичко комуникационе технологије </w:t>
      </w:r>
      <w:r>
        <w:rPr>
          <w:rFonts w:ascii="Times New Roman" w:hAnsi="Times New Roman"/>
          <w:b/>
          <w:sz w:val="24"/>
        </w:rPr>
        <w:t>- </w:t>
      </w:r>
      <w:r>
        <w:rPr>
          <w:rFonts w:ascii="Times New Roman" w:hAnsi="Times New Roman"/>
          <w:sz w:val="24"/>
        </w:rPr>
        <w:t>Исказан је расход у износу од 22.272 хиљаде динара из средстава буџета града. Исказани су расходи за: административни материјал у износу од 13.069 хиљада динара, материјал за саобраћај у износу од 5.372 хиљаде динара, материјал за одржавање хигијене и угоститељство у износу од 3.661 хиљаде динара и за материјал за посебне намене у износу од 170 хиљада</w:t>
      </w:r>
      <w:r>
        <w:rPr>
          <w:rFonts w:ascii="Times New Roman" w:hAnsi="Times New Roman"/>
          <w:spacing w:val="-8"/>
          <w:sz w:val="24"/>
        </w:rPr>
        <w:t> </w:t>
      </w:r>
      <w:r>
        <w:rPr>
          <w:rFonts w:ascii="Times New Roman" w:hAnsi="Times New Roman"/>
          <w:sz w:val="24"/>
        </w:rPr>
        <w:t>динара.</w:t>
      </w:r>
    </w:p>
    <w:p>
      <w:pPr>
        <w:pStyle w:val="BodyText"/>
        <w:spacing w:line="240" w:lineRule="auto"/>
        <w:ind w:right="170" w:firstLine="566"/>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Канцеларијски материјал, субаналитички конто 426111 </w:t>
      </w:r>
      <w:r>
        <w:rPr/>
      </w:r>
      <w:r>
        <w:rPr>
          <w:rFonts w:ascii="Times New Roman" w:hAnsi="Times New Roman"/>
          <w:i/>
        </w:rPr>
        <w:t>- </w:t>
      </w:r>
      <w:r>
        <w:rPr/>
        <w:t>Исказани су расходи у износу од </w:t>
      </w:r>
      <w:r>
        <w:rPr>
          <w:rFonts w:ascii="Times New Roman" w:hAnsi="Times New Roman"/>
        </w:rPr>
        <w:t>13.048 </w:t>
      </w:r>
      <w:r>
        <w:rPr/>
        <w:t>хиљада</w:t>
      </w:r>
      <w:r>
        <w:rPr>
          <w:spacing w:val="-9"/>
        </w:rPr>
        <w:t> </w:t>
      </w:r>
      <w:r>
        <w:rPr/>
        <w:t>динара</w:t>
      </w:r>
      <w:r>
        <w:rPr>
          <w:rFonts w:ascii="Times New Roman" w:hAnsi="Times New Roman"/>
        </w:rPr>
        <w:t>.</w:t>
      </w:r>
    </w:p>
    <w:p>
      <w:pPr>
        <w:pStyle w:val="Heading1"/>
        <w:spacing w:line="275" w:lineRule="exact"/>
        <w:ind w:right="141"/>
        <w:jc w:val="left"/>
        <w:rPr>
          <w:b w:val="0"/>
          <w:bCs w:val="0"/>
        </w:rPr>
      </w:pPr>
      <w:r>
        <w:rPr/>
        <w:t>На основу ревизије узорковане документације утврђено</w:t>
      </w:r>
      <w:r>
        <w:rPr>
          <w:spacing w:val="-14"/>
        </w:rPr>
        <w:t> </w:t>
      </w:r>
      <w:r>
        <w:rPr/>
        <w:t>је:</w:t>
      </w:r>
      <w:r>
        <w:rPr>
          <w:b w:val="0"/>
        </w:rPr>
      </w:r>
    </w:p>
    <w:p>
      <w:pPr>
        <w:pStyle w:val="ListParagraph"/>
        <w:numPr>
          <w:ilvl w:val="0"/>
          <w:numId w:val="9"/>
        </w:numPr>
        <w:tabs>
          <w:tab w:pos="303" w:val="left" w:leader="none"/>
        </w:tabs>
        <w:spacing w:line="240" w:lineRule="auto" w:before="0"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Извршен је расход за канцеларијски материјал у већем износу од уговореног Уговором број </w:t>
      </w:r>
      <w:r>
        <w:rPr>
          <w:rFonts w:ascii="Times New Roman" w:hAnsi="Times New Roman" w:cs="Times New Roman" w:eastAsia="Times New Roman" w:hint="default"/>
          <w:sz w:val="24"/>
          <w:szCs w:val="24"/>
        </w:rPr>
        <w:t>16-4787/2013 </w:t>
      </w:r>
      <w:r>
        <w:rPr>
          <w:rFonts w:ascii="Times New Roman" w:hAnsi="Times New Roman" w:cs="Times New Roman" w:eastAsia="Times New Roman" w:hint="default"/>
          <w:sz w:val="24"/>
          <w:szCs w:val="24"/>
        </w:rPr>
        <w:t>од </w:t>
      </w:r>
      <w:r>
        <w:rPr>
          <w:rFonts w:ascii="Times New Roman" w:hAnsi="Times New Roman" w:cs="Times New Roman" w:eastAsia="Times New Roman" w:hint="default"/>
          <w:sz w:val="24"/>
          <w:szCs w:val="24"/>
        </w:rPr>
        <w:t>20.09</w:t>
      </w:r>
      <w:r>
        <w:rPr>
          <w:rFonts w:ascii="Times New Roman" w:hAnsi="Times New Roman" w:cs="Times New Roman" w:eastAsia="Times New Roman" w:hint="default"/>
          <w:sz w:val="24"/>
          <w:szCs w:val="24"/>
        </w:rPr>
        <w:t>.2013. године закљученим са „Брокер“ доо Ниш за </w:t>
      </w:r>
      <w:r>
        <w:rPr>
          <w:rFonts w:ascii="Times New Roman" w:hAnsi="Times New Roman" w:cs="Times New Roman" w:eastAsia="Times New Roman" w:hint="default"/>
          <w:sz w:val="24"/>
          <w:szCs w:val="24"/>
        </w:rPr>
        <w:t>950 </w:t>
      </w:r>
      <w:r>
        <w:rPr>
          <w:rFonts w:ascii="Times New Roman" w:hAnsi="Times New Roman" w:cs="Times New Roman" w:eastAsia="Times New Roman" w:hint="default"/>
          <w:sz w:val="24"/>
          <w:szCs w:val="24"/>
        </w:rPr>
        <w:t>хиљада динара и у већем износу од уговореног Уговором број </w:t>
      </w:r>
      <w:r>
        <w:rPr>
          <w:rFonts w:ascii="Times New Roman" w:hAnsi="Times New Roman" w:cs="Times New Roman" w:eastAsia="Times New Roman" w:hint="default"/>
          <w:sz w:val="24"/>
          <w:szCs w:val="24"/>
        </w:rPr>
        <w:t>16-4805/2013 </w:t>
      </w:r>
      <w:r>
        <w:rPr>
          <w:rFonts w:ascii="Times New Roman" w:hAnsi="Times New Roman" w:cs="Times New Roman" w:eastAsia="Times New Roman" w:hint="default"/>
          <w:sz w:val="24"/>
          <w:szCs w:val="24"/>
        </w:rPr>
        <w:t>од </w:t>
      </w:r>
      <w:r>
        <w:rPr>
          <w:rFonts w:ascii="Times New Roman" w:hAnsi="Times New Roman" w:cs="Times New Roman" w:eastAsia="Times New Roman" w:hint="default"/>
          <w:sz w:val="24"/>
          <w:szCs w:val="24"/>
        </w:rPr>
        <w:t>23.09</w:t>
      </w:r>
      <w:r>
        <w:rPr>
          <w:rFonts w:ascii="Times New Roman" w:hAnsi="Times New Roman" w:cs="Times New Roman" w:eastAsia="Times New Roman" w:hint="default"/>
          <w:sz w:val="24"/>
          <w:szCs w:val="24"/>
        </w:rPr>
        <w:t>.2013. године закљученом са „Ами“ доо Ниш за 761 хиљаду динара, што је супротно члану 56. и 58. Закона о буџетском систему. Уговором број </w:t>
      </w:r>
      <w:r>
        <w:rPr>
          <w:rFonts w:ascii="Times New Roman" w:hAnsi="Times New Roman" w:cs="Times New Roman" w:eastAsia="Times New Roman" w:hint="default"/>
          <w:sz w:val="24"/>
          <w:szCs w:val="24"/>
        </w:rPr>
        <w:t>16-4787/2013 </w:t>
      </w:r>
      <w:r>
        <w:rPr>
          <w:rFonts w:ascii="Times New Roman" w:hAnsi="Times New Roman" w:cs="Times New Roman" w:eastAsia="Times New Roman" w:hint="default"/>
          <w:sz w:val="24"/>
          <w:szCs w:val="24"/>
        </w:rPr>
        <w:t>од </w:t>
      </w:r>
      <w:r>
        <w:rPr>
          <w:rFonts w:ascii="Times New Roman" w:hAnsi="Times New Roman" w:cs="Times New Roman" w:eastAsia="Times New Roman" w:hint="default"/>
          <w:sz w:val="24"/>
          <w:szCs w:val="24"/>
        </w:rPr>
        <w:t>20.09</w:t>
      </w:r>
      <w:r>
        <w:rPr>
          <w:rFonts w:ascii="Times New Roman" w:hAnsi="Times New Roman" w:cs="Times New Roman" w:eastAsia="Times New Roman" w:hint="default"/>
          <w:sz w:val="24"/>
          <w:szCs w:val="24"/>
        </w:rPr>
        <w:t>.2013. године  уговорена је вредност од 428 хиљада динара, а набављен је и плаћен материјал у вредности од </w:t>
      </w:r>
      <w:r>
        <w:rPr>
          <w:rFonts w:ascii="Times New Roman" w:hAnsi="Times New Roman" w:cs="Times New Roman" w:eastAsia="Times New Roman" w:hint="default"/>
          <w:sz w:val="24"/>
          <w:szCs w:val="24"/>
        </w:rPr>
        <w:t>1.378 </w:t>
      </w:r>
      <w:r>
        <w:rPr>
          <w:rFonts w:ascii="Times New Roman" w:hAnsi="Times New Roman" w:cs="Times New Roman" w:eastAsia="Times New Roman" w:hint="default"/>
          <w:sz w:val="24"/>
          <w:szCs w:val="24"/>
        </w:rPr>
        <w:t>хиљада динара. Уговором број </w:t>
      </w:r>
      <w:r>
        <w:rPr>
          <w:rFonts w:ascii="Times New Roman" w:hAnsi="Times New Roman" w:cs="Times New Roman" w:eastAsia="Times New Roman" w:hint="default"/>
          <w:sz w:val="24"/>
          <w:szCs w:val="24"/>
        </w:rPr>
        <w:t>16-4805/2013 </w:t>
      </w:r>
      <w:r>
        <w:rPr>
          <w:rFonts w:ascii="Times New Roman" w:hAnsi="Times New Roman" w:cs="Times New Roman" w:eastAsia="Times New Roman" w:hint="default"/>
          <w:sz w:val="24"/>
          <w:szCs w:val="24"/>
        </w:rPr>
        <w:t>од </w:t>
      </w:r>
      <w:r>
        <w:rPr>
          <w:rFonts w:ascii="Times New Roman" w:hAnsi="Times New Roman" w:cs="Times New Roman" w:eastAsia="Times New Roman" w:hint="default"/>
          <w:sz w:val="24"/>
          <w:szCs w:val="24"/>
        </w:rPr>
        <w:t>23.09</w:t>
      </w:r>
      <w:r>
        <w:rPr>
          <w:rFonts w:ascii="Times New Roman" w:hAnsi="Times New Roman" w:cs="Times New Roman" w:eastAsia="Times New Roman" w:hint="default"/>
          <w:sz w:val="24"/>
          <w:szCs w:val="24"/>
        </w:rPr>
        <w:t>.2013. године уговорена је вредност од 353 хиљаде динара, а набављен је и плаћен материјал у вредности од 1.114 хиљада</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динара.</w:t>
      </w:r>
    </w:p>
    <w:p>
      <w:pPr>
        <w:pStyle w:val="ListParagraph"/>
        <w:numPr>
          <w:ilvl w:val="0"/>
          <w:numId w:val="9"/>
        </w:numPr>
        <w:tabs>
          <w:tab w:pos="303" w:val="left" w:leader="none"/>
        </w:tabs>
        <w:spacing w:line="237" w:lineRule="auto" w:before="5"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Од добављача „Ами“ доо Ниш набављена је услуга штампања (службеног листа) у ревидираном износу од најмање 196 хиљада динара, која се не налази у понуди која је саставни</w:t>
      </w:r>
      <w:r>
        <w:rPr>
          <w:rFonts w:ascii="Times New Roman" w:hAnsi="Times New Roman" w:cs="Times New Roman" w:eastAsia="Times New Roman" w:hint="default"/>
          <w:spacing w:val="26"/>
          <w:sz w:val="24"/>
          <w:szCs w:val="24"/>
        </w:rPr>
        <w:t> </w:t>
      </w:r>
      <w:r>
        <w:rPr>
          <w:rFonts w:ascii="Times New Roman" w:hAnsi="Times New Roman" w:cs="Times New Roman" w:eastAsia="Times New Roman" w:hint="default"/>
          <w:sz w:val="24"/>
          <w:szCs w:val="24"/>
        </w:rPr>
        <w:t>део</w:t>
      </w:r>
      <w:r>
        <w:rPr>
          <w:rFonts w:ascii="Times New Roman" w:hAnsi="Times New Roman" w:cs="Times New Roman" w:eastAsia="Times New Roman" w:hint="default"/>
          <w:spacing w:val="29"/>
          <w:sz w:val="24"/>
          <w:szCs w:val="24"/>
        </w:rPr>
        <w:t> </w:t>
      </w:r>
      <w:r>
        <w:rPr>
          <w:rFonts w:ascii="Times New Roman" w:hAnsi="Times New Roman" w:cs="Times New Roman" w:eastAsia="Times New Roman" w:hint="default"/>
          <w:sz w:val="24"/>
          <w:szCs w:val="24"/>
        </w:rPr>
        <w:t>уговора</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о</w:t>
      </w:r>
      <w:r>
        <w:rPr>
          <w:rFonts w:ascii="Times New Roman" w:hAnsi="Times New Roman" w:cs="Times New Roman" w:eastAsia="Times New Roman" w:hint="default"/>
          <w:spacing w:val="27"/>
          <w:sz w:val="24"/>
          <w:szCs w:val="24"/>
        </w:rPr>
        <w:t> </w:t>
      </w:r>
      <w:r>
        <w:rPr>
          <w:rFonts w:ascii="Times New Roman" w:hAnsi="Times New Roman" w:cs="Times New Roman" w:eastAsia="Times New Roman" w:hint="default"/>
          <w:sz w:val="24"/>
          <w:szCs w:val="24"/>
        </w:rPr>
        <w:t>набавци</w:t>
      </w:r>
      <w:r>
        <w:rPr>
          <w:rFonts w:ascii="Times New Roman" w:hAnsi="Times New Roman" w:cs="Times New Roman" w:eastAsia="Times New Roman" w:hint="default"/>
          <w:spacing w:val="26"/>
          <w:sz w:val="24"/>
          <w:szCs w:val="24"/>
        </w:rPr>
        <w:t> </w:t>
      </w:r>
      <w:r>
        <w:rPr>
          <w:rFonts w:ascii="Times New Roman" w:hAnsi="Times New Roman" w:cs="Times New Roman" w:eastAsia="Times New Roman" w:hint="default"/>
          <w:sz w:val="24"/>
          <w:szCs w:val="24"/>
        </w:rPr>
        <w:t>добара</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број</w:t>
      </w:r>
      <w:r>
        <w:rPr>
          <w:rFonts w:ascii="Times New Roman" w:hAnsi="Times New Roman" w:cs="Times New Roman" w:eastAsia="Times New Roman" w:hint="default"/>
          <w:spacing w:val="30"/>
          <w:sz w:val="24"/>
          <w:szCs w:val="24"/>
        </w:rPr>
        <w:t> </w:t>
      </w:r>
      <w:r>
        <w:rPr>
          <w:rFonts w:ascii="Times New Roman" w:hAnsi="Times New Roman" w:cs="Times New Roman" w:eastAsia="Times New Roman" w:hint="default"/>
          <w:sz w:val="24"/>
          <w:szCs w:val="24"/>
        </w:rPr>
        <w:t>16-4805/2013</w:t>
      </w:r>
      <w:r>
        <w:rPr>
          <w:rFonts w:ascii="Times New Roman" w:hAnsi="Times New Roman" w:cs="Times New Roman" w:eastAsia="Times New Roman" w:hint="default"/>
          <w:spacing w:val="26"/>
          <w:sz w:val="24"/>
          <w:szCs w:val="24"/>
        </w:rPr>
        <w:t> </w:t>
      </w:r>
      <w:r>
        <w:rPr>
          <w:rFonts w:ascii="Times New Roman" w:hAnsi="Times New Roman" w:cs="Times New Roman" w:eastAsia="Times New Roman" w:hint="default"/>
          <w:sz w:val="24"/>
          <w:szCs w:val="24"/>
        </w:rPr>
        <w:t>од</w:t>
      </w:r>
      <w:r>
        <w:rPr>
          <w:rFonts w:ascii="Times New Roman" w:hAnsi="Times New Roman" w:cs="Times New Roman" w:eastAsia="Times New Roman" w:hint="default"/>
          <w:spacing w:val="25"/>
          <w:sz w:val="24"/>
          <w:szCs w:val="24"/>
        </w:rPr>
        <w:t> </w:t>
      </w:r>
      <w:r>
        <w:rPr>
          <w:rFonts w:ascii="Times New Roman" w:hAnsi="Times New Roman" w:cs="Times New Roman" w:eastAsia="Times New Roman" w:hint="default"/>
          <w:sz w:val="24"/>
          <w:szCs w:val="24"/>
        </w:rPr>
        <w:t>23.09</w:t>
      </w:r>
      <w:r>
        <w:rPr>
          <w:rFonts w:ascii="Times New Roman" w:hAnsi="Times New Roman" w:cs="Times New Roman" w:eastAsia="Times New Roman" w:hint="default"/>
          <w:sz w:val="24"/>
          <w:szCs w:val="24"/>
        </w:rPr>
        <w:t>.2013.</w:t>
      </w:r>
      <w:r>
        <w:rPr>
          <w:rFonts w:ascii="Times New Roman" w:hAnsi="Times New Roman" w:cs="Times New Roman" w:eastAsia="Times New Roman" w:hint="default"/>
          <w:spacing w:val="25"/>
          <w:sz w:val="24"/>
          <w:szCs w:val="24"/>
        </w:rPr>
        <w:t> </w:t>
      </w:r>
      <w:r>
        <w:rPr>
          <w:rFonts w:ascii="Times New Roman" w:hAnsi="Times New Roman" w:cs="Times New Roman" w:eastAsia="Times New Roman" w:hint="default"/>
          <w:sz w:val="24"/>
          <w:szCs w:val="24"/>
        </w:rPr>
        <w:t>године,</w:t>
      </w:r>
      <w:r>
        <w:rPr>
          <w:rFonts w:ascii="Times New Roman" w:hAnsi="Times New Roman" w:cs="Times New Roman" w:eastAsia="Times New Roman" w:hint="default"/>
          <w:spacing w:val="25"/>
          <w:sz w:val="24"/>
          <w:szCs w:val="24"/>
        </w:rPr>
        <w:t> </w:t>
      </w:r>
      <w:r>
        <w:rPr>
          <w:rFonts w:ascii="Times New Roman" w:hAnsi="Times New Roman" w:cs="Times New Roman" w:eastAsia="Times New Roman" w:hint="default"/>
          <w:sz w:val="24"/>
          <w:szCs w:val="24"/>
        </w:rPr>
        <w:t>што</w:t>
      </w:r>
      <w:r>
        <w:rPr>
          <w:rFonts w:ascii="Times New Roman" w:hAnsi="Times New Roman" w:cs="Times New Roman" w:eastAsia="Times New Roman" w:hint="default"/>
          <w:spacing w:val="25"/>
          <w:sz w:val="24"/>
          <w:szCs w:val="24"/>
        </w:rPr>
        <w:t> </w:t>
      </w:r>
      <w:r>
        <w:rPr>
          <w:rFonts w:ascii="Times New Roman" w:hAnsi="Times New Roman" w:cs="Times New Roman" w:eastAsia="Times New Roman" w:hint="default"/>
          <w:sz w:val="24"/>
          <w:szCs w:val="24"/>
        </w:rPr>
        <w:t>је</w:t>
      </w:r>
    </w:p>
    <w:p>
      <w:pPr>
        <w:spacing w:after="0" w:line="237" w:lineRule="auto"/>
        <w:jc w:val="both"/>
        <w:rPr>
          <w:rFonts w:ascii="Times New Roman" w:hAnsi="Times New Roman" w:cs="Times New Roman" w:eastAsia="Times New Roman" w:hint="default"/>
          <w:sz w:val="24"/>
          <w:szCs w:val="24"/>
        </w:rPr>
        <w:sectPr>
          <w:footerReference w:type="default" r:id="rId72"/>
          <w:pgSz w:w="12240" w:h="15840"/>
          <w:pgMar w:footer="1274" w:header="740" w:top="1280" w:bottom="1460" w:left="1400" w:right="1260"/>
          <w:pgNumType w:start="152"/>
        </w:sectPr>
      </w:pPr>
    </w:p>
    <w:p>
      <w:pPr>
        <w:pStyle w:val="BodyText"/>
        <w:spacing w:line="240" w:lineRule="auto" w:before="122"/>
        <w:ind w:right="174"/>
        <w:jc w:val="both"/>
      </w:pPr>
      <w:r>
        <w:rPr/>
        <w:t>супротно члану 1. поменутог уговора, тако да је расход извршен без правног основа у износу од 196 хиљада динара, што је супротно члану 56. Закона о буџетском</w:t>
      </w:r>
      <w:r>
        <w:rPr>
          <w:spacing w:val="-23"/>
        </w:rPr>
        <w:t> </w:t>
      </w:r>
      <w:r>
        <w:rPr/>
        <w:t>систему.</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Расходи у износу од 741 хиљаде динара неправилно су евидентирани на групи 426000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Материјал, уместо на групи 483000 – новчане казне и пенали по решењу судова,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31"/>
          <w:sz w:val="24"/>
          <w:szCs w:val="24"/>
        </w:rPr>
        <w:t> </w:t>
      </w:r>
      <w:r>
        <w:rPr>
          <w:rFonts w:ascii="Times New Roman" w:hAnsi="Times New Roman" w:cs="Times New Roman" w:eastAsia="Times New Roman" w:hint="default"/>
          <w:sz w:val="24"/>
          <w:szCs w:val="24"/>
        </w:rPr>
        <w:t>систем.</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Расход у износу од 196 хиљада динара за набавку службене одеће неправилно је евидентиран на конту 426111</w:t>
      </w:r>
      <w:r>
        <w:rPr>
          <w:rFonts w:ascii="Times New Roman" w:hAnsi="Times New Roman"/>
          <w:sz w:val="24"/>
        </w:rPr>
        <w:t>- </w:t>
      </w:r>
      <w:r>
        <w:rPr>
          <w:rFonts w:ascii="Times New Roman" w:hAnsi="Times New Roman"/>
          <w:sz w:val="24"/>
        </w:rPr>
        <w:t>канцеларијски материјал, уместо на конту 426121</w:t>
      </w:r>
      <w:r>
        <w:rPr>
          <w:rFonts w:ascii="Times New Roman" w:hAnsi="Times New Roman"/>
          <w:sz w:val="24"/>
        </w:rPr>
        <w:t>- </w:t>
      </w:r>
      <w:r>
        <w:rPr>
          <w:rFonts w:ascii="Times New Roman" w:hAnsi="Times New Roman"/>
          <w:sz w:val="24"/>
        </w:rPr>
        <w:t>расходи за радну униформу, што је супротно Правилнику о стандардном класификационом оквиру и контном плану за буџетски</w:t>
      </w:r>
      <w:r>
        <w:rPr>
          <w:rFonts w:ascii="Times New Roman" w:hAnsi="Times New Roman"/>
          <w:spacing w:val="-21"/>
          <w:sz w:val="24"/>
        </w:rPr>
        <w:t> </w:t>
      </w:r>
      <w:r>
        <w:rPr>
          <w:rFonts w:ascii="Times New Roman" w:hAnsi="Times New Roman"/>
          <w:sz w:val="24"/>
        </w:rPr>
        <w:t>систем.</w:t>
      </w:r>
    </w:p>
    <w:p>
      <w:pPr>
        <w:pStyle w:val="Heading2"/>
        <w:spacing w:line="240" w:lineRule="auto"/>
        <w:ind w:right="175" w:firstLine="626"/>
        <w:jc w:val="both"/>
        <w:rPr>
          <w:rFonts w:ascii="Times New Roman" w:hAnsi="Times New Roman" w:cs="Times New Roman" w:eastAsia="Times New Roman" w:hint="default"/>
          <w:b w:val="0"/>
          <w:bCs w:val="0"/>
          <w:i w:val="0"/>
        </w:rPr>
      </w:pPr>
      <w:r>
        <w:rPr>
          <w:i/>
        </w:rPr>
        <w:t>Препоручује се одговорним лицима да</w:t>
      </w:r>
      <w:r>
        <w:rPr>
          <w:rFonts w:ascii="Times New Roman" w:hAnsi="Times New Roman"/>
          <w:i/>
        </w:rPr>
        <w:t>: </w:t>
      </w:r>
      <w:r>
        <w:rPr>
          <w:i/>
        </w:rPr>
        <w:t>расходе извршавају до висине уговорених обавеза, доследно примењују одредбе закључених уговора и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1"/>
        </w:rPr>
        <w:t> </w:t>
      </w:r>
      <w:r>
        <w:rPr>
          <w:i/>
        </w:rPr>
        <w:t>систем</w:t>
      </w:r>
      <w:r>
        <w:rPr>
          <w:rFonts w:ascii="Times New Roman" w:hAnsi="Times New Roman"/>
          <w:i/>
        </w:rPr>
        <w:t>.</w:t>
      </w:r>
      <w:r>
        <w:rPr>
          <w:rFonts w:ascii="Times New Roman" w:hAnsi="Times New Roman"/>
          <w:b w:val="0"/>
          <w:i w:val="0"/>
        </w:rPr>
      </w:r>
    </w:p>
    <w:p>
      <w:pPr>
        <w:pStyle w:val="BodyText"/>
        <w:spacing w:line="240" w:lineRule="auto"/>
        <w:ind w:right="179" w:firstLine="566"/>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Бензин, субаналитички конто 426411 </w:t>
      </w:r>
      <w:r>
        <w:rPr/>
      </w:r>
      <w:r>
        <w:rPr>
          <w:rFonts w:ascii="Times New Roman" w:hAnsi="Times New Roman"/>
        </w:rPr>
        <w:t>- </w:t>
      </w:r>
      <w:r>
        <w:rPr/>
        <w:t>Исказани је расход у износу од  </w:t>
      </w:r>
      <w:r>
        <w:rPr>
          <w:rFonts w:ascii="Times New Roman" w:hAnsi="Times New Roman"/>
        </w:rPr>
        <w:t>4.600  </w:t>
      </w:r>
      <w:r>
        <w:rPr/>
        <w:t>хиљада</w:t>
      </w:r>
      <w:r>
        <w:rPr>
          <w:spacing w:val="-3"/>
        </w:rPr>
        <w:t> </w:t>
      </w:r>
      <w:r>
        <w:rPr/>
        <w:t>динара</w:t>
      </w:r>
      <w:r>
        <w:rPr>
          <w:rFonts w:ascii="Times New Roman" w:hAnsi="Times New Roman"/>
        </w:rPr>
        <w:t>.</w:t>
      </w:r>
    </w:p>
    <w:p>
      <w:pPr>
        <w:pStyle w:val="Heading1"/>
        <w:spacing w:line="275" w:lineRule="exact"/>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1"/>
        </w:rPr>
        <w:t> </w:t>
      </w:r>
      <w:r>
        <w:rPr/>
        <w:t>је</w:t>
      </w:r>
      <w:r>
        <w:rPr>
          <w:rFonts w:ascii="Times New Roman" w:hAnsi="Times New Roman"/>
        </w:rPr>
        <w:t>:</w:t>
      </w:r>
      <w:r>
        <w:rPr>
          <w:rFonts w:ascii="Times New Roman" w:hAnsi="Times New Roman"/>
          <w:b w:val="0"/>
        </w:rPr>
      </w:r>
    </w:p>
    <w:p>
      <w:pPr>
        <w:pStyle w:val="ListParagraph"/>
        <w:numPr>
          <w:ilvl w:val="0"/>
          <w:numId w:val="9"/>
        </w:numPr>
        <w:tabs>
          <w:tab w:pos="303"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Уговор о набавци добра – набавка безоловног моторног бензина евро премијум БМБ 95 и еуродизела број 16</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1083/2014 од 24.02.2014. године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који је закључен са „НИС петрол“ ад Нови Сад у вредности од 3.472 хиљаде динара без ПДВ, односно 4.166 хиљада динара са ПДВ, на период од једне године а чије се плаћање реализује у две буџетске године, не садржи вредност која доспева у тој буџетској години и одредбу да ће обавезе које доспевају у наредној буџетској години бити реализоване највише до износа средстава која ће им за ту намену бити одобрена у тој буџетској години, што је супротно члану 7. Уредбе о критеријумима за утврђивање природе расхода и условима и начину прибављања сагласности за закључивање одређених уговора који, због природе расхода, захтевају плаћање у више</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година.</w:t>
      </w:r>
    </w:p>
    <w:p>
      <w:pPr>
        <w:pStyle w:val="ListParagraph"/>
        <w:numPr>
          <w:ilvl w:val="0"/>
          <w:numId w:val="9"/>
        </w:numPr>
        <w:tabs>
          <w:tab w:pos="341" w:val="left" w:leader="none"/>
        </w:tabs>
        <w:spacing w:line="237" w:lineRule="auto" w:before="4" w:after="0"/>
        <w:ind w:left="160" w:right="18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Након закључења уговора по спроведеној јавној набавци понуђач „НИС“ ад Нови Сад, није доставио средство обезбеђења за повраћај аванса, што је супротно члану 61. став 8. Закона о јавним</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набавкама.</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Норматив потрошње горива за службена возила није утврђен. Просечна потрошња за једно возило месечно се креће од 8,41 до 10,58 литара. У поступку ревизије Начелник Службе за одржавање и информатичко</w:t>
      </w:r>
      <w:r>
        <w:rPr>
          <w:rFonts w:ascii="Times New Roman" w:hAnsi="Times New Roman"/>
          <w:sz w:val="24"/>
        </w:rPr>
        <w:t>-</w:t>
      </w:r>
      <w:r>
        <w:rPr>
          <w:rFonts w:ascii="Times New Roman" w:hAnsi="Times New Roman"/>
          <w:sz w:val="24"/>
        </w:rPr>
        <w:t>комуникационе технологије донео је Правилник о утврђеним нормативима за потрошњу горива за службена возила органа и служби града Ниша број 16</w:t>
      </w:r>
      <w:r>
        <w:rPr>
          <w:rFonts w:ascii="Times New Roman" w:hAnsi="Times New Roman"/>
          <w:sz w:val="24"/>
        </w:rPr>
        <w:t>-</w:t>
      </w:r>
      <w:r>
        <w:rPr>
          <w:rFonts w:ascii="Times New Roman" w:hAnsi="Times New Roman"/>
          <w:sz w:val="24"/>
        </w:rPr>
        <w:t>3677/2015 од 03.07.2015.</w:t>
      </w:r>
      <w:r>
        <w:rPr>
          <w:rFonts w:ascii="Times New Roman" w:hAnsi="Times New Roman"/>
          <w:spacing w:val="-2"/>
          <w:sz w:val="24"/>
        </w:rPr>
        <w:t> </w:t>
      </w:r>
      <w:r>
        <w:rPr>
          <w:rFonts w:ascii="Times New Roman" w:hAnsi="Times New Roman"/>
          <w:sz w:val="24"/>
        </w:rPr>
        <w:t>године.</w:t>
      </w:r>
    </w:p>
    <w:p>
      <w:pPr>
        <w:pStyle w:val="Heading2"/>
        <w:spacing w:line="240" w:lineRule="auto"/>
        <w:ind w:right="172"/>
        <w:jc w:val="both"/>
        <w:rPr>
          <w:b w:val="0"/>
          <w:bCs w:val="0"/>
          <w:i w:val="0"/>
        </w:rPr>
      </w:pPr>
      <w:r>
        <w:rPr>
          <w:i/>
        </w:rPr>
        <w:t>Препоручује се одговорним лицима да обезбеде правилну примену одредби Уредбе о критеријумима за утврђивање природе расхода и условима и начину прибаљања сагласности за закључивање одређених уговора који, због природе расхода, захтевају плаћање у више година и дати аванс обезбеде средствима</w:t>
      </w:r>
      <w:r>
        <w:rPr>
          <w:i/>
          <w:spacing w:val="-18"/>
        </w:rPr>
        <w:t> </w:t>
      </w:r>
      <w:r>
        <w:rPr>
          <w:i/>
        </w:rPr>
        <w:t>обезбеђења.</w:t>
      </w:r>
      <w:r>
        <w:rPr>
          <w:b w:val="0"/>
          <w:i w:val="0"/>
        </w:rPr>
      </w:r>
    </w:p>
    <w:p>
      <w:pPr>
        <w:pStyle w:val="BodyText"/>
        <w:spacing w:line="240" w:lineRule="auto"/>
        <w:ind w:right="176" w:firstLine="566"/>
        <w:jc w:val="both"/>
        <w:rPr>
          <w:rFonts w:ascii="Times New Roman" w:hAnsi="Times New Roman" w:cs="Times New Roman" w:eastAsia="Times New Roman" w:hint="default"/>
        </w:rPr>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Остали материјал за превозна средства, субаналитички конто 426491 </w:t>
      </w:r>
      <w:r>
        <w:rPr/>
      </w:r>
      <w:r>
        <w:rPr>
          <w:rFonts w:ascii="Times New Roman" w:hAnsi="Times New Roman" w:cs="Times New Roman" w:eastAsia="Times New Roman" w:hint="default"/>
          <w:i/>
        </w:rPr>
        <w:t>– </w:t>
      </w:r>
      <w:r>
        <w:rPr/>
        <w:t>Исказан је расход у износу од </w:t>
      </w:r>
      <w:r>
        <w:rPr>
          <w:rFonts w:ascii="Times New Roman" w:hAnsi="Times New Roman" w:cs="Times New Roman" w:eastAsia="Times New Roman" w:hint="default"/>
        </w:rPr>
        <w:t>772 </w:t>
      </w:r>
      <w:r>
        <w:rPr/>
        <w:t>хиљаде</w:t>
      </w:r>
      <w:r>
        <w:rPr>
          <w:spacing w:val="-6"/>
        </w:rPr>
        <w:t> </w:t>
      </w:r>
      <w:r>
        <w:rPr/>
        <w:t>динара</w:t>
      </w:r>
      <w:r>
        <w:rPr>
          <w:rFonts w:ascii="Times New Roman" w:hAnsi="Times New Roman" w:cs="Times New Roman" w:eastAsia="Times New Roman" w:hint="default"/>
        </w:rPr>
        <w:t>.</w:t>
      </w:r>
    </w:p>
    <w:p>
      <w:pPr>
        <w:pStyle w:val="Heading1"/>
        <w:spacing w:line="275" w:lineRule="exact"/>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2"/>
        </w:rPr>
        <w:t> </w:t>
      </w:r>
      <w:r>
        <w:rPr/>
        <w:t>је</w:t>
      </w:r>
      <w:r>
        <w:rPr>
          <w:rFonts w:ascii="Times New Roman" w:hAnsi="Times New Roman"/>
        </w:rPr>
        <w:t>:</w:t>
      </w:r>
      <w:r>
        <w:rPr>
          <w:rFonts w:ascii="Times New Roman" w:hAnsi="Times New Roman"/>
          <w:b w:val="0"/>
        </w:rPr>
      </w:r>
    </w:p>
    <w:p>
      <w:pPr>
        <w:pStyle w:val="ListParagraph"/>
        <w:numPr>
          <w:ilvl w:val="0"/>
          <w:numId w:val="9"/>
        </w:numPr>
        <w:tabs>
          <w:tab w:pos="341"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Након закључења уговора за набавку течног нафтног гаса, по спроведеној јавној набавци</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понуђач „НИС“ ад Нови Сад, није доставио средство обезбеђења за повраћај аванса, што је супротно члану 61. став 8. Закона о јавним</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набавкама.</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ListParagraph"/>
        <w:numPr>
          <w:ilvl w:val="0"/>
          <w:numId w:val="9"/>
        </w:numPr>
        <w:tabs>
          <w:tab w:pos="303" w:val="left" w:leader="none"/>
        </w:tabs>
        <w:spacing w:line="240" w:lineRule="auto" w:before="124"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Уговор о набавци добра – набавка течног нафтног гаса број 16</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1747/14 од 26.03.2014. године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који је закључен са „НИС“ ад Нови Сад у вредности од 565 хиљада динара без ПДВ, односно 678 хиљада динара са ПДВ на период од једне године а плаћање се реализује у две буџетске године, не садржи вредност која доспева у тој буџетској години и одредбу да ће обавезе које доспевају у наредној буџетској години бити реализоване највише до износа средстава која ће им за ту намену бити одобрена у тој буџетској години, што је супротно члану 7. Уредбе о критеријумима за утврђивање природе  расхода и условима и начину прибаљања сагласности за закључивање одређених уговора који, због природе расхода, захтевају плаћање у више</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година.</w:t>
      </w:r>
    </w:p>
    <w:p>
      <w:pPr>
        <w:pStyle w:val="Heading2"/>
        <w:spacing w:line="240" w:lineRule="auto"/>
        <w:ind w:right="172"/>
        <w:jc w:val="both"/>
        <w:rPr>
          <w:b w:val="0"/>
          <w:bCs w:val="0"/>
          <w:i w:val="0"/>
        </w:rPr>
      </w:pPr>
      <w:r>
        <w:rPr>
          <w:i/>
        </w:rPr>
        <w:t>Препоручује се одговорним лицима да обезбеде правилну примену одредби Уредбе о критеријумима за утврђивање природе расхода и условима и начину прибаљања сагласности за закључивање одређених уговора који, због природе расхода, захтевају плаћање у више година и дати аванс обезбеде средствима</w:t>
      </w:r>
      <w:r>
        <w:rPr>
          <w:i/>
          <w:spacing w:val="-18"/>
        </w:rPr>
        <w:t> </w:t>
      </w:r>
      <w:r>
        <w:rPr>
          <w:i/>
        </w:rPr>
        <w:t>обезбеђења.</w:t>
      </w:r>
      <w:r>
        <w:rPr>
          <w:b w:val="0"/>
          <w:i w:val="0"/>
        </w:rPr>
      </w:r>
    </w:p>
    <w:p>
      <w:pPr>
        <w:pStyle w:val="BodyText"/>
        <w:spacing w:line="240" w:lineRule="auto"/>
        <w:ind w:right="175" w:firstLine="566"/>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Инвентар за одржавање хигијене, субаналитички конто 426812 </w:t>
      </w:r>
      <w:r>
        <w:rPr/>
      </w:r>
      <w:r>
        <w:rPr>
          <w:rFonts w:ascii="Times New Roman" w:hAnsi="Times New Roman"/>
        </w:rPr>
        <w:t>- </w:t>
      </w:r>
      <w:r>
        <w:rPr/>
        <w:t>Исказани су расходи у износу од </w:t>
      </w:r>
      <w:r>
        <w:rPr>
          <w:rFonts w:ascii="Times New Roman" w:hAnsi="Times New Roman"/>
        </w:rPr>
        <w:t>549 </w:t>
      </w:r>
      <w:r>
        <w:rPr/>
        <w:t>хиљада</w:t>
      </w:r>
      <w:r>
        <w:rPr>
          <w:spacing w:val="-8"/>
        </w:rPr>
        <w:t> </w:t>
      </w:r>
      <w:r>
        <w:rPr/>
        <w:t>динара</w:t>
      </w:r>
      <w:r>
        <w:rPr>
          <w:rFonts w:ascii="Times New Roman" w:hAnsi="Times New Roman"/>
        </w:rPr>
        <w:t>.</w:t>
      </w:r>
    </w:p>
    <w:p>
      <w:pPr>
        <w:pStyle w:val="BodyText"/>
        <w:spacing w:line="240" w:lineRule="auto"/>
        <w:ind w:right="168" w:firstLine="566"/>
        <w:jc w:val="both"/>
      </w:pPr>
      <w:r>
        <w:rPr>
          <w:rFonts w:ascii="Times New Roman" w:hAnsi="Times New Roman" w:cs="Times New Roman" w:eastAsia="Times New Roman" w:hint="default"/>
          <w:b/>
          <w:bCs/>
        </w:rPr>
        <w:t>На основу ревизије узорковане документације утврђено је да </w:t>
      </w:r>
      <w:r>
        <w:rPr/>
        <w:t>Уговор о набавци добара – средстава и опреме за хигијену број 16</w:t>
      </w:r>
      <w:r>
        <w:rPr>
          <w:rFonts w:ascii="Times New Roman" w:hAnsi="Times New Roman" w:cs="Times New Roman" w:eastAsia="Times New Roman" w:hint="default"/>
        </w:rPr>
        <w:t>-</w:t>
      </w:r>
      <w:r>
        <w:rPr/>
        <w:t>3055/2014 од 11.06.2014. године у вредности од 549 хиљада динара без ПДВ, односно 659 хиљада динара са ПДВ</w:t>
      </w:r>
      <w:r>
        <w:rPr>
          <w:rFonts w:ascii="Times New Roman" w:hAnsi="Times New Roman" w:cs="Times New Roman" w:eastAsia="Times New Roman" w:hint="default"/>
        </w:rPr>
        <w:t>, </w:t>
      </w:r>
      <w:r>
        <w:rPr/>
        <w:t>који закључен са „Natal</w:t>
      </w:r>
      <w:r>
        <w:rPr>
          <w:rFonts w:ascii="Times New Roman" w:hAnsi="Times New Roman" w:cs="Times New Roman" w:eastAsia="Times New Roman" w:hint="default"/>
        </w:rPr>
        <w:t>y </w:t>
      </w:r>
      <w:r>
        <w:rPr/>
        <w:t>drogerija“ пр Ниш на период од једне године а чије се плаћање реализује у две буџетске године, не садржи вредност која доспева у тој буџетској години и одредбу да ће обавезе које доспевају у наредној буџетској години бити реализоване највише до износа средстава која ће им за ту намену бити одобрена у тој буџетској години, што је супротно члану 7. Уредбе о критеријумима за утврђивање природе  расхода и условима и начину прибављања сагласности за закључивање одређених уговора који, због природе расхода, захтевају плаћање у више</w:t>
      </w:r>
      <w:r>
        <w:rPr>
          <w:spacing w:val="-17"/>
        </w:rPr>
        <w:t> </w:t>
      </w:r>
      <w:r>
        <w:rPr/>
        <w:t>година.</w:t>
      </w:r>
    </w:p>
    <w:p>
      <w:pPr>
        <w:pStyle w:val="Heading2"/>
        <w:spacing w:line="242" w:lineRule="auto" w:before="0"/>
        <w:ind w:right="172"/>
        <w:jc w:val="both"/>
        <w:rPr>
          <w:b w:val="0"/>
          <w:bCs w:val="0"/>
          <w:i w:val="0"/>
        </w:rPr>
      </w:pPr>
      <w:r>
        <w:rPr>
          <w:i/>
        </w:rPr>
        <w:t>Препоручује се одговорним лицима да обезбеде правилну примену одредби Уредбе о критеријумима за утврђивање природе расхода и условима и начину прибављања сагласности за закључивање одређених уговора који, због природе расхода, захтевају плаћање у више</w:t>
      </w:r>
      <w:r>
        <w:rPr>
          <w:i/>
          <w:spacing w:val="-9"/>
        </w:rPr>
        <w:t> </w:t>
      </w:r>
      <w:r>
        <w:rPr>
          <w:i/>
        </w:rPr>
        <w:t>година.</w:t>
      </w:r>
      <w:r>
        <w:rPr>
          <w:b w:val="0"/>
          <w:i w:val="0"/>
        </w:rPr>
      </w:r>
    </w:p>
    <w:p>
      <w:pPr>
        <w:pStyle w:val="BodyText"/>
        <w:spacing w:line="240" w:lineRule="auto"/>
        <w:ind w:right="179" w:firstLine="566"/>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Пића, субаналитички конто 426822 </w:t>
      </w:r>
      <w:r>
        <w:rPr/>
      </w:r>
      <w:r>
        <w:rPr>
          <w:rFonts w:ascii="Times New Roman" w:hAnsi="Times New Roman"/>
          <w:i/>
        </w:rPr>
        <w:t>- </w:t>
      </w:r>
      <w:r>
        <w:rPr/>
        <w:t>Исказани су расходи у износу од  3.112  хиљада</w:t>
      </w:r>
      <w:r>
        <w:rPr>
          <w:spacing w:val="-3"/>
        </w:rPr>
        <w:t> </w:t>
      </w:r>
      <w:r>
        <w:rPr/>
        <w:t>динара</w:t>
      </w:r>
      <w:r>
        <w:rPr>
          <w:rFonts w:ascii="Times New Roman" w:hAnsi="Times New Roman"/>
        </w:rPr>
        <w:t>.</w:t>
      </w:r>
    </w:p>
    <w:p>
      <w:pPr>
        <w:spacing w:before="0"/>
        <w:ind w:left="726" w:right="141" w:firstLine="0"/>
        <w:jc w:val="left"/>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су од   </w:t>
      </w:r>
      <w:r>
        <w:rPr>
          <w:rFonts w:ascii="Times New Roman" w:hAnsi="Times New Roman"/>
          <w:spacing w:val="42"/>
          <w:sz w:val="24"/>
        </w:rPr>
        <w:t> </w:t>
      </w:r>
      <w:r>
        <w:rPr>
          <w:rFonts w:ascii="Times New Roman" w:hAnsi="Times New Roman"/>
          <w:sz w:val="24"/>
        </w:rPr>
        <w:t>добављача</w:t>
      </w:r>
    </w:p>
    <w:p>
      <w:pPr>
        <w:pStyle w:val="BodyText"/>
        <w:spacing w:line="240" w:lineRule="auto"/>
        <w:ind w:right="175"/>
        <w:jc w:val="both"/>
      </w:pPr>
      <w:r>
        <w:rPr/>
        <w:t>„</w:t>
      </w:r>
      <w:r>
        <w:rPr>
          <w:rFonts w:ascii="Times New Roman" w:hAnsi="Times New Roman" w:cs="Times New Roman" w:eastAsia="Times New Roman" w:hint="default"/>
        </w:rPr>
        <w:t>H</w:t>
      </w:r>
      <w:r>
        <w:rPr/>
        <w:t>е</w:t>
      </w:r>
      <w:r>
        <w:rPr>
          <w:rFonts w:ascii="Times New Roman" w:hAnsi="Times New Roman" w:cs="Times New Roman" w:eastAsia="Times New Roman" w:hint="default"/>
        </w:rPr>
        <w:t>mteks promet</w:t>
      </w:r>
      <w:r>
        <w:rPr/>
        <w:t>“ доо Ниш набављена добра која се не налазе у понуди која је саставни део уговора о набавци добара број 16</w:t>
      </w:r>
      <w:r>
        <w:rPr>
          <w:rFonts w:ascii="Times New Roman" w:hAnsi="Times New Roman" w:cs="Times New Roman" w:eastAsia="Times New Roman" w:hint="default"/>
        </w:rPr>
        <w:t>-</w:t>
      </w:r>
      <w:r>
        <w:rPr/>
        <w:t>4685/2013 од 13.09.2013. године (кампина павлака за кафу, чаше и шољице) у ревидираном износу од најмање 49 хиљада динара и добра која се не налазе у понуди која је саставни део уговора о набавци добара број 16</w:t>
      </w:r>
      <w:r>
        <w:rPr>
          <w:rFonts w:ascii="Times New Roman" w:hAnsi="Times New Roman" w:cs="Times New Roman" w:eastAsia="Times New Roman" w:hint="default"/>
        </w:rPr>
        <w:t>-4160/12 </w:t>
      </w:r>
      <w:r>
        <w:rPr/>
        <w:t>од 20.08.2012. године (ПВЦ чаше, тоалет папири, убруси за руке</w:t>
      </w:r>
      <w:r>
        <w:rPr>
          <w:rFonts w:ascii="Times New Roman" w:hAnsi="Times New Roman" w:cs="Times New Roman" w:eastAsia="Times New Roman" w:hint="default"/>
        </w:rPr>
        <w:t>, </w:t>
      </w:r>
      <w:r>
        <w:rPr/>
        <w:t>папирни прекривачи) у ревидираном износу од најмање 107 хиљада динара, што је супротно члану 1. поменутог уговора, тако да је расход извршен без правног основа у износу од 107 хиљада динара, што је супротно члану 56. Закона о буџетском</w:t>
      </w:r>
      <w:r>
        <w:rPr>
          <w:spacing w:val="-18"/>
        </w:rPr>
        <w:t> </w:t>
      </w:r>
      <w:r>
        <w:rPr/>
        <w:t>систему.</w:t>
      </w:r>
    </w:p>
    <w:p>
      <w:pPr>
        <w:pStyle w:val="Heading2"/>
        <w:spacing w:line="240" w:lineRule="auto"/>
        <w:ind w:right="177"/>
        <w:jc w:val="both"/>
        <w:rPr>
          <w:b w:val="0"/>
          <w:bCs w:val="0"/>
          <w:i w:val="0"/>
        </w:rPr>
      </w:pPr>
      <w:r>
        <w:rPr>
          <w:i/>
        </w:rPr>
        <w:t>Препоручује се одговорним лицима да доследно примењују одредбе закључених уговора и прате реализацију</w:t>
      </w:r>
      <w:r>
        <w:rPr>
          <w:i/>
          <w:spacing w:val="-6"/>
        </w:rPr>
        <w:t> </w:t>
      </w:r>
      <w:r>
        <w:rPr>
          <w:i/>
        </w:rPr>
        <w:t>уговора.</w:t>
      </w:r>
      <w:r>
        <w:rPr>
          <w:b w:val="0"/>
          <w:i w:val="0"/>
        </w:rPr>
      </w:r>
    </w:p>
    <w:p>
      <w:pPr>
        <w:pStyle w:val="ListParagraph"/>
        <w:numPr>
          <w:ilvl w:val="0"/>
          <w:numId w:val="37"/>
        </w:numPr>
        <w:tabs>
          <w:tab w:pos="1013" w:val="left" w:leader="none"/>
        </w:tabs>
        <w:spacing w:line="240" w:lineRule="auto" w:before="132" w:after="0"/>
        <w:ind w:left="160" w:right="177" w:firstLine="566"/>
        <w:jc w:val="both"/>
        <w:rPr>
          <w:rFonts w:ascii="Times New Roman" w:hAnsi="Times New Roman" w:cs="Times New Roman" w:eastAsia="Times New Roman" w:hint="default"/>
          <w:sz w:val="24"/>
          <w:szCs w:val="24"/>
        </w:rPr>
      </w:pPr>
      <w:r>
        <w:rPr>
          <w:rFonts w:ascii="Times New Roman" w:hAnsi="Times New Roman"/>
          <w:b/>
          <w:sz w:val="24"/>
        </w:rPr>
        <w:t>Управа за образовање </w:t>
      </w:r>
      <w:r>
        <w:rPr>
          <w:rFonts w:ascii="Times New Roman" w:hAnsi="Times New Roman"/>
          <w:b/>
          <w:sz w:val="24"/>
        </w:rPr>
        <w:t>- </w:t>
      </w:r>
      <w:r>
        <w:rPr>
          <w:rFonts w:ascii="Times New Roman" w:hAnsi="Times New Roman"/>
          <w:sz w:val="24"/>
        </w:rPr>
        <w:t>Исказан је расход у износу од 142.033 хиљаде динара и то: из средстава буџета града у износу од 40.157 хиљада динара, из средстава буџета Републике износ од 12.394 хиљаде динара, из донација у износу од 46 хиљада динара и  из  осталих  извора  износ  од  89.436  хиљада  динара.  Исказани  расходи  се  односе    на</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4"/>
        <w:jc w:val="both"/>
        <w:rPr>
          <w:rFonts w:ascii="Times New Roman" w:hAnsi="Times New Roman" w:cs="Times New Roman" w:eastAsia="Times New Roman" w:hint="default"/>
        </w:rPr>
      </w:pPr>
      <w:r>
        <w:rPr/>
        <w:t>индиректне кориснике: ПУ Пчелица у износу од 139.991 хиљаде, Регионални центар за професионални развој запослених у образовању у износу од 1.589 хиљада динара и Дечији центар у износу од 453 хиљаде</w:t>
      </w:r>
      <w:r>
        <w:rPr>
          <w:spacing w:val="-10"/>
        </w:rPr>
        <w:t> </w:t>
      </w:r>
      <w:r>
        <w:rPr/>
        <w:t>динара</w:t>
      </w:r>
      <w:r>
        <w:rPr>
          <w:rFonts w:ascii="Times New Roman" w:hAnsi="Times New Roman"/>
        </w:rPr>
        <w:t>.</w:t>
      </w:r>
    </w:p>
    <w:p>
      <w:pPr>
        <w:pStyle w:val="BodyText"/>
        <w:spacing w:line="240" w:lineRule="auto"/>
        <w:ind w:right="177" w:firstLine="566"/>
        <w:jc w:val="both"/>
      </w:pPr>
      <w:r>
        <w:rPr>
          <w:rFonts w:ascii="Times New Roman" w:hAnsi="Times New Roman"/>
          <w:b/>
        </w:rPr>
        <w:t>5а) ПУ Пчелица </w:t>
      </w:r>
      <w:r>
        <w:rPr>
          <w:rFonts w:ascii="Times New Roman" w:hAnsi="Times New Roman"/>
          <w:b/>
        </w:rPr>
        <w:t>- </w:t>
      </w:r>
      <w:r>
        <w:rPr/>
        <w:t>Исказано је извршење у укупном износу од 139.991 хиљаде динара и то на терет буџета Града у износу од 39.736 хиљада динара, из буџета  Републике у износу од 12.394 хиљаде динара и из осталих извора у износу од 87.861 хиљаде динара. Исказани су расходи за административни материјал у износу од 2.575 хиљада динара, материјале за образовање и усавршавање запослених у износу од 127 хиљада динара, материјале за саобраћај у износу од 2.324 хиљаде динара, материјале за образовање, културу и спорт у износу од 1.600 хиљада динара, материјале за одржавање хигијене и угоститељство у износу од 129.615 хиљада динара и материјале за посебне намене у износу од 3.750 хиљада</w:t>
      </w:r>
      <w:r>
        <w:rPr>
          <w:spacing w:val="-12"/>
        </w:rPr>
        <w:t> </w:t>
      </w:r>
      <w:r>
        <w:rPr/>
        <w:t>динара.</w:t>
      </w:r>
    </w:p>
    <w:p>
      <w:pPr>
        <w:pStyle w:val="BodyText"/>
        <w:spacing w:line="240" w:lineRule="auto"/>
        <w:ind w:right="170"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Канцеларијски материјал, субаналитички конто </w:t>
      </w:r>
      <w:r>
        <w:rPr>
          <w:rFonts w:ascii="Times New Roman" w:hAnsi="Times New Roman" w:cs="Times New Roman" w:eastAsia="Times New Roman" w:hint="default"/>
          <w:u w:val="single" w:color="000000"/>
        </w:rPr>
        <w:t>426111 </w:t>
      </w:r>
      <w:r>
        <w:rPr>
          <w:rFonts w:ascii="Times New Roman" w:hAnsi="Times New Roman" w:cs="Times New Roman" w:eastAsia="Times New Roman" w:hint="default"/>
        </w:rPr>
      </w:r>
      <w:r>
        <w:rPr/>
        <w:t>– Исказан је расход у  износу од 1.115 хиљада</w:t>
      </w:r>
      <w:r>
        <w:rPr>
          <w:spacing w:val="-8"/>
        </w:rPr>
        <w:t> </w:t>
      </w:r>
      <w:r>
        <w:rPr/>
        <w:t>динара.</w:t>
      </w:r>
    </w:p>
    <w:p>
      <w:pPr>
        <w:spacing w:before="0"/>
        <w:ind w:left="160" w:right="175"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су </w:t>
      </w:r>
      <w:r>
        <w:rPr>
          <w:rFonts w:ascii="Times New Roman" w:hAnsi="Times New Roman"/>
          <w:b/>
          <w:sz w:val="24"/>
        </w:rPr>
        <w:t>з</w:t>
      </w:r>
      <w:r>
        <w:rPr>
          <w:rFonts w:ascii="Times New Roman" w:hAnsi="Times New Roman"/>
          <w:sz w:val="24"/>
        </w:rPr>
        <w:t>акључењем Уговора  о  набавци  канцеларијског  материјала  број  13773  од  30.12.2013.  године    </w:t>
      </w:r>
      <w:r>
        <w:rPr>
          <w:rFonts w:ascii="Times New Roman" w:hAnsi="Times New Roman"/>
          <w:spacing w:val="31"/>
          <w:sz w:val="24"/>
        </w:rPr>
        <w:t> </w:t>
      </w:r>
      <w:r>
        <w:rPr>
          <w:rFonts w:ascii="Times New Roman" w:hAnsi="Times New Roman"/>
          <w:sz w:val="24"/>
        </w:rPr>
        <w:t>са</w:t>
      </w:r>
    </w:p>
    <w:p>
      <w:pPr>
        <w:pStyle w:val="BodyText"/>
        <w:spacing w:line="240" w:lineRule="auto"/>
        <w:ind w:right="173"/>
        <w:jc w:val="both"/>
      </w:pPr>
      <w:r>
        <w:rPr/>
        <w:t>„Брокер“ доо Ниш преузете обавезе у већем износу од одобрених апропријацијом на конту 426100 – административни материјал у износу од најмање 194 хиљаде динара, што је супротно члану 5</w:t>
      </w:r>
      <w:r>
        <w:rPr>
          <w:rFonts w:ascii="Times New Roman" w:hAnsi="Times New Roman" w:cs="Times New Roman" w:eastAsia="Times New Roman" w:hint="default"/>
        </w:rPr>
        <w:t>4. </w:t>
      </w:r>
      <w:r>
        <w:rPr/>
        <w:t>Закона о буџетском</w:t>
      </w:r>
      <w:r>
        <w:rPr>
          <w:spacing w:val="-16"/>
        </w:rPr>
        <w:t> </w:t>
      </w:r>
      <w:r>
        <w:rPr/>
        <w:t>систему.</w:t>
      </w:r>
    </w:p>
    <w:p>
      <w:pPr>
        <w:pStyle w:val="Heading2"/>
        <w:spacing w:line="240" w:lineRule="auto"/>
        <w:ind w:right="180"/>
        <w:jc w:val="both"/>
        <w:rPr>
          <w:b w:val="0"/>
          <w:bCs w:val="0"/>
          <w:i w:val="0"/>
        </w:rPr>
      </w:pPr>
      <w:r>
        <w:rPr>
          <w:i/>
        </w:rPr>
        <w:t>Препоручује се одговорним лицима да обавезе преузимају до износа  апропријације одобрене буџетом за ту намену у тој буџетској</w:t>
      </w:r>
      <w:r>
        <w:rPr>
          <w:i/>
          <w:spacing w:val="-19"/>
        </w:rPr>
        <w:t> </w:t>
      </w:r>
      <w:r>
        <w:rPr>
          <w:i/>
        </w:rPr>
        <w:t>години.</w:t>
      </w:r>
      <w:r>
        <w:rPr>
          <w:b w:val="0"/>
          <w:i w:val="0"/>
        </w:rPr>
      </w:r>
    </w:p>
    <w:p>
      <w:pPr>
        <w:pStyle w:val="BodyText"/>
        <w:spacing w:line="272" w:lineRule="exact"/>
        <w:ind w:left="726" w:right="141"/>
        <w:jc w:val="left"/>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Материјали за саобраћај, синтетички конто 426400 </w:t>
      </w:r>
      <w:r>
        <w:rPr/>
      </w:r>
      <w:r>
        <w:rPr>
          <w:rFonts w:ascii="Times New Roman" w:hAnsi="Times New Roman" w:cs="Times New Roman" w:eastAsia="Times New Roman" w:hint="default"/>
          <w:b/>
          <w:bCs/>
        </w:rPr>
        <w:t>– </w:t>
      </w:r>
      <w:r>
        <w:rPr/>
        <w:t>Исказан је расход у износу  </w:t>
      </w:r>
      <w:r>
        <w:rPr>
          <w:spacing w:val="3"/>
        </w:rPr>
        <w:t> </w:t>
      </w:r>
      <w:r>
        <w:rPr/>
        <w:t>од</w:t>
      </w:r>
    </w:p>
    <w:p>
      <w:pPr>
        <w:pStyle w:val="BodyText"/>
        <w:spacing w:line="240" w:lineRule="auto"/>
        <w:ind w:right="0"/>
        <w:jc w:val="both"/>
      </w:pPr>
      <w:r>
        <w:rPr/>
        <w:t>2.324 хиљаде</w:t>
      </w:r>
      <w:r>
        <w:rPr>
          <w:spacing w:val="-3"/>
        </w:rPr>
        <w:t> </w:t>
      </w:r>
      <w:r>
        <w:rPr/>
        <w:t>динара.</w:t>
      </w:r>
    </w:p>
    <w:p>
      <w:pPr>
        <w:pStyle w:val="Heading1"/>
        <w:spacing w:line="275" w:lineRule="exact"/>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1"/>
        </w:rPr>
        <w:t> </w:t>
      </w:r>
      <w:r>
        <w:rPr/>
        <w:t>је</w:t>
      </w:r>
      <w:r>
        <w:rPr>
          <w:rFonts w:ascii="Times New Roman" w:hAnsi="Times New Roman"/>
        </w:rPr>
        <w:t>:</w:t>
      </w:r>
      <w:r>
        <w:rPr>
          <w:rFonts w:ascii="Times New Roman" w:hAnsi="Times New Roman"/>
          <w:b w:val="0"/>
        </w:rPr>
      </w:r>
    </w:p>
    <w:p>
      <w:pPr>
        <w:pStyle w:val="ListParagraph"/>
        <w:numPr>
          <w:ilvl w:val="0"/>
          <w:numId w:val="9"/>
        </w:numPr>
        <w:tabs>
          <w:tab w:pos="341"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Извршен је расход у износу од 1.652 хиљаде динара за набављено гориво за моторна возила од „Еко Србија“ ад Нови Београд без спроведеног поступка јавне набавке и без уговора, што је супротно члану 3</w:t>
      </w:r>
      <w:r>
        <w:rPr>
          <w:rFonts w:ascii="Times New Roman" w:hAnsi="Times New Roman" w:cs="Times New Roman" w:eastAsia="Times New Roman" w:hint="default"/>
          <w:sz w:val="24"/>
          <w:szCs w:val="24"/>
        </w:rPr>
        <w:t>9</w:t>
      </w:r>
      <w:r>
        <w:rPr>
          <w:rFonts w:ascii="Times New Roman" w:hAnsi="Times New Roman" w:cs="Times New Roman" w:eastAsia="Times New Roman" w:hint="default"/>
          <w:sz w:val="24"/>
          <w:szCs w:val="24"/>
        </w:rPr>
        <w:t>. Закона о јавним набавкама и члану 56. Закона о буџетском</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систему.</w:t>
      </w:r>
    </w:p>
    <w:p>
      <w:pPr>
        <w:pStyle w:val="ListParagraph"/>
        <w:numPr>
          <w:ilvl w:val="0"/>
          <w:numId w:val="9"/>
        </w:numPr>
        <w:tabs>
          <w:tab w:pos="341"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ПУ Пчелица није поштовала рокове плаћања обавеза према НИС Газпром Нефт ад  Нови Сад, по испостављеним рачунима на име набављеног горива за моторна возила,  што је супротно члану 4. Уговора број 4884 од 11.06.2014. године о куповини горива и члану 4. Закона о роковима измирења новчаних обавеза у комерцијалним</w:t>
      </w:r>
      <w:r>
        <w:rPr>
          <w:rFonts w:ascii="Times New Roman" w:hAnsi="Times New Roman"/>
          <w:spacing w:val="-30"/>
          <w:sz w:val="24"/>
        </w:rPr>
        <w:t> </w:t>
      </w:r>
      <w:r>
        <w:rPr>
          <w:rFonts w:ascii="Times New Roman" w:hAnsi="Times New Roman"/>
          <w:sz w:val="24"/>
        </w:rPr>
        <w:t>трансакцијама.</w:t>
      </w:r>
    </w:p>
    <w:p>
      <w:pPr>
        <w:pStyle w:val="ListParagraph"/>
        <w:numPr>
          <w:ilvl w:val="0"/>
          <w:numId w:val="9"/>
        </w:numPr>
        <w:tabs>
          <w:tab w:pos="341" w:val="left" w:leader="none"/>
        </w:tabs>
        <w:spacing w:line="240" w:lineRule="auto" w:before="2" w:after="0"/>
        <w:ind w:left="340" w:right="0" w:hanging="180"/>
        <w:jc w:val="both"/>
        <w:rPr>
          <w:rFonts w:ascii="Times New Roman" w:hAnsi="Times New Roman" w:cs="Times New Roman" w:eastAsia="Times New Roman" w:hint="default"/>
          <w:sz w:val="24"/>
          <w:szCs w:val="24"/>
        </w:rPr>
      </w:pPr>
      <w:r>
        <w:rPr>
          <w:rFonts w:ascii="Times New Roman" w:hAnsi="Times New Roman"/>
          <w:sz w:val="24"/>
        </w:rPr>
        <w:t>ПУ Пчелица нема акт којим је утврђен норматив за потрошњу горива по</w:t>
      </w:r>
      <w:r>
        <w:rPr>
          <w:rFonts w:ascii="Times New Roman" w:hAnsi="Times New Roman"/>
          <w:spacing w:val="-21"/>
          <w:sz w:val="24"/>
        </w:rPr>
        <w:t> </w:t>
      </w:r>
      <w:r>
        <w:rPr>
          <w:rFonts w:ascii="Times New Roman" w:hAnsi="Times New Roman"/>
          <w:sz w:val="24"/>
        </w:rPr>
        <w:t>возилима</w:t>
      </w:r>
      <w:r>
        <w:rPr>
          <w:rFonts w:ascii="Times New Roman" w:hAnsi="Times New Roman"/>
          <w:sz w:val="24"/>
        </w:rPr>
        <w:t>.</w:t>
      </w:r>
    </w:p>
    <w:p>
      <w:pPr>
        <w:pStyle w:val="Heading2"/>
        <w:spacing w:line="240" w:lineRule="auto" w:before="1"/>
        <w:ind w:right="172"/>
        <w:jc w:val="both"/>
        <w:rPr>
          <w:b w:val="0"/>
          <w:bCs w:val="0"/>
          <w:i w:val="0"/>
        </w:rPr>
      </w:pPr>
      <w:r>
        <w:rPr>
          <w:i/>
        </w:rPr>
        <w:t>Препоручује се одговорним лицима да набавку добара врше у поступку јавне набавке, примењују одредбе закључених уговора, обавезе измирују у складу са Законом о роковима измирења новчаних обавеза у комерцијалним трансакцијама, утврде норматив за потрошњу горива за моторна</w:t>
      </w:r>
      <w:r>
        <w:rPr>
          <w:i/>
          <w:spacing w:val="-15"/>
        </w:rPr>
        <w:t> </w:t>
      </w:r>
      <w:r>
        <w:rPr>
          <w:i/>
        </w:rPr>
        <w:t>возила.</w:t>
      </w:r>
      <w:r>
        <w:rPr>
          <w:b w:val="0"/>
          <w:i w:val="0"/>
        </w:rPr>
      </w:r>
    </w:p>
    <w:p>
      <w:pPr>
        <w:pStyle w:val="BodyText"/>
        <w:spacing w:line="240" w:lineRule="auto"/>
        <w:ind w:right="176"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Материјал за образовање, субаналитички конто </w:t>
      </w:r>
      <w:r>
        <w:rPr>
          <w:rFonts w:ascii="Times New Roman" w:hAnsi="Times New Roman" w:cs="Times New Roman" w:eastAsia="Times New Roman" w:hint="default"/>
          <w:u w:val="single" w:color="000000"/>
        </w:rPr>
        <w:t>426611 </w:t>
      </w:r>
      <w:r>
        <w:rPr>
          <w:rFonts w:ascii="Times New Roman" w:hAnsi="Times New Roman" w:cs="Times New Roman" w:eastAsia="Times New Roman" w:hint="default"/>
        </w:rPr>
      </w:r>
      <w:r>
        <w:rPr/>
        <w:t>– Исказан је расход у износу од 1.600 хиљада</w:t>
      </w:r>
      <w:r>
        <w:rPr>
          <w:spacing w:val="-4"/>
        </w:rPr>
        <w:t> </w:t>
      </w:r>
      <w:r>
        <w:rPr/>
        <w:t>динара.</w:t>
      </w:r>
    </w:p>
    <w:p>
      <w:pPr>
        <w:pStyle w:val="BodyText"/>
        <w:spacing w:line="240" w:lineRule="auto"/>
        <w:ind w:left="726" w:right="141"/>
        <w:jc w:val="left"/>
      </w:pPr>
      <w:r>
        <w:rPr/>
        <w:t>На основу ревизије узорковане документације нису утврђене</w:t>
      </w:r>
      <w:r>
        <w:rPr>
          <w:spacing w:val="-24"/>
        </w:rPr>
        <w:t> </w:t>
      </w:r>
      <w:r>
        <w:rPr/>
        <w:t>неправилности.</w:t>
      </w:r>
    </w:p>
    <w:p>
      <w:pPr>
        <w:pStyle w:val="BodyText"/>
        <w:spacing w:line="240" w:lineRule="auto"/>
        <w:ind w:right="177" w:firstLine="566"/>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Хемијска средства за чишћење, субаналитчки конто 426811  </w:t>
      </w:r>
      <w:r>
        <w:rPr/>
      </w:r>
      <w:r>
        <w:rPr>
          <w:rFonts w:ascii="Times New Roman" w:hAnsi="Times New Roman"/>
          <w:i/>
        </w:rPr>
        <w:t>- </w:t>
      </w:r>
      <w:r>
        <w:rPr/>
        <w:t>Исказани су расходи  у износу од 11.658 хиљада</w:t>
      </w:r>
      <w:r>
        <w:rPr>
          <w:spacing w:val="-8"/>
        </w:rPr>
        <w:t> </w:t>
      </w:r>
      <w:r>
        <w:rPr/>
        <w:t>динара</w:t>
      </w:r>
      <w:r>
        <w:rPr>
          <w:rFonts w:ascii="Times New Roman" w:hAnsi="Times New Roman"/>
        </w:rPr>
        <w:t>.</w:t>
      </w:r>
    </w:p>
    <w:p>
      <w:pPr>
        <w:pStyle w:val="Heading1"/>
        <w:spacing w:line="275" w:lineRule="exact"/>
        <w:ind w:right="141"/>
        <w:jc w:val="left"/>
        <w:rPr>
          <w:b w:val="0"/>
          <w:bCs w:val="0"/>
        </w:rPr>
      </w:pPr>
      <w:r>
        <w:rPr/>
        <w:t>На основу ревизије узорковане документације утврђено је</w:t>
      </w:r>
      <w:r>
        <w:rPr>
          <w:spacing w:val="-18"/>
        </w:rPr>
        <w:t> </w:t>
      </w:r>
      <w:r>
        <w:rPr/>
        <w:t>да:</w:t>
      </w:r>
      <w:r>
        <w:rPr>
          <w:b w:val="0"/>
        </w:rPr>
      </w:r>
    </w:p>
    <w:p>
      <w:pPr>
        <w:pStyle w:val="ListParagraph"/>
        <w:numPr>
          <w:ilvl w:val="0"/>
          <w:numId w:val="9"/>
        </w:numPr>
        <w:tabs>
          <w:tab w:pos="303" w:val="left" w:leader="none"/>
        </w:tabs>
        <w:spacing w:line="237" w:lineRule="auto" w:before="1" w:after="0"/>
        <w:ind w:left="160" w:right="18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ПУ Пчелица не прати извршења закључених уговора, што је супротно члану 22. Закона о јавним набавкама и члану 2. Правилника о начину обављања послова јавних набавки у Предшколској установи „Пчелица“ Ниш број 2123 од 12.03.2014.</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године.</w:t>
      </w:r>
    </w:p>
    <w:p>
      <w:pPr>
        <w:spacing w:after="0" w:line="237"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ListParagraph"/>
        <w:numPr>
          <w:ilvl w:val="0"/>
          <w:numId w:val="9"/>
        </w:numPr>
        <w:tabs>
          <w:tab w:pos="303" w:val="left" w:leader="none"/>
        </w:tabs>
        <w:spacing w:line="240" w:lineRule="auto" w:before="124"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За шест рачуна из октобра месеца 2013. године (број 10/2720 на износ од 49 хиљада динара, 10/2719 на износ од 12 хиљада динара, 10/2756 на износ од 23 хиљаде динара, 10/2813 на износ од пет хиљада динара, 10/2814 на износ од 26 хиљада динара, 10/2815  на износ од 51 хиљаде динара) два пута је подношен захтев за пренос средстава Управи  за образовање и то број 11557 од 04.11.2013. године и број 11824 од 12.11.2013. године. По основу оба поднета захтева</w:t>
      </w:r>
      <w:r>
        <w:rPr>
          <w:rFonts w:ascii="Times New Roman" w:hAnsi="Times New Roman"/>
          <w:sz w:val="24"/>
        </w:rPr>
        <w:t>, </w:t>
      </w:r>
      <w:r>
        <w:rPr>
          <w:rFonts w:ascii="Times New Roman" w:hAnsi="Times New Roman"/>
          <w:sz w:val="24"/>
        </w:rPr>
        <w:t>пренос средстава из буџета града извршен је 04.04.2014. године.</w:t>
      </w:r>
    </w:p>
    <w:p>
      <w:pPr>
        <w:pStyle w:val="ListParagraph"/>
        <w:numPr>
          <w:ilvl w:val="0"/>
          <w:numId w:val="9"/>
        </w:numPr>
        <w:tabs>
          <w:tab w:pos="303" w:val="left" w:leader="none"/>
        </w:tabs>
        <w:spacing w:line="240" w:lineRule="auto" w:before="2" w:after="0"/>
        <w:ind w:left="160" w:right="18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захтевима за пренос средстава број 11557 од 04.11.2013. године и број 11824 од 12.11.2013. године наведен је исти број рачуна и то 10/2718 на износ од 10 хиљада динара, док је на картици добављача „Nataly drogerija“ пр Ниш евидентиран рачун са истим бројем али на износ од три хиљаде</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динара.</w:t>
      </w:r>
    </w:p>
    <w:p>
      <w:pPr>
        <w:pStyle w:val="Heading2"/>
        <w:spacing w:line="240" w:lineRule="auto"/>
        <w:ind w:right="180"/>
        <w:jc w:val="both"/>
        <w:rPr>
          <w:b w:val="0"/>
          <w:bCs w:val="0"/>
          <w:i w:val="0"/>
        </w:rPr>
      </w:pPr>
      <w:r>
        <w:rPr>
          <w:i/>
        </w:rPr>
        <w:t>Препоручује се одговорним лицима да интерним контролним поступцима и процедурама обезбеде праћење извршења закључених уговора и тачно извештавање о извршењу истих, при плаћању обавеза позову се на тачан број документа по основу ког врше плаћање, како би обезбедили тачне и поуздане податке о износу расхода по свакој преузетој обавези, интерним контролним поступцима и процедурама онемогуће подношење захтева за плаћање по истом рачуну више пута као и  навођењу нетачног износа дуговања по</w:t>
      </w:r>
      <w:r>
        <w:rPr>
          <w:i/>
          <w:spacing w:val="-15"/>
        </w:rPr>
        <w:t> </w:t>
      </w:r>
      <w:r>
        <w:rPr>
          <w:i/>
        </w:rPr>
        <w:t>рачуну.</w:t>
      </w:r>
      <w:r>
        <w:rPr>
          <w:b w:val="0"/>
          <w:i w:val="0"/>
        </w:rPr>
      </w:r>
    </w:p>
    <w:p>
      <w:pPr>
        <w:pStyle w:val="BodyText"/>
        <w:spacing w:line="240" w:lineRule="auto"/>
        <w:ind w:right="175" w:firstLine="566"/>
        <w:jc w:val="both"/>
        <w:rPr>
          <w:rFonts w:ascii="Times New Roman" w:hAnsi="Times New Roman" w:cs="Times New Roman" w:eastAsia="Times New Roman" w:hint="default"/>
        </w:rPr>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Намирнице за припремање хране, субаналитички конто </w:t>
      </w:r>
      <w:r>
        <w:rPr>
          <w:rFonts w:ascii="Times New Roman" w:hAnsi="Times New Roman" w:cs="Times New Roman" w:eastAsia="Times New Roman" w:hint="default"/>
          <w:u w:val="single" w:color="000000"/>
        </w:rPr>
        <w:t>426823 </w:t>
      </w:r>
      <w:r>
        <w:rPr>
          <w:rFonts w:ascii="Times New Roman" w:hAnsi="Times New Roman" w:cs="Times New Roman" w:eastAsia="Times New Roman" w:hint="default"/>
        </w:rPr>
      </w:r>
      <w:r>
        <w:rPr>
          <w:rFonts w:ascii="Times New Roman" w:hAnsi="Times New Roman" w:cs="Times New Roman" w:eastAsia="Times New Roman" w:hint="default"/>
          <w:b/>
          <w:bCs/>
        </w:rPr>
        <w:t>– </w:t>
      </w:r>
      <w:r>
        <w:rPr/>
        <w:t>Исказан је расход у износу од 117.948 хиљада динара и то на терет буџета Града у износу од </w:t>
      </w:r>
      <w:r>
        <w:rPr>
          <w:rFonts w:ascii="Times New Roman" w:hAnsi="Times New Roman" w:cs="Times New Roman" w:eastAsia="Times New Roman" w:hint="default"/>
        </w:rPr>
        <w:t>35.851 </w:t>
      </w:r>
      <w:r>
        <w:rPr/>
        <w:t>хиљаде динара, из буџета Републике у износу од 4.831 хиљаде динара и из осталих извора у износу од 77.266 хиљада динара. Расход је настао по основу набавке намирница за припремање: хране </w:t>
      </w:r>
      <w:r>
        <w:rPr>
          <w:rFonts w:ascii="Times New Roman" w:hAnsi="Times New Roman" w:cs="Times New Roman" w:eastAsia="Times New Roman" w:hint="default"/>
        </w:rPr>
        <w:t>- </w:t>
      </w:r>
      <w:r>
        <w:rPr/>
        <w:t>оброка за децу на боравку у целодневном трајању у установи, ужина за децу предшколског и основношколског узраста и оброка за децу основношколског узраста на продуженом боравку у</w:t>
      </w:r>
      <w:r>
        <w:rPr>
          <w:spacing w:val="-11"/>
        </w:rPr>
        <w:t> </w:t>
      </w:r>
      <w:r>
        <w:rPr/>
        <w:t>школама</w:t>
      </w:r>
      <w:r>
        <w:rPr>
          <w:rFonts w:ascii="Times New Roman" w:hAnsi="Times New Roman" w:cs="Times New Roman" w:eastAsia="Times New Roman" w:hint="default"/>
        </w:rPr>
        <w:t>.</w:t>
      </w:r>
    </w:p>
    <w:p>
      <w:pPr>
        <w:pStyle w:val="Heading1"/>
        <w:spacing w:line="275" w:lineRule="exact"/>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1"/>
        </w:rPr>
        <w:t> </w:t>
      </w:r>
      <w:r>
        <w:rPr/>
        <w:t>је</w:t>
      </w:r>
      <w:r>
        <w:rPr>
          <w:rFonts w:ascii="Times New Roman" w:hAnsi="Times New Roman"/>
        </w:rPr>
        <w:t>:</w:t>
      </w:r>
      <w:r>
        <w:rPr>
          <w:rFonts w:ascii="Times New Roman" w:hAnsi="Times New Roman"/>
          <w:b w:val="0"/>
        </w:rPr>
      </w:r>
    </w:p>
    <w:p>
      <w:pPr>
        <w:pStyle w:val="ListParagraph"/>
        <w:numPr>
          <w:ilvl w:val="0"/>
          <w:numId w:val="9"/>
        </w:numPr>
        <w:tabs>
          <w:tab w:pos="303"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Средства из буџета града у износу од 500 хиљада динара, пренета дана 05.12.2</w:t>
      </w:r>
      <w:r>
        <w:rPr>
          <w:rFonts w:ascii="Times New Roman" w:hAnsi="Times New Roman"/>
          <w:sz w:val="24"/>
        </w:rPr>
        <w:t>014. </w:t>
      </w:r>
      <w:r>
        <w:rPr>
          <w:rFonts w:ascii="Times New Roman" w:hAnsi="Times New Roman"/>
          <w:sz w:val="24"/>
        </w:rPr>
        <w:t>године на име намирница нису утрошена за намену за коју су пренета, јер је приликом попуњавања електронског налога за пренос средстава добављачу, унет исправан назив добављача и погрешан текући рачун, тако да је уплата извршена погрешном привредном друштву. Како је на рачун на који је уплата извршена био у блокади, средства су принудним путем извршена на рачун трећег привредног друштва. ПУ  Пчелица покренула је у 2015. години, пред Привредним судом у Нишу, судски спор ради  повраћаја средстава. ПУ Пчелица и директни буџетски корисник нису извршили сравњење расхода, што је супротно члану 78. Закона о буџетском систему и члану 6. Уредбе о буџетском</w:t>
      </w:r>
      <w:r>
        <w:rPr>
          <w:rFonts w:ascii="Times New Roman" w:hAnsi="Times New Roman"/>
          <w:spacing w:val="-8"/>
          <w:sz w:val="24"/>
        </w:rPr>
        <w:t> </w:t>
      </w:r>
      <w:r>
        <w:rPr>
          <w:rFonts w:ascii="Times New Roman" w:hAnsi="Times New Roman"/>
          <w:sz w:val="24"/>
        </w:rPr>
        <w:t>рачуноводству</w:t>
      </w:r>
      <w:r>
        <w:rPr>
          <w:rFonts w:ascii="Times New Roman" w:hAnsi="Times New Roman"/>
          <w:sz w:val="24"/>
        </w:rPr>
        <w:t>.</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Цене, по којима се врши фактурисање ужина за децу предшколског и основношколског узраста и оброка за децу основношколског узраста на продуженом боравку у школама, уговорене су са ПДВ и на исте је Градско веће дало сагласност, док ПУ Пчелица при фактурисању наведених добара не исказује ПДВ, већ користи пореско ослобођење за промет добара и услуга без права на одбитак претходног</w:t>
      </w:r>
      <w:r>
        <w:rPr>
          <w:rFonts w:ascii="Times New Roman" w:hAnsi="Times New Roman"/>
          <w:spacing w:val="-15"/>
          <w:sz w:val="24"/>
        </w:rPr>
        <w:t> </w:t>
      </w:r>
      <w:r>
        <w:rPr>
          <w:rFonts w:ascii="Times New Roman" w:hAnsi="Times New Roman"/>
          <w:sz w:val="24"/>
        </w:rPr>
        <w:t>пореза.</w:t>
      </w:r>
    </w:p>
    <w:p>
      <w:pPr>
        <w:pStyle w:val="ListParagraph"/>
        <w:numPr>
          <w:ilvl w:val="0"/>
          <w:numId w:val="9"/>
        </w:numPr>
        <w:tabs>
          <w:tab w:pos="303" w:val="left" w:leader="none"/>
        </w:tabs>
        <w:spacing w:line="274" w:lineRule="exact" w:before="24"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Извршена је набавка добара</w:t>
      </w:r>
      <w:r>
        <w:rPr>
          <w:rFonts w:ascii="Times New Roman" w:hAnsi="Times New Roman"/>
          <w:sz w:val="24"/>
        </w:rPr>
        <w:t>-</w:t>
      </w:r>
      <w:r>
        <w:rPr>
          <w:rFonts w:ascii="Times New Roman" w:hAnsi="Times New Roman"/>
          <w:sz w:val="24"/>
        </w:rPr>
        <w:t>намирница преко уговорене вредности у укупном износу  од 7.344 хиљаде динара и то по: Уговору број 6948 од 19.10.2012. године закљученом  </w:t>
      </w:r>
      <w:r>
        <w:rPr>
          <w:rFonts w:ascii="Times New Roman" w:hAnsi="Times New Roman"/>
          <w:spacing w:val="30"/>
          <w:sz w:val="24"/>
        </w:rPr>
        <w:t> </w:t>
      </w:r>
      <w:r>
        <w:rPr>
          <w:rFonts w:ascii="Times New Roman" w:hAnsi="Times New Roman"/>
          <w:sz w:val="24"/>
        </w:rPr>
        <w:t>са</w:t>
      </w:r>
    </w:p>
    <w:p>
      <w:pPr>
        <w:pStyle w:val="BodyText"/>
        <w:spacing w:line="240" w:lineRule="auto"/>
        <w:ind w:right="170"/>
        <w:jc w:val="both"/>
      </w:pPr>
      <w:r>
        <w:rPr/>
        <w:t>„Фриком“ ад Београд у износу од 456 хиљада динара, Уговору број 10468 од 08.10.2013. године закљученом са „Даком“ доо Мрамор у износу од 3.199 хиљада динара, Уговору број  10614  од  10.10.2013.  године  закљученом  са  „Србокока  промет“  доо  Јагодина </w:t>
      </w:r>
      <w:r>
        <w:rPr>
          <w:spacing w:val="29"/>
        </w:rPr>
        <w:t> </w:t>
      </w:r>
      <w:r>
        <w:rPr/>
        <w:t>у</w:t>
      </w:r>
    </w:p>
    <w:p>
      <w:pPr>
        <w:spacing w:after="0" w:line="240" w:lineRule="auto"/>
        <w:jc w:val="both"/>
        <w:sectPr>
          <w:pgSz w:w="12240" w:h="15840"/>
          <w:pgMar w:header="740" w:footer="1274" w:top="1280" w:bottom="1460" w:left="1400" w:right="1260"/>
        </w:sectPr>
      </w:pPr>
    </w:p>
    <w:p>
      <w:pPr>
        <w:pStyle w:val="BodyText"/>
        <w:spacing w:line="240" w:lineRule="auto" w:before="122"/>
        <w:ind w:right="0"/>
        <w:jc w:val="both"/>
      </w:pPr>
      <w:r>
        <w:rPr/>
        <w:t>износу од  790 хиљада  динара, Уговору број  1247  од  13.02.2014. године  закљученом</w:t>
      </w:r>
      <w:r>
        <w:rPr>
          <w:spacing w:val="3"/>
        </w:rPr>
        <w:t> </w:t>
      </w:r>
      <w:r>
        <w:rPr/>
        <w:t>са</w:t>
      </w:r>
    </w:p>
    <w:p>
      <w:pPr>
        <w:pStyle w:val="BodyText"/>
        <w:spacing w:line="240" w:lineRule="auto"/>
        <w:ind w:right="177"/>
        <w:jc w:val="both"/>
      </w:pPr>
      <w:r>
        <w:rPr/>
        <w:t>„Селена“ доо Ниш у износу од 482 хиљаде динара, Уговору број 5426 од 28.08.2012. године закљученом са „Селена“ доо Ниш у износу од 555 хиљада динара, Уговору број 1009 од 08.02.2013. године закљученом са „Ловопромет“ доо Ниш у износу од 73 хиљаде динара, Уговору број 12421 од 28.11.2013. године закљученом са „Думитас“ пр Југбогдановац у износу од 1.789 хиљада динара, што је супротно члану 56. и 58. Закона о буџетском</w:t>
      </w:r>
      <w:r>
        <w:rPr>
          <w:spacing w:val="-11"/>
        </w:rPr>
        <w:t> </w:t>
      </w:r>
      <w:r>
        <w:rPr/>
        <w:t>систему.</w:t>
      </w:r>
    </w:p>
    <w:p>
      <w:pPr>
        <w:pStyle w:val="ListParagraph"/>
        <w:numPr>
          <w:ilvl w:val="0"/>
          <w:numId w:val="9"/>
        </w:numPr>
        <w:tabs>
          <w:tab w:pos="303" w:val="left" w:leader="none"/>
        </w:tabs>
        <w:spacing w:line="237" w:lineRule="auto" w:before="4"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Набавка појединих намирница за партију </w:t>
      </w:r>
      <w:r>
        <w:rPr>
          <w:rFonts w:ascii="Times New Roman" w:hAnsi="Times New Roman" w:cs="Times New Roman" w:eastAsia="Times New Roman" w:hint="default"/>
          <w:sz w:val="24"/>
          <w:szCs w:val="24"/>
        </w:rPr>
        <w:t>V </w:t>
      </w:r>
      <w:r>
        <w:rPr>
          <w:rFonts w:ascii="Times New Roman" w:hAnsi="Times New Roman" w:cs="Times New Roman" w:eastAsia="Times New Roman" w:hint="default"/>
          <w:sz w:val="24"/>
          <w:szCs w:val="24"/>
        </w:rPr>
        <w:t>– свеже поврће, на основу Уговора број 1758 од 28.02.2014. године закљученог са „Гарић промет“ пр Шарлинце вршена је по ценама другачијим од цена из понуде и 14 закључених</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Анекса.</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Примена нових цена свежег поврћа, измењених Анексима Уговора број 1758 од 28.02.2014. године закљученог са „Гарић промет“ пр Шарлинце почела је раније у односу на уговорени почетак примене, што је супротно члану 2. сваког од закључених</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Анекса.</w:t>
      </w:r>
    </w:p>
    <w:p>
      <w:pPr>
        <w:pStyle w:val="ListParagraph"/>
        <w:numPr>
          <w:ilvl w:val="0"/>
          <w:numId w:val="9"/>
        </w:numPr>
        <w:tabs>
          <w:tab w:pos="303" w:val="left" w:leader="none"/>
        </w:tabs>
        <w:spacing w:line="237" w:lineRule="auto" w:before="4"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Извршен је расход у износу од најмање 3.624 хиљаде динара на име набавке намирница свежег поврћа, у периоду од 15.06.2013. године до дана закључења новог уговора – 27.02.2014. године, без поступка јавне набавке и без уговора, што је супротно члану </w:t>
      </w:r>
      <w:r>
        <w:rPr>
          <w:rFonts w:ascii="Times New Roman" w:hAnsi="Times New Roman" w:cs="Times New Roman" w:eastAsia="Times New Roman" w:hint="default"/>
          <w:spacing w:val="3"/>
          <w:sz w:val="24"/>
          <w:szCs w:val="24"/>
        </w:rPr>
        <w:t>56.</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и</w:t>
      </w:r>
    </w:p>
    <w:p>
      <w:pPr>
        <w:pStyle w:val="BodyText"/>
        <w:spacing w:line="240" w:lineRule="auto"/>
        <w:ind w:right="0"/>
        <w:jc w:val="both"/>
      </w:pPr>
      <w:r>
        <w:rPr/>
        <w:t>58. Закона о буџетском систему и члану 39. Закона о јавним</w:t>
      </w:r>
      <w:r>
        <w:rPr>
          <w:spacing w:val="-22"/>
        </w:rPr>
        <w:t> </w:t>
      </w:r>
      <w:r>
        <w:rPr/>
        <w:t>набавкама.</w:t>
      </w:r>
    </w:p>
    <w:p>
      <w:pPr>
        <w:pStyle w:val="ListParagraph"/>
        <w:numPr>
          <w:ilvl w:val="0"/>
          <w:numId w:val="9"/>
        </w:numPr>
        <w:tabs>
          <w:tab w:pos="303" w:val="left" w:leader="none"/>
        </w:tabs>
        <w:spacing w:line="240" w:lineRule="auto" w:before="2" w:after="0"/>
        <w:ind w:left="160" w:right="185" w:firstLine="0"/>
        <w:jc w:val="both"/>
        <w:rPr>
          <w:rFonts w:ascii="Times New Roman" w:hAnsi="Times New Roman" w:cs="Times New Roman" w:eastAsia="Times New Roman" w:hint="default"/>
          <w:sz w:val="24"/>
          <w:szCs w:val="24"/>
        </w:rPr>
      </w:pPr>
      <w:r>
        <w:rPr>
          <w:rFonts w:ascii="Times New Roman" w:hAnsi="Times New Roman"/>
          <w:sz w:val="24"/>
        </w:rPr>
        <w:t>Неправилно је евидентиран расход у износу од 1.936 хиљада динара, уместо на групи </w:t>
      </w:r>
      <w:r>
        <w:rPr>
          <w:rFonts w:ascii="Times New Roman" w:hAnsi="Times New Roman"/>
          <w:sz w:val="24"/>
        </w:rPr>
        <w:t>483000-</w:t>
      </w:r>
      <w:r>
        <w:rPr>
          <w:rFonts w:ascii="Times New Roman" w:hAnsi="Times New Roman"/>
          <w:sz w:val="24"/>
        </w:rPr>
        <w:t>новчане казне и пенали по решењу судова,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spacing w:val="-17"/>
          <w:sz w:val="24"/>
        </w:rPr>
        <w:t> </w:t>
      </w:r>
      <w:r>
        <w:rPr>
          <w:rFonts w:ascii="Times New Roman" w:hAnsi="Times New Roman"/>
          <w:sz w:val="24"/>
        </w:rPr>
        <w:t>систем.</w:t>
      </w:r>
    </w:p>
    <w:p>
      <w:pPr>
        <w:pStyle w:val="Heading2"/>
        <w:spacing w:line="240" w:lineRule="auto"/>
        <w:ind w:right="181" w:firstLine="599"/>
        <w:jc w:val="both"/>
        <w:rPr>
          <w:b w:val="0"/>
          <w:bCs w:val="0"/>
          <w:i w:val="0"/>
        </w:rPr>
      </w:pPr>
      <w:r>
        <w:rPr>
          <w:i/>
        </w:rPr>
        <w:t>Препоручује се одговорним лицима да прате реализацију уговора, обезбеде правилну примену одредби закључених уговора, набавку намирница врше у поступку јавне набавке</w:t>
      </w:r>
      <w:r>
        <w:rPr>
          <w:rFonts w:ascii="Times New Roman" w:hAnsi="Times New Roman"/>
          <w:i/>
        </w:rPr>
        <w:t>, </w:t>
      </w:r>
      <w:r>
        <w:rPr>
          <w:i/>
        </w:rPr>
        <w:t>обезбеде правилну примену одредби Уредбе о буџетском рачуноводству и Правилника о стандардном класификаионом оквиру и контном плану за буџетски систем и врше сравњење са директним</w:t>
      </w:r>
      <w:r>
        <w:rPr>
          <w:i/>
          <w:spacing w:val="-15"/>
        </w:rPr>
        <w:t> </w:t>
      </w:r>
      <w:r>
        <w:rPr>
          <w:i/>
        </w:rPr>
        <w:t>корисником.</w:t>
      </w:r>
      <w:r>
        <w:rPr>
          <w:b w:val="0"/>
          <w:i w:val="0"/>
        </w:rPr>
      </w:r>
    </w:p>
    <w:p>
      <w:pPr>
        <w:pStyle w:val="BodyText"/>
        <w:spacing w:line="240" w:lineRule="auto"/>
        <w:ind w:right="179" w:firstLine="566"/>
        <w:jc w:val="both"/>
      </w:pPr>
      <w:r>
        <w:rPr>
          <w:rFonts w:ascii="Times New Roman" w:hAnsi="Times New Roman"/>
        </w:rPr>
      </w:r>
      <w:r>
        <w:rPr>
          <w:rFonts w:ascii="Times New Roman" w:hAnsi="Times New Roman"/>
          <w:spacing w:val="-60"/>
          <w:u w:val="single" w:color="000000"/>
        </w:rPr>
        <w:t> </w:t>
      </w:r>
      <w:r>
        <w:rPr>
          <w:u w:val="single" w:color="000000"/>
        </w:rPr>
        <w:t>Алат и инвентар, субаналитички конто 426913 </w:t>
      </w:r>
      <w:r>
        <w:rPr/>
      </w:r>
      <w:r>
        <w:rPr>
          <w:rFonts w:ascii="Times New Roman" w:hAnsi="Times New Roman"/>
        </w:rPr>
        <w:t>- </w:t>
      </w:r>
      <w:r>
        <w:rPr/>
        <w:t>На овом конту исказани су расходи у износу од 3.674 хиљаде динара и то из осталих извора</w:t>
      </w:r>
      <w:r>
        <w:rPr>
          <w:spacing w:val="-18"/>
        </w:rPr>
        <w:t> </w:t>
      </w:r>
      <w:r>
        <w:rPr/>
        <w:t>средстава.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37" w:lineRule="auto" w:before="1" w:after="0"/>
        <w:ind w:left="160" w:right="17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Извршен је расход и набавка радова на изради кавеза за контејнере по Уговору о извођењу радова број 6995 од 09.07.2013. године закљученом са „Гранд“ доо Ниш у вредности већој од уговорене за износ од 164 хиљаде динара, што је супротно члану 56.</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и</w:t>
      </w:r>
    </w:p>
    <w:p>
      <w:pPr>
        <w:pStyle w:val="BodyText"/>
        <w:spacing w:line="240" w:lineRule="auto" w:before="1"/>
        <w:ind w:right="180"/>
        <w:jc w:val="both"/>
      </w:pPr>
      <w:r>
        <w:rPr/>
        <w:t>58. Закона о буџетском систему. Уговорена је вредност радова у износу од 1.664 хиљаде динара са ПДВ, а набављени су радови у износу од 1.</w:t>
      </w:r>
      <w:r>
        <w:rPr>
          <w:rFonts w:ascii="Times New Roman" w:hAnsi="Times New Roman"/>
        </w:rPr>
        <w:t>728 </w:t>
      </w:r>
      <w:r>
        <w:rPr/>
        <w:t>хиљада</w:t>
      </w:r>
      <w:r>
        <w:rPr>
          <w:spacing w:val="-19"/>
        </w:rPr>
        <w:t> </w:t>
      </w:r>
      <w:r>
        <w:rPr/>
        <w:t>динара.</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Захтеве извођача „Гранд“ доо Ниш за давање сагласности за накнадне радове на изради кавеза за контејнере од 31.07.2013. године и од 16.08.2013. године одобрио је надзорни орган без сагласности наручиоца, што је супротно члану 5. Уговора о извођењу радова број 6995 од 09.07.2013. године.</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Није поштован уговорени рок извођења радова на изради кавеза за контејнере од 30 календарских дана, нити је продужење уговореног рока потврђено писаним споразумом уговорних страна, што је супротно члану 5. Уговора о извођењу радова број 6995 од 09.07.2013. године закљученог са „Гранд“ доо</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Ниш.</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Нису изведени уговорени радови на изради 22 кавеза за контејнере при вртићима, већ  су израђена 20 кавеза, што је супротно члану 1. Уговора о извођењу радова број 6995 од 09.07.2013. године закљученог са „Гранд“ доо Ниш, понуди и спецификацији као саставним деловима наведеног</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уговора</w:t>
      </w:r>
      <w:r>
        <w:rPr>
          <w:rFonts w:ascii="Times New Roman" w:hAnsi="Times New Roman" w:cs="Times New Roman" w:eastAsia="Times New Roman" w:hint="default"/>
          <w:sz w:val="24"/>
          <w:szCs w:val="24"/>
        </w:rPr>
        <w:t>.</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ListParagraph"/>
        <w:numPr>
          <w:ilvl w:val="0"/>
          <w:numId w:val="9"/>
        </w:numPr>
        <w:tabs>
          <w:tab w:pos="303" w:val="left" w:leader="none"/>
        </w:tabs>
        <w:spacing w:line="274" w:lineRule="exact" w:before="146" w:after="0"/>
        <w:ind w:left="160" w:right="174"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Набавка ауто гума, по Уговору број 673 од 28.01.2014. године закљученог са „Astera plus“ доо Ниш  вршена је по ценама другачијим од цена из понуде, што је супротно</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члану</w:t>
      </w:r>
    </w:p>
    <w:p>
      <w:pPr>
        <w:pStyle w:val="BodyText"/>
        <w:spacing w:line="273" w:lineRule="exact"/>
        <w:ind w:right="0"/>
        <w:jc w:val="both"/>
      </w:pPr>
      <w:r>
        <w:rPr/>
        <w:t>3. закљученог</w:t>
      </w:r>
      <w:r>
        <w:rPr>
          <w:spacing w:val="-7"/>
        </w:rPr>
        <w:t> </w:t>
      </w:r>
      <w:r>
        <w:rPr/>
        <w:t>Уговора.</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ПУ Пчелица у својим пословним књигама врши евидентирање пословних промена на контима која нису прописана Правилником о стандардном класификационом оквиру и контном плану за буџетски систем, као на пример 022122 – залихе материјала за поправке.</w:t>
      </w:r>
    </w:p>
    <w:p>
      <w:pPr>
        <w:pStyle w:val="ListParagraph"/>
        <w:numPr>
          <w:ilvl w:val="0"/>
          <w:numId w:val="9"/>
        </w:numPr>
        <w:tabs>
          <w:tab w:pos="303" w:val="left" w:leader="none"/>
        </w:tabs>
        <w:spacing w:line="292" w:lineRule="exact" w:before="2"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Неправилно је евидентиран расход у укупном износу од </w:t>
      </w:r>
      <w:r>
        <w:rPr>
          <w:rFonts w:ascii="Times New Roman" w:hAnsi="Times New Roman"/>
          <w:sz w:val="24"/>
        </w:rPr>
        <w:t>2.11</w:t>
      </w:r>
      <w:r>
        <w:rPr>
          <w:rFonts w:ascii="Times New Roman" w:hAnsi="Times New Roman"/>
          <w:sz w:val="24"/>
        </w:rPr>
        <w:t>4 хиљада динара и</w:t>
      </w:r>
      <w:r>
        <w:rPr>
          <w:rFonts w:ascii="Times New Roman" w:hAnsi="Times New Roman"/>
          <w:spacing w:val="-18"/>
          <w:sz w:val="24"/>
        </w:rPr>
        <w:t> </w:t>
      </w:r>
      <w:r>
        <w:rPr>
          <w:rFonts w:ascii="Times New Roman" w:hAnsi="Times New Roman"/>
          <w:sz w:val="24"/>
        </w:rPr>
        <w:t>то</w:t>
      </w:r>
      <w:r>
        <w:rPr>
          <w:rFonts w:ascii="Times New Roman" w:hAnsi="Times New Roman"/>
          <w:sz w:val="24"/>
        </w:rPr>
        <w:t>:</w:t>
      </w:r>
    </w:p>
    <w:p>
      <w:pPr>
        <w:pStyle w:val="ListParagraph"/>
        <w:numPr>
          <w:ilvl w:val="0"/>
          <w:numId w:val="12"/>
        </w:numPr>
        <w:tabs>
          <w:tab w:pos="303" w:val="left" w:leader="none"/>
        </w:tabs>
        <w:spacing w:line="240" w:lineRule="auto" w:before="0" w:after="0"/>
        <w:ind w:left="160" w:right="321"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износу од 100 хиљада динара на име поправке подова у кухињи „Младост“ уместо</w:t>
      </w:r>
      <w:r>
        <w:rPr>
          <w:rFonts w:ascii="Times New Roman" w:hAnsi="Times New Roman" w:cs="Times New Roman" w:eastAsia="Times New Roman" w:hint="default"/>
          <w:spacing w:val="-27"/>
          <w:sz w:val="24"/>
          <w:szCs w:val="24"/>
        </w:rPr>
        <w:t> </w:t>
      </w:r>
      <w:r>
        <w:rPr>
          <w:rFonts w:ascii="Times New Roman" w:hAnsi="Times New Roman" w:cs="Times New Roman" w:eastAsia="Times New Roman" w:hint="default"/>
          <w:sz w:val="24"/>
          <w:szCs w:val="24"/>
        </w:rPr>
        <w:t>на </w:t>
      </w:r>
      <w:r>
        <w:rPr>
          <w:rFonts w:ascii="Times New Roman" w:hAnsi="Times New Roman" w:cs="Times New Roman" w:eastAsia="Times New Roman" w:hint="default"/>
          <w:sz w:val="24"/>
          <w:szCs w:val="24"/>
        </w:rPr>
        <w:t>групи 425000 – текуће поправке и</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одржавање,</w:t>
      </w:r>
    </w:p>
    <w:p>
      <w:pPr>
        <w:pStyle w:val="ListParagraph"/>
        <w:numPr>
          <w:ilvl w:val="0"/>
          <w:numId w:val="12"/>
        </w:numPr>
        <w:tabs>
          <w:tab w:pos="396" w:val="left" w:leader="none"/>
        </w:tabs>
        <w:spacing w:line="240" w:lineRule="auto" w:before="0" w:after="0"/>
        <w:ind w:left="160" w:right="185"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износу од </w:t>
      </w:r>
      <w:r>
        <w:rPr>
          <w:rFonts w:ascii="Times New Roman" w:hAnsi="Times New Roman" w:cs="Times New Roman" w:eastAsia="Times New Roman" w:hint="default"/>
          <w:sz w:val="24"/>
          <w:szCs w:val="24"/>
        </w:rPr>
        <w:t>128 </w:t>
      </w:r>
      <w:r>
        <w:rPr>
          <w:rFonts w:ascii="Times New Roman" w:hAnsi="Times New Roman" w:cs="Times New Roman" w:eastAsia="Times New Roman" w:hint="default"/>
          <w:sz w:val="24"/>
          <w:szCs w:val="24"/>
        </w:rPr>
        <w:t>хиљада динара на име куповине столичица за децу и ваге с висиномером  уместо на групи 512000 –</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опрема,</w:t>
      </w:r>
    </w:p>
    <w:p>
      <w:pPr>
        <w:pStyle w:val="ListParagraph"/>
        <w:numPr>
          <w:ilvl w:val="0"/>
          <w:numId w:val="12"/>
        </w:numPr>
        <w:tabs>
          <w:tab w:pos="327" w:val="left" w:leader="none"/>
        </w:tabs>
        <w:spacing w:line="240" w:lineRule="auto" w:before="0" w:after="0"/>
        <w:ind w:left="160" w:right="178"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износу од 1</w:t>
      </w:r>
      <w:r>
        <w:rPr>
          <w:rFonts w:ascii="Times New Roman" w:hAnsi="Times New Roman" w:cs="Times New Roman" w:eastAsia="Times New Roman" w:hint="default"/>
          <w:sz w:val="24"/>
          <w:szCs w:val="24"/>
        </w:rPr>
        <w:t>5</w:t>
      </w:r>
      <w:r>
        <w:rPr>
          <w:rFonts w:ascii="Times New Roman" w:hAnsi="Times New Roman" w:cs="Times New Roman" w:eastAsia="Times New Roman" w:hint="default"/>
          <w:sz w:val="24"/>
          <w:szCs w:val="24"/>
        </w:rPr>
        <w:t>8 хиљада динара на групи </w:t>
      </w:r>
      <w:r>
        <w:rPr>
          <w:rFonts w:ascii="Times New Roman" w:hAnsi="Times New Roman" w:cs="Times New Roman" w:eastAsia="Times New Roman" w:hint="default"/>
          <w:sz w:val="24"/>
          <w:szCs w:val="24"/>
        </w:rPr>
        <w:t>483000 </w:t>
      </w:r>
      <w:r>
        <w:rPr>
          <w:rFonts w:ascii="Times New Roman" w:hAnsi="Times New Roman" w:cs="Times New Roman" w:eastAsia="Times New Roman" w:hint="default"/>
          <w:sz w:val="24"/>
          <w:szCs w:val="24"/>
        </w:rPr>
        <w:t>– новчане казне и пенали по решењу судова за наплату принудним путем од стране „Гранд“ доо</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Ниш</w:t>
      </w:r>
      <w:r>
        <w:rPr>
          <w:rFonts w:ascii="Times New Roman" w:hAnsi="Times New Roman" w:cs="Times New Roman" w:eastAsia="Times New Roman" w:hint="default"/>
          <w:sz w:val="24"/>
          <w:szCs w:val="24"/>
        </w:rPr>
        <w:t>,</w:t>
      </w:r>
    </w:p>
    <w:p>
      <w:pPr>
        <w:pStyle w:val="ListParagraph"/>
        <w:numPr>
          <w:ilvl w:val="0"/>
          <w:numId w:val="12"/>
        </w:numPr>
        <w:tabs>
          <w:tab w:pos="312" w:val="left" w:leader="none"/>
        </w:tabs>
        <w:spacing w:line="240" w:lineRule="auto" w:before="0" w:after="0"/>
        <w:ind w:left="160" w:right="177"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износу од 1.</w:t>
      </w:r>
      <w:r>
        <w:rPr>
          <w:rFonts w:ascii="Times New Roman" w:hAnsi="Times New Roman" w:cs="Times New Roman" w:eastAsia="Times New Roman" w:hint="default"/>
          <w:sz w:val="24"/>
          <w:szCs w:val="24"/>
        </w:rPr>
        <w:t>728 </w:t>
      </w:r>
      <w:r>
        <w:rPr>
          <w:rFonts w:ascii="Times New Roman" w:hAnsi="Times New Roman" w:cs="Times New Roman" w:eastAsia="Times New Roman" w:hint="default"/>
          <w:sz w:val="24"/>
          <w:szCs w:val="24"/>
        </w:rPr>
        <w:t>хиљада динара на име израде кавеза за заштиту контејнера уместо на групи 513000 – остале некретнине и</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опрема</w:t>
      </w:r>
      <w:r>
        <w:rPr>
          <w:rFonts w:ascii="Times New Roman" w:hAnsi="Times New Roman" w:cs="Times New Roman" w:eastAsia="Times New Roman" w:hint="default"/>
          <w:sz w:val="24"/>
          <w:szCs w:val="24"/>
        </w:rPr>
        <w:t>,</w:t>
      </w:r>
    </w:p>
    <w:p>
      <w:pPr>
        <w:pStyle w:val="BodyText"/>
        <w:spacing w:line="240" w:lineRule="auto"/>
        <w:ind w:right="141" w:firstLine="60"/>
        <w:jc w:val="left"/>
      </w:pPr>
      <w:r>
        <w:rPr/>
        <w:t>што је супротно члану 9. Уредбе о буџетском рачуноводству и Правилнику о стандардном класификационом оквиру и контном плану за буџетски</w:t>
      </w:r>
      <w:r>
        <w:rPr>
          <w:spacing w:val="-31"/>
        </w:rPr>
        <w:t> </w:t>
      </w:r>
      <w:r>
        <w:rPr/>
        <w:t>систем.</w:t>
      </w:r>
    </w:p>
    <w:p>
      <w:pPr>
        <w:pStyle w:val="Heading2"/>
        <w:spacing w:line="240" w:lineRule="auto"/>
        <w:ind w:right="177"/>
        <w:jc w:val="both"/>
        <w:rPr>
          <w:b w:val="0"/>
          <w:bCs w:val="0"/>
          <w:i w:val="0"/>
        </w:rPr>
      </w:pPr>
      <w:r>
        <w:rPr>
          <w:i/>
        </w:rPr>
        <w:t>Препоручује се одговорним лицима да набавку врше до уговорене вредности, прате реализацију уговора, примењују одредбе закључених уговора, обезбеде правилну примену одредби Уредбе о буџетском рачуноводству и Правилника о стандардном класификационом оквиру и контном плану за буџетски систем, прате и  контролишу цене по којима се врши набавка</w:t>
      </w:r>
      <w:r>
        <w:rPr>
          <w:i/>
          <w:spacing w:val="-10"/>
        </w:rPr>
        <w:t> </w:t>
      </w:r>
      <w:r>
        <w:rPr>
          <w:i/>
        </w:rPr>
        <w:t>добара.</w:t>
      </w:r>
      <w:r>
        <w:rPr>
          <w:b w:val="0"/>
          <w:i w:val="0"/>
        </w:rPr>
      </w:r>
    </w:p>
    <w:p>
      <w:pPr>
        <w:pStyle w:val="ListParagraph"/>
        <w:numPr>
          <w:ilvl w:val="0"/>
          <w:numId w:val="37"/>
        </w:numPr>
        <w:tabs>
          <w:tab w:pos="1013" w:val="left" w:leader="none"/>
        </w:tabs>
        <w:spacing w:line="240" w:lineRule="auto" w:before="134" w:after="0"/>
        <w:ind w:left="160" w:right="172" w:firstLine="566"/>
        <w:jc w:val="both"/>
        <w:rPr>
          <w:rFonts w:ascii="Times New Roman" w:hAnsi="Times New Roman" w:cs="Times New Roman" w:eastAsia="Times New Roman" w:hint="default"/>
          <w:sz w:val="24"/>
          <w:szCs w:val="24"/>
        </w:rPr>
      </w:pPr>
      <w:r>
        <w:rPr>
          <w:rFonts w:ascii="Times New Roman" w:hAnsi="Times New Roman"/>
          <w:b/>
          <w:sz w:val="24"/>
        </w:rPr>
        <w:t>Управа за комуналне делатности, енергетику и саобраћај </w:t>
      </w:r>
      <w:r>
        <w:rPr>
          <w:rFonts w:ascii="Times New Roman" w:hAnsi="Times New Roman"/>
          <w:sz w:val="24"/>
        </w:rPr>
        <w:t>- </w:t>
      </w:r>
      <w:r>
        <w:rPr>
          <w:rFonts w:ascii="Times New Roman" w:hAnsi="Times New Roman"/>
          <w:sz w:val="24"/>
        </w:rPr>
        <w:t>Исказан је расход у износу од 1.970 хиљада динара</w:t>
      </w:r>
      <w:r>
        <w:rPr>
          <w:rFonts w:ascii="Times New Roman" w:hAnsi="Times New Roman"/>
          <w:sz w:val="24"/>
        </w:rPr>
        <w:t>, </w:t>
      </w:r>
      <w:r>
        <w:rPr>
          <w:rFonts w:ascii="Times New Roman" w:hAnsi="Times New Roman"/>
          <w:sz w:val="24"/>
        </w:rPr>
        <w:t>који се у целости односи на индиректног корисника ЈП Дирекција.</w:t>
      </w:r>
    </w:p>
    <w:p>
      <w:pPr>
        <w:pStyle w:val="BodyText"/>
        <w:spacing w:line="240" w:lineRule="auto"/>
        <w:ind w:right="174" w:firstLine="566"/>
        <w:jc w:val="both"/>
      </w:pPr>
      <w:r>
        <w:rPr>
          <w:rFonts w:ascii="Times New Roman" w:hAnsi="Times New Roman"/>
          <w:b/>
        </w:rPr>
        <w:t>6а) ЈП Дирекција </w:t>
      </w:r>
      <w:r>
        <w:rPr>
          <w:rFonts w:ascii="Times New Roman" w:hAnsi="Times New Roman"/>
        </w:rPr>
        <w:t>- </w:t>
      </w:r>
      <w:r>
        <w:rPr/>
        <w:t>Исказан је расход у износу од 1.970 хиљада динара из средстава буџета града. Исказани су расходи за: канцеларијски материјал у износу </w:t>
      </w:r>
      <w:r>
        <w:rPr>
          <w:rFonts w:ascii="Times New Roman" w:hAnsi="Times New Roman"/>
        </w:rPr>
        <w:t>732 </w:t>
      </w:r>
      <w:r>
        <w:rPr/>
        <w:t>хиљаде динара</w:t>
      </w:r>
      <w:r>
        <w:rPr>
          <w:rFonts w:ascii="Times New Roman" w:hAnsi="Times New Roman"/>
        </w:rPr>
        <w:t>, </w:t>
      </w:r>
      <w:r>
        <w:rPr/>
        <w:t>стручну литературу у износу од 601 хиљаде динара</w:t>
      </w:r>
      <w:r>
        <w:rPr>
          <w:rFonts w:ascii="Times New Roman" w:hAnsi="Times New Roman"/>
        </w:rPr>
        <w:t>, </w:t>
      </w:r>
      <w:r>
        <w:rPr/>
        <w:t>бензин у износу од </w:t>
      </w:r>
      <w:r>
        <w:rPr>
          <w:rFonts w:ascii="Times New Roman" w:hAnsi="Times New Roman"/>
        </w:rPr>
        <w:t>400 </w:t>
      </w:r>
      <w:r>
        <w:rPr/>
        <w:t>хиљада динара</w:t>
      </w:r>
      <w:r>
        <w:rPr>
          <w:rFonts w:ascii="Times New Roman" w:hAnsi="Times New Roman"/>
        </w:rPr>
        <w:t>, </w:t>
      </w:r>
      <w:r>
        <w:rPr/>
        <w:t>остали материјал за превозна средства у износу од </w:t>
      </w:r>
      <w:r>
        <w:rPr>
          <w:rFonts w:ascii="Times New Roman" w:hAnsi="Times New Roman"/>
        </w:rPr>
        <w:t>75 </w:t>
      </w:r>
      <w:r>
        <w:rPr/>
        <w:t>хиљада динара</w:t>
      </w:r>
      <w:r>
        <w:rPr>
          <w:rFonts w:ascii="Times New Roman" w:hAnsi="Times New Roman"/>
        </w:rPr>
        <w:t>, </w:t>
      </w:r>
      <w:r>
        <w:rPr/>
        <w:t>инвентар за одржавање хигијене у износу од </w:t>
      </w:r>
      <w:r>
        <w:rPr>
          <w:rFonts w:ascii="Times New Roman" w:hAnsi="Times New Roman"/>
        </w:rPr>
        <w:t>21 </w:t>
      </w:r>
      <w:r>
        <w:rPr/>
        <w:t>хиљаде динара</w:t>
      </w:r>
      <w:r>
        <w:rPr>
          <w:rFonts w:ascii="Times New Roman" w:hAnsi="Times New Roman"/>
        </w:rPr>
        <w:t>, </w:t>
      </w:r>
      <w:r>
        <w:rPr/>
        <w:t>остали материјал за одржавање хигијене у износу од шест хиљада динара и потрошни материјал у износу од </w:t>
      </w:r>
      <w:r>
        <w:rPr>
          <w:rFonts w:ascii="Times New Roman" w:hAnsi="Times New Roman"/>
        </w:rPr>
        <w:t>136 </w:t>
      </w:r>
      <w:r>
        <w:rPr/>
        <w:t>хиљада</w:t>
      </w:r>
      <w:r>
        <w:rPr>
          <w:spacing w:val="-3"/>
        </w:rPr>
        <w:t> </w:t>
      </w:r>
      <w:r>
        <w:rPr/>
        <w:t>динара.</w:t>
      </w:r>
    </w:p>
    <w:p>
      <w:pPr>
        <w:pStyle w:val="BodyText"/>
        <w:spacing w:line="240" w:lineRule="auto"/>
        <w:ind w:right="177"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Канцеларијски материјал, субаналитички конто 426111 </w:t>
      </w:r>
      <w:r>
        <w:rPr/>
        <w:t>– Исказан је износ од 282 </w:t>
      </w:r>
      <w:r>
        <w:rPr/>
        <w:t>хиљаде</w:t>
      </w:r>
      <w:r>
        <w:rPr>
          <w:spacing w:val="-3"/>
        </w:rPr>
        <w:t> </w:t>
      </w:r>
      <w:r>
        <w:rPr/>
        <w:t>динара.</w:t>
      </w:r>
    </w:p>
    <w:p>
      <w:pPr>
        <w:pStyle w:val="BodyText"/>
        <w:spacing w:line="240" w:lineRule="auto"/>
        <w:ind w:right="176" w:firstLine="566"/>
        <w:jc w:val="both"/>
      </w:pPr>
      <w:r>
        <w:rPr>
          <w:rFonts w:ascii="Times New Roman" w:hAnsi="Times New Roman" w:cs="Times New Roman" w:eastAsia="Times New Roman" w:hint="default"/>
          <w:b/>
          <w:bCs/>
        </w:rPr>
        <w:t>На основу ревизије узорковане документације утврђено је </w:t>
      </w:r>
      <w:r>
        <w:rPr/>
        <w:t>да је неправилно евидентиран расход за набавку канцеларијског материјала добављачу „Брокер“ доо Ниш у износу од </w:t>
      </w:r>
      <w:r>
        <w:rPr>
          <w:rFonts w:ascii="Times New Roman" w:hAnsi="Times New Roman" w:cs="Times New Roman" w:eastAsia="Times New Roman" w:hint="default"/>
        </w:rPr>
        <w:t>91 </w:t>
      </w:r>
      <w:r>
        <w:rPr/>
        <w:t>хиљаде динара по основу судског решења за наплаћене трокове: камате у износу од 37 хиљада динара, судског решења и принудне наплате у износу од 54 хиљаде динара, уместо на групи </w:t>
      </w:r>
      <w:r>
        <w:rPr>
          <w:rFonts w:ascii="Times New Roman" w:hAnsi="Times New Roman" w:cs="Times New Roman" w:eastAsia="Times New Roman" w:hint="default"/>
        </w:rPr>
        <w:t>483000 </w:t>
      </w:r>
      <w:r>
        <w:rPr/>
        <w:t>– новчане казне и пенали по решењу судова, што је супротно члану 9. Уредбе о буџетском рачуноводству и Правилнику о стандардном класификационом оквиру и контном плану за буџетски</w:t>
      </w:r>
      <w:r>
        <w:rPr>
          <w:spacing w:val="-31"/>
        </w:rPr>
        <w:t> </w:t>
      </w:r>
      <w:r>
        <w:rPr/>
        <w:t>систем.</w:t>
      </w:r>
    </w:p>
    <w:p>
      <w:pPr>
        <w:pStyle w:val="Heading2"/>
        <w:spacing w:line="240" w:lineRule="auto"/>
        <w:ind w:right="176" w:firstLine="626"/>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7"/>
        </w:rPr>
        <w:t> </w:t>
      </w:r>
      <w:r>
        <w:rPr>
          <w:i/>
        </w:rPr>
        <w:t>систем.</w:t>
      </w:r>
      <w:r>
        <w:rPr>
          <w:b w:val="0"/>
          <w:i w:val="0"/>
        </w:rPr>
      </w:r>
    </w:p>
    <w:p>
      <w:pPr>
        <w:spacing w:after="0" w:line="240" w:lineRule="auto"/>
        <w:jc w:val="both"/>
        <w:sectPr>
          <w:pgSz w:w="12240" w:h="15840"/>
          <w:pgMar w:header="740" w:footer="1274" w:top="1280" w:bottom="1460" w:left="1400" w:right="1260"/>
        </w:sectPr>
      </w:pPr>
    </w:p>
    <w:p>
      <w:pPr>
        <w:pStyle w:val="BodyText"/>
        <w:spacing w:line="240" w:lineRule="auto" w:before="122"/>
        <w:ind w:right="173" w:firstLine="566"/>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Бензин, субаналитички конто 426411 </w:t>
      </w:r>
      <w:r>
        <w:rPr/>
      </w:r>
      <w:r>
        <w:rPr>
          <w:rFonts w:ascii="Times New Roman" w:hAnsi="Times New Roman"/>
        </w:rPr>
        <w:t>- </w:t>
      </w:r>
      <w:r>
        <w:rPr/>
        <w:t>Исказани су расходи у износу од </w:t>
      </w:r>
      <w:r>
        <w:rPr>
          <w:rFonts w:ascii="Times New Roman" w:hAnsi="Times New Roman"/>
        </w:rPr>
        <w:t>400 </w:t>
      </w:r>
      <w:r>
        <w:rPr/>
        <w:t>хиљада динара</w:t>
      </w:r>
      <w:r>
        <w:rPr>
          <w:rFonts w:ascii="Times New Roman" w:hAnsi="Times New Roman"/>
        </w:rPr>
        <w:t>.</w:t>
      </w:r>
    </w:p>
    <w:p>
      <w:pPr>
        <w:pStyle w:val="BodyText"/>
        <w:spacing w:line="240" w:lineRule="auto"/>
        <w:ind w:right="173" w:firstLine="566"/>
        <w:jc w:val="both"/>
      </w:pPr>
      <w:r>
        <w:rPr>
          <w:rFonts w:ascii="Times New Roman" w:hAnsi="Times New Roman"/>
          <w:b/>
        </w:rPr>
        <w:t>На основу ревизије узорковане документације утврђено је </w:t>
      </w:r>
      <w:r>
        <w:rPr/>
        <w:t>да ЈП Дирекција нема норматив за потрошњу горива по возилима. Правилник о коришћењу путничких аутомобила у ЈП Дирекцији за изградњу града Ниша број 05</w:t>
      </w:r>
      <w:r>
        <w:rPr>
          <w:rFonts w:ascii="Times New Roman" w:hAnsi="Times New Roman"/>
        </w:rPr>
        <w:t>-</w:t>
      </w:r>
      <w:r>
        <w:rPr/>
        <w:t>8534 од 01.12.1999. године не утврђује стандард потрошње горива на основу техничких карактеристика возила и његове</w:t>
      </w:r>
      <w:r>
        <w:rPr>
          <w:spacing w:val="-5"/>
        </w:rPr>
        <w:t> </w:t>
      </w:r>
      <w:r>
        <w:rPr/>
        <w:t>старости.</w:t>
      </w:r>
    </w:p>
    <w:p>
      <w:pPr>
        <w:pStyle w:val="BodyText"/>
        <w:spacing w:line="240" w:lineRule="auto"/>
        <w:ind w:right="173" w:firstLine="566"/>
        <w:jc w:val="both"/>
      </w:pPr>
      <w:r>
        <w:rPr/>
        <w:t>У 2015. години директор ЈП Дирекција донео је Правилник о коришћењу службених возила у ЈП Дирекција број 05</w:t>
      </w:r>
      <w:r>
        <w:rPr>
          <w:rFonts w:ascii="Times New Roman" w:hAnsi="Times New Roman"/>
        </w:rPr>
        <w:t>-2897/2015 </w:t>
      </w:r>
      <w:r>
        <w:rPr/>
        <w:t>од 24.04.2015. године којим су уређени услови и начин под којим се могу користити службена возила. Истога дана директор је донео Норматив потрошње горива за службена возила ЈП Дирекција број 05</w:t>
      </w:r>
      <w:r>
        <w:rPr>
          <w:rFonts w:ascii="Times New Roman" w:hAnsi="Times New Roman"/>
        </w:rPr>
        <w:t>- 2897-</w:t>
      </w:r>
      <w:r>
        <w:rPr/>
        <w:t>1/2015 од 24.04.2015.</w:t>
      </w:r>
      <w:r>
        <w:rPr>
          <w:spacing w:val="-2"/>
        </w:rPr>
        <w:t> </w:t>
      </w:r>
      <w:r>
        <w:rPr/>
        <w:t>године.</w:t>
      </w:r>
    </w:p>
    <w:p>
      <w:pPr>
        <w:pStyle w:val="Heading1"/>
        <w:numPr>
          <w:ilvl w:val="3"/>
          <w:numId w:val="38"/>
        </w:numPr>
        <w:tabs>
          <w:tab w:pos="1061" w:val="left" w:leader="none"/>
        </w:tabs>
        <w:spacing w:line="272" w:lineRule="exact" w:before="206" w:after="0"/>
        <w:ind w:left="1060" w:right="0" w:hanging="900"/>
        <w:jc w:val="left"/>
        <w:rPr>
          <w:b w:val="0"/>
          <w:bCs w:val="0"/>
        </w:rPr>
      </w:pPr>
      <w:bookmarkStart w:name="_bookmark22" w:id="39"/>
      <w:bookmarkEnd w:id="39"/>
      <w:r>
        <w:rPr>
          <w:b w:val="0"/>
        </w:rPr>
      </w:r>
      <w:bookmarkStart w:name="_bookmark22" w:id="40"/>
      <w:bookmarkEnd w:id="40"/>
      <w:r>
        <w:rPr/>
        <w:t>О</w:t>
      </w:r>
      <w:r>
        <w:rPr/>
        <w:t>тплата домаћих камата, група</w:t>
      </w:r>
      <w:r>
        <w:rPr>
          <w:spacing w:val="-8"/>
        </w:rPr>
        <w:t> </w:t>
      </w:r>
      <w:r>
        <w:rPr/>
        <w:t>441000</w:t>
      </w:r>
      <w:r>
        <w:rPr>
          <w:b w:val="0"/>
        </w:rPr>
      </w:r>
    </w:p>
    <w:p>
      <w:pPr>
        <w:pStyle w:val="BodyText"/>
        <w:spacing w:line="240" w:lineRule="auto"/>
        <w:ind w:right="180" w:firstLine="566"/>
        <w:jc w:val="both"/>
      </w:pPr>
      <w:r>
        <w:rPr/>
        <w:t>Група 441000 – Отплата домаћих камата садржи синтетичка конта на којима се евидентирају отплате камата: на домаће хартије од вредности, осталим нивоима власти, домаћим јавним финансијским институцијама, домаћим пословним банкама, осталим домаћим кредиторима, домаћинствима у земљи, на домаће финансијске деривате, на домаће менице и финансијске промене на финансијским</w:t>
      </w:r>
      <w:r>
        <w:rPr>
          <w:spacing w:val="-24"/>
        </w:rPr>
        <w:t> </w:t>
      </w:r>
      <w:r>
        <w:rPr/>
        <w:t>лизинзима.</w:t>
      </w:r>
    </w:p>
    <w:p>
      <w:pPr>
        <w:spacing w:before="3" w:after="4"/>
        <w:ind w:left="0" w:right="198" w:firstLine="0"/>
        <w:jc w:val="right"/>
        <w:rPr>
          <w:rFonts w:ascii="Times New Roman" w:hAnsi="Times New Roman" w:cs="Times New Roman" w:eastAsia="Times New Roman" w:hint="default"/>
          <w:sz w:val="18"/>
          <w:szCs w:val="18"/>
        </w:rPr>
      </w:pPr>
      <w:r>
        <w:rPr>
          <w:rFonts w:ascii="Times New Roman" w:hAnsi="Times New Roman"/>
          <w:sz w:val="18"/>
        </w:rPr>
        <w:t>(у хиљадама</w:t>
      </w:r>
      <w:r>
        <w:rPr>
          <w:rFonts w:ascii="Times New Roman" w:hAnsi="Times New Roman"/>
          <w:spacing w:val="-9"/>
          <w:sz w:val="18"/>
        </w:rPr>
        <w:t> </w:t>
      </w:r>
      <w:r>
        <w:rPr>
          <w:rFonts w:ascii="Times New Roman" w:hAnsi="Times New Roman"/>
          <w:sz w:val="18"/>
        </w:rPr>
        <w:t>динара)</w:t>
      </w:r>
    </w:p>
    <w:tbl>
      <w:tblPr>
        <w:tblW w:w="0" w:type="auto"/>
        <w:jc w:val="left"/>
        <w:tblInd w:w="141" w:type="dxa"/>
        <w:tblLayout w:type="fixed"/>
        <w:tblCellMar>
          <w:top w:w="0" w:type="dxa"/>
          <w:left w:w="0" w:type="dxa"/>
          <w:bottom w:w="0" w:type="dxa"/>
          <w:right w:w="0" w:type="dxa"/>
        </w:tblCellMar>
        <w:tblLook w:val="01E0"/>
      </w:tblPr>
      <w:tblGrid>
        <w:gridCol w:w="876"/>
        <w:gridCol w:w="2401"/>
        <w:gridCol w:w="960"/>
        <w:gridCol w:w="1351"/>
        <w:gridCol w:w="1047"/>
        <w:gridCol w:w="936"/>
        <w:gridCol w:w="845"/>
        <w:gridCol w:w="847"/>
      </w:tblGrid>
      <w:tr>
        <w:trPr>
          <w:trHeight w:val="475"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261" w:right="178" w:hanging="72"/>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9"/>
              <w:ind w:left="393"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8"/>
                <w:sz w:val="18"/>
              </w:rPr>
              <w:t> </w:t>
            </w:r>
            <w:r>
              <w:rPr>
                <w:rFonts w:ascii="Times New Roman" w:hAnsi="Times New Roman"/>
                <w:b/>
                <w:sz w:val="18"/>
              </w:rPr>
              <w:t>корисник</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9"/>
              <w:ind w:right="103"/>
              <w:jc w:val="right"/>
              <w:rPr>
                <w:rFonts w:ascii="Times New Roman" w:hAnsi="Times New Roman" w:cs="Times New Roman" w:eastAsia="Times New Roman" w:hint="default"/>
                <w:sz w:val="18"/>
                <w:szCs w:val="18"/>
              </w:rPr>
            </w:pPr>
            <w:r>
              <w:rPr>
                <w:rFonts w:ascii="Times New Roman" w:hAnsi="Times New Roman"/>
                <w:b/>
                <w:spacing w:val="-1"/>
                <w:sz w:val="18"/>
              </w:rPr>
              <w:t>Ребаланс</w:t>
            </w:r>
            <w:r>
              <w:rPr>
                <w:rFonts w:ascii="Times New Roman" w:hAns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103" w:right="93" w:firstLine="88"/>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реалокацијом</w:t>
            </w:r>
            <w:r>
              <w:rPr>
                <w:rFonts w:ascii="Times New Roman" w:hAns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103" w:right="95"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112" w:right="107"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299" w:right="110"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302" w:right="109"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49"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1</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1"/>
              <w:jc w:val="center"/>
              <w:rPr>
                <w:rFonts w:ascii="Times New Roman" w:hAnsi="Times New Roman" w:cs="Times New Roman" w:eastAsia="Times New Roman" w:hint="default"/>
                <w:sz w:val="12"/>
                <w:szCs w:val="12"/>
              </w:rPr>
            </w:pPr>
            <w:r>
              <w:rPr>
                <w:rFonts w:ascii="Times New Roman"/>
                <w:sz w:val="12"/>
              </w:rPr>
              <w:t>2</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640" w:right="0"/>
              <w:jc w:val="left"/>
              <w:rPr>
                <w:rFonts w:ascii="Times New Roman" w:hAnsi="Times New Roman" w:cs="Times New Roman" w:eastAsia="Times New Roman" w:hint="default"/>
                <w:sz w:val="12"/>
                <w:szCs w:val="12"/>
              </w:rPr>
            </w:pPr>
            <w:r>
              <w:rPr>
                <w:rFonts w:ascii="Times New Roman"/>
                <w:sz w:val="12"/>
              </w:rPr>
              <w:t>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2"/>
              <w:jc w:val="center"/>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
              <w:jc w:val="center"/>
              <w:rPr>
                <w:rFonts w:ascii="Times New Roman" w:hAnsi="Times New Roman" w:cs="Times New Roman" w:eastAsia="Times New Roman" w:hint="default"/>
                <w:sz w:val="12"/>
                <w:szCs w:val="12"/>
              </w:rPr>
            </w:pPr>
            <w:r>
              <w:rPr>
                <w:rFonts w:ascii="Times New Roman"/>
                <w:sz w:val="12"/>
              </w:rPr>
              <w:t>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386" w:right="0"/>
              <w:jc w:val="left"/>
              <w:rPr>
                <w:rFonts w:ascii="Times New Roman" w:hAnsi="Times New Roman" w:cs="Times New Roman" w:eastAsia="Times New Roman" w:hint="default"/>
                <w:sz w:val="12"/>
                <w:szCs w:val="12"/>
              </w:rPr>
            </w:pPr>
            <w:r>
              <w:rPr>
                <w:rFonts w:ascii="Times New Roman"/>
                <w:sz w:val="12"/>
              </w:rPr>
              <w:t>7</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388" w:right="0"/>
              <w:jc w:val="left"/>
              <w:rPr>
                <w:rFonts w:ascii="Times New Roman" w:hAnsi="Times New Roman" w:cs="Times New Roman" w:eastAsia="Times New Roman" w:hint="default"/>
                <w:sz w:val="12"/>
                <w:szCs w:val="12"/>
              </w:rPr>
            </w:pPr>
            <w:r>
              <w:rPr>
                <w:rFonts w:ascii="Times New Roman"/>
                <w:sz w:val="12"/>
              </w:rPr>
              <w:t>8</w:t>
            </w:r>
          </w:p>
        </w:tc>
      </w:tr>
      <w:tr>
        <w:trPr>
          <w:trHeight w:val="264"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
              <w:jc w:val="center"/>
              <w:rPr>
                <w:rFonts w:ascii="Times New Roman" w:hAnsi="Times New Roman" w:cs="Times New Roman" w:eastAsia="Times New Roman" w:hint="default"/>
                <w:sz w:val="18"/>
                <w:szCs w:val="18"/>
              </w:rPr>
            </w:pPr>
            <w:r>
              <w:rPr>
                <w:rFonts w:ascii="Times New Roman"/>
                <w:sz w:val="18"/>
              </w:rPr>
              <w:t>1</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8"/>
                <w:sz w:val="18"/>
              </w:rPr>
              <w:t> </w:t>
            </w:r>
            <w:r>
              <w:rPr>
                <w:rFonts w:ascii="Times New Roman" w:hAnsi="Times New Roman"/>
                <w:sz w:val="18"/>
              </w:rPr>
              <w:t>финансије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1"/>
              <w:jc w:val="right"/>
              <w:rPr>
                <w:rFonts w:ascii="Times New Roman" w:hAnsi="Times New Roman" w:cs="Times New Roman" w:eastAsia="Times New Roman" w:hint="default"/>
                <w:sz w:val="18"/>
                <w:szCs w:val="18"/>
              </w:rPr>
            </w:pPr>
            <w:r>
              <w:rPr>
                <w:rFonts w:ascii="Times New Roman"/>
                <w:spacing w:val="-1"/>
                <w:sz w:val="18"/>
              </w:rPr>
              <w:t>170.496</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652" w:right="0"/>
              <w:jc w:val="left"/>
              <w:rPr>
                <w:rFonts w:ascii="Times New Roman" w:hAnsi="Times New Roman" w:cs="Times New Roman" w:eastAsia="Times New Roman" w:hint="default"/>
                <w:sz w:val="18"/>
                <w:szCs w:val="18"/>
              </w:rPr>
            </w:pPr>
            <w:r>
              <w:rPr>
                <w:rFonts w:ascii="Times New Roman"/>
                <w:sz w:val="18"/>
              </w:rPr>
              <w:t>170.496</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3"/>
              <w:jc w:val="right"/>
              <w:rPr>
                <w:rFonts w:ascii="Times New Roman" w:hAnsi="Times New Roman" w:cs="Times New Roman" w:eastAsia="Times New Roman" w:hint="default"/>
                <w:sz w:val="18"/>
                <w:szCs w:val="18"/>
              </w:rPr>
            </w:pPr>
            <w:r>
              <w:rPr>
                <w:rFonts w:ascii="Times New Roman"/>
                <w:spacing w:val="-1"/>
                <w:sz w:val="18"/>
              </w:rPr>
              <w:t>138.953</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200" w:right="70"/>
              <w:jc w:val="center"/>
              <w:rPr>
                <w:rFonts w:ascii="Times New Roman" w:hAnsi="Times New Roman" w:cs="Times New Roman" w:eastAsia="Times New Roman" w:hint="default"/>
                <w:sz w:val="18"/>
                <w:szCs w:val="18"/>
              </w:rPr>
            </w:pPr>
            <w:r>
              <w:rPr>
                <w:rFonts w:ascii="Times New Roman"/>
                <w:sz w:val="18"/>
              </w:rPr>
              <w:t>128.153</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326" w:right="0"/>
              <w:jc w:val="left"/>
              <w:rPr>
                <w:rFonts w:ascii="Times New Roman" w:hAnsi="Times New Roman" w:cs="Times New Roman" w:eastAsia="Times New Roman" w:hint="default"/>
                <w:sz w:val="18"/>
                <w:szCs w:val="18"/>
              </w:rPr>
            </w:pPr>
            <w:r>
              <w:rPr>
                <w:rFonts w:ascii="Times New Roman"/>
                <w:sz w:val="18"/>
              </w:rPr>
              <w:t>75,16</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328" w:right="0"/>
              <w:jc w:val="left"/>
              <w:rPr>
                <w:rFonts w:ascii="Times New Roman" w:hAnsi="Times New Roman" w:cs="Times New Roman" w:eastAsia="Times New Roman" w:hint="default"/>
                <w:sz w:val="18"/>
                <w:szCs w:val="18"/>
              </w:rPr>
            </w:pPr>
            <w:r>
              <w:rPr>
                <w:rFonts w:ascii="Times New Roman"/>
                <w:sz w:val="18"/>
              </w:rPr>
              <w:t>92,23</w:t>
            </w:r>
          </w:p>
        </w:tc>
      </w:tr>
      <w:tr>
        <w:trPr>
          <w:trHeight w:val="218"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671" w:right="0"/>
              <w:jc w:val="left"/>
              <w:rPr>
                <w:rFonts w:ascii="Times New Roman" w:hAnsi="Times New Roman" w:cs="Times New Roman" w:eastAsia="Times New Roman" w:hint="default"/>
                <w:sz w:val="18"/>
                <w:szCs w:val="18"/>
              </w:rPr>
            </w:pPr>
            <w:r>
              <w:rPr>
                <w:rFonts w:ascii="Times New Roman" w:hAnsi="Times New Roman"/>
                <w:b/>
                <w:sz w:val="18"/>
              </w:rPr>
              <w:t>Укупно корисници</w:t>
            </w:r>
            <w:r>
              <w:rPr>
                <w:rFonts w:ascii="Times New Roman" w:hAnsi="Times New Roman"/>
                <w:b/>
                <w:spacing w:val="-3"/>
                <w:sz w:val="18"/>
              </w:rPr>
              <w:t> </w:t>
            </w:r>
            <w:r>
              <w:rPr>
                <w:rFonts w:ascii="Times New Roman" w:hAnsi="Times New Roman"/>
                <w:b/>
                <w:sz w:val="18"/>
              </w:rPr>
              <w:t>(1</w:t>
            </w:r>
            <w:r>
              <w:rPr>
                <w:rFonts w:ascii="Times New Roman" w:hAnsi="Times New Roman"/>
                <w:b/>
                <w:sz w:val="18"/>
              </w:rPr>
              <w:t>-1)</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pacing w:val="-1"/>
                <w:sz w:val="18"/>
              </w:rPr>
              <w:t>170.496</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652" w:right="0"/>
              <w:jc w:val="left"/>
              <w:rPr>
                <w:rFonts w:ascii="Times New Roman" w:hAnsi="Times New Roman" w:cs="Times New Roman" w:eastAsia="Times New Roman" w:hint="default"/>
                <w:sz w:val="18"/>
                <w:szCs w:val="18"/>
              </w:rPr>
            </w:pPr>
            <w:r>
              <w:rPr>
                <w:rFonts w:ascii="Times New Roman"/>
                <w:b/>
                <w:sz w:val="18"/>
              </w:rPr>
              <w:t>170.496</w:t>
            </w:r>
            <w:r>
              <w:rPr>
                <w:rFonts w:asci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3"/>
              <w:jc w:val="right"/>
              <w:rPr>
                <w:rFonts w:ascii="Times New Roman" w:hAnsi="Times New Roman" w:cs="Times New Roman" w:eastAsia="Times New Roman" w:hint="default"/>
                <w:sz w:val="18"/>
                <w:szCs w:val="18"/>
              </w:rPr>
            </w:pPr>
            <w:r>
              <w:rPr>
                <w:rFonts w:ascii="Times New Roman"/>
                <w:b/>
                <w:spacing w:val="-1"/>
                <w:sz w:val="18"/>
              </w:rPr>
              <w:t>138.953</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00" w:right="70"/>
              <w:jc w:val="center"/>
              <w:rPr>
                <w:rFonts w:ascii="Times New Roman" w:hAnsi="Times New Roman" w:cs="Times New Roman" w:eastAsia="Times New Roman" w:hint="default"/>
                <w:sz w:val="18"/>
                <w:szCs w:val="18"/>
              </w:rPr>
            </w:pPr>
            <w:r>
              <w:rPr>
                <w:rFonts w:ascii="Times New Roman"/>
                <w:b/>
                <w:sz w:val="18"/>
              </w:rPr>
              <w:t>128.153</w:t>
            </w:r>
            <w:r>
              <w:rPr>
                <w:rFonts w:asci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26" w:right="0"/>
              <w:jc w:val="left"/>
              <w:rPr>
                <w:rFonts w:ascii="Times New Roman" w:hAnsi="Times New Roman" w:cs="Times New Roman" w:eastAsia="Times New Roman" w:hint="default"/>
                <w:sz w:val="18"/>
                <w:szCs w:val="18"/>
              </w:rPr>
            </w:pPr>
            <w:r>
              <w:rPr>
                <w:rFonts w:ascii="Times New Roman"/>
                <w:sz w:val="18"/>
              </w:rPr>
              <w:t>75,16</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28" w:right="0"/>
              <w:jc w:val="left"/>
              <w:rPr>
                <w:rFonts w:ascii="Times New Roman" w:hAnsi="Times New Roman" w:cs="Times New Roman" w:eastAsia="Times New Roman" w:hint="default"/>
                <w:sz w:val="18"/>
                <w:szCs w:val="18"/>
              </w:rPr>
            </w:pPr>
            <w:r>
              <w:rPr>
                <w:rFonts w:ascii="Times New Roman"/>
                <w:sz w:val="18"/>
              </w:rPr>
              <w:t>92,23</w:t>
            </w:r>
          </w:p>
        </w:tc>
      </w:tr>
      <w:tr>
        <w:trPr>
          <w:trHeight w:val="216"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477" w:right="0"/>
              <w:jc w:val="left"/>
              <w:rPr>
                <w:rFonts w:ascii="Times New Roman" w:hAnsi="Times New Roman" w:cs="Times New Roman" w:eastAsia="Times New Roman" w:hint="default"/>
                <w:sz w:val="18"/>
                <w:szCs w:val="18"/>
              </w:rPr>
            </w:pPr>
            <w:r>
              <w:rPr>
                <w:rFonts w:ascii="Times New Roman" w:hAnsi="Times New Roman"/>
                <w:b/>
                <w:sz w:val="18"/>
              </w:rPr>
              <w:t>Укупно  Град </w:t>
            </w:r>
            <w:r>
              <w:rPr>
                <w:rFonts w:ascii="Times New Roman" w:hAnsi="Times New Roman"/>
                <w:b/>
                <w:sz w:val="18"/>
              </w:rPr>
              <w:t>- </w:t>
            </w:r>
            <w:r>
              <w:rPr>
                <w:rFonts w:ascii="Times New Roman" w:hAnsi="Times New Roman"/>
                <w:b/>
                <w:sz w:val="18"/>
              </w:rPr>
              <w:t>група</w:t>
            </w:r>
            <w:r>
              <w:rPr>
                <w:rFonts w:ascii="Times New Roman" w:hAnsi="Times New Roman"/>
                <w:b/>
                <w:spacing w:val="-8"/>
                <w:sz w:val="18"/>
              </w:rPr>
              <w:t> </w:t>
            </w:r>
            <w:r>
              <w:rPr>
                <w:rFonts w:ascii="Times New Roman" w:hAnsi="Times New Roman"/>
                <w:b/>
                <w:sz w:val="18"/>
              </w:rPr>
              <w:t>441000</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pacing w:val="-1"/>
                <w:sz w:val="18"/>
              </w:rPr>
              <w:t>170.627</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652" w:right="0"/>
              <w:jc w:val="left"/>
              <w:rPr>
                <w:rFonts w:ascii="Times New Roman" w:hAnsi="Times New Roman" w:cs="Times New Roman" w:eastAsia="Times New Roman" w:hint="default"/>
                <w:sz w:val="18"/>
                <w:szCs w:val="18"/>
              </w:rPr>
            </w:pPr>
            <w:r>
              <w:rPr>
                <w:rFonts w:ascii="Times New Roman"/>
                <w:b/>
                <w:sz w:val="18"/>
              </w:rPr>
              <w:t>170.627</w:t>
            </w:r>
            <w:r>
              <w:rPr>
                <w:rFonts w:asci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3"/>
              <w:jc w:val="right"/>
              <w:rPr>
                <w:rFonts w:ascii="Times New Roman" w:hAnsi="Times New Roman" w:cs="Times New Roman" w:eastAsia="Times New Roman" w:hint="default"/>
                <w:sz w:val="18"/>
                <w:szCs w:val="18"/>
              </w:rPr>
            </w:pPr>
            <w:r>
              <w:rPr>
                <w:rFonts w:ascii="Times New Roman"/>
                <w:b/>
                <w:spacing w:val="-1"/>
                <w:sz w:val="18"/>
              </w:rPr>
              <w:t>139.022</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00" w:right="70"/>
              <w:jc w:val="center"/>
              <w:rPr>
                <w:rFonts w:ascii="Times New Roman" w:hAnsi="Times New Roman" w:cs="Times New Roman" w:eastAsia="Times New Roman" w:hint="default"/>
                <w:sz w:val="18"/>
                <w:szCs w:val="18"/>
              </w:rPr>
            </w:pPr>
            <w:r>
              <w:rPr>
                <w:rFonts w:ascii="Times New Roman"/>
                <w:b/>
                <w:sz w:val="18"/>
              </w:rPr>
              <w:t>128.222</w:t>
            </w:r>
            <w:r>
              <w:rPr>
                <w:rFonts w:asci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26" w:right="0"/>
              <w:jc w:val="left"/>
              <w:rPr>
                <w:rFonts w:ascii="Times New Roman" w:hAnsi="Times New Roman" w:cs="Times New Roman" w:eastAsia="Times New Roman" w:hint="default"/>
                <w:sz w:val="18"/>
                <w:szCs w:val="18"/>
              </w:rPr>
            </w:pPr>
            <w:r>
              <w:rPr>
                <w:rFonts w:ascii="Times New Roman"/>
                <w:sz w:val="18"/>
              </w:rPr>
              <w:t>75,15</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28" w:right="0"/>
              <w:jc w:val="left"/>
              <w:rPr>
                <w:rFonts w:ascii="Times New Roman" w:hAnsi="Times New Roman" w:cs="Times New Roman" w:eastAsia="Times New Roman" w:hint="default"/>
                <w:sz w:val="18"/>
                <w:szCs w:val="18"/>
              </w:rPr>
            </w:pPr>
            <w:r>
              <w:rPr>
                <w:rFonts w:ascii="Times New Roman"/>
                <w:sz w:val="18"/>
              </w:rPr>
              <w:t>92,23</w:t>
            </w:r>
          </w:p>
        </w:tc>
      </w:tr>
    </w:tbl>
    <w:p>
      <w:pPr>
        <w:pStyle w:val="BodyText"/>
        <w:spacing w:line="268" w:lineRule="exact"/>
        <w:ind w:left="726" w:right="141"/>
        <w:jc w:val="left"/>
      </w:pPr>
      <w:r>
        <w:rPr/>
        <w:t>Исказан је расход у износу од 138.953 хиљаде динара и то на терет буџета</w:t>
      </w:r>
      <w:r>
        <w:rPr>
          <w:spacing w:val="-25"/>
        </w:rPr>
        <w:t> </w:t>
      </w:r>
      <w:r>
        <w:rPr/>
        <w:t>града.</w:t>
      </w:r>
    </w:p>
    <w:p>
      <w:pPr>
        <w:pStyle w:val="Heading1"/>
        <w:spacing w:line="274" w:lineRule="exact" w:before="144"/>
        <w:ind w:right="141"/>
        <w:jc w:val="left"/>
        <w:rPr>
          <w:b w:val="0"/>
          <w:bCs w:val="0"/>
        </w:rPr>
      </w:pPr>
      <w:r>
        <w:rPr>
          <w:rFonts w:ascii="Times New Roman" w:hAnsi="Times New Roman"/>
        </w:rPr>
        <w:t>1) </w:t>
      </w:r>
      <w:r>
        <w:rPr/>
        <w:t>Управа за финансије, изворне приходе локалне самоуправе и јавне  </w:t>
      </w:r>
      <w:r>
        <w:rPr>
          <w:spacing w:val="30"/>
        </w:rPr>
        <w:t> </w:t>
      </w:r>
      <w:r>
        <w:rPr/>
        <w:t>набавке</w:t>
      </w:r>
      <w:r>
        <w:rPr>
          <w:b w:val="0"/>
        </w:rPr>
      </w:r>
    </w:p>
    <w:p>
      <w:pPr>
        <w:pStyle w:val="BodyText"/>
        <w:spacing w:line="240" w:lineRule="auto"/>
        <w:ind w:right="184"/>
        <w:jc w:val="both"/>
      </w:pPr>
      <w:r>
        <w:rPr>
          <w:rFonts w:ascii="Times New Roman" w:hAnsi="Times New Roman" w:cs="Times New Roman" w:eastAsia="Times New Roman" w:hint="default"/>
          <w:b/>
          <w:bCs/>
        </w:rPr>
        <w:t>– </w:t>
      </w:r>
      <w:r>
        <w:rPr/>
        <w:t>Исказан је расход у износу од 138.953 хиљаде динара и то по основу отплате камата домаћим пословним</w:t>
      </w:r>
      <w:r>
        <w:rPr>
          <w:spacing w:val="-9"/>
        </w:rPr>
        <w:t> </w:t>
      </w:r>
      <w:r>
        <w:rPr/>
        <w:t>банкама.</w:t>
      </w:r>
    </w:p>
    <w:p>
      <w:pPr>
        <w:pStyle w:val="Heading1"/>
        <w:spacing w:line="240" w:lineRule="auto" w:before="0"/>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1"/>
        </w:rPr>
        <w:t> </w:t>
      </w:r>
      <w:r>
        <w:rPr/>
        <w:t>је</w:t>
      </w:r>
      <w:r>
        <w:rPr>
          <w:rFonts w:ascii="Times New Roman" w:hAnsi="Times New Roman"/>
          <w:b w:val="0"/>
        </w:rPr>
        <w:t>:</w:t>
      </w:r>
    </w:p>
    <w:p>
      <w:pPr>
        <w:pStyle w:val="BodyText"/>
        <w:spacing w:line="240" w:lineRule="auto" w:before="2"/>
        <w:ind w:right="175" w:firstLine="4"/>
        <w:jc w:val="both"/>
      </w:pPr>
      <w:r>
        <w:rPr>
          <w:rFonts w:ascii="Symbol" w:hAnsi="Symbol" w:cs="Symbol" w:eastAsia="Symbol" w:hint="default"/>
          <w:spacing w:val="2"/>
        </w:rPr>
        <w:t></w:t>
      </w:r>
      <w:r>
        <w:rPr>
          <w:spacing w:val="2"/>
        </w:rPr>
        <w:t>Неправилно </w:t>
      </w:r>
      <w:r>
        <w:rPr/>
        <w:t>је евидентиран расход у износу од 52.594 хиљаде динара на синтетичком </w:t>
      </w:r>
      <w:r>
        <w:rPr/>
        <w:t>конту </w:t>
      </w:r>
      <w:r>
        <w:rPr>
          <w:rFonts w:ascii="Times New Roman" w:hAnsi="Times New Roman" w:cs="Times New Roman" w:eastAsia="Times New Roman" w:hint="default"/>
        </w:rPr>
        <w:t>441400 </w:t>
      </w:r>
      <w:r>
        <w:rPr/>
        <w:t>– отплата камата домаћим пословним банкама, уместо на конту 441300 – отплата камата осталим домаћим јавним финансијским институцијама, за Фонд за развој Републике Србије, што је супротно Правилнику о стандардном класификационом оквиру и контном плану за буџетски</w:t>
      </w:r>
      <w:r>
        <w:rPr>
          <w:spacing w:val="-16"/>
        </w:rPr>
        <w:t> </w:t>
      </w:r>
      <w:r>
        <w:rPr/>
        <w:t>систем.</w:t>
      </w:r>
    </w:p>
    <w:p>
      <w:pPr>
        <w:pStyle w:val="BodyText"/>
        <w:spacing w:line="240" w:lineRule="auto" w:before="2"/>
        <w:ind w:right="177" w:firstLine="4"/>
        <w:jc w:val="both"/>
      </w:pPr>
      <w:r>
        <w:rPr>
          <w:rFonts w:ascii="Symbol" w:hAnsi="Symbol" w:cs="Symbol" w:eastAsia="Symbol" w:hint="default"/>
          <w:spacing w:val="2"/>
        </w:rPr>
        <w:t></w:t>
      </w:r>
      <w:r>
        <w:rPr>
          <w:spacing w:val="2"/>
        </w:rPr>
        <w:t>Неправилно </w:t>
      </w:r>
      <w:r>
        <w:rPr/>
        <w:t>је евидентиран расход за затезну камату у износу од </w:t>
      </w:r>
      <w:r>
        <w:rPr>
          <w:rFonts w:ascii="Times New Roman" w:hAnsi="Times New Roman" w:cs="Times New Roman" w:eastAsia="Times New Roman" w:hint="default"/>
        </w:rPr>
        <w:t>10.800 </w:t>
      </w:r>
      <w:r>
        <w:rPr/>
        <w:t>хиљада динара, уместо на групи 444000 </w:t>
      </w:r>
      <w:r>
        <w:rPr>
          <w:rFonts w:ascii="Times New Roman" w:hAnsi="Times New Roman" w:cs="Times New Roman" w:eastAsia="Times New Roman" w:hint="default"/>
        </w:rPr>
        <w:t>- </w:t>
      </w:r>
      <w:r>
        <w:rPr/>
        <w:t>казне за кашњење, што је супротно члану 9. Уредбе о буџетском рачуноводству и Правилнику о стандардном класификационом оквиру и контном плану за буџетски</w:t>
      </w:r>
      <w:r>
        <w:rPr>
          <w:spacing w:val="-17"/>
        </w:rPr>
        <w:t> </w:t>
      </w:r>
      <w:r>
        <w:rPr/>
        <w:t>систем.</w:t>
      </w:r>
    </w:p>
    <w:p>
      <w:pPr>
        <w:pStyle w:val="Heading2"/>
        <w:spacing w:line="240" w:lineRule="auto"/>
        <w:ind w:right="181"/>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spacing w:line="240" w:lineRule="auto" w:before="0"/>
        <w:rPr>
          <w:rFonts w:ascii="Times New Roman" w:hAnsi="Times New Roman" w:cs="Times New Roman" w:eastAsia="Times New Roman" w:hint="default"/>
          <w:b/>
          <w:bCs/>
          <w:i/>
          <w:sz w:val="24"/>
          <w:szCs w:val="24"/>
        </w:rPr>
      </w:pPr>
    </w:p>
    <w:p>
      <w:pPr>
        <w:pStyle w:val="Heading1"/>
        <w:numPr>
          <w:ilvl w:val="3"/>
          <w:numId w:val="38"/>
        </w:numPr>
        <w:tabs>
          <w:tab w:pos="1061" w:val="left" w:leader="none"/>
        </w:tabs>
        <w:spacing w:line="274" w:lineRule="exact" w:before="0" w:after="0"/>
        <w:ind w:left="1060" w:right="0" w:hanging="900"/>
        <w:jc w:val="both"/>
        <w:rPr>
          <w:b w:val="0"/>
          <w:bCs w:val="0"/>
        </w:rPr>
      </w:pPr>
      <w:bookmarkStart w:name="_bookmark23" w:id="41"/>
      <w:bookmarkEnd w:id="41"/>
      <w:r>
        <w:rPr>
          <w:b w:val="0"/>
        </w:rPr>
      </w:r>
      <w:bookmarkStart w:name="_bookmark23" w:id="42"/>
      <w:bookmarkEnd w:id="42"/>
      <w:r>
        <w:rPr/>
        <w:t>О</w:t>
      </w:r>
      <w:r>
        <w:rPr/>
        <w:t>тплата страних камата</w:t>
      </w:r>
      <w:r>
        <w:rPr>
          <w:rFonts w:ascii="Times New Roman" w:hAnsi="Times New Roman"/>
        </w:rPr>
        <w:t>, </w:t>
      </w:r>
      <w:r>
        <w:rPr/>
        <w:t>група</w:t>
      </w:r>
      <w:r>
        <w:rPr>
          <w:spacing w:val="-12"/>
        </w:rPr>
        <w:t> </w:t>
      </w:r>
      <w:r>
        <w:rPr/>
        <w:t>442000</w:t>
      </w:r>
      <w:r>
        <w:rPr>
          <w:b w:val="0"/>
        </w:rPr>
      </w:r>
    </w:p>
    <w:p>
      <w:pPr>
        <w:pStyle w:val="BodyText"/>
        <w:spacing w:line="240" w:lineRule="auto"/>
        <w:ind w:right="141" w:firstLine="719"/>
        <w:jc w:val="left"/>
      </w:pPr>
      <w:r>
        <w:rPr/>
        <w:t>Група 442000 – Отплата страних камата садржи синтетичка конта: отплата камата на  хартије  од  вредности  емитоване  на  иностраном  финансијском  тржишту</w:t>
      </w:r>
      <w:r>
        <w:rPr>
          <w:rFonts w:ascii="Times New Roman" w:hAnsi="Times New Roman" w:cs="Times New Roman" w:eastAsia="Times New Roman" w:hint="default"/>
        </w:rPr>
        <w:t>,  </w:t>
      </w:r>
      <w:r>
        <w:rPr>
          <w:rFonts w:ascii="Times New Roman" w:hAnsi="Times New Roman" w:cs="Times New Roman" w:eastAsia="Times New Roman" w:hint="default"/>
          <w:spacing w:val="56"/>
        </w:rPr>
        <w:t> </w:t>
      </w:r>
      <w:r>
        <w:rPr/>
        <w:t>отплата</w:t>
      </w:r>
    </w:p>
    <w:p>
      <w:pPr>
        <w:spacing w:after="0" w:line="240" w:lineRule="auto"/>
        <w:jc w:val="left"/>
        <w:sectPr>
          <w:pgSz w:w="12240" w:h="15840"/>
          <w:pgMar w:header="740" w:footer="1274" w:top="1280" w:bottom="1460" w:left="1400" w:right="1260"/>
        </w:sectPr>
      </w:pPr>
    </w:p>
    <w:p>
      <w:pPr>
        <w:pStyle w:val="BodyText"/>
        <w:spacing w:line="240" w:lineRule="auto" w:before="122"/>
        <w:ind w:right="175"/>
        <w:jc w:val="both"/>
      </w:pPr>
      <w:r>
        <w:rPr/>
        <w:t>камата страним владама</w:t>
      </w:r>
      <w:r>
        <w:rPr>
          <w:rFonts w:ascii="Times New Roman" w:hAnsi="Times New Roman"/>
        </w:rPr>
        <w:t>, </w:t>
      </w:r>
      <w:r>
        <w:rPr/>
        <w:t>отплата камата мултилатералним институцијама</w:t>
      </w:r>
      <w:r>
        <w:rPr>
          <w:rFonts w:ascii="Times New Roman" w:hAnsi="Times New Roman"/>
        </w:rPr>
        <w:t>, </w:t>
      </w:r>
      <w:r>
        <w:rPr/>
        <w:t>отплата камата страним пословним банкама</w:t>
      </w:r>
      <w:r>
        <w:rPr>
          <w:rFonts w:ascii="Times New Roman" w:hAnsi="Times New Roman"/>
        </w:rPr>
        <w:t>, </w:t>
      </w:r>
      <w:r>
        <w:rPr/>
        <w:t>отплата камата осталим страним кредиторима и отплата камата на стране финансијске</w:t>
      </w:r>
      <w:r>
        <w:rPr>
          <w:spacing w:val="-15"/>
        </w:rPr>
        <w:t> </w:t>
      </w:r>
      <w:r>
        <w:rPr/>
        <w:t>деривате.</w:t>
      </w:r>
    </w:p>
    <w:p>
      <w:pPr>
        <w:spacing w:before="3" w:after="4"/>
        <w:ind w:left="0" w:right="177" w:firstLine="0"/>
        <w:jc w:val="right"/>
        <w:rPr>
          <w:rFonts w:ascii="Times New Roman" w:hAnsi="Times New Roman" w:cs="Times New Roman" w:eastAsia="Times New Roman" w:hint="default"/>
          <w:sz w:val="18"/>
          <w:szCs w:val="18"/>
        </w:rPr>
      </w:pPr>
      <w:r>
        <w:rPr>
          <w:rFonts w:ascii="Times New Roman" w:hAnsi="Times New Roman"/>
          <w:sz w:val="18"/>
        </w:rPr>
        <w:t>(у хиљадама</w:t>
      </w:r>
      <w:r>
        <w:rPr>
          <w:rFonts w:ascii="Times New Roman" w:hAnsi="Times New Roman"/>
          <w:spacing w:val="-9"/>
          <w:sz w:val="18"/>
        </w:rPr>
        <w:t> </w:t>
      </w:r>
      <w:r>
        <w:rPr>
          <w:rFonts w:ascii="Times New Roman" w:hAnsi="Times New Roman"/>
          <w:sz w:val="18"/>
        </w:rPr>
        <w:t>динара)</w:t>
      </w:r>
    </w:p>
    <w:tbl>
      <w:tblPr>
        <w:tblW w:w="0" w:type="auto"/>
        <w:jc w:val="left"/>
        <w:tblInd w:w="141" w:type="dxa"/>
        <w:tblLayout w:type="fixed"/>
        <w:tblCellMar>
          <w:top w:w="0" w:type="dxa"/>
          <w:left w:w="0" w:type="dxa"/>
          <w:bottom w:w="0" w:type="dxa"/>
          <w:right w:w="0" w:type="dxa"/>
        </w:tblCellMar>
        <w:tblLook w:val="01E0"/>
      </w:tblPr>
      <w:tblGrid>
        <w:gridCol w:w="876"/>
        <w:gridCol w:w="2401"/>
        <w:gridCol w:w="960"/>
        <w:gridCol w:w="1351"/>
        <w:gridCol w:w="1047"/>
        <w:gridCol w:w="936"/>
        <w:gridCol w:w="845"/>
        <w:gridCol w:w="847"/>
      </w:tblGrid>
      <w:tr>
        <w:trPr>
          <w:trHeight w:val="521"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8"/>
              <w:ind w:left="261" w:right="178" w:hanging="72"/>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1"/>
              <w:ind w:left="393"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8"/>
                <w:sz w:val="18"/>
              </w:rPr>
              <w:t> </w:t>
            </w:r>
            <w:r>
              <w:rPr>
                <w:rFonts w:ascii="Times New Roman" w:hAnsi="Times New Roman"/>
                <w:b/>
                <w:sz w:val="18"/>
              </w:rPr>
              <w:t>корисник</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1"/>
              <w:ind w:right="103"/>
              <w:jc w:val="right"/>
              <w:rPr>
                <w:rFonts w:ascii="Times New Roman" w:hAnsi="Times New Roman" w:cs="Times New Roman" w:eastAsia="Times New Roman" w:hint="default"/>
                <w:sz w:val="18"/>
                <w:szCs w:val="18"/>
              </w:rPr>
            </w:pPr>
            <w:r>
              <w:rPr>
                <w:rFonts w:ascii="Times New Roman" w:hAnsi="Times New Roman"/>
                <w:b/>
                <w:spacing w:val="-1"/>
                <w:sz w:val="18"/>
              </w:rPr>
              <w:t>Ребаланс</w:t>
            </w:r>
            <w:r>
              <w:rPr>
                <w:rFonts w:ascii="Times New Roman" w:hAns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8"/>
              <w:ind w:left="103" w:right="93" w:firstLine="88"/>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реалокацијом</w:t>
            </w:r>
            <w:r>
              <w:rPr>
                <w:rFonts w:ascii="Times New Roman" w:hAns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8"/>
              <w:ind w:left="103" w:right="95"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8"/>
              <w:ind w:left="112" w:right="107"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8"/>
              <w:ind w:left="299" w:right="110"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8"/>
              <w:ind w:left="302" w:right="109"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4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1</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1"/>
              <w:jc w:val="center"/>
              <w:rPr>
                <w:rFonts w:ascii="Times New Roman" w:hAnsi="Times New Roman" w:cs="Times New Roman" w:eastAsia="Times New Roman" w:hint="default"/>
                <w:sz w:val="12"/>
                <w:szCs w:val="12"/>
              </w:rPr>
            </w:pPr>
            <w:r>
              <w:rPr>
                <w:rFonts w:ascii="Times New Roman"/>
                <w:sz w:val="12"/>
              </w:rPr>
              <w:t>2</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2"/>
              <w:jc w:val="center"/>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
              <w:jc w:val="center"/>
              <w:rPr>
                <w:rFonts w:ascii="Times New Roman" w:hAnsi="Times New Roman" w:cs="Times New Roman" w:eastAsia="Times New Roman" w:hint="default"/>
                <w:sz w:val="12"/>
                <w:szCs w:val="12"/>
              </w:rPr>
            </w:pPr>
            <w:r>
              <w:rPr>
                <w:rFonts w:ascii="Times New Roman"/>
                <w:sz w:val="12"/>
              </w:rPr>
              <w:t>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386" w:right="0"/>
              <w:jc w:val="left"/>
              <w:rPr>
                <w:rFonts w:ascii="Times New Roman" w:hAnsi="Times New Roman" w:cs="Times New Roman" w:eastAsia="Times New Roman" w:hint="default"/>
                <w:sz w:val="12"/>
                <w:szCs w:val="12"/>
              </w:rPr>
            </w:pPr>
            <w:r>
              <w:rPr>
                <w:rFonts w:ascii="Times New Roman"/>
                <w:sz w:val="12"/>
              </w:rPr>
              <w:t>7</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8</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
              <w:jc w:val="center"/>
              <w:rPr>
                <w:rFonts w:ascii="Times New Roman" w:hAnsi="Times New Roman" w:cs="Times New Roman" w:eastAsia="Times New Roman" w:hint="default"/>
                <w:sz w:val="18"/>
                <w:szCs w:val="18"/>
              </w:rPr>
            </w:pPr>
            <w:r>
              <w:rPr>
                <w:rFonts w:ascii="Times New Roman"/>
                <w:sz w:val="18"/>
              </w:rPr>
              <w:t>1</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8"/>
                <w:sz w:val="18"/>
              </w:rPr>
              <w:t> </w:t>
            </w:r>
            <w:r>
              <w:rPr>
                <w:rFonts w:ascii="Times New Roman" w:hAnsi="Times New Roman"/>
                <w:sz w:val="18"/>
              </w:rPr>
              <w:t>финансије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1.813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1.813</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z w:val="18"/>
              </w:rPr>
              <w:t>813</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z w:val="18"/>
              </w:rPr>
              <w:t>813</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26" w:right="0"/>
              <w:jc w:val="left"/>
              <w:rPr>
                <w:rFonts w:ascii="Times New Roman" w:hAnsi="Times New Roman" w:cs="Times New Roman" w:eastAsia="Times New Roman" w:hint="default"/>
                <w:sz w:val="18"/>
                <w:szCs w:val="18"/>
              </w:rPr>
            </w:pPr>
            <w:r>
              <w:rPr>
                <w:rFonts w:ascii="Times New Roman"/>
                <w:sz w:val="18"/>
              </w:rPr>
              <w:t>44,84</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100</w:t>
            </w:r>
          </w:p>
        </w:tc>
      </w:tr>
      <w:tr>
        <w:trPr>
          <w:trHeight w:val="216"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671" w:right="0"/>
              <w:jc w:val="left"/>
              <w:rPr>
                <w:rFonts w:ascii="Times New Roman" w:hAnsi="Times New Roman" w:cs="Times New Roman" w:eastAsia="Times New Roman" w:hint="default"/>
                <w:sz w:val="18"/>
                <w:szCs w:val="18"/>
              </w:rPr>
            </w:pPr>
            <w:r>
              <w:rPr>
                <w:rFonts w:ascii="Times New Roman" w:hAnsi="Times New Roman"/>
                <w:b/>
                <w:sz w:val="18"/>
              </w:rPr>
              <w:t>Укупно корисници</w:t>
            </w:r>
            <w:r>
              <w:rPr>
                <w:rFonts w:ascii="Times New Roman" w:hAnsi="Times New Roman"/>
                <w:b/>
                <w:spacing w:val="-3"/>
                <w:sz w:val="18"/>
              </w:rPr>
              <w:t> </w:t>
            </w:r>
            <w:r>
              <w:rPr>
                <w:rFonts w:ascii="Times New Roman" w:hAnsi="Times New Roman"/>
                <w:b/>
                <w:sz w:val="18"/>
              </w:rPr>
              <w:t>(1</w:t>
            </w:r>
            <w:r>
              <w:rPr>
                <w:rFonts w:ascii="Times New Roman" w:hAnsi="Times New Roman"/>
                <w:b/>
                <w:sz w:val="18"/>
              </w:rPr>
              <w:t>-1)</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1.813</w:t>
            </w:r>
            <w:r>
              <w:rPr>
                <w:rFonts w:ascii="Times New Roman"/>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1.813</w:t>
            </w:r>
            <w:r>
              <w:rPr>
                <w:rFonts w:asci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z w:val="18"/>
              </w:rPr>
              <w:t>813</w:t>
            </w:r>
            <w:r>
              <w:rPr>
                <w:rFonts w:asci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z w:val="18"/>
              </w:rPr>
              <w:t>813</w:t>
            </w:r>
            <w:r>
              <w:rPr>
                <w:rFonts w:asci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326" w:right="0"/>
              <w:jc w:val="left"/>
              <w:rPr>
                <w:rFonts w:ascii="Times New Roman" w:hAnsi="Times New Roman" w:cs="Times New Roman" w:eastAsia="Times New Roman" w:hint="default"/>
                <w:sz w:val="18"/>
                <w:szCs w:val="18"/>
              </w:rPr>
            </w:pPr>
            <w:r>
              <w:rPr>
                <w:rFonts w:ascii="Times New Roman"/>
                <w:b/>
                <w:sz w:val="18"/>
              </w:rPr>
              <w:t>44,84</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98"/>
              <w:jc w:val="right"/>
              <w:rPr>
                <w:rFonts w:ascii="Times New Roman" w:hAnsi="Times New Roman" w:cs="Times New Roman" w:eastAsia="Times New Roman" w:hint="default"/>
                <w:sz w:val="18"/>
                <w:szCs w:val="18"/>
              </w:rPr>
            </w:pPr>
            <w:r>
              <w:rPr>
                <w:rFonts w:ascii="Times New Roman"/>
                <w:b/>
                <w:sz w:val="18"/>
              </w:rPr>
              <w:t>100</w:t>
            </w:r>
            <w:r>
              <w:rPr>
                <w:rFonts w:ascii="Times New Roman"/>
                <w:sz w:val="18"/>
              </w:rPr>
            </w:r>
          </w:p>
        </w:tc>
      </w:tr>
      <w:tr>
        <w:trPr>
          <w:trHeight w:val="218"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501" w:right="0"/>
              <w:jc w:val="left"/>
              <w:rPr>
                <w:rFonts w:ascii="Times New Roman" w:hAnsi="Times New Roman" w:cs="Times New Roman" w:eastAsia="Times New Roman" w:hint="default"/>
                <w:sz w:val="18"/>
                <w:szCs w:val="18"/>
              </w:rPr>
            </w:pPr>
            <w:r>
              <w:rPr>
                <w:rFonts w:ascii="Times New Roman" w:hAnsi="Times New Roman"/>
                <w:b/>
                <w:sz w:val="18"/>
              </w:rPr>
              <w:t>Укупно  Град </w:t>
            </w:r>
            <w:r>
              <w:rPr>
                <w:rFonts w:ascii="Times New Roman" w:hAnsi="Times New Roman"/>
                <w:b/>
                <w:sz w:val="18"/>
              </w:rPr>
              <w:t>- </w:t>
            </w:r>
            <w:r>
              <w:rPr>
                <w:rFonts w:ascii="Times New Roman" w:hAnsi="Times New Roman"/>
                <w:b/>
                <w:sz w:val="18"/>
              </w:rPr>
              <w:t>група</w:t>
            </w:r>
            <w:r>
              <w:rPr>
                <w:rFonts w:ascii="Times New Roman" w:hAnsi="Times New Roman"/>
                <w:b/>
                <w:spacing w:val="-6"/>
                <w:sz w:val="18"/>
              </w:rPr>
              <w:t> </w:t>
            </w:r>
            <w:r>
              <w:rPr>
                <w:rFonts w:ascii="Times New Roman" w:hAnsi="Times New Roman"/>
                <w:b/>
                <w:sz w:val="18"/>
              </w:rPr>
              <w:t>442000</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1.813</w:t>
            </w:r>
            <w:r>
              <w:rPr>
                <w:rFonts w:ascii="Times New Roman"/>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1.813</w:t>
            </w:r>
            <w:r>
              <w:rPr>
                <w:rFonts w:asci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z w:val="18"/>
              </w:rPr>
              <w:t>813</w:t>
            </w:r>
            <w:r>
              <w:rPr>
                <w:rFonts w:asci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z w:val="18"/>
              </w:rPr>
              <w:t>813</w:t>
            </w:r>
            <w:r>
              <w:rPr>
                <w:rFonts w:asci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326" w:right="0"/>
              <w:jc w:val="left"/>
              <w:rPr>
                <w:rFonts w:ascii="Times New Roman" w:hAnsi="Times New Roman" w:cs="Times New Roman" w:eastAsia="Times New Roman" w:hint="default"/>
                <w:sz w:val="18"/>
                <w:szCs w:val="18"/>
              </w:rPr>
            </w:pPr>
            <w:r>
              <w:rPr>
                <w:rFonts w:ascii="Times New Roman"/>
                <w:b/>
                <w:sz w:val="18"/>
              </w:rPr>
              <w:t>44,84</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98"/>
              <w:jc w:val="right"/>
              <w:rPr>
                <w:rFonts w:ascii="Times New Roman" w:hAnsi="Times New Roman" w:cs="Times New Roman" w:eastAsia="Times New Roman" w:hint="default"/>
                <w:sz w:val="18"/>
                <w:szCs w:val="18"/>
              </w:rPr>
            </w:pPr>
            <w:r>
              <w:rPr>
                <w:rFonts w:ascii="Times New Roman"/>
                <w:b/>
                <w:sz w:val="18"/>
              </w:rPr>
              <w:t>100</w:t>
            </w:r>
            <w:r>
              <w:rPr>
                <w:rFonts w:ascii="Times New Roman"/>
                <w:sz w:val="18"/>
              </w:rPr>
            </w:r>
          </w:p>
        </w:tc>
      </w:tr>
    </w:tbl>
    <w:p>
      <w:pPr>
        <w:pStyle w:val="BodyText"/>
        <w:spacing w:line="268" w:lineRule="exact"/>
        <w:ind w:left="880" w:right="141"/>
        <w:jc w:val="left"/>
        <w:rPr>
          <w:rFonts w:ascii="Times New Roman" w:hAnsi="Times New Roman" w:cs="Times New Roman" w:eastAsia="Times New Roman" w:hint="default"/>
        </w:rPr>
      </w:pPr>
      <w:r>
        <w:rPr/>
        <w:t>Исказан је расход у износу од 813 хиљада динара и то на терет буџета</w:t>
      </w:r>
      <w:r>
        <w:rPr>
          <w:spacing w:val="-17"/>
        </w:rPr>
        <w:t> </w:t>
      </w:r>
      <w:r>
        <w:rPr/>
        <w:t>града</w:t>
      </w:r>
      <w:r>
        <w:rPr>
          <w:rFonts w:ascii="Times New Roman" w:hAnsi="Times New Roman"/>
        </w:rPr>
        <w:t>.</w:t>
      </w:r>
    </w:p>
    <w:p>
      <w:pPr>
        <w:spacing w:line="237" w:lineRule="auto" w:before="7"/>
        <w:ind w:left="160" w:right="173" w:firstLine="719"/>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 за финансије изворне приходе локалне самоуправе и јавне набавке – </w:t>
      </w:r>
      <w:r>
        <w:rPr>
          <w:rFonts w:ascii="Times New Roman" w:hAnsi="Times New Roman" w:cs="Times New Roman" w:eastAsia="Times New Roman" w:hint="default"/>
          <w:sz w:val="24"/>
          <w:szCs w:val="24"/>
        </w:rPr>
        <w:t>Исказан је расход у износу од 813 хиљада динара по основу отплате камате Европској банци за  обнову и</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развој.</w:t>
      </w:r>
    </w:p>
    <w:p>
      <w:pPr>
        <w:pStyle w:val="BodyText"/>
        <w:spacing w:line="240" w:lineRule="auto"/>
        <w:ind w:left="880" w:right="141"/>
        <w:jc w:val="left"/>
      </w:pPr>
      <w:r>
        <w:rPr/>
        <w:t>На основу ревизије узорковане документације нису утврђене</w:t>
      </w:r>
      <w:r>
        <w:rPr>
          <w:spacing w:val="-18"/>
        </w:rPr>
        <w:t> </w:t>
      </w:r>
      <w:r>
        <w:rPr/>
        <w:t>неправилности.</w:t>
      </w:r>
    </w:p>
    <w:p>
      <w:pPr>
        <w:spacing w:line="240" w:lineRule="auto" w:before="5"/>
        <w:rPr>
          <w:rFonts w:ascii="Times New Roman" w:hAnsi="Times New Roman" w:cs="Times New Roman" w:eastAsia="Times New Roman" w:hint="default"/>
          <w:sz w:val="24"/>
          <w:szCs w:val="24"/>
        </w:rPr>
      </w:pPr>
    </w:p>
    <w:p>
      <w:pPr>
        <w:pStyle w:val="Heading1"/>
        <w:numPr>
          <w:ilvl w:val="3"/>
          <w:numId w:val="38"/>
        </w:numPr>
        <w:tabs>
          <w:tab w:pos="1181" w:val="left" w:leader="none"/>
        </w:tabs>
        <w:spacing w:line="274" w:lineRule="exact" w:before="0" w:after="0"/>
        <w:ind w:left="1180" w:right="0" w:hanging="900"/>
        <w:jc w:val="left"/>
        <w:rPr>
          <w:b w:val="0"/>
          <w:bCs w:val="0"/>
        </w:rPr>
      </w:pPr>
      <w:bookmarkStart w:name="_bookmark24" w:id="43"/>
      <w:bookmarkEnd w:id="43"/>
      <w:r>
        <w:rPr>
          <w:b w:val="0"/>
        </w:rPr>
      </w:r>
      <w:bookmarkStart w:name="_bookmark24" w:id="44"/>
      <w:bookmarkEnd w:id="44"/>
      <w:r>
        <w:rPr/>
        <w:t>П</w:t>
      </w:r>
      <w:r>
        <w:rPr/>
        <w:t>ратећи трошкови задуживања, група</w:t>
      </w:r>
      <w:r>
        <w:rPr>
          <w:spacing w:val="-11"/>
        </w:rPr>
        <w:t> </w:t>
      </w:r>
      <w:r>
        <w:rPr/>
        <w:t>444000</w:t>
      </w:r>
      <w:r>
        <w:rPr>
          <w:b w:val="0"/>
        </w:rPr>
      </w:r>
    </w:p>
    <w:p>
      <w:pPr>
        <w:pStyle w:val="BodyText"/>
        <w:spacing w:line="240" w:lineRule="auto"/>
        <w:ind w:right="179" w:firstLine="719"/>
        <w:jc w:val="both"/>
      </w:pPr>
      <w:r>
        <w:rPr/>
        <w:t>Група 444000 </w:t>
      </w:r>
      <w:r>
        <w:rPr>
          <w:rFonts w:ascii="Times New Roman" w:hAnsi="Times New Roman"/>
        </w:rPr>
        <w:t>- </w:t>
      </w:r>
      <w:r>
        <w:rPr/>
        <w:t>Пратећи трошкови задуживања садржи синтетичка конта  негативне курсне разлике, казне за кашњење и таксе које проистичу из</w:t>
      </w:r>
      <w:r>
        <w:rPr>
          <w:spacing w:val="-33"/>
        </w:rPr>
        <w:t> </w:t>
      </w:r>
      <w:r>
        <w:rPr/>
        <w:t>задуживања.</w:t>
      </w:r>
    </w:p>
    <w:p>
      <w:pPr>
        <w:spacing w:before="3" w:after="4"/>
        <w:ind w:left="0" w:right="323" w:firstLine="0"/>
        <w:jc w:val="right"/>
        <w:rPr>
          <w:rFonts w:ascii="Times New Roman" w:hAnsi="Times New Roman" w:cs="Times New Roman" w:eastAsia="Times New Roman" w:hint="default"/>
          <w:sz w:val="18"/>
          <w:szCs w:val="18"/>
        </w:rPr>
      </w:pPr>
      <w:r>
        <w:rPr>
          <w:rFonts w:ascii="Times New Roman" w:hAnsi="Times New Roman"/>
          <w:sz w:val="18"/>
        </w:rPr>
        <w:t>(у хиљадама</w:t>
      </w:r>
      <w:r>
        <w:rPr>
          <w:rFonts w:ascii="Times New Roman" w:hAnsi="Times New Roman"/>
          <w:spacing w:val="-12"/>
          <w:sz w:val="18"/>
        </w:rPr>
        <w:t> </w:t>
      </w:r>
      <w:r>
        <w:rPr>
          <w:rFonts w:ascii="Times New Roman" w:hAnsi="Times New Roman"/>
          <w:sz w:val="18"/>
        </w:rPr>
        <w:t>динара)</w:t>
      </w:r>
    </w:p>
    <w:tbl>
      <w:tblPr>
        <w:tblW w:w="0" w:type="auto"/>
        <w:jc w:val="left"/>
        <w:tblInd w:w="141" w:type="dxa"/>
        <w:tblLayout w:type="fixed"/>
        <w:tblCellMar>
          <w:top w:w="0" w:type="dxa"/>
          <w:left w:w="0" w:type="dxa"/>
          <w:bottom w:w="0" w:type="dxa"/>
          <w:right w:w="0" w:type="dxa"/>
        </w:tblCellMar>
        <w:tblLook w:val="01E0"/>
      </w:tblPr>
      <w:tblGrid>
        <w:gridCol w:w="876"/>
        <w:gridCol w:w="2401"/>
        <w:gridCol w:w="960"/>
        <w:gridCol w:w="1351"/>
        <w:gridCol w:w="1047"/>
        <w:gridCol w:w="936"/>
        <w:gridCol w:w="845"/>
        <w:gridCol w:w="847"/>
      </w:tblGrid>
      <w:tr>
        <w:trPr>
          <w:trHeight w:val="475"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261" w:right="178" w:hanging="72"/>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9"/>
              <w:ind w:left="393"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8"/>
                <w:sz w:val="18"/>
              </w:rPr>
              <w:t> </w:t>
            </w:r>
            <w:r>
              <w:rPr>
                <w:rFonts w:ascii="Times New Roman" w:hAnsi="Times New Roman"/>
                <w:b/>
                <w:sz w:val="18"/>
              </w:rPr>
              <w:t>корисник</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9"/>
              <w:ind w:right="103"/>
              <w:jc w:val="right"/>
              <w:rPr>
                <w:rFonts w:ascii="Times New Roman" w:hAnsi="Times New Roman" w:cs="Times New Roman" w:eastAsia="Times New Roman" w:hint="default"/>
                <w:sz w:val="18"/>
                <w:szCs w:val="18"/>
              </w:rPr>
            </w:pPr>
            <w:r>
              <w:rPr>
                <w:rFonts w:ascii="Times New Roman" w:hAnsi="Times New Roman"/>
                <w:b/>
                <w:spacing w:val="-1"/>
                <w:sz w:val="18"/>
              </w:rPr>
              <w:t>Ребаланс</w:t>
            </w:r>
            <w:r>
              <w:rPr>
                <w:rFonts w:ascii="Times New Roman" w:hAns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103" w:right="93" w:firstLine="88"/>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реалокацијом</w:t>
            </w:r>
            <w:r>
              <w:rPr>
                <w:rFonts w:ascii="Times New Roman" w:hAns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103" w:right="95"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112" w:right="107"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299" w:right="110"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302" w:right="109"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49"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403" w:right="0"/>
              <w:jc w:val="left"/>
              <w:rPr>
                <w:rFonts w:ascii="Times New Roman" w:hAnsi="Times New Roman" w:cs="Times New Roman" w:eastAsia="Times New Roman" w:hint="default"/>
                <w:sz w:val="12"/>
                <w:szCs w:val="12"/>
              </w:rPr>
            </w:pPr>
            <w:r>
              <w:rPr>
                <w:rFonts w:ascii="Times New Roman"/>
                <w:sz w:val="12"/>
              </w:rPr>
              <w:t>1</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1"/>
              <w:jc w:val="center"/>
              <w:rPr>
                <w:rFonts w:ascii="Times New Roman" w:hAnsi="Times New Roman" w:cs="Times New Roman" w:eastAsia="Times New Roman" w:hint="default"/>
                <w:sz w:val="12"/>
                <w:szCs w:val="12"/>
              </w:rPr>
            </w:pPr>
            <w:r>
              <w:rPr>
                <w:rFonts w:ascii="Times New Roman"/>
                <w:sz w:val="12"/>
              </w:rPr>
              <w:t>2</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487" w:right="0"/>
              <w:jc w:val="left"/>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
              <w:jc w:val="center"/>
              <w:rPr>
                <w:rFonts w:ascii="Times New Roman" w:hAnsi="Times New Roman" w:cs="Times New Roman" w:eastAsia="Times New Roman" w:hint="default"/>
                <w:sz w:val="12"/>
                <w:szCs w:val="12"/>
              </w:rPr>
            </w:pPr>
            <w:r>
              <w:rPr>
                <w:rFonts w:ascii="Times New Roman"/>
                <w:sz w:val="12"/>
              </w:rPr>
              <w:t>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7</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8</w:t>
            </w:r>
          </w:p>
        </w:tc>
      </w:tr>
      <w:tr>
        <w:trPr>
          <w:trHeight w:val="264"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386" w:right="0"/>
              <w:jc w:val="left"/>
              <w:rPr>
                <w:rFonts w:ascii="Times New Roman" w:hAnsi="Times New Roman" w:cs="Times New Roman" w:eastAsia="Times New Roman" w:hint="default"/>
                <w:sz w:val="18"/>
                <w:szCs w:val="18"/>
              </w:rPr>
            </w:pPr>
            <w:r>
              <w:rPr>
                <w:rFonts w:ascii="Times New Roman"/>
                <w:sz w:val="18"/>
              </w:rPr>
              <w:t>1</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8"/>
                <w:sz w:val="18"/>
              </w:rPr>
              <w:t> </w:t>
            </w:r>
            <w:r>
              <w:rPr>
                <w:rFonts w:ascii="Times New Roman" w:hAnsi="Times New Roman"/>
                <w:sz w:val="18"/>
              </w:rPr>
              <w:t>финансије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1.734</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1.734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525" w:right="0"/>
              <w:jc w:val="left"/>
              <w:rPr>
                <w:rFonts w:ascii="Times New Roman" w:hAnsi="Times New Roman" w:cs="Times New Roman" w:eastAsia="Times New Roman" w:hint="default"/>
                <w:sz w:val="18"/>
                <w:szCs w:val="18"/>
              </w:rPr>
            </w:pPr>
            <w:r>
              <w:rPr>
                <w:rFonts w:ascii="Times New Roman"/>
                <w:sz w:val="18"/>
              </w:rPr>
              <w:t>1.133</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8"/>
                <w:szCs w:val="18"/>
              </w:rPr>
            </w:pPr>
            <w:r>
              <w:rPr>
                <w:rFonts w:ascii="Times New Roman"/>
                <w:spacing w:val="-1"/>
                <w:sz w:val="18"/>
              </w:rPr>
              <w:t>11.933</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8"/>
                <w:szCs w:val="18"/>
              </w:rPr>
            </w:pPr>
            <w:r>
              <w:rPr>
                <w:rFonts w:ascii="Times New Roman"/>
                <w:spacing w:val="-1"/>
                <w:sz w:val="18"/>
              </w:rPr>
              <w:t>688,18</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pacing w:val="-1"/>
                <w:sz w:val="18"/>
              </w:rPr>
              <w:t>1.053,22</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386" w:right="0"/>
              <w:jc w:val="left"/>
              <w:rPr>
                <w:rFonts w:ascii="Times New Roman" w:hAnsi="Times New Roman" w:cs="Times New Roman" w:eastAsia="Times New Roman" w:hint="default"/>
                <w:sz w:val="18"/>
                <w:szCs w:val="18"/>
              </w:rPr>
            </w:pPr>
            <w:r>
              <w:rPr>
                <w:rFonts w:ascii="Times New Roman"/>
                <w:sz w:val="18"/>
              </w:rPr>
              <w:t>2</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5"/>
                <w:sz w:val="18"/>
              </w:rPr>
              <w:t> </w:t>
            </w:r>
            <w:r>
              <w:rPr>
                <w:rFonts w:ascii="Times New Roman" w:hAnsi="Times New Roman"/>
                <w:sz w:val="18"/>
              </w:rPr>
              <w:t>образовање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z w:val="18"/>
              </w:rPr>
              <w:t>8.000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z w:val="18"/>
              </w:rPr>
              <w:t>8.000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525" w:right="0"/>
              <w:jc w:val="left"/>
              <w:rPr>
                <w:rFonts w:ascii="Times New Roman" w:hAnsi="Times New Roman" w:cs="Times New Roman" w:eastAsia="Times New Roman" w:hint="default"/>
                <w:sz w:val="18"/>
                <w:szCs w:val="18"/>
              </w:rPr>
            </w:pPr>
            <w:r>
              <w:rPr>
                <w:rFonts w:ascii="Times New Roman"/>
                <w:sz w:val="18"/>
              </w:rPr>
              <w:t>9.582</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4"/>
              <w:jc w:val="right"/>
              <w:rPr>
                <w:rFonts w:ascii="Times New Roman" w:hAnsi="Times New Roman" w:cs="Times New Roman" w:eastAsia="Times New Roman" w:hint="default"/>
                <w:sz w:val="18"/>
                <w:szCs w:val="18"/>
              </w:rPr>
            </w:pPr>
            <w:r>
              <w:rPr>
                <w:rFonts w:ascii="Times New Roman"/>
                <w:sz w:val="18"/>
              </w:rPr>
              <w:t>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pacing w:val="-1"/>
                <w:sz w:val="18"/>
              </w:rPr>
              <w:t>0,00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pacing w:val="-1"/>
                <w:sz w:val="18"/>
              </w:rPr>
              <w:t>0,00</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hAnsi="Times New Roman"/>
                <w:sz w:val="18"/>
              </w:rPr>
              <w:t>2а</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ПУ</w:t>
            </w:r>
            <w:r>
              <w:rPr>
                <w:rFonts w:ascii="Times New Roman" w:hAnsi="Times New Roman"/>
                <w:spacing w:val="-5"/>
                <w:sz w:val="18"/>
              </w:rPr>
              <w:t> </w:t>
            </w:r>
            <w:r>
              <w:rPr>
                <w:rFonts w:ascii="Times New Roman" w:hAnsi="Times New Roman"/>
                <w:sz w:val="18"/>
              </w:rPr>
              <w:t>Пчелица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8.000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8.000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525" w:right="0"/>
              <w:jc w:val="left"/>
              <w:rPr>
                <w:rFonts w:ascii="Times New Roman" w:hAnsi="Times New Roman" w:cs="Times New Roman" w:eastAsia="Times New Roman" w:hint="default"/>
                <w:sz w:val="18"/>
                <w:szCs w:val="18"/>
              </w:rPr>
            </w:pPr>
            <w:r>
              <w:rPr>
                <w:rFonts w:ascii="Times New Roman"/>
                <w:sz w:val="18"/>
              </w:rPr>
              <w:t>9.582</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4"/>
              <w:jc w:val="right"/>
              <w:rPr>
                <w:rFonts w:ascii="Times New Roman" w:hAnsi="Times New Roman" w:cs="Times New Roman" w:eastAsia="Times New Roman" w:hint="default"/>
                <w:sz w:val="18"/>
                <w:szCs w:val="18"/>
              </w:rPr>
            </w:pPr>
            <w:r>
              <w:rPr>
                <w:rFonts w:ascii="Times New Roman"/>
                <w:sz w:val="18"/>
              </w:rPr>
              <w:t>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0,00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0,00</w:t>
            </w:r>
          </w:p>
        </w:tc>
      </w:tr>
      <w:tr>
        <w:trPr>
          <w:trHeight w:val="216"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671" w:right="0"/>
              <w:jc w:val="left"/>
              <w:rPr>
                <w:rFonts w:ascii="Times New Roman" w:hAnsi="Times New Roman" w:cs="Times New Roman" w:eastAsia="Times New Roman" w:hint="default"/>
                <w:sz w:val="18"/>
                <w:szCs w:val="18"/>
              </w:rPr>
            </w:pPr>
            <w:r>
              <w:rPr>
                <w:rFonts w:ascii="Times New Roman" w:hAnsi="Times New Roman"/>
                <w:b/>
                <w:sz w:val="18"/>
              </w:rPr>
              <w:t>Укупно корисници</w:t>
            </w:r>
            <w:r>
              <w:rPr>
                <w:rFonts w:ascii="Times New Roman" w:hAnsi="Times New Roman"/>
                <w:b/>
                <w:spacing w:val="-3"/>
                <w:sz w:val="18"/>
              </w:rPr>
              <w:t> </w:t>
            </w:r>
            <w:r>
              <w:rPr>
                <w:rFonts w:ascii="Times New Roman" w:hAnsi="Times New Roman"/>
                <w:b/>
                <w:sz w:val="18"/>
              </w:rPr>
              <w:t>(1</w:t>
            </w:r>
            <w:r>
              <w:rPr>
                <w:rFonts w:ascii="Times New Roman" w:hAnsi="Times New Roman"/>
                <w:b/>
                <w:sz w:val="18"/>
              </w:rPr>
              <w:t>-2)</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9.734</w:t>
            </w:r>
            <w:r>
              <w:rPr>
                <w:rFonts w:ascii="Times New Roman"/>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9.734</w:t>
            </w:r>
            <w:r>
              <w:rPr>
                <w:rFonts w:asci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436" w:right="0"/>
              <w:jc w:val="left"/>
              <w:rPr>
                <w:rFonts w:ascii="Times New Roman" w:hAnsi="Times New Roman" w:cs="Times New Roman" w:eastAsia="Times New Roman" w:hint="default"/>
                <w:sz w:val="18"/>
                <w:szCs w:val="18"/>
              </w:rPr>
            </w:pPr>
            <w:r>
              <w:rPr>
                <w:rFonts w:ascii="Times New Roman"/>
                <w:b/>
                <w:sz w:val="18"/>
              </w:rPr>
              <w:t>10.715</w:t>
            </w:r>
            <w:r>
              <w:rPr>
                <w:rFonts w:asci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2"/>
              <w:jc w:val="right"/>
              <w:rPr>
                <w:rFonts w:ascii="Times New Roman" w:hAnsi="Times New Roman" w:cs="Times New Roman" w:eastAsia="Times New Roman" w:hint="default"/>
                <w:sz w:val="18"/>
                <w:szCs w:val="18"/>
              </w:rPr>
            </w:pPr>
            <w:r>
              <w:rPr>
                <w:rFonts w:ascii="Times New Roman"/>
                <w:b/>
                <w:spacing w:val="-1"/>
                <w:sz w:val="18"/>
              </w:rPr>
              <w:t>11.933</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2"/>
              <w:jc w:val="right"/>
              <w:rPr>
                <w:rFonts w:ascii="Times New Roman" w:hAnsi="Times New Roman" w:cs="Times New Roman" w:eastAsia="Times New Roman" w:hint="default"/>
                <w:sz w:val="18"/>
                <w:szCs w:val="18"/>
              </w:rPr>
            </w:pPr>
            <w:r>
              <w:rPr>
                <w:rFonts w:ascii="Times New Roman"/>
                <w:b/>
                <w:spacing w:val="-1"/>
                <w:sz w:val="18"/>
              </w:rPr>
              <w:t>122,59</w:t>
            </w:r>
            <w:r>
              <w:rPr>
                <w:rFonts w:ascii="Times New Roman"/>
                <w:spacing w:val="-1"/>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111,37</w:t>
            </w:r>
            <w:r>
              <w:rPr>
                <w:rFonts w:ascii="Times New Roman"/>
                <w:spacing w:val="-1"/>
                <w:sz w:val="18"/>
              </w:rPr>
            </w:r>
          </w:p>
        </w:tc>
      </w:tr>
      <w:tr>
        <w:trPr>
          <w:trHeight w:val="218"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501" w:right="0"/>
              <w:jc w:val="left"/>
              <w:rPr>
                <w:rFonts w:ascii="Times New Roman" w:hAnsi="Times New Roman" w:cs="Times New Roman" w:eastAsia="Times New Roman" w:hint="default"/>
                <w:sz w:val="18"/>
                <w:szCs w:val="18"/>
              </w:rPr>
            </w:pPr>
            <w:r>
              <w:rPr>
                <w:rFonts w:ascii="Times New Roman" w:hAnsi="Times New Roman"/>
                <w:b/>
                <w:sz w:val="18"/>
              </w:rPr>
              <w:t>Укупно  Град </w:t>
            </w:r>
            <w:r>
              <w:rPr>
                <w:rFonts w:ascii="Times New Roman" w:hAnsi="Times New Roman"/>
                <w:b/>
                <w:sz w:val="18"/>
              </w:rPr>
              <w:t>- </w:t>
            </w:r>
            <w:r>
              <w:rPr>
                <w:rFonts w:ascii="Times New Roman" w:hAnsi="Times New Roman"/>
                <w:b/>
                <w:sz w:val="18"/>
              </w:rPr>
              <w:t>група</w:t>
            </w:r>
            <w:r>
              <w:rPr>
                <w:rFonts w:ascii="Times New Roman" w:hAnsi="Times New Roman"/>
                <w:b/>
                <w:spacing w:val="-6"/>
                <w:sz w:val="18"/>
              </w:rPr>
              <w:t> </w:t>
            </w:r>
            <w:r>
              <w:rPr>
                <w:rFonts w:ascii="Times New Roman" w:hAnsi="Times New Roman"/>
                <w:b/>
                <w:sz w:val="18"/>
              </w:rPr>
              <w:t>444000</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9.816</w:t>
            </w:r>
            <w:r>
              <w:rPr>
                <w:rFonts w:ascii="Times New Roman"/>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9.816</w:t>
            </w:r>
            <w:r>
              <w:rPr>
                <w:rFonts w:asci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436" w:right="0"/>
              <w:jc w:val="left"/>
              <w:rPr>
                <w:rFonts w:ascii="Times New Roman" w:hAnsi="Times New Roman" w:cs="Times New Roman" w:eastAsia="Times New Roman" w:hint="default"/>
                <w:sz w:val="18"/>
                <w:szCs w:val="18"/>
              </w:rPr>
            </w:pPr>
            <w:r>
              <w:rPr>
                <w:rFonts w:ascii="Times New Roman"/>
                <w:b/>
                <w:sz w:val="18"/>
              </w:rPr>
              <w:t>10.794</w:t>
            </w:r>
            <w:r>
              <w:rPr>
                <w:rFonts w:asci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2"/>
              <w:jc w:val="right"/>
              <w:rPr>
                <w:rFonts w:ascii="Times New Roman" w:hAnsi="Times New Roman" w:cs="Times New Roman" w:eastAsia="Times New Roman" w:hint="default"/>
                <w:sz w:val="18"/>
                <w:szCs w:val="18"/>
              </w:rPr>
            </w:pPr>
            <w:r>
              <w:rPr>
                <w:rFonts w:ascii="Times New Roman"/>
                <w:b/>
                <w:spacing w:val="-1"/>
                <w:sz w:val="18"/>
              </w:rPr>
              <w:t>12.012</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2"/>
              <w:jc w:val="right"/>
              <w:rPr>
                <w:rFonts w:ascii="Times New Roman" w:hAnsi="Times New Roman" w:cs="Times New Roman" w:eastAsia="Times New Roman" w:hint="default"/>
                <w:sz w:val="18"/>
                <w:szCs w:val="18"/>
              </w:rPr>
            </w:pPr>
            <w:r>
              <w:rPr>
                <w:rFonts w:ascii="Times New Roman"/>
                <w:b/>
                <w:spacing w:val="-1"/>
                <w:sz w:val="18"/>
              </w:rPr>
              <w:t>122,37</w:t>
            </w:r>
            <w:r>
              <w:rPr>
                <w:rFonts w:ascii="Times New Roman"/>
                <w:spacing w:val="-1"/>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111,28</w:t>
            </w:r>
            <w:r>
              <w:rPr>
                <w:rFonts w:ascii="Times New Roman"/>
                <w:spacing w:val="-1"/>
                <w:sz w:val="18"/>
              </w:rPr>
            </w:r>
          </w:p>
        </w:tc>
      </w:tr>
    </w:tbl>
    <w:p>
      <w:pPr>
        <w:pStyle w:val="BodyText"/>
        <w:spacing w:line="268" w:lineRule="exact"/>
        <w:ind w:left="726" w:right="141"/>
        <w:jc w:val="left"/>
      </w:pPr>
      <w:r>
        <w:rPr/>
        <w:t>Исказан је расход у износу од </w:t>
      </w:r>
      <w:r>
        <w:rPr>
          <w:rFonts w:ascii="Times New Roman" w:hAnsi="Times New Roman"/>
        </w:rPr>
        <w:t>10.794 </w:t>
      </w:r>
      <w:r>
        <w:rPr/>
        <w:t>хиљаде динара и то на терет</w:t>
      </w:r>
      <w:r>
        <w:rPr>
          <w:spacing w:val="-21"/>
        </w:rPr>
        <w:t> </w:t>
      </w:r>
      <w:r>
        <w:rPr/>
        <w:t>буџета.</w:t>
      </w:r>
    </w:p>
    <w:p>
      <w:pPr>
        <w:pStyle w:val="ListParagraph"/>
        <w:numPr>
          <w:ilvl w:val="4"/>
          <w:numId w:val="38"/>
        </w:numPr>
        <w:tabs>
          <w:tab w:pos="1013" w:val="left" w:leader="none"/>
        </w:tabs>
        <w:spacing w:line="240" w:lineRule="auto" w:before="5" w:after="0"/>
        <w:ind w:left="160" w:right="175"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 за финансије изворне приходе локалне самоуправе и јавне набавке – </w:t>
      </w:r>
      <w:r>
        <w:rPr>
          <w:rFonts w:ascii="Times New Roman" w:hAnsi="Times New Roman" w:cs="Times New Roman" w:eastAsia="Times New Roman" w:hint="default"/>
          <w:sz w:val="24"/>
          <w:szCs w:val="24"/>
        </w:rPr>
        <w:t>Исказан је расход у износу од 1.133 хиљаде динара по основу отплате затезне камате за кредите узете код банака. „Аик банка“ ад Ниш је принудним путем са рачуна извршења буџета наплатила износ од 586 хиљада динара по основу камате због нередовног плаћања кредита.</w:t>
      </w:r>
    </w:p>
    <w:p>
      <w:pPr>
        <w:pStyle w:val="BodyText"/>
        <w:spacing w:line="240" w:lineRule="auto"/>
        <w:ind w:right="141" w:firstLine="566"/>
        <w:jc w:val="left"/>
      </w:pPr>
      <w:r>
        <w:rPr>
          <w:rFonts w:ascii="Times New Roman" w:hAnsi="Times New Roman" w:cs="Times New Roman" w:eastAsia="Times New Roman" w:hint="default"/>
          <w:b/>
          <w:bCs/>
        </w:rPr>
        <w:t>На основу ревизије узорковане документације утврђено је </w:t>
      </w:r>
      <w:r>
        <w:rPr/>
        <w:t>да није вршено евидентирање пратећих трошкова задуживања преко групе </w:t>
      </w:r>
      <w:r>
        <w:rPr>
          <w:rFonts w:ascii="Times New Roman" w:hAnsi="Times New Roman" w:cs="Times New Roman" w:eastAsia="Times New Roman" w:hint="default"/>
        </w:rPr>
        <w:t>241000 </w:t>
      </w:r>
      <w:r>
        <w:rPr/>
        <w:t>– обавезе по основу отплате камата и пратећих трошкова задуживања, што је супротно члану 9. Уредбе о буџетском рачуноводству и Правилнику о стандардном класификационом оквиру и контом плану за буџетски</w:t>
      </w:r>
      <w:r>
        <w:rPr>
          <w:spacing w:val="-16"/>
        </w:rPr>
        <w:t> </w:t>
      </w:r>
      <w:r>
        <w:rPr/>
        <w:t>систем.</w:t>
      </w:r>
    </w:p>
    <w:p>
      <w:pPr>
        <w:pStyle w:val="Heading2"/>
        <w:spacing w:line="240" w:lineRule="auto"/>
        <w:ind w:right="181"/>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ListParagraph"/>
        <w:numPr>
          <w:ilvl w:val="4"/>
          <w:numId w:val="38"/>
        </w:numPr>
        <w:tabs>
          <w:tab w:pos="1013" w:val="left" w:leader="none"/>
        </w:tabs>
        <w:spacing w:line="240" w:lineRule="auto" w:before="132" w:after="0"/>
        <w:ind w:left="160" w:right="175"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 за образовање </w:t>
      </w:r>
      <w:r>
        <w:rPr>
          <w:rFonts w:ascii="Times New Roman" w:hAnsi="Times New Roman" w:cs="Times New Roman" w:eastAsia="Times New Roman" w:hint="default"/>
          <w:sz w:val="24"/>
          <w:szCs w:val="24"/>
        </w:rPr>
        <w:t>– Исказан је расход у износу од 9.582 хиљаде динара из осталих извора, који се у целости односи на индиректног корисника ПУ</w:t>
      </w:r>
      <w:r>
        <w:rPr>
          <w:rFonts w:ascii="Times New Roman" w:hAnsi="Times New Roman" w:cs="Times New Roman" w:eastAsia="Times New Roman" w:hint="default"/>
          <w:spacing w:val="-28"/>
          <w:sz w:val="24"/>
          <w:szCs w:val="24"/>
        </w:rPr>
        <w:t> </w:t>
      </w:r>
      <w:r>
        <w:rPr>
          <w:rFonts w:ascii="Times New Roman" w:hAnsi="Times New Roman" w:cs="Times New Roman" w:eastAsia="Times New Roman" w:hint="default"/>
          <w:sz w:val="24"/>
          <w:szCs w:val="24"/>
        </w:rPr>
        <w:t>Пчелица.</w:t>
      </w:r>
    </w:p>
    <w:p>
      <w:pPr>
        <w:spacing w:before="0"/>
        <w:ind w:left="726" w:right="141"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2а) ПУ Пчелица – </w:t>
      </w:r>
      <w:r>
        <w:rPr>
          <w:rFonts w:ascii="Times New Roman" w:hAnsi="Times New Roman" w:cs="Times New Roman" w:eastAsia="Times New Roman" w:hint="default"/>
          <w:sz w:val="24"/>
          <w:szCs w:val="24"/>
        </w:rPr>
        <w:t>Исказан је расход у износу од </w:t>
      </w:r>
      <w:r>
        <w:rPr>
          <w:rFonts w:ascii="Times New Roman" w:hAnsi="Times New Roman" w:cs="Times New Roman" w:eastAsia="Times New Roman" w:hint="default"/>
          <w:sz w:val="24"/>
          <w:szCs w:val="24"/>
        </w:rPr>
        <w:t>9.</w:t>
      </w:r>
      <w:r>
        <w:rPr>
          <w:rFonts w:ascii="Times New Roman" w:hAnsi="Times New Roman" w:cs="Times New Roman" w:eastAsia="Times New Roman" w:hint="default"/>
          <w:sz w:val="24"/>
          <w:szCs w:val="24"/>
        </w:rPr>
        <w:t>582 хиљаде</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динара.</w:t>
      </w:r>
    </w:p>
    <w:p>
      <w:pPr>
        <w:pStyle w:val="BodyText"/>
        <w:spacing w:line="240" w:lineRule="auto"/>
        <w:ind w:right="178" w:firstLine="566"/>
        <w:jc w:val="both"/>
        <w:rPr>
          <w:rFonts w:ascii="Times New Roman" w:hAnsi="Times New Roman" w:cs="Times New Roman" w:eastAsia="Times New Roman" w:hint="default"/>
        </w:rPr>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Казне по решењу правосудних органа, субаналитички конто 444212 </w:t>
      </w:r>
      <w:r>
        <w:rPr/>
      </w:r>
      <w:r>
        <w:rPr>
          <w:rFonts w:ascii="Times New Roman" w:hAnsi="Times New Roman" w:cs="Times New Roman" w:eastAsia="Times New Roman" w:hint="default"/>
          <w:b/>
          <w:bCs/>
        </w:rPr>
        <w:t>– </w:t>
      </w:r>
      <w:r>
        <w:rPr/>
        <w:t>Исказан је расход у износу 9.582 хиљаде динара из осталих</w:t>
      </w:r>
      <w:r>
        <w:rPr>
          <w:spacing w:val="-8"/>
        </w:rPr>
        <w:t> </w:t>
      </w:r>
      <w:r>
        <w:rPr/>
        <w:t>извора</w:t>
      </w:r>
      <w:r>
        <w:rPr>
          <w:rFonts w:ascii="Times New Roman" w:hAnsi="Times New Roman" w:cs="Times New Roman" w:eastAsia="Times New Roman" w:hint="default"/>
        </w:rPr>
        <w:t>.</w:t>
      </w:r>
    </w:p>
    <w:p>
      <w:pPr>
        <w:pStyle w:val="Heading1"/>
        <w:spacing w:line="240" w:lineRule="auto"/>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1"/>
        </w:rPr>
        <w:t> </w:t>
      </w:r>
      <w:r>
        <w:rPr/>
        <w:t>је</w:t>
      </w:r>
      <w:r>
        <w:rPr>
          <w:rFonts w:ascii="Times New Roman" w:hAnsi="Times New Roman"/>
        </w:rPr>
        <w:t>:</w:t>
      </w:r>
      <w:r>
        <w:rPr>
          <w:rFonts w:ascii="Times New Roman" w:hAnsi="Times New Roman"/>
          <w:b w:val="0"/>
        </w:rPr>
      </w:r>
    </w:p>
    <w:p>
      <w:pPr>
        <w:spacing w:after="0" w:line="240" w:lineRule="auto"/>
        <w:jc w:val="left"/>
        <w:rPr>
          <w:rFonts w:ascii="Times New Roman" w:hAnsi="Times New Roman" w:cs="Times New Roman" w:eastAsia="Times New Roman" w:hint="default"/>
        </w:rPr>
        <w:sectPr>
          <w:footerReference w:type="default" r:id="rId73"/>
          <w:pgSz w:w="12240" w:h="15840"/>
          <w:pgMar w:footer="1274" w:header="740" w:top="1280" w:bottom="1460" w:left="1400" w:right="1260"/>
          <w:pgNumType w:start="160"/>
        </w:sectPr>
      </w:pPr>
    </w:p>
    <w:p>
      <w:pPr>
        <w:pStyle w:val="ListParagraph"/>
        <w:numPr>
          <w:ilvl w:val="0"/>
          <w:numId w:val="9"/>
        </w:numPr>
        <w:tabs>
          <w:tab w:pos="303" w:val="left" w:leader="none"/>
        </w:tabs>
        <w:spacing w:line="292" w:lineRule="exact" w:before="124"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Извршен  је  расход  у износу већем  од  износа  одобреног  апропријацијом  за износ</w:t>
      </w:r>
      <w:r>
        <w:rPr>
          <w:rFonts w:ascii="Times New Roman" w:hAnsi="Times New Roman"/>
          <w:spacing w:val="37"/>
          <w:sz w:val="24"/>
        </w:rPr>
        <w:t> </w:t>
      </w:r>
      <w:r>
        <w:rPr>
          <w:rFonts w:ascii="Times New Roman" w:hAnsi="Times New Roman"/>
          <w:sz w:val="24"/>
        </w:rPr>
        <w:t>од</w:t>
      </w:r>
    </w:p>
    <w:p>
      <w:pPr>
        <w:pStyle w:val="BodyText"/>
        <w:spacing w:line="274" w:lineRule="exact"/>
        <w:ind w:right="0"/>
        <w:jc w:val="both"/>
      </w:pPr>
      <w:r>
        <w:rPr/>
        <w:t>1.582 хиљаде динара, што је супротно члану 54. Закона о буџетском</w:t>
      </w:r>
      <w:r>
        <w:rPr>
          <w:spacing w:val="-21"/>
        </w:rPr>
        <w:t> </w:t>
      </w:r>
      <w:r>
        <w:rPr/>
        <w:t>систему.</w:t>
      </w:r>
    </w:p>
    <w:p>
      <w:pPr>
        <w:pStyle w:val="ListParagraph"/>
        <w:numPr>
          <w:ilvl w:val="0"/>
          <w:numId w:val="9"/>
        </w:numPr>
        <w:tabs>
          <w:tab w:pos="341"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Неправилно је евидентиран расход у укупном износу од 9.582 хиљаде динара уместо на групи 483000</w:t>
      </w:r>
      <w:r>
        <w:rPr>
          <w:rFonts w:ascii="Times New Roman" w:hAnsi="Times New Roman"/>
          <w:sz w:val="24"/>
        </w:rPr>
        <w:t>-</w:t>
      </w:r>
      <w:r>
        <w:rPr>
          <w:rFonts w:ascii="Times New Roman" w:hAnsi="Times New Roman"/>
          <w:sz w:val="24"/>
        </w:rPr>
        <w:t>новчане казне и пенали по решењу судова,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spacing w:val="-21"/>
          <w:sz w:val="24"/>
        </w:rPr>
        <w:t> </w:t>
      </w:r>
      <w:r>
        <w:rPr>
          <w:rFonts w:ascii="Times New Roman" w:hAnsi="Times New Roman"/>
          <w:sz w:val="24"/>
        </w:rPr>
        <w:t>систем.</w:t>
      </w:r>
    </w:p>
    <w:p>
      <w:pPr>
        <w:pStyle w:val="Heading2"/>
        <w:spacing w:line="240" w:lineRule="auto"/>
        <w:ind w:right="176"/>
        <w:jc w:val="both"/>
        <w:rPr>
          <w:b w:val="0"/>
          <w:bCs w:val="0"/>
          <w:i w:val="0"/>
        </w:rPr>
      </w:pPr>
      <w:r>
        <w:rPr>
          <w:i/>
        </w:rPr>
        <w:t>Препоручује се одговорним лицима да расходе извршавају до износа одобрене апропријације буџетом за ту намену у тој години,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8"/>
        </w:rPr>
        <w:t> </w:t>
      </w:r>
      <w:r>
        <w:rPr>
          <w:i/>
        </w:rPr>
        <w:t>систем.</w:t>
      </w:r>
      <w:r>
        <w:rPr>
          <w:b w:val="0"/>
          <w:i w:val="0"/>
        </w:rPr>
      </w:r>
    </w:p>
    <w:p>
      <w:pPr>
        <w:spacing w:line="240" w:lineRule="auto" w:before="1"/>
        <w:rPr>
          <w:rFonts w:ascii="Times New Roman" w:hAnsi="Times New Roman" w:cs="Times New Roman" w:eastAsia="Times New Roman" w:hint="default"/>
          <w:b/>
          <w:bCs/>
          <w:i/>
          <w:sz w:val="24"/>
          <w:szCs w:val="24"/>
        </w:rPr>
      </w:pPr>
    </w:p>
    <w:p>
      <w:pPr>
        <w:pStyle w:val="Heading1"/>
        <w:spacing w:line="240" w:lineRule="auto" w:before="0"/>
        <w:ind w:left="1021" w:right="141" w:hanging="862"/>
        <w:jc w:val="left"/>
        <w:rPr>
          <w:rFonts w:ascii="Times New Roman" w:hAnsi="Times New Roman" w:cs="Times New Roman" w:eastAsia="Times New Roman" w:hint="default"/>
          <w:b w:val="0"/>
          <w:bCs w:val="0"/>
        </w:rPr>
      </w:pPr>
      <w:bookmarkStart w:name="_bookmark25" w:id="45"/>
      <w:bookmarkEnd w:id="45"/>
      <w:r>
        <w:rPr>
          <w:b w:val="0"/>
        </w:rPr>
      </w:r>
      <w:r>
        <w:rPr>
          <w:rFonts w:ascii="Times New Roman" w:hAnsi="Times New Roman"/>
        </w:rPr>
        <w:t>4.1.4.17. </w:t>
      </w:r>
      <w:r>
        <w:rPr/>
        <w:t>Субвенције јавним нефинансијским предузећима и организацијама, група </w:t>
      </w:r>
      <w:r>
        <w:rPr>
          <w:rFonts w:ascii="Times New Roman" w:hAnsi="Times New Roman"/>
        </w:rPr>
        <w:t>451000</w:t>
      </w:r>
      <w:r>
        <w:rPr>
          <w:rFonts w:ascii="Times New Roman" w:hAnsi="Times New Roman"/>
          <w:b w:val="0"/>
        </w:rPr>
      </w:r>
    </w:p>
    <w:p>
      <w:pPr>
        <w:pStyle w:val="BodyText"/>
        <w:spacing w:line="240" w:lineRule="auto"/>
        <w:ind w:right="172" w:firstLine="566"/>
        <w:jc w:val="both"/>
      </w:pPr>
      <w:r>
        <w:rPr/>
        <w:t>Група конта 451000 – субвенције јавним нефинансијским предузећима и организацијама садржи синтетичка конта текуће субвенције јавним нефинансијским предузећима и организацијама и капиталне субвенције јавним нефинансијским предузећима и</w:t>
      </w:r>
      <w:r>
        <w:rPr>
          <w:spacing w:val="-14"/>
        </w:rPr>
        <w:t> </w:t>
      </w:r>
      <w:r>
        <w:rPr/>
        <w:t>организацијама.</w:t>
      </w:r>
    </w:p>
    <w:p>
      <w:pPr>
        <w:spacing w:before="3" w:after="4"/>
        <w:ind w:left="0" w:right="304" w:firstLine="0"/>
        <w:jc w:val="right"/>
        <w:rPr>
          <w:rFonts w:ascii="Times New Roman" w:hAnsi="Times New Roman" w:cs="Times New Roman" w:eastAsia="Times New Roman" w:hint="default"/>
          <w:sz w:val="18"/>
          <w:szCs w:val="18"/>
        </w:rPr>
      </w:pPr>
      <w:r>
        <w:rPr>
          <w:rFonts w:ascii="Times New Roman" w:hAnsi="Times New Roman"/>
          <w:sz w:val="18"/>
        </w:rPr>
        <w:t>(у хиљадама</w:t>
      </w:r>
      <w:r>
        <w:rPr>
          <w:rFonts w:ascii="Times New Roman" w:hAnsi="Times New Roman"/>
          <w:spacing w:val="-12"/>
          <w:sz w:val="18"/>
        </w:rPr>
        <w:t> </w:t>
      </w:r>
      <w:r>
        <w:rPr>
          <w:rFonts w:ascii="Times New Roman" w:hAnsi="Times New Roman"/>
          <w:sz w:val="18"/>
        </w:rPr>
        <w:t>динара)</w:t>
      </w:r>
    </w:p>
    <w:tbl>
      <w:tblPr>
        <w:tblW w:w="0" w:type="auto"/>
        <w:jc w:val="left"/>
        <w:tblInd w:w="141" w:type="dxa"/>
        <w:tblLayout w:type="fixed"/>
        <w:tblCellMar>
          <w:top w:w="0" w:type="dxa"/>
          <w:left w:w="0" w:type="dxa"/>
          <w:bottom w:w="0" w:type="dxa"/>
          <w:right w:w="0" w:type="dxa"/>
        </w:tblCellMar>
        <w:tblLook w:val="01E0"/>
      </w:tblPr>
      <w:tblGrid>
        <w:gridCol w:w="876"/>
        <w:gridCol w:w="2401"/>
        <w:gridCol w:w="960"/>
        <w:gridCol w:w="1351"/>
        <w:gridCol w:w="1047"/>
        <w:gridCol w:w="936"/>
        <w:gridCol w:w="845"/>
        <w:gridCol w:w="847"/>
      </w:tblGrid>
      <w:tr>
        <w:trPr>
          <w:trHeight w:val="56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left="261" w:right="178" w:hanging="72"/>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0"/>
              <w:jc w:val="left"/>
              <w:rPr>
                <w:rFonts w:ascii="Times New Roman" w:hAnsi="Times New Roman" w:cs="Times New Roman" w:eastAsia="Times New Roman" w:hint="default"/>
                <w:sz w:val="15"/>
                <w:szCs w:val="15"/>
              </w:rPr>
            </w:pPr>
          </w:p>
          <w:p>
            <w:pPr>
              <w:pStyle w:val="TableParagraph"/>
              <w:spacing w:line="240" w:lineRule="auto"/>
              <w:ind w:left="393"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8"/>
                <w:sz w:val="18"/>
              </w:rPr>
              <w:t> </w:t>
            </w:r>
            <w:r>
              <w:rPr>
                <w:rFonts w:ascii="Times New Roman" w:hAnsi="Times New Roman"/>
                <w:b/>
                <w:sz w:val="18"/>
              </w:rPr>
              <w:t>корисник</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0"/>
              <w:jc w:val="left"/>
              <w:rPr>
                <w:rFonts w:ascii="Times New Roman" w:hAnsi="Times New Roman" w:cs="Times New Roman" w:eastAsia="Times New Roman" w:hint="default"/>
                <w:sz w:val="15"/>
                <w:szCs w:val="15"/>
              </w:rPr>
            </w:pPr>
          </w:p>
          <w:p>
            <w:pPr>
              <w:pStyle w:val="TableParagraph"/>
              <w:spacing w:line="240" w:lineRule="auto"/>
              <w:ind w:right="103"/>
              <w:jc w:val="right"/>
              <w:rPr>
                <w:rFonts w:ascii="Times New Roman" w:hAnsi="Times New Roman" w:cs="Times New Roman" w:eastAsia="Times New Roman" w:hint="default"/>
                <w:sz w:val="18"/>
                <w:szCs w:val="18"/>
              </w:rPr>
            </w:pPr>
            <w:r>
              <w:rPr>
                <w:rFonts w:ascii="Times New Roman" w:hAnsi="Times New Roman"/>
                <w:b/>
                <w:spacing w:val="-1"/>
                <w:sz w:val="18"/>
              </w:rPr>
              <w:t>Ребаланс</w:t>
            </w:r>
            <w:r>
              <w:rPr>
                <w:rFonts w:ascii="Times New Roman" w:hAns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left="103" w:right="93" w:firstLine="88"/>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реалокацијом</w:t>
            </w:r>
            <w:r>
              <w:rPr>
                <w:rFonts w:ascii="Times New Roman" w:hAns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left="103" w:right="95"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left="112" w:right="107"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left="299" w:right="110"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left="302" w:right="109"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4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1</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1"/>
              <w:jc w:val="center"/>
              <w:rPr>
                <w:rFonts w:ascii="Times New Roman" w:hAnsi="Times New Roman" w:cs="Times New Roman" w:eastAsia="Times New Roman" w:hint="default"/>
                <w:sz w:val="12"/>
                <w:szCs w:val="12"/>
              </w:rPr>
            </w:pPr>
            <w:r>
              <w:rPr>
                <w:rFonts w:ascii="Times New Roman"/>
                <w:sz w:val="12"/>
              </w:rPr>
              <w:t>2</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2"/>
              <w:jc w:val="center"/>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
              <w:jc w:val="center"/>
              <w:rPr>
                <w:rFonts w:ascii="Times New Roman" w:hAnsi="Times New Roman" w:cs="Times New Roman" w:eastAsia="Times New Roman" w:hint="default"/>
                <w:sz w:val="12"/>
                <w:szCs w:val="12"/>
              </w:rPr>
            </w:pPr>
            <w:r>
              <w:rPr>
                <w:rFonts w:ascii="Times New Roman"/>
                <w:sz w:val="12"/>
              </w:rPr>
              <w:t>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7</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8</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
              <w:jc w:val="center"/>
              <w:rPr>
                <w:rFonts w:ascii="Times New Roman" w:hAnsi="Times New Roman" w:cs="Times New Roman" w:eastAsia="Times New Roman" w:hint="default"/>
                <w:sz w:val="18"/>
                <w:szCs w:val="18"/>
              </w:rPr>
            </w:pPr>
            <w:r>
              <w:rPr>
                <w:rFonts w:ascii="Times New Roman"/>
                <w:sz w:val="18"/>
              </w:rPr>
              <w:t>1</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7"/>
                <w:sz w:val="18"/>
              </w:rPr>
              <w:t> </w:t>
            </w:r>
            <w:r>
              <w:rPr>
                <w:rFonts w:ascii="Times New Roman" w:hAnsi="Times New Roman"/>
                <w:sz w:val="18"/>
              </w:rPr>
              <w:t>пољопривреду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30.000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30.000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3"/>
              <w:jc w:val="right"/>
              <w:rPr>
                <w:rFonts w:ascii="Times New Roman" w:hAnsi="Times New Roman" w:cs="Times New Roman" w:eastAsia="Times New Roman" w:hint="default"/>
                <w:sz w:val="18"/>
                <w:szCs w:val="18"/>
              </w:rPr>
            </w:pPr>
            <w:r>
              <w:rPr>
                <w:rFonts w:ascii="Times New Roman"/>
                <w:spacing w:val="-1"/>
                <w:sz w:val="18"/>
              </w:rPr>
              <w:t>20.577</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pacing w:val="-1"/>
                <w:sz w:val="18"/>
              </w:rPr>
              <w:t>20.577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68,59</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
              <w:jc w:val="center"/>
              <w:rPr>
                <w:rFonts w:ascii="Times New Roman" w:hAnsi="Times New Roman" w:cs="Times New Roman" w:eastAsia="Times New Roman" w:hint="default"/>
                <w:sz w:val="18"/>
                <w:szCs w:val="18"/>
              </w:rPr>
            </w:pPr>
            <w:r>
              <w:rPr>
                <w:rFonts w:ascii="Times New Roman"/>
                <w:sz w:val="18"/>
              </w:rPr>
              <w:t>2</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5"/>
                <w:sz w:val="18"/>
              </w:rPr>
              <w:t> </w:t>
            </w:r>
            <w:r>
              <w:rPr>
                <w:rFonts w:ascii="Times New Roman" w:hAnsi="Times New Roman"/>
                <w:sz w:val="18"/>
              </w:rPr>
              <w:t>привреду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pacing w:val="-1"/>
                <w:sz w:val="18"/>
              </w:rPr>
              <w:t>37.604</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pacing w:val="-1"/>
                <w:sz w:val="18"/>
              </w:rPr>
              <w:t>37.604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3"/>
              <w:jc w:val="right"/>
              <w:rPr>
                <w:rFonts w:ascii="Times New Roman" w:hAnsi="Times New Roman" w:cs="Times New Roman" w:eastAsia="Times New Roman" w:hint="default"/>
                <w:sz w:val="18"/>
                <w:szCs w:val="18"/>
              </w:rPr>
            </w:pPr>
            <w:r>
              <w:rPr>
                <w:rFonts w:ascii="Times New Roman"/>
                <w:spacing w:val="-1"/>
                <w:sz w:val="18"/>
              </w:rPr>
              <w:t>19.986</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2"/>
              <w:jc w:val="right"/>
              <w:rPr>
                <w:rFonts w:ascii="Times New Roman" w:hAnsi="Times New Roman" w:cs="Times New Roman" w:eastAsia="Times New Roman" w:hint="default"/>
                <w:sz w:val="18"/>
                <w:szCs w:val="18"/>
              </w:rPr>
            </w:pPr>
            <w:r>
              <w:rPr>
                <w:rFonts w:ascii="Times New Roman"/>
                <w:spacing w:val="-1"/>
                <w:sz w:val="18"/>
              </w:rPr>
              <w:t>18.626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z w:val="18"/>
              </w:rPr>
              <w:t>49,53</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z w:val="18"/>
              </w:rPr>
              <w:t>93,20</w:t>
            </w:r>
          </w:p>
        </w:tc>
      </w:tr>
      <w:tr>
        <w:trPr>
          <w:trHeight w:val="233"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
              <w:jc w:val="center"/>
              <w:rPr>
                <w:rFonts w:ascii="Times New Roman" w:hAnsi="Times New Roman" w:cs="Times New Roman" w:eastAsia="Times New Roman" w:hint="default"/>
                <w:sz w:val="18"/>
                <w:szCs w:val="18"/>
              </w:rPr>
            </w:pPr>
            <w:r>
              <w:rPr>
                <w:rFonts w:ascii="Times New Roman"/>
                <w:sz w:val="18"/>
              </w:rPr>
              <w:t>3</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ком</w:t>
            </w:r>
            <w:r>
              <w:rPr>
                <w:rFonts w:ascii="Times New Roman" w:hAnsi="Times New Roman"/>
                <w:sz w:val="18"/>
              </w:rPr>
              <w:t>.</w:t>
            </w:r>
            <w:r>
              <w:rPr>
                <w:rFonts w:ascii="Times New Roman" w:hAnsi="Times New Roman"/>
                <w:spacing w:val="-9"/>
                <w:sz w:val="18"/>
              </w:rPr>
              <w:t> </w:t>
            </w:r>
            <w:r>
              <w:rPr>
                <w:rFonts w:ascii="Times New Roman" w:hAnsi="Times New Roman"/>
                <w:sz w:val="18"/>
              </w:rPr>
              <w:t>делатн.</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1"/>
              <w:jc w:val="right"/>
              <w:rPr>
                <w:rFonts w:ascii="Times New Roman" w:hAnsi="Times New Roman" w:cs="Times New Roman" w:eastAsia="Times New Roman" w:hint="default"/>
                <w:sz w:val="18"/>
                <w:szCs w:val="18"/>
              </w:rPr>
            </w:pPr>
            <w:r>
              <w:rPr>
                <w:rFonts w:ascii="Times New Roman"/>
                <w:spacing w:val="-1"/>
                <w:sz w:val="18"/>
              </w:rPr>
              <w:t>229.394</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spacing w:val="-1"/>
                <w:sz w:val="18"/>
              </w:rPr>
              <w:t>239.209</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3"/>
              <w:jc w:val="right"/>
              <w:rPr>
                <w:rFonts w:ascii="Times New Roman" w:hAnsi="Times New Roman" w:cs="Times New Roman" w:eastAsia="Times New Roman" w:hint="default"/>
                <w:sz w:val="18"/>
                <w:szCs w:val="18"/>
              </w:rPr>
            </w:pPr>
            <w:r>
              <w:rPr>
                <w:rFonts w:ascii="Times New Roman"/>
                <w:spacing w:val="-1"/>
                <w:sz w:val="18"/>
              </w:rPr>
              <w:t>239.208</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3"/>
              <w:jc w:val="right"/>
              <w:rPr>
                <w:rFonts w:ascii="Times New Roman" w:hAnsi="Times New Roman" w:cs="Times New Roman" w:eastAsia="Times New Roman" w:hint="default"/>
                <w:sz w:val="18"/>
                <w:szCs w:val="18"/>
              </w:rPr>
            </w:pPr>
            <w:r>
              <w:rPr>
                <w:rFonts w:ascii="Times New Roman"/>
                <w:spacing w:val="-1"/>
                <w:sz w:val="18"/>
              </w:rPr>
              <w:t>239.208</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2"/>
              <w:jc w:val="right"/>
              <w:rPr>
                <w:rFonts w:ascii="Times New Roman" w:hAnsi="Times New Roman" w:cs="Times New Roman" w:eastAsia="Times New Roman" w:hint="default"/>
                <w:sz w:val="18"/>
                <w:szCs w:val="18"/>
              </w:rPr>
            </w:pPr>
            <w:r>
              <w:rPr>
                <w:rFonts w:ascii="Times New Roman"/>
                <w:spacing w:val="-1"/>
                <w:sz w:val="18"/>
              </w:rPr>
              <w:t>100,00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
              <w:jc w:val="center"/>
              <w:rPr>
                <w:rFonts w:ascii="Times New Roman" w:hAnsi="Times New Roman" w:cs="Times New Roman" w:eastAsia="Times New Roman" w:hint="default"/>
                <w:sz w:val="18"/>
                <w:szCs w:val="18"/>
              </w:rPr>
            </w:pPr>
            <w:r>
              <w:rPr>
                <w:rFonts w:ascii="Times New Roman"/>
                <w:sz w:val="18"/>
              </w:rPr>
              <w:t>4</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6"/>
                <w:sz w:val="18"/>
              </w:rPr>
              <w:t> </w:t>
            </w:r>
            <w:r>
              <w:rPr>
                <w:rFonts w:ascii="Times New Roman" w:hAnsi="Times New Roman"/>
                <w:sz w:val="18"/>
              </w:rPr>
              <w:t>културу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48.540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48.540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48.540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48.540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100,00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8"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650" w:right="0"/>
              <w:jc w:val="left"/>
              <w:rPr>
                <w:rFonts w:ascii="Times New Roman" w:hAnsi="Times New Roman" w:cs="Times New Roman" w:eastAsia="Times New Roman" w:hint="default"/>
                <w:sz w:val="18"/>
                <w:szCs w:val="18"/>
              </w:rPr>
            </w:pPr>
            <w:r>
              <w:rPr>
                <w:rFonts w:ascii="Times New Roman" w:hAnsi="Times New Roman"/>
                <w:b/>
                <w:sz w:val="18"/>
              </w:rPr>
              <w:t>Укупно корисници</w:t>
            </w:r>
            <w:r>
              <w:rPr>
                <w:rFonts w:ascii="Times New Roman" w:hAnsi="Times New Roman"/>
                <w:b/>
                <w:spacing w:val="-2"/>
                <w:sz w:val="18"/>
              </w:rPr>
              <w:t> </w:t>
            </w:r>
            <w:r>
              <w:rPr>
                <w:rFonts w:ascii="Times New Roman" w:hAnsi="Times New Roman"/>
                <w:b/>
                <w:sz w:val="18"/>
              </w:rPr>
              <w:t>(1</w:t>
            </w:r>
            <w:r>
              <w:rPr>
                <w:rFonts w:ascii="Times New Roman" w:hAnsi="Times New Roman"/>
                <w:b/>
                <w:sz w:val="18"/>
              </w:rPr>
              <w:t>-4)</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pacing w:val="-1"/>
                <w:sz w:val="18"/>
              </w:rPr>
              <w:t>345.538</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355.353</w:t>
            </w:r>
            <w:r>
              <w:rPr>
                <w:rFonts w:ascii="Times New Roman"/>
                <w:spacing w:val="-1"/>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3"/>
              <w:jc w:val="right"/>
              <w:rPr>
                <w:rFonts w:ascii="Times New Roman" w:hAnsi="Times New Roman" w:cs="Times New Roman" w:eastAsia="Times New Roman" w:hint="default"/>
                <w:sz w:val="18"/>
                <w:szCs w:val="18"/>
              </w:rPr>
            </w:pPr>
            <w:r>
              <w:rPr>
                <w:rFonts w:ascii="Times New Roman"/>
                <w:b/>
                <w:spacing w:val="-1"/>
                <w:sz w:val="18"/>
              </w:rPr>
              <w:t>328.311</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3"/>
              <w:jc w:val="right"/>
              <w:rPr>
                <w:rFonts w:ascii="Times New Roman" w:hAnsi="Times New Roman" w:cs="Times New Roman" w:eastAsia="Times New Roman" w:hint="default"/>
                <w:sz w:val="18"/>
                <w:szCs w:val="18"/>
              </w:rPr>
            </w:pPr>
            <w:r>
              <w:rPr>
                <w:rFonts w:ascii="Times New Roman"/>
                <w:b/>
                <w:spacing w:val="-1"/>
                <w:sz w:val="18"/>
              </w:rPr>
              <w:t>326.951</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92,01</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99,59</w:t>
            </w:r>
          </w:p>
        </w:tc>
      </w:tr>
      <w:tr>
        <w:trPr>
          <w:trHeight w:val="216"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499" w:right="0"/>
              <w:jc w:val="left"/>
              <w:rPr>
                <w:rFonts w:ascii="Times New Roman" w:hAnsi="Times New Roman" w:cs="Times New Roman" w:eastAsia="Times New Roman" w:hint="default"/>
                <w:sz w:val="18"/>
                <w:szCs w:val="18"/>
              </w:rPr>
            </w:pPr>
            <w:r>
              <w:rPr>
                <w:rFonts w:ascii="Times New Roman" w:hAnsi="Times New Roman"/>
                <w:b/>
                <w:sz w:val="18"/>
              </w:rPr>
              <w:t>Укупно Град </w:t>
            </w:r>
            <w:r>
              <w:rPr>
                <w:rFonts w:ascii="Times New Roman" w:hAnsi="Times New Roman"/>
                <w:b/>
                <w:sz w:val="18"/>
              </w:rPr>
              <w:t>- </w:t>
            </w:r>
            <w:r>
              <w:rPr>
                <w:rFonts w:ascii="Times New Roman" w:hAnsi="Times New Roman"/>
                <w:b/>
                <w:sz w:val="18"/>
              </w:rPr>
              <w:t>група</w:t>
            </w:r>
            <w:r>
              <w:rPr>
                <w:rFonts w:ascii="Times New Roman" w:hAnsi="Times New Roman"/>
                <w:b/>
                <w:spacing w:val="-5"/>
                <w:sz w:val="18"/>
              </w:rPr>
              <w:t> </w:t>
            </w:r>
            <w:r>
              <w:rPr>
                <w:rFonts w:ascii="Times New Roman" w:hAnsi="Times New Roman"/>
                <w:b/>
                <w:sz w:val="18"/>
              </w:rPr>
              <w:t>451000</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pacing w:val="-1"/>
                <w:sz w:val="18"/>
              </w:rPr>
              <w:t>345.538</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355.353</w:t>
            </w:r>
            <w:r>
              <w:rPr>
                <w:rFonts w:ascii="Times New Roman"/>
                <w:spacing w:val="-1"/>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3"/>
              <w:jc w:val="right"/>
              <w:rPr>
                <w:rFonts w:ascii="Times New Roman" w:hAnsi="Times New Roman" w:cs="Times New Roman" w:eastAsia="Times New Roman" w:hint="default"/>
                <w:sz w:val="18"/>
                <w:szCs w:val="18"/>
              </w:rPr>
            </w:pPr>
            <w:r>
              <w:rPr>
                <w:rFonts w:ascii="Times New Roman"/>
                <w:b/>
                <w:spacing w:val="-1"/>
                <w:sz w:val="18"/>
              </w:rPr>
              <w:t>328.311</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3"/>
              <w:jc w:val="right"/>
              <w:rPr>
                <w:rFonts w:ascii="Times New Roman" w:hAnsi="Times New Roman" w:cs="Times New Roman" w:eastAsia="Times New Roman" w:hint="default"/>
                <w:sz w:val="18"/>
                <w:szCs w:val="18"/>
              </w:rPr>
            </w:pPr>
            <w:r>
              <w:rPr>
                <w:rFonts w:ascii="Times New Roman"/>
                <w:b/>
                <w:spacing w:val="-1"/>
                <w:sz w:val="18"/>
              </w:rPr>
              <w:t>326.951</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92,01</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99,59</w:t>
            </w:r>
          </w:p>
        </w:tc>
      </w:tr>
    </w:tbl>
    <w:p>
      <w:pPr>
        <w:pStyle w:val="BodyText"/>
        <w:spacing w:line="240" w:lineRule="auto"/>
        <w:ind w:right="174" w:firstLine="566"/>
        <w:jc w:val="both"/>
      </w:pPr>
      <w:r>
        <w:rPr/>
        <w:t>Исказан је расход у износу од </w:t>
      </w:r>
      <w:r>
        <w:rPr>
          <w:rFonts w:ascii="Times New Roman" w:hAnsi="Times New Roman"/>
        </w:rPr>
        <w:t>328.311 </w:t>
      </w:r>
      <w:r>
        <w:rPr/>
        <w:t>хиљада динара из средстава буџета Града и  то текуће субвенције јавним нефинансијским предузећима и организацијама у износу </w:t>
      </w:r>
      <w:r>
        <w:rPr>
          <w:spacing w:val="54"/>
        </w:rPr>
        <w:t> </w:t>
      </w:r>
      <w:r>
        <w:rPr/>
        <w:t>од</w:t>
      </w:r>
    </w:p>
    <w:p>
      <w:pPr>
        <w:pStyle w:val="BodyText"/>
        <w:spacing w:line="240" w:lineRule="auto"/>
        <w:ind w:right="141"/>
        <w:jc w:val="left"/>
      </w:pPr>
      <w:r>
        <w:rPr/>
        <w:t>327.311 хиљада динара и капиталне субвенције јавним нефинансијским предузећима и организацијама у износу од 1.000 хиљада</w:t>
      </w:r>
      <w:r>
        <w:rPr>
          <w:spacing w:val="-17"/>
        </w:rPr>
        <w:t> </w:t>
      </w:r>
      <w:r>
        <w:rPr/>
        <w:t>динара.</w:t>
      </w:r>
    </w:p>
    <w:p>
      <w:pPr>
        <w:pStyle w:val="BodyText"/>
        <w:spacing w:line="240" w:lineRule="auto"/>
        <w:ind w:right="173" w:firstLine="566"/>
        <w:jc w:val="both"/>
      </w:pPr>
      <w:r>
        <w:rPr>
          <w:rFonts w:ascii="Times New Roman" w:hAnsi="Times New Roman" w:cs="Times New Roman" w:eastAsia="Times New Roman" w:hint="default"/>
          <w:b/>
          <w:bCs/>
        </w:rPr>
        <w:t>На основу ревизије узорковане документације утврђено је </w:t>
      </w:r>
      <w:r>
        <w:rPr/>
        <w:t>да расходи за субвенције нису евидентирани преко групе 242000 – обавезе по основу субвенција, што  је супротно члану 9. Уредбе о буџетском рачуноводству и Правилнику о стандардном класификационом оквиру и контном плану за буџетски</w:t>
      </w:r>
      <w:r>
        <w:rPr>
          <w:spacing w:val="-31"/>
        </w:rPr>
        <w:t> </w:t>
      </w:r>
      <w:r>
        <w:rPr/>
        <w:t>систем.</w:t>
      </w:r>
    </w:p>
    <w:p>
      <w:pPr>
        <w:pStyle w:val="Heading2"/>
        <w:spacing w:line="240" w:lineRule="auto"/>
        <w:ind w:right="172"/>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ListParagraph"/>
        <w:numPr>
          <w:ilvl w:val="0"/>
          <w:numId w:val="39"/>
        </w:numPr>
        <w:tabs>
          <w:tab w:pos="1001" w:val="left" w:leader="none"/>
        </w:tabs>
        <w:spacing w:line="240" w:lineRule="auto" w:before="0" w:after="0"/>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 за пољопривреду и развој села </w:t>
      </w:r>
      <w:r>
        <w:rPr>
          <w:rFonts w:ascii="Times New Roman" w:hAnsi="Times New Roman" w:cs="Times New Roman" w:eastAsia="Times New Roman" w:hint="default"/>
          <w:sz w:val="24"/>
          <w:szCs w:val="24"/>
        </w:rPr>
        <w:t>– Исказан је расход у износу од 20.577 хиљада динара за текуће субвенције за пољопривреду. Средства су утрошена за: вештачко осемењавање у износу од 2.347 хиљада динара </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678 хиљада динара за обавезе из 2013. године и 1.669 хиљада динара из 2014. године), постављање демо плантаже у биљној производњи у износу од 1.300 хиљада динара, побољшање живота и ширење економских активности у руралним подручјима у износу од 16.019 хиљада динара (</w:t>
      </w:r>
      <w:r>
        <w:rPr>
          <w:rFonts w:ascii="Times New Roman" w:hAnsi="Times New Roman" w:cs="Times New Roman" w:eastAsia="Times New Roman" w:hint="default"/>
          <w:sz w:val="24"/>
          <w:szCs w:val="24"/>
        </w:rPr>
        <w:t>8.768 </w:t>
      </w:r>
      <w:r>
        <w:rPr>
          <w:rFonts w:ascii="Times New Roman" w:hAnsi="Times New Roman" w:cs="Times New Roman" w:eastAsia="Times New Roman" w:hint="default"/>
          <w:sz w:val="24"/>
          <w:szCs w:val="24"/>
        </w:rPr>
        <w:t>хиљада динара за обавезе из 2013. године и 7.251 хиљада динара за обавезе из 2014. године</w:t>
      </w:r>
      <w:r>
        <w:rPr>
          <w:rFonts w:ascii="Times New Roman" w:hAnsi="Times New Roman" w:cs="Times New Roman" w:eastAsia="Times New Roman" w:hint="default"/>
          <w:sz w:val="24"/>
          <w:szCs w:val="24"/>
        </w:rPr>
        <w:t>).</w:t>
      </w:r>
    </w:p>
    <w:p>
      <w:pPr>
        <w:pStyle w:val="Heading1"/>
        <w:spacing w:line="240" w:lineRule="auto"/>
        <w:ind w:right="141"/>
        <w:jc w:val="left"/>
        <w:rPr>
          <w:b w:val="0"/>
          <w:bCs w:val="0"/>
        </w:rPr>
      </w:pPr>
      <w:r>
        <w:rPr/>
        <w:t>На основу ревизије узорковане документације утврђено</w:t>
      </w:r>
      <w:r>
        <w:rPr>
          <w:spacing w:val="-16"/>
        </w:rPr>
        <w:t> </w:t>
      </w:r>
      <w:r>
        <w:rPr/>
        <w:t>је:</w:t>
      </w:r>
      <w:r>
        <w:rPr>
          <w:b w:val="0"/>
        </w:rPr>
      </w:r>
    </w:p>
    <w:p>
      <w:pPr>
        <w:spacing w:after="0" w:line="240" w:lineRule="auto"/>
        <w:jc w:val="left"/>
        <w:sectPr>
          <w:pgSz w:w="12240" w:h="15840"/>
          <w:pgMar w:header="740" w:footer="1274" w:top="1280" w:bottom="1460" w:left="1400" w:right="1260"/>
        </w:sectPr>
      </w:pPr>
    </w:p>
    <w:p>
      <w:pPr>
        <w:pStyle w:val="ListParagraph"/>
        <w:numPr>
          <w:ilvl w:val="0"/>
          <w:numId w:val="9"/>
        </w:numPr>
        <w:tabs>
          <w:tab w:pos="303" w:val="left" w:leader="none"/>
        </w:tabs>
        <w:spacing w:line="240" w:lineRule="auto" w:before="124"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Плаћање у износу од 9.446 хиљада динара за измирење пренетих обавеза из 2013. године преузетих по Програму Фонда за развој пољопривреде за 2013. годину, на који Министарство пољопривреде, шумарства и водопривреде није дало претходну сагласност, извршено је без основа који је у складу са чланом 13. Закона о подстицајима  у пољопривреди и руралном развоју и чланом 56. Закона о буџетском систему</w:t>
      </w:r>
      <w:r>
        <w:rPr>
          <w:rFonts w:ascii="Times New Roman" w:hAnsi="Times New Roman"/>
          <w:sz w:val="24"/>
        </w:rPr>
        <w:t>. </w:t>
      </w:r>
      <w:r>
        <w:rPr>
          <w:rFonts w:ascii="Times New Roman" w:hAnsi="Times New Roman"/>
          <w:sz w:val="24"/>
        </w:rPr>
        <w:t>Управа за пољопривреду и развој села је Програм Фонда за развој пољопривреде доставила Министарству пољопривреде, шумарства и водопривреде са захтевом за добијање сагласности дана 08.02.2013. године. Како су се од 07.02.2013. године променили законски прописи, Министарство пољопривреде, шумарства и водопривреде није било сагласно са Програмом Фонда за развој пољопривреде, већ је захтевало усаглашавање Програма са изменама закона. Дана 08.03.2013. године Управа за пољопривреду и развој села је доставила Министарству пољопривреде, шумарства и водопривреде  Програм мера подршке за спровођење пољопривредне политике и политике руралног развоја за подручје територије града Ниша за 2013. годину, на који је добила претходну сагласност дана 26.03.2013. године. Градско веће града Ниша није прихватило да разматра Програм мера подршке за спровођење пољопривредне политике и политике руралног развоја за подручје територије града Ниша за 2013. годину, већ је разматрало Програм Фонда за развој пољопривреде за 2013. годину и Скупштина града је дана 16.04.2013. године дала сагласност на Програм Фонда за развој пољопривреде за 2013. годину који није добио сагласност</w:t>
      </w:r>
      <w:r>
        <w:rPr>
          <w:rFonts w:ascii="Times New Roman" w:hAnsi="Times New Roman"/>
          <w:spacing w:val="-8"/>
          <w:sz w:val="24"/>
        </w:rPr>
        <w:t> </w:t>
      </w:r>
      <w:r>
        <w:rPr>
          <w:rFonts w:ascii="Times New Roman" w:hAnsi="Times New Roman"/>
          <w:sz w:val="24"/>
        </w:rPr>
        <w:t>Министарства.</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Уговорима о субвенционисању вештачког осемењавања крава плоткиња у периоду јануар</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април 2014. године и уговори о субвенционисању вештачког осемењавања крава плоткиња у периоду мај</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децембар 2014. године, са Ветеринарском станицом Ниш број </w:t>
      </w:r>
      <w:r>
        <w:rPr>
          <w:rFonts w:ascii="Times New Roman" w:hAnsi="Times New Roman" w:cs="Times New Roman" w:eastAsia="Times New Roman" w:hint="default"/>
          <w:sz w:val="24"/>
          <w:szCs w:val="24"/>
        </w:rPr>
        <w:t>10-34/2014-1</w:t>
      </w:r>
      <w:r>
        <w:rPr>
          <w:rFonts w:ascii="Times New Roman" w:hAnsi="Times New Roman" w:cs="Times New Roman" w:eastAsia="Times New Roman" w:hint="default"/>
          <w:sz w:val="24"/>
          <w:szCs w:val="24"/>
        </w:rPr>
        <w:t>58 од 30.04.2014. године и 10</w:t>
      </w:r>
      <w:r>
        <w:rPr>
          <w:rFonts w:ascii="Times New Roman" w:hAnsi="Times New Roman" w:cs="Times New Roman" w:eastAsia="Times New Roman" w:hint="default"/>
          <w:sz w:val="24"/>
          <w:szCs w:val="24"/>
        </w:rPr>
        <w:t>-34/2014-</w:t>
      </w:r>
      <w:r>
        <w:rPr>
          <w:rFonts w:ascii="Times New Roman" w:hAnsi="Times New Roman" w:cs="Times New Roman" w:eastAsia="Times New Roman" w:hint="default"/>
          <w:sz w:val="24"/>
          <w:szCs w:val="24"/>
        </w:rPr>
        <w:t>173 од 06.05.2014. година, Ветеринарском станицом „Гаџин Хан“ Гаџин Хан број 10</w:t>
      </w:r>
      <w:r>
        <w:rPr>
          <w:rFonts w:ascii="Times New Roman" w:hAnsi="Times New Roman" w:cs="Times New Roman" w:eastAsia="Times New Roman" w:hint="default"/>
          <w:sz w:val="24"/>
          <w:szCs w:val="24"/>
        </w:rPr>
        <w:t>-34/2014-</w:t>
      </w:r>
      <w:r>
        <w:rPr>
          <w:rFonts w:ascii="Times New Roman" w:hAnsi="Times New Roman" w:cs="Times New Roman" w:eastAsia="Times New Roman" w:hint="default"/>
          <w:sz w:val="24"/>
          <w:szCs w:val="24"/>
        </w:rPr>
        <w:t>161 од 30.04.2014. године  и  10</w:t>
      </w:r>
      <w:r>
        <w:rPr>
          <w:rFonts w:ascii="Times New Roman" w:hAnsi="Times New Roman" w:cs="Times New Roman" w:eastAsia="Times New Roman" w:hint="default"/>
          <w:sz w:val="24"/>
          <w:szCs w:val="24"/>
        </w:rPr>
        <w:t>-34/2014-</w:t>
      </w:r>
      <w:r>
        <w:rPr>
          <w:rFonts w:ascii="Times New Roman" w:hAnsi="Times New Roman" w:cs="Times New Roman" w:eastAsia="Times New Roman" w:hint="default"/>
          <w:sz w:val="24"/>
          <w:szCs w:val="24"/>
        </w:rPr>
        <w:t>175  од  06.05.2014.  година,  Приватном  ветеринарском  </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станицом</w:t>
      </w:r>
    </w:p>
    <w:p>
      <w:pPr>
        <w:pStyle w:val="BodyText"/>
        <w:spacing w:line="240" w:lineRule="auto"/>
        <w:ind w:right="174"/>
        <w:jc w:val="both"/>
      </w:pPr>
      <w:r>
        <w:rPr/>
        <w:t>„Ветапан“ Горња Топоница број 1</w:t>
      </w:r>
      <w:r>
        <w:rPr>
          <w:rFonts w:ascii="Times New Roman" w:hAnsi="Times New Roman" w:cs="Times New Roman" w:eastAsia="Times New Roman" w:hint="default"/>
        </w:rPr>
        <w:t>0-34/2014-</w:t>
      </w:r>
      <w:r>
        <w:rPr/>
        <w:t>159 од 30.04.2014. године и 10</w:t>
      </w:r>
      <w:r>
        <w:rPr>
          <w:rFonts w:ascii="Times New Roman" w:hAnsi="Times New Roman" w:cs="Times New Roman" w:eastAsia="Times New Roman" w:hint="default"/>
        </w:rPr>
        <w:t>-34/2014-174 </w:t>
      </w:r>
      <w:r>
        <w:rPr/>
        <w:t>од 06.05.2014. година и Приватном ветеринарском амбулантом „</w:t>
      </w:r>
      <w:r>
        <w:rPr>
          <w:rFonts w:ascii="Times New Roman" w:hAnsi="Times New Roman" w:cs="Times New Roman" w:eastAsia="Times New Roman" w:hint="default"/>
        </w:rPr>
        <w:t>Vet medica</w:t>
      </w:r>
      <w:r>
        <w:rPr/>
        <w:t>“ Ниш број </w:t>
      </w:r>
      <w:r>
        <w:rPr>
          <w:rFonts w:ascii="Times New Roman" w:hAnsi="Times New Roman" w:cs="Times New Roman" w:eastAsia="Times New Roman" w:hint="default"/>
        </w:rPr>
        <w:t>10-34/2014-</w:t>
      </w:r>
      <w:r>
        <w:rPr/>
        <w:t>160 од 30.04.2014. године и 10</w:t>
      </w:r>
      <w:r>
        <w:rPr>
          <w:rFonts w:ascii="Times New Roman" w:hAnsi="Times New Roman" w:cs="Times New Roman" w:eastAsia="Times New Roman" w:hint="default"/>
        </w:rPr>
        <w:t>-34/2014-176 </w:t>
      </w:r>
      <w:r>
        <w:rPr/>
        <w:t>од 06.05.2014. година, није уговорена вредност, што је супротно члану  56. и 58. Закона о буџетском</w:t>
      </w:r>
      <w:r>
        <w:rPr>
          <w:spacing w:val="-24"/>
        </w:rPr>
        <w:t> </w:t>
      </w:r>
      <w:r>
        <w:rPr/>
        <w:t>систему.</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Уговори о субвенционисању вештачког осемењавања крава плоткиња у периоду јануар</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април 2014. године са Ветеринарском станицом Ниш број 10</w:t>
      </w:r>
      <w:r>
        <w:rPr>
          <w:rFonts w:ascii="Times New Roman" w:hAnsi="Times New Roman" w:cs="Times New Roman" w:eastAsia="Times New Roman" w:hint="default"/>
          <w:sz w:val="24"/>
          <w:szCs w:val="24"/>
        </w:rPr>
        <w:t>-34/2014-158,  </w:t>
      </w:r>
      <w:r>
        <w:rPr>
          <w:rFonts w:ascii="Times New Roman" w:hAnsi="Times New Roman" w:cs="Times New Roman" w:eastAsia="Times New Roman" w:hint="default"/>
          <w:sz w:val="24"/>
          <w:szCs w:val="24"/>
        </w:rPr>
        <w:t>Ветеринарском станицом „Гаџин Хан“ Гаџин Хан број 10</w:t>
      </w:r>
      <w:r>
        <w:rPr>
          <w:rFonts w:ascii="Times New Roman" w:hAnsi="Times New Roman" w:cs="Times New Roman" w:eastAsia="Times New Roman" w:hint="default"/>
          <w:sz w:val="24"/>
          <w:szCs w:val="24"/>
        </w:rPr>
        <w:t>-34/2014-161</w:t>
      </w:r>
      <w:r>
        <w:rPr>
          <w:rFonts w:ascii="Times New Roman" w:hAnsi="Times New Roman" w:cs="Times New Roman" w:eastAsia="Times New Roman" w:hint="default"/>
          <w:sz w:val="24"/>
          <w:szCs w:val="24"/>
        </w:rPr>
        <w:t>, Приватном ветеринарском станицом „Ветапан“ Горња Топоница број 10</w:t>
      </w:r>
      <w:r>
        <w:rPr>
          <w:rFonts w:ascii="Times New Roman" w:hAnsi="Times New Roman" w:cs="Times New Roman" w:eastAsia="Times New Roman" w:hint="default"/>
          <w:sz w:val="24"/>
          <w:szCs w:val="24"/>
        </w:rPr>
        <w:t>-34/2014-</w:t>
      </w:r>
      <w:r>
        <w:rPr>
          <w:rFonts w:ascii="Times New Roman" w:hAnsi="Times New Roman" w:cs="Times New Roman" w:eastAsia="Times New Roman" w:hint="default"/>
          <w:sz w:val="24"/>
          <w:szCs w:val="24"/>
        </w:rPr>
        <w:t>159 и Приватном ветеринарском амбулантом „</w:t>
      </w:r>
      <w:r>
        <w:rPr>
          <w:rFonts w:ascii="Times New Roman" w:hAnsi="Times New Roman" w:cs="Times New Roman" w:eastAsia="Times New Roman" w:hint="default"/>
          <w:sz w:val="24"/>
          <w:szCs w:val="24"/>
        </w:rPr>
        <w:t>Vet medica</w:t>
      </w:r>
      <w:r>
        <w:rPr>
          <w:rFonts w:ascii="Times New Roman" w:hAnsi="Times New Roman" w:cs="Times New Roman" w:eastAsia="Times New Roman" w:hint="default"/>
          <w:sz w:val="24"/>
          <w:szCs w:val="24"/>
        </w:rPr>
        <w:t>“ Ниш број 10</w:t>
      </w:r>
      <w:r>
        <w:rPr>
          <w:rFonts w:ascii="Times New Roman" w:hAnsi="Times New Roman" w:cs="Times New Roman" w:eastAsia="Times New Roman" w:hint="default"/>
          <w:sz w:val="24"/>
          <w:szCs w:val="24"/>
        </w:rPr>
        <w:t>-34/2014-</w:t>
      </w:r>
      <w:r>
        <w:rPr>
          <w:rFonts w:ascii="Times New Roman" w:hAnsi="Times New Roman" w:cs="Times New Roman" w:eastAsia="Times New Roman" w:hint="default"/>
          <w:sz w:val="24"/>
          <w:szCs w:val="24"/>
        </w:rPr>
        <w:t>160 закључени су дана 30.04.2014. године, а односе се на период од 01.01. до 30.04.2014. године, односно закључени су</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ретроактивно.</w:t>
      </w:r>
    </w:p>
    <w:p>
      <w:pPr>
        <w:pStyle w:val="Heading2"/>
        <w:spacing w:line="240" w:lineRule="auto"/>
        <w:ind w:right="176"/>
        <w:jc w:val="both"/>
        <w:rPr>
          <w:b w:val="0"/>
          <w:bCs w:val="0"/>
          <w:i w:val="0"/>
        </w:rPr>
      </w:pPr>
      <w:r>
        <w:rPr>
          <w:i/>
        </w:rPr>
        <w:t>Препоручује се одговорним лицима да обезбеде основ за сваки расход из буџета, уговоре вредност приликом закључивања уговора и да обавезе не преузимају ретроактивно већ за наступајући</w:t>
      </w:r>
      <w:r>
        <w:rPr>
          <w:i/>
          <w:spacing w:val="-7"/>
        </w:rPr>
        <w:t> </w:t>
      </w:r>
      <w:r>
        <w:rPr>
          <w:i/>
        </w:rPr>
        <w:t>период.</w:t>
      </w:r>
      <w:r>
        <w:rPr>
          <w:b w:val="0"/>
          <w:i w:val="0"/>
        </w:rPr>
      </w:r>
    </w:p>
    <w:p>
      <w:pPr>
        <w:pStyle w:val="ListParagraph"/>
        <w:numPr>
          <w:ilvl w:val="0"/>
          <w:numId w:val="39"/>
        </w:numPr>
        <w:tabs>
          <w:tab w:pos="1013" w:val="left" w:leader="none"/>
        </w:tabs>
        <w:spacing w:line="240" w:lineRule="auto" w:before="0" w:after="0"/>
        <w:ind w:left="160" w:right="174"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 за привреду, одрживи развој и заштиту животне средине </w:t>
      </w:r>
      <w:r>
        <w:rPr>
          <w:rFonts w:ascii="Times New Roman" w:hAnsi="Times New Roman" w:cs="Times New Roman" w:eastAsia="Times New Roman" w:hint="default"/>
          <w:sz w:val="24"/>
          <w:szCs w:val="24"/>
        </w:rPr>
        <w:t>– Исказан  је расход за текуће субвенције осталим јавним нефинансијским предузећима у износу од 18.986 хиљада динара </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9.000 хиљада динара ЈП „Аеродром“ Ниш, 9.626 хиљада динара  по принудној наплати од стране „Минелинжењеринг евинг“ доо Београд и 360 хиљада динара Дому „Душко Радовић“ Ниш</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и расход за капиталне субвенције осталим јавним нефинансијским предузећима у износу од 1.000 хиљада динара </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ЈКП „Медијана“</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Ниш</w:t>
      </w:r>
      <w:r>
        <w:rPr>
          <w:rFonts w:ascii="Times New Roman" w:hAnsi="Times New Roman" w:cs="Times New Roman" w:eastAsia="Times New Roman" w:hint="default"/>
          <w:sz w:val="24"/>
          <w:szCs w:val="24"/>
        </w:rPr>
        <w:t>).</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Heading1"/>
        <w:spacing w:line="275" w:lineRule="exact" w:before="126"/>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48"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је евидентиран расход на групи 451000–субвенције  јавним нефинансијским предузећима и организацијама у укупном износу од 1.360 хиљада динара и то по основу учешћа у Пројекту „Предах родитељства“ са Домом за децу и омладину „Душко Радовић“ Ниш у износу од 360 хиљада динара уместо на групи</w:t>
      </w:r>
      <w:r>
        <w:rPr>
          <w:rFonts w:ascii="Times New Roman" w:hAnsi="Times New Roman" w:cs="Times New Roman" w:eastAsia="Times New Roman" w:hint="default"/>
          <w:spacing w:val="37"/>
          <w:sz w:val="24"/>
          <w:szCs w:val="24"/>
        </w:rPr>
        <w:t> </w:t>
      </w:r>
      <w:r>
        <w:rPr>
          <w:rFonts w:ascii="Times New Roman" w:hAnsi="Times New Roman" w:cs="Times New Roman" w:eastAsia="Times New Roman" w:hint="default"/>
          <w:sz w:val="24"/>
          <w:szCs w:val="24"/>
        </w:rPr>
        <w:t>472000</w:t>
      </w:r>
    </w:p>
    <w:p>
      <w:pPr>
        <w:pStyle w:val="ListParagraph"/>
        <w:numPr>
          <w:ilvl w:val="0"/>
          <w:numId w:val="12"/>
        </w:numPr>
        <w:tabs>
          <w:tab w:pos="399" w:val="left" w:leader="none"/>
        </w:tabs>
        <w:spacing w:line="240" w:lineRule="auto" w:before="0" w:after="0"/>
        <w:ind w:left="398" w:right="0" w:hanging="238"/>
        <w:jc w:val="both"/>
        <w:rPr>
          <w:rFonts w:ascii="Times New Roman" w:hAnsi="Times New Roman" w:cs="Times New Roman" w:eastAsia="Times New Roman" w:hint="default"/>
          <w:sz w:val="24"/>
          <w:szCs w:val="24"/>
        </w:rPr>
      </w:pPr>
      <w:r>
        <w:rPr>
          <w:rFonts w:ascii="Times New Roman" w:hAnsi="Times New Roman"/>
          <w:sz w:val="24"/>
        </w:rPr>
        <w:t>накнаде   за   социјалну  заштиту  из   буџета   и   по   основу  суфинансирања</w:t>
      </w:r>
      <w:r>
        <w:rPr>
          <w:rFonts w:ascii="Times New Roman" w:hAnsi="Times New Roman"/>
          <w:spacing w:val="56"/>
          <w:sz w:val="24"/>
        </w:rPr>
        <w:t> </w:t>
      </w:r>
      <w:r>
        <w:rPr>
          <w:rFonts w:ascii="Times New Roman" w:hAnsi="Times New Roman"/>
          <w:sz w:val="24"/>
        </w:rPr>
        <w:t>Пројекта</w:t>
      </w:r>
    </w:p>
    <w:p>
      <w:pPr>
        <w:pStyle w:val="BodyText"/>
        <w:spacing w:line="240" w:lineRule="auto"/>
        <w:ind w:right="174"/>
        <w:jc w:val="both"/>
      </w:pPr>
      <w:r>
        <w:rPr/>
        <w:t>„Изградња рециклажног дворишта“ са Министарством животне средине и просторног планирања и Фондом за заштиту животне средине у износу од 1.000 хиљада динара, уместо на групи 424000</w:t>
      </w:r>
      <w:r>
        <w:rPr>
          <w:rFonts w:ascii="Times New Roman" w:hAnsi="Times New Roman" w:cs="Times New Roman" w:eastAsia="Times New Roman" w:hint="default"/>
        </w:rPr>
        <w:t>-</w:t>
      </w:r>
      <w:r>
        <w:rPr/>
        <w:t>специјализоване услуге, што је супротно члану 9. Уредбе о буџетском рачуноводству и Правилнику о стандардном класификационом оквиру и контном плану за буџетски</w:t>
      </w:r>
      <w:r>
        <w:rPr>
          <w:spacing w:val="-17"/>
        </w:rPr>
        <w:t> </w:t>
      </w:r>
      <w:r>
        <w:rPr/>
        <w:t>систем.</w:t>
      </w:r>
    </w:p>
    <w:p>
      <w:pPr>
        <w:pStyle w:val="ListParagraph"/>
        <w:numPr>
          <w:ilvl w:val="0"/>
          <w:numId w:val="9"/>
        </w:numPr>
        <w:tabs>
          <w:tab w:pos="348"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Реализација Пројекта „Изградња рециклажног дворишта“ по Уговору о суфинансирању број 2147/2010</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30.07.2010. године и Анексу 1 уговора број 1750/2011</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16.06.2011. године закљученим између Министарства животне средине и просторног планирања, Фонда за заштиту животне средине, града Ниша и </w:t>
      </w:r>
      <w:r>
        <w:rPr>
          <w:rFonts w:ascii="Times New Roman" w:hAnsi="Times New Roman" w:cs="Times New Roman" w:eastAsia="Times New Roman" w:hint="default"/>
          <w:spacing w:val="2"/>
          <w:sz w:val="24"/>
          <w:szCs w:val="24"/>
        </w:rPr>
        <w:t>ЈКП </w:t>
      </w:r>
      <w:r>
        <w:rPr>
          <w:rFonts w:ascii="Times New Roman" w:hAnsi="Times New Roman" w:cs="Times New Roman" w:eastAsia="Times New Roman" w:hint="default"/>
          <w:sz w:val="24"/>
          <w:szCs w:val="24"/>
        </w:rPr>
        <w:t>„Медијана“ није </w:t>
      </w:r>
      <w:r>
        <w:rPr>
          <w:rFonts w:ascii="Times New Roman" w:hAnsi="Times New Roman" w:cs="Times New Roman" w:eastAsia="Times New Roman" w:hint="default"/>
          <w:sz w:val="24"/>
          <w:szCs w:val="24"/>
        </w:rPr>
        <w:t>окончана иако је уговорено да се реализује у 2011. години, тако да нису поштоване одредбе</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уговора</w:t>
      </w:r>
      <w:r>
        <w:rPr>
          <w:rFonts w:ascii="Times New Roman" w:hAnsi="Times New Roman" w:cs="Times New Roman" w:eastAsia="Times New Roman" w:hint="default"/>
          <w:sz w:val="24"/>
          <w:szCs w:val="24"/>
        </w:rPr>
        <w:t>.</w:t>
      </w:r>
    </w:p>
    <w:p>
      <w:pPr>
        <w:pStyle w:val="Heading2"/>
        <w:spacing w:line="240" w:lineRule="auto"/>
        <w:ind w:right="172"/>
        <w:jc w:val="both"/>
        <w:rPr>
          <w:b w:val="0"/>
          <w:bCs w:val="0"/>
          <w:i w:val="0"/>
        </w:rPr>
      </w:pPr>
      <w:r>
        <w:rPr>
          <w:i/>
        </w:rPr>
        <w:t>Препоручује се одговорним лицима да обезбеде правилну примену одредби Уредбе о буџетском рачуноводству, Правилника о стандардном класификационом оквиру и контном плану за буџетски систем и закљученог</w:t>
      </w:r>
      <w:r>
        <w:rPr>
          <w:i/>
          <w:spacing w:val="-14"/>
        </w:rPr>
        <w:t> </w:t>
      </w:r>
      <w:r>
        <w:rPr>
          <w:i/>
        </w:rPr>
        <w:t>уговора.</w:t>
      </w:r>
      <w:r>
        <w:rPr>
          <w:b w:val="0"/>
          <w:i w:val="0"/>
        </w:rPr>
      </w:r>
    </w:p>
    <w:p>
      <w:pPr>
        <w:pStyle w:val="ListParagraph"/>
        <w:numPr>
          <w:ilvl w:val="0"/>
          <w:numId w:val="39"/>
        </w:numPr>
        <w:tabs>
          <w:tab w:pos="994" w:val="left" w:leader="none"/>
        </w:tabs>
        <w:spacing w:line="240" w:lineRule="auto" w:before="0" w:after="0"/>
        <w:ind w:left="160" w:right="177"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 за комуналне делатности, енергетику и саобраћај </w:t>
      </w:r>
      <w:r>
        <w:rPr>
          <w:rFonts w:ascii="Times New Roman" w:hAnsi="Times New Roman" w:cs="Times New Roman" w:eastAsia="Times New Roman" w:hint="default"/>
          <w:sz w:val="24"/>
          <w:szCs w:val="24"/>
        </w:rPr>
        <w:t>– Исказан је расход у износу од 239.208 хиљада динара за текуће субвенције осталим јавним нефинансијским предузећима од којих: ЈП „Аеродром“ Ниш 14.185 хиљада динара, „Ћурдић“ доо</w:t>
      </w:r>
      <w:r>
        <w:rPr>
          <w:rFonts w:ascii="Times New Roman" w:hAnsi="Times New Roman" w:cs="Times New Roman" w:eastAsia="Times New Roman" w:hint="default"/>
          <w:spacing w:val="25"/>
          <w:sz w:val="24"/>
          <w:szCs w:val="24"/>
        </w:rPr>
        <w:t> </w:t>
      </w:r>
      <w:r>
        <w:rPr>
          <w:rFonts w:ascii="Times New Roman" w:hAnsi="Times New Roman" w:cs="Times New Roman" w:eastAsia="Times New Roman" w:hint="default"/>
          <w:sz w:val="24"/>
          <w:szCs w:val="24"/>
        </w:rPr>
        <w:t>Београд</w:t>
      </w:r>
    </w:p>
    <w:p>
      <w:pPr>
        <w:pStyle w:val="BodyText"/>
        <w:spacing w:line="240" w:lineRule="auto"/>
        <w:ind w:right="172"/>
        <w:jc w:val="both"/>
      </w:pPr>
      <w:r>
        <w:rPr/>
        <w:t>52.106 хиљада динара, „Лекон“ доо Београд 35.692 хиљаде динара, „Транспродукт“ доо Београд  38.582  хиљаде  динара,  „Нишекспрес“  ад  Ниш  7.926  хиљада  динара  и     </w:t>
      </w:r>
      <w:r>
        <w:rPr>
          <w:spacing w:val="55"/>
        </w:rPr>
        <w:t> </w:t>
      </w:r>
      <w:r>
        <w:rPr/>
        <w:t>ЈП</w:t>
      </w:r>
    </w:p>
    <w:p>
      <w:pPr>
        <w:pStyle w:val="BodyText"/>
        <w:spacing w:line="240" w:lineRule="auto"/>
        <w:ind w:right="0"/>
        <w:jc w:val="both"/>
      </w:pPr>
      <w:r>
        <w:rPr/>
        <w:t>„Дирекција за јавни превоз“ Ниш 90.717 хиљада</w:t>
      </w:r>
      <w:r>
        <w:rPr>
          <w:spacing w:val="-14"/>
        </w:rPr>
        <w:t> </w:t>
      </w:r>
      <w:r>
        <w:rPr/>
        <w:t>динара,</w:t>
      </w:r>
    </w:p>
    <w:p>
      <w:pPr>
        <w:pStyle w:val="BodyText"/>
        <w:spacing w:line="240" w:lineRule="auto"/>
        <w:ind w:right="177" w:firstLine="566"/>
        <w:jc w:val="both"/>
      </w:pPr>
      <w:r>
        <w:rPr/>
        <w:t>Град није редовно измиривао обавезе према превозницима по основу уговора о поверавању обављања комуналне делатности превоза путника у градском и приградском саобраћају на територији града Ниша закљученим у 2008. години са</w:t>
      </w:r>
      <w:r>
        <w:rPr>
          <w:rFonts w:ascii="Times New Roman" w:hAnsi="Times New Roman" w:cs="Times New Roman" w:eastAsia="Times New Roman" w:hint="default"/>
        </w:rPr>
        <w:t>: </w:t>
      </w:r>
      <w:r>
        <w:rPr/>
        <w:t>„Ћурдић“ доо Београд, „Лекон“ доо Београд, „Транспродукт“ доо Београд, „Нишекспрес“ ад Ниш и  </w:t>
      </w:r>
      <w:r>
        <w:rPr>
          <w:spacing w:val="7"/>
        </w:rPr>
        <w:t> </w:t>
      </w:r>
      <w:r>
        <w:rPr/>
        <w:t>ЈП</w:t>
      </w:r>
    </w:p>
    <w:p>
      <w:pPr>
        <w:pStyle w:val="BodyText"/>
        <w:spacing w:line="240" w:lineRule="auto"/>
        <w:ind w:right="173"/>
        <w:jc w:val="both"/>
      </w:pPr>
      <w:r>
        <w:rPr/>
        <w:t>„Аеродром“ Ниш</w:t>
      </w:r>
      <w:r>
        <w:rPr>
          <w:rFonts w:ascii="Times New Roman" w:hAnsi="Times New Roman" w:cs="Times New Roman" w:eastAsia="Times New Roman" w:hint="default"/>
        </w:rPr>
        <w:t>. </w:t>
      </w:r>
      <w:r>
        <w:rPr/>
        <w:t>На дан 31.08.2013. године укупне обавезе града Ниша према превозницима су без камате износиле 388.940 хиљада динара за субвенције, накнаде кондуктерима и обавезе корисника буџета града по основу месечних картица за превоз</w:t>
      </w:r>
      <w:r>
        <w:rPr>
          <w:rFonts w:ascii="Times New Roman" w:hAnsi="Times New Roman" w:cs="Times New Roman" w:eastAsia="Times New Roman" w:hint="default"/>
        </w:rPr>
        <w:t>. </w:t>
      </w:r>
      <w:r>
        <w:rPr/>
        <w:t>За неплаћене обавезе до 31.08.2013. године закључени су споразуми о вансудском поравнању са: „Ћурдић“ доо Београд, „Лекон“ доо Београд, „Транспродукт</w:t>
      </w:r>
      <w:r>
        <w:rPr>
          <w:rFonts w:ascii="Times New Roman" w:hAnsi="Times New Roman" w:cs="Times New Roman" w:eastAsia="Times New Roman" w:hint="default"/>
        </w:rPr>
        <w:t>-</w:t>
      </w:r>
      <w:r>
        <w:rPr/>
        <w:t>бус превоз“ доо Београд и ЈП „Аеродром“ Ниш. „Нишекспрес“ ад Ниш није закључио споразум о вансудском поравнању већ је поднео извршитељу предлог за извршење ради принудне наплате. По споразумима о вансудском поравнању измирене су обавезе за субвенције у укупном износу од 84.992 хиљаде динара</w:t>
      </w:r>
      <w:r>
        <w:rPr>
          <w:rFonts w:ascii="Times New Roman" w:hAnsi="Times New Roman" w:cs="Times New Roman" w:eastAsia="Times New Roman" w:hint="default"/>
        </w:rPr>
        <w:t>, </w:t>
      </w:r>
      <w:r>
        <w:rPr/>
        <w:t>а принудном наплатом у износу од 63.499 хиљада</w:t>
      </w:r>
      <w:r>
        <w:rPr>
          <w:spacing w:val="-3"/>
        </w:rPr>
        <w:t> </w:t>
      </w:r>
      <w:r>
        <w:rPr/>
        <w:t>динара.</w:t>
      </w:r>
    </w:p>
    <w:p>
      <w:pPr>
        <w:pStyle w:val="BodyText"/>
        <w:spacing w:line="240" w:lineRule="auto"/>
        <w:ind w:right="182" w:firstLine="566"/>
        <w:jc w:val="both"/>
      </w:pPr>
      <w:r>
        <w:rPr/>
        <w:t>ЈП „Дирекција за јавни превоз“ Ниш пренет је износ од 90.717 хиљада динара по основу  субвенције  за:  „Нишекспрес“  ад  Ниш  у  износу  од  79.197  хиљада  динара,</w:t>
      </w:r>
      <w:r>
        <w:rPr>
          <w:spacing w:val="4"/>
        </w:rPr>
        <w:t> </w:t>
      </w:r>
      <w:r>
        <w:rPr/>
        <w:t>ЈП</w:t>
      </w:r>
    </w:p>
    <w:p>
      <w:pPr>
        <w:pStyle w:val="BodyText"/>
        <w:spacing w:line="240" w:lineRule="auto"/>
        <w:ind w:right="0"/>
        <w:jc w:val="both"/>
      </w:pPr>
      <w:r>
        <w:rPr/>
        <w:t>„Аеродром“ Ниш у износу од 7.493 хиљаде динара и „Ћурдић“ доо Београд   </w:t>
      </w:r>
      <w:r>
        <w:rPr>
          <w:spacing w:val="20"/>
        </w:rPr>
        <w:t> </w:t>
      </w:r>
      <w:r>
        <w:rPr/>
        <w:t>у износу од</w:t>
      </w:r>
    </w:p>
    <w:p>
      <w:pPr>
        <w:pStyle w:val="BodyText"/>
        <w:spacing w:line="240" w:lineRule="auto"/>
        <w:ind w:right="0"/>
        <w:jc w:val="both"/>
      </w:pPr>
      <w:r>
        <w:rPr/>
        <w:t>4.027 хиљада</w:t>
      </w:r>
      <w:r>
        <w:rPr>
          <w:spacing w:val="-3"/>
        </w:rPr>
        <w:t> </w:t>
      </w:r>
      <w:r>
        <w:rPr/>
        <w:t>динара.</w:t>
      </w:r>
    </w:p>
    <w:p>
      <w:pPr>
        <w:pStyle w:val="Heading1"/>
        <w:spacing w:line="240" w:lineRule="auto"/>
        <w:ind w:right="141"/>
        <w:jc w:val="left"/>
        <w:rPr>
          <w:b w:val="0"/>
          <w:bCs w:val="0"/>
        </w:rPr>
      </w:pPr>
      <w:r>
        <w:rPr/>
        <w:t>На основу ревизије узорковане документације утврђено</w:t>
      </w:r>
      <w:r>
        <w:rPr>
          <w:spacing w:val="-16"/>
        </w:rPr>
        <w:t> </w:t>
      </w:r>
      <w:r>
        <w:rPr/>
        <w:t>је:</w:t>
      </w:r>
      <w:r>
        <w:rPr>
          <w:b w:val="0"/>
        </w:rPr>
      </w:r>
    </w:p>
    <w:p>
      <w:pPr>
        <w:spacing w:after="0" w:line="240" w:lineRule="auto"/>
        <w:jc w:val="left"/>
        <w:sectPr>
          <w:pgSz w:w="12240" w:h="15840"/>
          <w:pgMar w:header="740" w:footer="1274" w:top="1280" w:bottom="1460" w:left="1400" w:right="1260"/>
        </w:sectPr>
      </w:pPr>
    </w:p>
    <w:p>
      <w:pPr>
        <w:pStyle w:val="ListParagraph"/>
        <w:numPr>
          <w:ilvl w:val="0"/>
          <w:numId w:val="9"/>
        </w:numPr>
        <w:tabs>
          <w:tab w:pos="303" w:val="left" w:leader="none"/>
        </w:tabs>
        <w:spacing w:line="240" w:lineRule="auto" w:before="124"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Град преко својих надлежних управа не врши контролу тражених</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фактурисаних износа од стране превозника, односно ЈКП „Дирекција за превоз“ Ниш</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по основу субвенција, износа накнаде за рад кондуктера и износа обавеза буџетских корисника за месечне картице за превоз, па постоји ризик од злоупотребе буџетских</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средстава</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вези закључених вансудских поравнања са превозницима, податке о обавези Града према превозницима и основу обавезе, смо добили од ЈКП „Дирекција за превоз града Ниша“. Управа за комуналне делатности, енергетику и саобраћај, Управа за привреду, одрживи развој и заштиту животне средине, Управа за финансије, изворне приходе локалне самоуправе и јавне набавке и Градско јавно правобранилаштво нису располагали подацима о основу обавезе Града према</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превозницима.</w:t>
      </w:r>
    </w:p>
    <w:p>
      <w:pPr>
        <w:pStyle w:val="Heading2"/>
        <w:spacing w:line="240" w:lineRule="auto"/>
        <w:ind w:right="178"/>
        <w:jc w:val="both"/>
        <w:rPr>
          <w:b w:val="0"/>
          <w:bCs w:val="0"/>
          <w:i w:val="0"/>
        </w:rPr>
      </w:pPr>
      <w:r>
        <w:rPr>
          <w:i/>
        </w:rPr>
        <w:t>Препоручује се одговорним лицима да прате и контролишу основ дуговања и реализацију закључених</w:t>
      </w:r>
      <w:r>
        <w:rPr>
          <w:i/>
          <w:spacing w:val="-6"/>
        </w:rPr>
        <w:t> </w:t>
      </w:r>
      <w:r>
        <w:rPr>
          <w:i/>
        </w:rPr>
        <w:t>уговора.</w:t>
      </w:r>
      <w:r>
        <w:rPr>
          <w:b w:val="0"/>
          <w:i w:val="0"/>
        </w:rPr>
      </w:r>
    </w:p>
    <w:p>
      <w:pPr>
        <w:pStyle w:val="ListParagraph"/>
        <w:numPr>
          <w:ilvl w:val="0"/>
          <w:numId w:val="39"/>
        </w:numPr>
        <w:tabs>
          <w:tab w:pos="998" w:val="left" w:leader="none"/>
        </w:tabs>
        <w:spacing w:line="271" w:lineRule="exact" w:before="0" w:after="0"/>
        <w:ind w:left="998" w:right="0" w:hanging="272"/>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 за културу </w:t>
      </w:r>
      <w:r>
        <w:rPr>
          <w:rFonts w:ascii="Times New Roman" w:hAnsi="Times New Roman" w:cs="Times New Roman" w:eastAsia="Times New Roman" w:hint="default"/>
          <w:sz w:val="24"/>
          <w:szCs w:val="24"/>
        </w:rPr>
        <w:t>– Исказан је расход у износу од 48.540 хиљада динара за  </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ЈП</w:t>
      </w:r>
    </w:p>
    <w:p>
      <w:pPr>
        <w:pStyle w:val="BodyText"/>
        <w:spacing w:line="240" w:lineRule="auto"/>
        <w:ind w:right="0"/>
        <w:jc w:val="both"/>
      </w:pPr>
      <w:r>
        <w:rPr/>
        <w:t>„Нишка телевизија“</w:t>
      </w:r>
      <w:r>
        <w:rPr>
          <w:spacing w:val="-5"/>
        </w:rPr>
        <w:t> </w:t>
      </w:r>
      <w:r>
        <w:rPr/>
        <w:t>Ниш.</w:t>
      </w:r>
    </w:p>
    <w:p>
      <w:pPr>
        <w:pStyle w:val="BodyText"/>
        <w:spacing w:line="240" w:lineRule="auto"/>
        <w:ind w:right="173" w:firstLine="566"/>
        <w:jc w:val="both"/>
      </w:pPr>
      <w:r>
        <w:rPr>
          <w:rFonts w:ascii="Times New Roman" w:hAnsi="Times New Roman" w:cs="Times New Roman" w:eastAsia="Times New Roman" w:hint="default"/>
          <w:b/>
          <w:bCs/>
        </w:rPr>
        <w:t>На основу ревизије узорковане документације утврђено је </w:t>
      </w:r>
      <w:r>
        <w:rPr/>
        <w:t>да су расходи за субвенције планирани и извршени у износу од 48.540 хиљада динара, а да ЈП „Нишка телевизија“ Ниш није предложило посебан програм који садржи програм коришћења помоћи, са временски ограниченом и мерљивом динамиком повећања ефикасности и унутрашњих промена које ће довести јавно предузеће у позицију да може да послује без ових облика помоћи или </w:t>
      </w:r>
      <w:r>
        <w:rPr>
          <w:spacing w:val="-4"/>
        </w:rPr>
        <w:t>уз </w:t>
      </w:r>
      <w:r>
        <w:rPr/>
        <w:t>њихово смањење, што је супротно члану 50. Закона о јавним </w:t>
      </w:r>
      <w:r>
        <w:rPr/>
        <w:t>предузећима.</w:t>
      </w:r>
    </w:p>
    <w:p>
      <w:pPr>
        <w:pStyle w:val="Heading2"/>
        <w:spacing w:line="240" w:lineRule="auto"/>
        <w:ind w:right="182"/>
        <w:jc w:val="both"/>
        <w:rPr>
          <w:b w:val="0"/>
          <w:bCs w:val="0"/>
          <w:i w:val="0"/>
        </w:rPr>
      </w:pPr>
      <w:r>
        <w:rPr>
          <w:i/>
        </w:rPr>
        <w:t>Препоручује се одговорним лицима да субвенције планирају и додељују на основу посебног програма који садржи програм коришћења</w:t>
      </w:r>
      <w:r>
        <w:rPr>
          <w:i/>
          <w:spacing w:val="-14"/>
        </w:rPr>
        <w:t> </w:t>
      </w:r>
      <w:r>
        <w:rPr>
          <w:i/>
        </w:rPr>
        <w:t>помоћи.</w:t>
      </w:r>
      <w:r>
        <w:rPr>
          <w:b w:val="0"/>
          <w:i w:val="0"/>
        </w:rPr>
      </w:r>
    </w:p>
    <w:p>
      <w:pPr>
        <w:spacing w:line="240" w:lineRule="auto" w:before="0"/>
        <w:rPr>
          <w:rFonts w:ascii="Times New Roman" w:hAnsi="Times New Roman" w:cs="Times New Roman" w:eastAsia="Times New Roman" w:hint="default"/>
          <w:b/>
          <w:bCs/>
          <w:i/>
          <w:sz w:val="24"/>
          <w:szCs w:val="24"/>
        </w:rPr>
      </w:pPr>
    </w:p>
    <w:p>
      <w:pPr>
        <w:pStyle w:val="Heading1"/>
        <w:numPr>
          <w:ilvl w:val="3"/>
          <w:numId w:val="40"/>
        </w:numPr>
        <w:tabs>
          <w:tab w:pos="1001" w:val="left" w:leader="none"/>
        </w:tabs>
        <w:spacing w:line="274" w:lineRule="exact" w:before="0" w:after="0"/>
        <w:ind w:left="1000" w:right="0" w:hanging="840"/>
        <w:jc w:val="both"/>
        <w:rPr>
          <w:b w:val="0"/>
          <w:bCs w:val="0"/>
        </w:rPr>
      </w:pPr>
      <w:bookmarkStart w:name="_bookmark26" w:id="46"/>
      <w:bookmarkEnd w:id="46"/>
      <w:r>
        <w:rPr>
          <w:b w:val="0"/>
        </w:rPr>
      </w:r>
      <w:bookmarkStart w:name="_bookmark26" w:id="47"/>
      <w:bookmarkEnd w:id="47"/>
      <w:r>
        <w:rPr/>
        <w:t>Субв</w:t>
      </w:r>
      <w:r>
        <w:rPr/>
        <w:t>енције приватним предузећима, група</w:t>
      </w:r>
      <w:r>
        <w:rPr>
          <w:spacing w:val="-16"/>
        </w:rPr>
        <w:t> </w:t>
      </w:r>
      <w:r>
        <w:rPr/>
        <w:t>454000</w:t>
      </w:r>
      <w:r>
        <w:rPr>
          <w:b w:val="0"/>
        </w:rPr>
      </w:r>
    </w:p>
    <w:p>
      <w:pPr>
        <w:pStyle w:val="BodyText"/>
        <w:spacing w:line="240" w:lineRule="auto"/>
        <w:ind w:right="179" w:firstLine="566"/>
        <w:jc w:val="both"/>
      </w:pPr>
      <w:r>
        <w:rPr/>
        <w:t>Група 454000 – субвенције приватним предузећима садржи синтетичка конта: текуће субвенције приватним предузећима и капиталне субвенције приватним предузећима.</w:t>
      </w:r>
    </w:p>
    <w:p>
      <w:pPr>
        <w:spacing w:before="2" w:after="6"/>
        <w:ind w:left="0" w:right="173" w:firstLine="0"/>
        <w:jc w:val="right"/>
        <w:rPr>
          <w:rFonts w:ascii="Times New Roman" w:hAnsi="Times New Roman" w:cs="Times New Roman" w:eastAsia="Times New Roman" w:hint="default"/>
          <w:sz w:val="16"/>
          <w:szCs w:val="16"/>
        </w:rPr>
      </w:pPr>
      <w:r>
        <w:rPr>
          <w:rFonts w:ascii="Times New Roman" w:hAnsi="Times New Roman"/>
          <w:sz w:val="16"/>
        </w:rPr>
        <w:t>(у хиљадама</w:t>
      </w:r>
      <w:r>
        <w:rPr>
          <w:rFonts w:ascii="Times New Roman" w:hAnsi="Times New Roman"/>
          <w:spacing w:val="-5"/>
          <w:sz w:val="16"/>
        </w:rPr>
        <w:t> </w:t>
      </w:r>
      <w:r>
        <w:rPr>
          <w:rFonts w:ascii="Times New Roman" w:hAnsi="Times New Roman"/>
          <w:sz w:val="16"/>
        </w:rPr>
        <w:t>динара)</w:t>
      </w:r>
    </w:p>
    <w:tbl>
      <w:tblPr>
        <w:tblW w:w="0" w:type="auto"/>
        <w:jc w:val="left"/>
        <w:tblInd w:w="141" w:type="dxa"/>
        <w:tblLayout w:type="fixed"/>
        <w:tblCellMar>
          <w:top w:w="0" w:type="dxa"/>
          <w:left w:w="0" w:type="dxa"/>
          <w:bottom w:w="0" w:type="dxa"/>
          <w:right w:w="0" w:type="dxa"/>
        </w:tblCellMar>
        <w:tblLook w:val="01E0"/>
      </w:tblPr>
      <w:tblGrid>
        <w:gridCol w:w="876"/>
        <w:gridCol w:w="2401"/>
        <w:gridCol w:w="960"/>
        <w:gridCol w:w="1351"/>
        <w:gridCol w:w="1047"/>
        <w:gridCol w:w="936"/>
        <w:gridCol w:w="845"/>
        <w:gridCol w:w="847"/>
      </w:tblGrid>
      <w:tr>
        <w:trPr>
          <w:trHeight w:val="422"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61" w:right="178" w:hanging="72"/>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left="393"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8"/>
                <w:sz w:val="18"/>
              </w:rPr>
              <w:t> </w:t>
            </w:r>
            <w:r>
              <w:rPr>
                <w:rFonts w:ascii="Times New Roman" w:hAnsi="Times New Roman"/>
                <w:b/>
                <w:sz w:val="18"/>
              </w:rPr>
              <w:t>корисник</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right="103"/>
              <w:jc w:val="right"/>
              <w:rPr>
                <w:rFonts w:ascii="Times New Roman" w:hAnsi="Times New Roman" w:cs="Times New Roman" w:eastAsia="Times New Roman" w:hint="default"/>
                <w:sz w:val="18"/>
                <w:szCs w:val="18"/>
              </w:rPr>
            </w:pPr>
            <w:r>
              <w:rPr>
                <w:rFonts w:ascii="Times New Roman" w:hAnsi="Times New Roman"/>
                <w:b/>
                <w:spacing w:val="-1"/>
                <w:sz w:val="18"/>
              </w:rPr>
              <w:t>Ребаланс</w:t>
            </w:r>
            <w:r>
              <w:rPr>
                <w:rFonts w:ascii="Times New Roman" w:hAns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93" w:firstLine="88"/>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реалокацијом</w:t>
            </w:r>
            <w:r>
              <w:rPr>
                <w:rFonts w:ascii="Times New Roman" w:hAns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95"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12" w:right="107"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99" w:right="110"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302" w:right="109"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49"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1</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1"/>
              <w:jc w:val="center"/>
              <w:rPr>
                <w:rFonts w:ascii="Times New Roman" w:hAnsi="Times New Roman" w:cs="Times New Roman" w:eastAsia="Times New Roman" w:hint="default"/>
                <w:sz w:val="12"/>
                <w:szCs w:val="12"/>
              </w:rPr>
            </w:pPr>
            <w:r>
              <w:rPr>
                <w:rFonts w:ascii="Times New Roman"/>
                <w:sz w:val="12"/>
              </w:rPr>
              <w:t>2</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2"/>
              <w:jc w:val="center"/>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
              <w:jc w:val="center"/>
              <w:rPr>
                <w:rFonts w:ascii="Times New Roman" w:hAnsi="Times New Roman" w:cs="Times New Roman" w:eastAsia="Times New Roman" w:hint="default"/>
                <w:sz w:val="12"/>
                <w:szCs w:val="12"/>
              </w:rPr>
            </w:pPr>
            <w:r>
              <w:rPr>
                <w:rFonts w:ascii="Times New Roman"/>
                <w:sz w:val="12"/>
              </w:rPr>
              <w:t>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7</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8</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
              <w:jc w:val="center"/>
              <w:rPr>
                <w:rFonts w:ascii="Times New Roman" w:hAnsi="Times New Roman" w:cs="Times New Roman" w:eastAsia="Times New Roman" w:hint="default"/>
                <w:sz w:val="18"/>
                <w:szCs w:val="18"/>
              </w:rPr>
            </w:pPr>
            <w:r>
              <w:rPr>
                <w:rFonts w:ascii="Times New Roman"/>
                <w:sz w:val="18"/>
              </w:rPr>
              <w:t>1</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5"/>
                <w:sz w:val="18"/>
              </w:rPr>
              <w:t> </w:t>
            </w:r>
            <w:r>
              <w:rPr>
                <w:rFonts w:ascii="Times New Roman" w:hAnsi="Times New Roman"/>
                <w:sz w:val="18"/>
              </w:rPr>
              <w:t>привреду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4"/>
              <w:jc w:val="right"/>
              <w:rPr>
                <w:rFonts w:ascii="Times New Roman" w:hAnsi="Times New Roman" w:cs="Times New Roman" w:eastAsia="Times New Roman" w:hint="default"/>
                <w:sz w:val="18"/>
                <w:szCs w:val="18"/>
              </w:rPr>
            </w:pPr>
            <w:r>
              <w:rPr>
                <w:rFonts w:ascii="Times New Roman"/>
                <w:sz w:val="18"/>
              </w:rPr>
              <w:t>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25.713</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r>
      <w:tr>
        <w:trPr>
          <w:trHeight w:val="267"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
              <w:jc w:val="center"/>
              <w:rPr>
                <w:rFonts w:ascii="Times New Roman" w:hAnsi="Times New Roman" w:cs="Times New Roman" w:eastAsia="Times New Roman" w:hint="default"/>
                <w:sz w:val="18"/>
                <w:szCs w:val="18"/>
              </w:rPr>
            </w:pPr>
            <w:r>
              <w:rPr>
                <w:rFonts w:ascii="Times New Roman"/>
                <w:sz w:val="18"/>
              </w:rPr>
              <w:t>2</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03" w:right="0"/>
              <w:jc w:val="left"/>
              <w:rPr>
                <w:rFonts w:ascii="Times New Roman" w:hAnsi="Times New Roman" w:cs="Times New Roman" w:eastAsia="Times New Roman" w:hint="default"/>
                <w:sz w:val="18"/>
                <w:szCs w:val="18"/>
              </w:rPr>
            </w:pPr>
            <w:r>
              <w:rPr>
                <w:rFonts w:ascii="Times New Roman" w:hAnsi="Times New Roman"/>
                <w:sz w:val="18"/>
              </w:rPr>
              <w:t>Градско јавно</w:t>
            </w:r>
            <w:r>
              <w:rPr>
                <w:rFonts w:ascii="Times New Roman" w:hAnsi="Times New Roman"/>
                <w:spacing w:val="-6"/>
                <w:sz w:val="18"/>
              </w:rPr>
              <w:t> </w:t>
            </w:r>
            <w:r>
              <w:rPr>
                <w:rFonts w:ascii="Times New Roman" w:hAnsi="Times New Roman"/>
                <w:sz w:val="18"/>
              </w:rPr>
              <w:t>правобран.</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8"/>
                <w:szCs w:val="18"/>
              </w:rPr>
            </w:pPr>
            <w:r>
              <w:rPr>
                <w:rFonts w:ascii="Times New Roman"/>
                <w:sz w:val="18"/>
              </w:rPr>
              <w:t>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8"/>
                <w:szCs w:val="18"/>
              </w:rPr>
            </w:pPr>
            <w:r>
              <w:rPr>
                <w:rFonts w:ascii="Times New Roman"/>
                <w:sz w:val="18"/>
              </w:rPr>
              <w:t>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4"/>
              <w:jc w:val="right"/>
              <w:rPr>
                <w:rFonts w:ascii="Times New Roman" w:hAnsi="Times New Roman" w:cs="Times New Roman" w:eastAsia="Times New Roman" w:hint="default"/>
                <w:sz w:val="18"/>
                <w:szCs w:val="18"/>
              </w:rPr>
            </w:pPr>
            <w:r>
              <w:rPr>
                <w:rFonts w:ascii="Times New Roman"/>
                <w:sz w:val="18"/>
              </w:rPr>
              <w:t>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8"/>
                <w:szCs w:val="18"/>
              </w:rPr>
            </w:pPr>
            <w:r>
              <w:rPr>
                <w:rFonts w:ascii="Times New Roman"/>
                <w:sz w:val="18"/>
              </w:rPr>
              <w:t>1.510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8"/>
                <w:szCs w:val="18"/>
              </w:rPr>
            </w:pPr>
            <w:r>
              <w:rPr>
                <w:rFonts w:ascii="Times New Roman"/>
                <w:sz w:val="18"/>
              </w:rPr>
              <w:t>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8"/>
                <w:szCs w:val="18"/>
              </w:rPr>
            </w:pPr>
            <w:r>
              <w:rPr>
                <w:rFonts w:ascii="Times New Roman"/>
                <w:sz w:val="18"/>
              </w:rPr>
              <w:t>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
              <w:jc w:val="center"/>
              <w:rPr>
                <w:rFonts w:ascii="Times New Roman" w:hAnsi="Times New Roman" w:cs="Times New Roman" w:eastAsia="Times New Roman" w:hint="default"/>
                <w:sz w:val="18"/>
                <w:szCs w:val="18"/>
              </w:rPr>
            </w:pPr>
            <w:r>
              <w:rPr>
                <w:rFonts w:ascii="Times New Roman"/>
                <w:sz w:val="18"/>
              </w:rPr>
              <w:t>3</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8"/>
                <w:sz w:val="18"/>
              </w:rPr>
              <w:t> </w:t>
            </w:r>
            <w:r>
              <w:rPr>
                <w:rFonts w:ascii="Times New Roman" w:hAnsi="Times New Roman"/>
                <w:sz w:val="18"/>
              </w:rPr>
              <w:t>финансије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4"/>
              <w:jc w:val="right"/>
              <w:rPr>
                <w:rFonts w:ascii="Times New Roman" w:hAnsi="Times New Roman" w:cs="Times New Roman" w:eastAsia="Times New Roman" w:hint="default"/>
                <w:sz w:val="18"/>
                <w:szCs w:val="18"/>
              </w:rPr>
            </w:pPr>
            <w:r>
              <w:rPr>
                <w:rFonts w:ascii="Times New Roman"/>
                <w:sz w:val="18"/>
              </w:rPr>
              <w:t>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1.650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r>
      <w:tr>
        <w:trPr>
          <w:trHeight w:val="266"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left="650" w:right="0"/>
              <w:jc w:val="left"/>
              <w:rPr>
                <w:rFonts w:ascii="Times New Roman" w:hAnsi="Times New Roman" w:cs="Times New Roman" w:eastAsia="Times New Roman" w:hint="default"/>
                <w:sz w:val="18"/>
                <w:szCs w:val="18"/>
              </w:rPr>
            </w:pPr>
            <w:r>
              <w:rPr>
                <w:rFonts w:ascii="Times New Roman" w:hAnsi="Times New Roman"/>
                <w:b/>
                <w:sz w:val="18"/>
              </w:rPr>
              <w:t>Укупно корисници</w:t>
            </w:r>
            <w:r>
              <w:rPr>
                <w:rFonts w:ascii="Times New Roman" w:hAnsi="Times New Roman"/>
                <w:b/>
                <w:spacing w:val="-2"/>
                <w:sz w:val="18"/>
              </w:rPr>
              <w:t> </w:t>
            </w:r>
            <w:r>
              <w:rPr>
                <w:rFonts w:ascii="Times New Roman" w:hAnsi="Times New Roman"/>
                <w:b/>
                <w:sz w:val="18"/>
              </w:rPr>
              <w:t>(1</w:t>
            </w:r>
            <w:r>
              <w:rPr>
                <w:rFonts w:ascii="Times New Roman" w:hAnsi="Times New Roman"/>
                <w:b/>
                <w:sz w:val="18"/>
              </w:rPr>
              <w:t>-3)</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2"/>
              <w:jc w:val="right"/>
              <w:rPr>
                <w:rFonts w:ascii="Times New Roman" w:hAnsi="Times New Roman" w:cs="Times New Roman" w:eastAsia="Times New Roman" w:hint="default"/>
                <w:sz w:val="18"/>
                <w:szCs w:val="18"/>
              </w:rPr>
            </w:pPr>
            <w:r>
              <w:rPr>
                <w:rFonts w:ascii="Times New Roman"/>
                <w:b/>
                <w:sz w:val="18"/>
              </w:rPr>
              <w:t>0</w:t>
            </w:r>
            <w:r>
              <w:rPr>
                <w:rFonts w:ascii="Times New Roman"/>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2"/>
              <w:jc w:val="right"/>
              <w:rPr>
                <w:rFonts w:ascii="Times New Roman" w:hAnsi="Times New Roman" w:cs="Times New Roman" w:eastAsia="Times New Roman" w:hint="default"/>
                <w:sz w:val="18"/>
                <w:szCs w:val="18"/>
              </w:rPr>
            </w:pPr>
            <w:r>
              <w:rPr>
                <w:rFonts w:ascii="Times New Roman"/>
                <w:b/>
                <w:sz w:val="18"/>
              </w:rPr>
              <w:t>0</w:t>
            </w:r>
            <w:r>
              <w:rPr>
                <w:rFonts w:asci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4"/>
              <w:jc w:val="right"/>
              <w:rPr>
                <w:rFonts w:ascii="Times New Roman" w:hAnsi="Times New Roman" w:cs="Times New Roman" w:eastAsia="Times New Roman" w:hint="default"/>
                <w:sz w:val="18"/>
                <w:szCs w:val="18"/>
              </w:rPr>
            </w:pPr>
            <w:r>
              <w:rPr>
                <w:rFonts w:ascii="Times New Roman"/>
                <w:b/>
                <w:sz w:val="18"/>
              </w:rPr>
              <w:t>0</w:t>
            </w:r>
            <w:r>
              <w:rPr>
                <w:rFonts w:asci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2"/>
              <w:jc w:val="right"/>
              <w:rPr>
                <w:rFonts w:ascii="Times New Roman" w:hAnsi="Times New Roman" w:cs="Times New Roman" w:eastAsia="Times New Roman" w:hint="default"/>
                <w:sz w:val="18"/>
                <w:szCs w:val="18"/>
              </w:rPr>
            </w:pPr>
            <w:r>
              <w:rPr>
                <w:rFonts w:ascii="Times New Roman"/>
                <w:b/>
                <w:spacing w:val="-1"/>
                <w:sz w:val="18"/>
              </w:rPr>
              <w:t>28.873</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2"/>
              <w:jc w:val="right"/>
              <w:rPr>
                <w:rFonts w:ascii="Times New Roman" w:hAnsi="Times New Roman" w:cs="Times New Roman" w:eastAsia="Times New Roman" w:hint="default"/>
                <w:sz w:val="18"/>
                <w:szCs w:val="18"/>
              </w:rPr>
            </w:pPr>
            <w:r>
              <w:rPr>
                <w:rFonts w:ascii="Times New Roman"/>
                <w:b/>
                <w:sz w:val="18"/>
              </w:rPr>
              <w:t>0</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2"/>
              <w:jc w:val="right"/>
              <w:rPr>
                <w:rFonts w:ascii="Times New Roman" w:hAnsi="Times New Roman" w:cs="Times New Roman" w:eastAsia="Times New Roman" w:hint="default"/>
                <w:sz w:val="18"/>
                <w:szCs w:val="18"/>
              </w:rPr>
            </w:pPr>
            <w:r>
              <w:rPr>
                <w:rFonts w:ascii="Times New Roman"/>
                <w:b/>
                <w:sz w:val="18"/>
              </w:rPr>
              <w:t>0</w:t>
            </w:r>
            <w:r>
              <w:rPr>
                <w:rFonts w:ascii="Times New Roman"/>
                <w:sz w:val="18"/>
              </w:rPr>
            </w:r>
          </w:p>
        </w:tc>
      </w:tr>
      <w:tr>
        <w:trPr>
          <w:trHeight w:val="216"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499" w:right="0"/>
              <w:jc w:val="left"/>
              <w:rPr>
                <w:rFonts w:ascii="Times New Roman" w:hAnsi="Times New Roman" w:cs="Times New Roman" w:eastAsia="Times New Roman" w:hint="default"/>
                <w:sz w:val="18"/>
                <w:szCs w:val="18"/>
              </w:rPr>
            </w:pPr>
            <w:r>
              <w:rPr>
                <w:rFonts w:ascii="Times New Roman" w:hAnsi="Times New Roman"/>
                <w:b/>
                <w:sz w:val="18"/>
              </w:rPr>
              <w:t>Укупно Град </w:t>
            </w:r>
            <w:r>
              <w:rPr>
                <w:rFonts w:ascii="Times New Roman" w:hAnsi="Times New Roman"/>
                <w:b/>
                <w:sz w:val="18"/>
              </w:rPr>
              <w:t>- </w:t>
            </w:r>
            <w:r>
              <w:rPr>
                <w:rFonts w:ascii="Times New Roman" w:hAnsi="Times New Roman"/>
                <w:b/>
                <w:sz w:val="18"/>
              </w:rPr>
              <w:t>група</w:t>
            </w:r>
            <w:r>
              <w:rPr>
                <w:rFonts w:ascii="Times New Roman" w:hAnsi="Times New Roman"/>
                <w:b/>
                <w:spacing w:val="-5"/>
                <w:sz w:val="18"/>
              </w:rPr>
              <w:t> </w:t>
            </w:r>
            <w:r>
              <w:rPr>
                <w:rFonts w:ascii="Times New Roman" w:hAnsi="Times New Roman"/>
                <w:b/>
                <w:sz w:val="18"/>
              </w:rPr>
              <w:t>454000</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2"/>
              <w:jc w:val="right"/>
              <w:rPr>
                <w:rFonts w:ascii="Times New Roman" w:hAnsi="Times New Roman" w:cs="Times New Roman" w:eastAsia="Times New Roman" w:hint="default"/>
                <w:sz w:val="18"/>
                <w:szCs w:val="18"/>
              </w:rPr>
            </w:pPr>
            <w:r>
              <w:rPr>
                <w:rFonts w:ascii="Times New Roman"/>
                <w:b/>
                <w:sz w:val="18"/>
              </w:rPr>
              <w:t>0</w:t>
            </w:r>
            <w:r>
              <w:rPr>
                <w:rFonts w:ascii="Times New Roman"/>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2"/>
              <w:jc w:val="right"/>
              <w:rPr>
                <w:rFonts w:ascii="Times New Roman" w:hAnsi="Times New Roman" w:cs="Times New Roman" w:eastAsia="Times New Roman" w:hint="default"/>
                <w:sz w:val="18"/>
                <w:szCs w:val="18"/>
              </w:rPr>
            </w:pPr>
            <w:r>
              <w:rPr>
                <w:rFonts w:ascii="Times New Roman"/>
                <w:b/>
                <w:sz w:val="18"/>
              </w:rPr>
              <w:t>0</w:t>
            </w:r>
            <w:r>
              <w:rPr>
                <w:rFonts w:asci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4"/>
              <w:jc w:val="right"/>
              <w:rPr>
                <w:rFonts w:ascii="Times New Roman" w:hAnsi="Times New Roman" w:cs="Times New Roman" w:eastAsia="Times New Roman" w:hint="default"/>
                <w:sz w:val="18"/>
                <w:szCs w:val="18"/>
              </w:rPr>
            </w:pPr>
            <w:r>
              <w:rPr>
                <w:rFonts w:ascii="Times New Roman"/>
                <w:b/>
                <w:sz w:val="18"/>
              </w:rPr>
              <w:t>0</w:t>
            </w:r>
            <w:r>
              <w:rPr>
                <w:rFonts w:asci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2"/>
              <w:jc w:val="right"/>
              <w:rPr>
                <w:rFonts w:ascii="Times New Roman" w:hAnsi="Times New Roman" w:cs="Times New Roman" w:eastAsia="Times New Roman" w:hint="default"/>
                <w:sz w:val="18"/>
                <w:szCs w:val="18"/>
              </w:rPr>
            </w:pPr>
            <w:r>
              <w:rPr>
                <w:rFonts w:ascii="Times New Roman"/>
                <w:b/>
                <w:spacing w:val="-1"/>
                <w:sz w:val="18"/>
              </w:rPr>
              <w:t>28.873</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2"/>
              <w:jc w:val="right"/>
              <w:rPr>
                <w:rFonts w:ascii="Times New Roman" w:hAnsi="Times New Roman" w:cs="Times New Roman" w:eastAsia="Times New Roman" w:hint="default"/>
                <w:sz w:val="18"/>
                <w:szCs w:val="18"/>
              </w:rPr>
            </w:pPr>
            <w:r>
              <w:rPr>
                <w:rFonts w:ascii="Times New Roman"/>
                <w:b/>
                <w:sz w:val="18"/>
              </w:rPr>
              <w:t>0</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2"/>
              <w:jc w:val="right"/>
              <w:rPr>
                <w:rFonts w:ascii="Times New Roman" w:hAnsi="Times New Roman" w:cs="Times New Roman" w:eastAsia="Times New Roman" w:hint="default"/>
                <w:sz w:val="18"/>
                <w:szCs w:val="18"/>
              </w:rPr>
            </w:pPr>
            <w:r>
              <w:rPr>
                <w:rFonts w:ascii="Times New Roman"/>
                <w:b/>
                <w:sz w:val="18"/>
              </w:rPr>
              <w:t>0</w:t>
            </w:r>
            <w:r>
              <w:rPr>
                <w:rFonts w:ascii="Times New Roman"/>
                <w:sz w:val="18"/>
              </w:rPr>
            </w:r>
          </w:p>
        </w:tc>
      </w:tr>
    </w:tbl>
    <w:p>
      <w:pPr>
        <w:pStyle w:val="BodyText"/>
        <w:spacing w:line="240" w:lineRule="auto"/>
        <w:ind w:right="177" w:firstLine="566"/>
        <w:jc w:val="both"/>
      </w:pPr>
      <w:r>
        <w:rPr/>
        <w:t>На групи 454000</w:t>
      </w:r>
      <w:r>
        <w:rPr>
          <w:rFonts w:ascii="Times New Roman" w:hAnsi="Times New Roman"/>
        </w:rPr>
        <w:t>- </w:t>
      </w:r>
      <w:r>
        <w:rPr/>
        <w:t>субвенције приватним предузећима нису исказани расходи. У поступку ревизије утврђено је да су неправилно евидентирани расходи за текуће субвенције приватним предузећима у укупном износу од 28.873 хиљаде динара и то: на групи 424000</w:t>
      </w:r>
      <w:r>
        <w:rPr>
          <w:rFonts w:ascii="Times New Roman" w:hAnsi="Times New Roman"/>
        </w:rPr>
        <w:t>-</w:t>
      </w:r>
      <w:r>
        <w:rPr/>
        <w:t>специјализоване услуге у износу од 25.713 хиљада динара, на групи </w:t>
      </w:r>
      <w:r>
        <w:rPr>
          <w:rFonts w:ascii="Times New Roman" w:hAnsi="Times New Roman"/>
        </w:rPr>
        <w:t>621000-</w:t>
      </w:r>
      <w:r>
        <w:rPr/>
        <w:t>набавка домаће финансијске имовине у износу од 1.650 хиљада динара и на групи </w:t>
      </w:r>
      <w:r>
        <w:rPr>
          <w:rFonts w:ascii="Times New Roman" w:hAnsi="Times New Roman"/>
        </w:rPr>
        <w:t>483000-</w:t>
      </w:r>
      <w:r>
        <w:rPr/>
        <w:t>новчане казне и пенали по решењу судова у износу од 1.510 хиљада динара, што је објашњено у тачки 4.1.4.11, 4.1.4.23. и 4.1.5.9.</w:t>
      </w:r>
      <w:r>
        <w:rPr>
          <w:spacing w:val="-11"/>
        </w:rPr>
        <w:t> </w:t>
      </w:r>
      <w:r>
        <w:rPr/>
        <w:t>Напомена.</w:t>
      </w:r>
    </w:p>
    <w:p>
      <w:pPr>
        <w:spacing w:after="0" w:line="240" w:lineRule="auto"/>
        <w:jc w:val="both"/>
        <w:sectPr>
          <w:pgSz w:w="12240" w:h="15840"/>
          <w:pgMar w:header="740" w:footer="1274" w:top="1280" w:bottom="1460" w:left="1400" w:right="1260"/>
        </w:sectPr>
      </w:pPr>
    </w:p>
    <w:p>
      <w:pPr>
        <w:pStyle w:val="Heading1"/>
        <w:numPr>
          <w:ilvl w:val="3"/>
          <w:numId w:val="40"/>
        </w:numPr>
        <w:tabs>
          <w:tab w:pos="1001" w:val="left" w:leader="none"/>
        </w:tabs>
        <w:spacing w:line="274" w:lineRule="exact" w:before="126" w:after="0"/>
        <w:ind w:left="1000" w:right="0" w:hanging="840"/>
        <w:jc w:val="left"/>
        <w:rPr>
          <w:b w:val="0"/>
          <w:bCs w:val="0"/>
        </w:rPr>
      </w:pPr>
      <w:bookmarkStart w:name="_bookmark27" w:id="48"/>
      <w:bookmarkEnd w:id="48"/>
      <w:r>
        <w:rPr>
          <w:b w:val="0"/>
        </w:rPr>
      </w:r>
      <w:bookmarkStart w:name="_bookmark27" w:id="49"/>
      <w:bookmarkEnd w:id="49"/>
      <w:r>
        <w:rPr/>
        <w:t>Т</w:t>
      </w:r>
      <w:r>
        <w:rPr/>
        <w:t>рансфери осталим нивоима власти, група</w:t>
      </w:r>
      <w:r>
        <w:rPr>
          <w:spacing w:val="-13"/>
        </w:rPr>
        <w:t> </w:t>
      </w:r>
      <w:r>
        <w:rPr/>
        <w:t>463000</w:t>
      </w:r>
      <w:r>
        <w:rPr>
          <w:b w:val="0"/>
        </w:rPr>
      </w:r>
    </w:p>
    <w:p>
      <w:pPr>
        <w:pStyle w:val="BodyText"/>
        <w:spacing w:line="240" w:lineRule="auto"/>
        <w:ind w:right="180" w:firstLine="566"/>
        <w:jc w:val="both"/>
      </w:pPr>
      <w:r>
        <w:rPr/>
        <w:t>Група 463000 </w:t>
      </w:r>
      <w:r>
        <w:rPr>
          <w:rFonts w:ascii="Times New Roman" w:hAnsi="Times New Roman"/>
        </w:rPr>
        <w:t>- </w:t>
      </w:r>
      <w:r>
        <w:rPr/>
        <w:t>трансфери осталим нивоима власти садржи синтетичка конта: текући трансфери осталим нивоима власти и капитални трансфери осталим нивоима власти.</w:t>
      </w:r>
    </w:p>
    <w:p>
      <w:pPr>
        <w:spacing w:before="3" w:after="4"/>
        <w:ind w:left="0" w:right="179" w:firstLine="0"/>
        <w:jc w:val="right"/>
        <w:rPr>
          <w:rFonts w:ascii="Times New Roman" w:hAnsi="Times New Roman" w:cs="Times New Roman" w:eastAsia="Times New Roman" w:hint="default"/>
          <w:sz w:val="18"/>
          <w:szCs w:val="18"/>
        </w:rPr>
      </w:pPr>
      <w:r>
        <w:rPr>
          <w:rFonts w:ascii="Times New Roman" w:hAnsi="Times New Roman"/>
          <w:sz w:val="18"/>
        </w:rPr>
        <w:t>(у хиљадама</w:t>
      </w:r>
      <w:r>
        <w:rPr>
          <w:rFonts w:ascii="Times New Roman" w:hAnsi="Times New Roman"/>
          <w:spacing w:val="-9"/>
          <w:sz w:val="18"/>
        </w:rPr>
        <w:t> </w:t>
      </w:r>
      <w:r>
        <w:rPr>
          <w:rFonts w:ascii="Times New Roman" w:hAnsi="Times New Roman"/>
          <w:sz w:val="18"/>
        </w:rPr>
        <w:t>динара)</w:t>
      </w:r>
    </w:p>
    <w:tbl>
      <w:tblPr>
        <w:tblW w:w="0" w:type="auto"/>
        <w:jc w:val="left"/>
        <w:tblInd w:w="141" w:type="dxa"/>
        <w:tblLayout w:type="fixed"/>
        <w:tblCellMar>
          <w:top w:w="0" w:type="dxa"/>
          <w:left w:w="0" w:type="dxa"/>
          <w:bottom w:w="0" w:type="dxa"/>
          <w:right w:w="0" w:type="dxa"/>
        </w:tblCellMar>
        <w:tblLook w:val="01E0"/>
      </w:tblPr>
      <w:tblGrid>
        <w:gridCol w:w="722"/>
        <w:gridCol w:w="2554"/>
        <w:gridCol w:w="960"/>
        <w:gridCol w:w="1351"/>
        <w:gridCol w:w="1047"/>
        <w:gridCol w:w="936"/>
        <w:gridCol w:w="845"/>
        <w:gridCol w:w="847"/>
      </w:tblGrid>
      <w:tr>
        <w:trPr>
          <w:trHeight w:val="461"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87" w:right="102" w:hanging="75"/>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2"/>
              <w:ind w:left="467"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7"/>
                <w:sz w:val="18"/>
              </w:rPr>
              <w:t> </w:t>
            </w:r>
            <w:r>
              <w:rPr>
                <w:rFonts w:ascii="Times New Roman" w:hAnsi="Times New Roman"/>
                <w:b/>
                <w:sz w:val="18"/>
              </w:rPr>
              <w:t>корисник</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2"/>
              <w:ind w:right="103"/>
              <w:jc w:val="right"/>
              <w:rPr>
                <w:rFonts w:ascii="Times New Roman" w:hAnsi="Times New Roman" w:cs="Times New Roman" w:eastAsia="Times New Roman" w:hint="default"/>
                <w:sz w:val="18"/>
                <w:szCs w:val="18"/>
              </w:rPr>
            </w:pPr>
            <w:r>
              <w:rPr>
                <w:rFonts w:ascii="Times New Roman" w:hAnsi="Times New Roman"/>
                <w:b/>
                <w:spacing w:val="-1"/>
                <w:sz w:val="18"/>
              </w:rPr>
              <w:t>Ребаланс</w:t>
            </w:r>
            <w:r>
              <w:rPr>
                <w:rFonts w:ascii="Times New Roman" w:hAns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03" w:right="93" w:firstLine="88"/>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реалокацијом</w:t>
            </w:r>
            <w:r>
              <w:rPr>
                <w:rFonts w:ascii="Times New Roman" w:hAns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03" w:right="95"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12" w:right="107"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299" w:right="110"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302" w:right="109"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4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1</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1"/>
              <w:jc w:val="center"/>
              <w:rPr>
                <w:rFonts w:ascii="Times New Roman" w:hAnsi="Times New Roman" w:cs="Times New Roman" w:eastAsia="Times New Roman" w:hint="default"/>
                <w:sz w:val="12"/>
                <w:szCs w:val="12"/>
              </w:rPr>
            </w:pPr>
            <w:r>
              <w:rPr>
                <w:rFonts w:ascii="Times New Roman"/>
                <w:sz w:val="12"/>
              </w:rPr>
              <w:t>2</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2"/>
              <w:jc w:val="center"/>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
              <w:jc w:val="center"/>
              <w:rPr>
                <w:rFonts w:ascii="Times New Roman" w:hAnsi="Times New Roman" w:cs="Times New Roman" w:eastAsia="Times New Roman" w:hint="default"/>
                <w:sz w:val="12"/>
                <w:szCs w:val="12"/>
              </w:rPr>
            </w:pPr>
            <w:r>
              <w:rPr>
                <w:rFonts w:ascii="Times New Roman"/>
                <w:sz w:val="12"/>
              </w:rPr>
              <w:t>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7</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8</w:t>
            </w:r>
          </w:p>
        </w:tc>
      </w:tr>
      <w:tr>
        <w:trPr>
          <w:trHeight w:val="218"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 w:right="0"/>
              <w:jc w:val="center"/>
              <w:rPr>
                <w:rFonts w:ascii="Times New Roman" w:hAnsi="Times New Roman" w:cs="Times New Roman" w:eastAsia="Times New Roman" w:hint="default"/>
                <w:sz w:val="18"/>
                <w:szCs w:val="18"/>
              </w:rPr>
            </w:pPr>
            <w:r>
              <w:rPr>
                <w:rFonts w:ascii="Times New Roman"/>
                <w:sz w:val="18"/>
              </w:rPr>
              <w:t>1</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Градоначелник</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3.084</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3.084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3"/>
              <w:jc w:val="right"/>
              <w:rPr>
                <w:rFonts w:ascii="Times New Roman" w:hAnsi="Times New Roman" w:cs="Times New Roman" w:eastAsia="Times New Roman" w:hint="default"/>
                <w:sz w:val="18"/>
                <w:szCs w:val="18"/>
              </w:rPr>
            </w:pPr>
            <w:r>
              <w:rPr>
                <w:rFonts w:ascii="Times New Roman"/>
                <w:sz w:val="18"/>
              </w:rPr>
              <w:t>2.133</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2.133</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54" w:right="155"/>
              <w:jc w:val="center"/>
              <w:rPr>
                <w:rFonts w:ascii="Times New Roman" w:hAnsi="Times New Roman" w:cs="Times New Roman" w:eastAsia="Times New Roman" w:hint="default"/>
                <w:sz w:val="18"/>
                <w:szCs w:val="18"/>
              </w:rPr>
            </w:pPr>
            <w:r>
              <w:rPr>
                <w:rFonts w:ascii="Times New Roman"/>
                <w:sz w:val="18"/>
              </w:rPr>
              <w:t>69,16</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87" w:right="88"/>
              <w:jc w:val="center"/>
              <w:rPr>
                <w:rFonts w:ascii="Times New Roman" w:hAnsi="Times New Roman" w:cs="Times New Roman" w:eastAsia="Times New Roman" w:hint="default"/>
                <w:sz w:val="18"/>
                <w:szCs w:val="18"/>
              </w:rPr>
            </w:pPr>
            <w:r>
              <w:rPr>
                <w:rFonts w:ascii="Times New Roman"/>
                <w:sz w:val="18"/>
              </w:rPr>
              <w:t>100,00</w:t>
            </w:r>
          </w:p>
        </w:tc>
      </w:tr>
      <w:tr>
        <w:trPr>
          <w:trHeight w:val="21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 w:right="0"/>
              <w:jc w:val="center"/>
              <w:rPr>
                <w:rFonts w:ascii="Times New Roman" w:hAnsi="Times New Roman" w:cs="Times New Roman" w:eastAsia="Times New Roman" w:hint="default"/>
                <w:sz w:val="18"/>
                <w:szCs w:val="18"/>
              </w:rPr>
            </w:pPr>
            <w:r>
              <w:rPr>
                <w:rFonts w:ascii="Times New Roman"/>
                <w:sz w:val="18"/>
              </w:rPr>
              <w:t>2</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8"/>
                <w:sz w:val="18"/>
              </w:rPr>
              <w:t> </w:t>
            </w:r>
            <w:r>
              <w:rPr>
                <w:rFonts w:ascii="Times New Roman" w:hAnsi="Times New Roman"/>
                <w:sz w:val="18"/>
              </w:rPr>
              <w:t>финансије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297.945</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298.410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291.191</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291.191</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54" w:right="155"/>
              <w:jc w:val="center"/>
              <w:rPr>
                <w:rFonts w:ascii="Times New Roman" w:hAnsi="Times New Roman" w:cs="Times New Roman" w:eastAsia="Times New Roman" w:hint="default"/>
                <w:sz w:val="18"/>
                <w:szCs w:val="18"/>
              </w:rPr>
            </w:pPr>
            <w:r>
              <w:rPr>
                <w:rFonts w:ascii="Times New Roman"/>
                <w:sz w:val="18"/>
              </w:rPr>
              <w:t>97,58</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87" w:right="88"/>
              <w:jc w:val="center"/>
              <w:rPr>
                <w:rFonts w:ascii="Times New Roman" w:hAnsi="Times New Roman" w:cs="Times New Roman" w:eastAsia="Times New Roman" w:hint="default"/>
                <w:sz w:val="18"/>
                <w:szCs w:val="18"/>
              </w:rPr>
            </w:pPr>
            <w:r>
              <w:rPr>
                <w:rFonts w:ascii="Times New Roman"/>
                <w:sz w:val="18"/>
              </w:rPr>
              <w:t>100,00</w:t>
            </w:r>
          </w:p>
        </w:tc>
      </w:tr>
      <w:tr>
        <w:trPr>
          <w:trHeight w:val="218"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 w:right="0"/>
              <w:jc w:val="center"/>
              <w:rPr>
                <w:rFonts w:ascii="Times New Roman" w:hAnsi="Times New Roman" w:cs="Times New Roman" w:eastAsia="Times New Roman" w:hint="default"/>
                <w:sz w:val="18"/>
                <w:szCs w:val="18"/>
              </w:rPr>
            </w:pPr>
            <w:r>
              <w:rPr>
                <w:rFonts w:ascii="Times New Roman"/>
                <w:sz w:val="18"/>
              </w:rPr>
              <w:t>3</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деч, соц и здр</w:t>
            </w:r>
            <w:r>
              <w:rPr>
                <w:rFonts w:ascii="Times New Roman" w:hAnsi="Times New Roman"/>
                <w:spacing w:val="-7"/>
                <w:sz w:val="18"/>
              </w:rPr>
              <w:t> </w:t>
            </w:r>
            <w:r>
              <w:rPr>
                <w:rFonts w:ascii="Times New Roman" w:hAnsi="Times New Roman"/>
                <w:sz w:val="18"/>
              </w:rPr>
              <w:t>заш</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66.500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66.500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54.767</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127.569</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53" w:right="155"/>
              <w:jc w:val="center"/>
              <w:rPr>
                <w:rFonts w:ascii="Times New Roman" w:hAnsi="Times New Roman" w:cs="Times New Roman" w:eastAsia="Times New Roman" w:hint="default"/>
                <w:sz w:val="18"/>
                <w:szCs w:val="18"/>
              </w:rPr>
            </w:pPr>
            <w:r>
              <w:rPr>
                <w:rFonts w:ascii="Times New Roman"/>
                <w:sz w:val="18"/>
              </w:rPr>
              <w:t>191,83</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87" w:right="88"/>
              <w:jc w:val="center"/>
              <w:rPr>
                <w:rFonts w:ascii="Times New Roman" w:hAnsi="Times New Roman" w:cs="Times New Roman" w:eastAsia="Times New Roman" w:hint="default"/>
                <w:sz w:val="18"/>
                <w:szCs w:val="18"/>
              </w:rPr>
            </w:pPr>
            <w:r>
              <w:rPr>
                <w:rFonts w:ascii="Times New Roman"/>
                <w:sz w:val="18"/>
              </w:rPr>
              <w:t>232,93</w:t>
            </w:r>
          </w:p>
        </w:tc>
      </w:tr>
      <w:tr>
        <w:trPr>
          <w:trHeight w:val="21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 w:right="0"/>
              <w:jc w:val="center"/>
              <w:rPr>
                <w:rFonts w:ascii="Times New Roman" w:hAnsi="Times New Roman" w:cs="Times New Roman" w:eastAsia="Times New Roman" w:hint="default"/>
                <w:sz w:val="18"/>
                <w:szCs w:val="18"/>
              </w:rPr>
            </w:pPr>
            <w:r>
              <w:rPr>
                <w:rFonts w:ascii="Times New Roman"/>
                <w:sz w:val="18"/>
              </w:rPr>
              <w:t>4</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5"/>
                <w:sz w:val="18"/>
              </w:rPr>
              <w:t> </w:t>
            </w:r>
            <w:r>
              <w:rPr>
                <w:rFonts w:ascii="Times New Roman" w:hAnsi="Times New Roman"/>
                <w:sz w:val="18"/>
              </w:rPr>
              <w:t>образовање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844.545</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844.545</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358.743</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358.743</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54" w:right="155"/>
              <w:jc w:val="center"/>
              <w:rPr>
                <w:rFonts w:ascii="Times New Roman" w:hAnsi="Times New Roman" w:cs="Times New Roman" w:eastAsia="Times New Roman" w:hint="default"/>
                <w:sz w:val="18"/>
                <w:szCs w:val="18"/>
              </w:rPr>
            </w:pPr>
            <w:r>
              <w:rPr>
                <w:rFonts w:ascii="Times New Roman"/>
                <w:sz w:val="18"/>
              </w:rPr>
              <w:t>42,48</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87" w:right="88"/>
              <w:jc w:val="center"/>
              <w:rPr>
                <w:rFonts w:ascii="Times New Roman" w:hAnsi="Times New Roman" w:cs="Times New Roman" w:eastAsia="Times New Roman" w:hint="default"/>
                <w:sz w:val="18"/>
                <w:szCs w:val="18"/>
              </w:rPr>
            </w:pPr>
            <w:r>
              <w:rPr>
                <w:rFonts w:ascii="Times New Roman"/>
                <w:sz w:val="18"/>
              </w:rPr>
              <w:t>100,00</w:t>
            </w:r>
          </w:p>
        </w:tc>
      </w:tr>
      <w:tr>
        <w:trPr>
          <w:trHeight w:val="21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 w:right="0"/>
              <w:jc w:val="center"/>
              <w:rPr>
                <w:rFonts w:ascii="Times New Roman" w:hAnsi="Times New Roman" w:cs="Times New Roman" w:eastAsia="Times New Roman" w:hint="default"/>
                <w:sz w:val="18"/>
                <w:szCs w:val="18"/>
              </w:rPr>
            </w:pPr>
            <w:r>
              <w:rPr>
                <w:rFonts w:ascii="Times New Roman"/>
                <w:sz w:val="18"/>
              </w:rPr>
              <w:t>5</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5"/>
                <w:sz w:val="18"/>
              </w:rPr>
              <w:t> </w:t>
            </w:r>
            <w:r>
              <w:rPr>
                <w:rFonts w:ascii="Times New Roman" w:hAnsi="Times New Roman"/>
                <w:sz w:val="18"/>
              </w:rPr>
              <w:t>привреду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49.000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49.000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14.519</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19.519</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54" w:right="155"/>
              <w:jc w:val="center"/>
              <w:rPr>
                <w:rFonts w:ascii="Times New Roman" w:hAnsi="Times New Roman" w:cs="Times New Roman" w:eastAsia="Times New Roman" w:hint="default"/>
                <w:sz w:val="18"/>
                <w:szCs w:val="18"/>
              </w:rPr>
            </w:pPr>
            <w:r>
              <w:rPr>
                <w:rFonts w:ascii="Times New Roman"/>
                <w:sz w:val="18"/>
              </w:rPr>
              <w:t>39,83</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87" w:right="88"/>
              <w:jc w:val="center"/>
              <w:rPr>
                <w:rFonts w:ascii="Times New Roman" w:hAnsi="Times New Roman" w:cs="Times New Roman" w:eastAsia="Times New Roman" w:hint="default"/>
                <w:sz w:val="18"/>
                <w:szCs w:val="18"/>
              </w:rPr>
            </w:pPr>
            <w:r>
              <w:rPr>
                <w:rFonts w:ascii="Times New Roman"/>
                <w:sz w:val="18"/>
              </w:rPr>
              <w:t>134,44</w:t>
            </w:r>
          </w:p>
        </w:tc>
      </w:tr>
      <w:tr>
        <w:trPr>
          <w:trHeight w:val="219"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left="626" w:right="0"/>
              <w:jc w:val="left"/>
              <w:rPr>
                <w:rFonts w:ascii="Times New Roman" w:hAnsi="Times New Roman" w:cs="Times New Roman" w:eastAsia="Times New Roman" w:hint="default"/>
                <w:sz w:val="18"/>
                <w:szCs w:val="18"/>
              </w:rPr>
            </w:pPr>
            <w:r>
              <w:rPr>
                <w:rFonts w:ascii="Times New Roman" w:hAnsi="Times New Roman"/>
                <w:b/>
                <w:sz w:val="18"/>
              </w:rPr>
              <w:t>Укупно  корисници</w:t>
            </w:r>
            <w:r>
              <w:rPr>
                <w:rFonts w:ascii="Times New Roman" w:hAnsi="Times New Roman"/>
                <w:b/>
                <w:spacing w:val="-3"/>
                <w:sz w:val="18"/>
              </w:rPr>
              <w:t> </w:t>
            </w:r>
            <w:r>
              <w:rPr>
                <w:rFonts w:ascii="Times New Roman" w:hAnsi="Times New Roman"/>
                <w:b/>
                <w:sz w:val="18"/>
              </w:rPr>
              <w:t>(1</w:t>
            </w:r>
            <w:r>
              <w:rPr>
                <w:rFonts w:ascii="Times New Roman" w:hAnsi="Times New Roman"/>
                <w:b/>
                <w:sz w:val="18"/>
              </w:rPr>
              <w:t>-5)</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101"/>
              <w:jc w:val="right"/>
              <w:rPr>
                <w:rFonts w:ascii="Times New Roman" w:hAnsi="Times New Roman" w:cs="Times New Roman" w:eastAsia="Times New Roman" w:hint="default"/>
                <w:sz w:val="18"/>
                <w:szCs w:val="18"/>
              </w:rPr>
            </w:pPr>
            <w:r>
              <w:rPr>
                <w:rFonts w:ascii="Times New Roman"/>
                <w:b/>
                <w:spacing w:val="-1"/>
                <w:sz w:val="18"/>
              </w:rPr>
              <w:t>1.261.074</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100"/>
              <w:jc w:val="right"/>
              <w:rPr>
                <w:rFonts w:ascii="Times New Roman" w:hAnsi="Times New Roman" w:cs="Times New Roman" w:eastAsia="Times New Roman" w:hint="default"/>
                <w:sz w:val="18"/>
                <w:szCs w:val="18"/>
              </w:rPr>
            </w:pPr>
            <w:r>
              <w:rPr>
                <w:rFonts w:ascii="Times New Roman"/>
                <w:b/>
                <w:spacing w:val="-1"/>
                <w:sz w:val="18"/>
              </w:rPr>
              <w:t>1.261.539</w:t>
            </w:r>
            <w:r>
              <w:rPr>
                <w:rFonts w:ascii="Times New Roman"/>
                <w:spacing w:val="-1"/>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103"/>
              <w:jc w:val="right"/>
              <w:rPr>
                <w:rFonts w:ascii="Times New Roman" w:hAnsi="Times New Roman" w:cs="Times New Roman" w:eastAsia="Times New Roman" w:hint="default"/>
                <w:sz w:val="18"/>
                <w:szCs w:val="18"/>
              </w:rPr>
            </w:pPr>
            <w:r>
              <w:rPr>
                <w:rFonts w:ascii="Times New Roman"/>
                <w:b/>
                <w:spacing w:val="-1"/>
                <w:sz w:val="18"/>
              </w:rPr>
              <w:t>721.353</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103"/>
              <w:jc w:val="right"/>
              <w:rPr>
                <w:rFonts w:ascii="Times New Roman" w:hAnsi="Times New Roman" w:cs="Times New Roman" w:eastAsia="Times New Roman" w:hint="default"/>
                <w:sz w:val="18"/>
                <w:szCs w:val="18"/>
              </w:rPr>
            </w:pPr>
            <w:r>
              <w:rPr>
                <w:rFonts w:ascii="Times New Roman"/>
                <w:b/>
                <w:spacing w:val="-1"/>
                <w:sz w:val="18"/>
              </w:rPr>
              <w:t>799.155</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left="154" w:right="155"/>
              <w:jc w:val="center"/>
              <w:rPr>
                <w:rFonts w:ascii="Times New Roman" w:hAnsi="Times New Roman" w:cs="Times New Roman" w:eastAsia="Times New Roman" w:hint="default"/>
                <w:sz w:val="18"/>
                <w:szCs w:val="18"/>
              </w:rPr>
            </w:pPr>
            <w:r>
              <w:rPr>
                <w:rFonts w:ascii="Times New Roman"/>
                <w:b/>
                <w:sz w:val="18"/>
              </w:rPr>
              <w:t>63,35</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left="87" w:right="88"/>
              <w:jc w:val="center"/>
              <w:rPr>
                <w:rFonts w:ascii="Times New Roman" w:hAnsi="Times New Roman" w:cs="Times New Roman" w:eastAsia="Times New Roman" w:hint="default"/>
                <w:sz w:val="18"/>
                <w:szCs w:val="18"/>
              </w:rPr>
            </w:pPr>
            <w:r>
              <w:rPr>
                <w:rFonts w:ascii="Times New Roman"/>
                <w:b/>
                <w:sz w:val="18"/>
              </w:rPr>
              <w:t>110,79</w:t>
            </w:r>
            <w:r>
              <w:rPr>
                <w:rFonts w:ascii="Times New Roman"/>
                <w:sz w:val="18"/>
              </w:rPr>
            </w:r>
          </w:p>
        </w:tc>
      </w:tr>
      <w:tr>
        <w:trPr>
          <w:trHeight w:val="233"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left="477" w:right="0"/>
              <w:jc w:val="left"/>
              <w:rPr>
                <w:rFonts w:ascii="Times New Roman" w:hAnsi="Times New Roman" w:cs="Times New Roman" w:eastAsia="Times New Roman" w:hint="default"/>
                <w:sz w:val="18"/>
                <w:szCs w:val="18"/>
              </w:rPr>
            </w:pPr>
            <w:r>
              <w:rPr>
                <w:rFonts w:ascii="Times New Roman" w:hAnsi="Times New Roman"/>
                <w:b/>
                <w:sz w:val="18"/>
              </w:rPr>
              <w:t>Укупно  Град </w:t>
            </w:r>
            <w:r>
              <w:rPr>
                <w:rFonts w:ascii="Times New Roman" w:hAnsi="Times New Roman"/>
                <w:b/>
                <w:sz w:val="18"/>
              </w:rPr>
              <w:t>- </w:t>
            </w:r>
            <w:r>
              <w:rPr>
                <w:rFonts w:ascii="Times New Roman" w:hAnsi="Times New Roman"/>
                <w:b/>
                <w:sz w:val="18"/>
              </w:rPr>
              <w:t>група</w:t>
            </w:r>
            <w:r>
              <w:rPr>
                <w:rFonts w:ascii="Times New Roman" w:hAnsi="Times New Roman"/>
                <w:b/>
                <w:spacing w:val="-8"/>
                <w:sz w:val="18"/>
              </w:rPr>
              <w:t> </w:t>
            </w:r>
            <w:r>
              <w:rPr>
                <w:rFonts w:ascii="Times New Roman" w:hAnsi="Times New Roman"/>
                <w:b/>
                <w:sz w:val="18"/>
              </w:rPr>
              <w:t>463000</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101"/>
              <w:jc w:val="right"/>
              <w:rPr>
                <w:rFonts w:ascii="Times New Roman" w:hAnsi="Times New Roman" w:cs="Times New Roman" w:eastAsia="Times New Roman" w:hint="default"/>
                <w:sz w:val="18"/>
                <w:szCs w:val="18"/>
              </w:rPr>
            </w:pPr>
            <w:r>
              <w:rPr>
                <w:rFonts w:ascii="Times New Roman"/>
                <w:b/>
                <w:spacing w:val="-1"/>
                <w:sz w:val="18"/>
              </w:rPr>
              <w:t>1.262.587</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100"/>
              <w:jc w:val="right"/>
              <w:rPr>
                <w:rFonts w:ascii="Times New Roman" w:hAnsi="Times New Roman" w:cs="Times New Roman" w:eastAsia="Times New Roman" w:hint="default"/>
                <w:sz w:val="18"/>
                <w:szCs w:val="18"/>
              </w:rPr>
            </w:pPr>
            <w:r>
              <w:rPr>
                <w:rFonts w:ascii="Times New Roman"/>
                <w:b/>
                <w:spacing w:val="-1"/>
                <w:sz w:val="18"/>
              </w:rPr>
              <w:t>1.263.052</w:t>
            </w:r>
            <w:r>
              <w:rPr>
                <w:rFonts w:ascii="Times New Roman"/>
                <w:spacing w:val="-1"/>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103"/>
              <w:jc w:val="right"/>
              <w:rPr>
                <w:rFonts w:ascii="Times New Roman" w:hAnsi="Times New Roman" w:cs="Times New Roman" w:eastAsia="Times New Roman" w:hint="default"/>
                <w:sz w:val="18"/>
                <w:szCs w:val="18"/>
              </w:rPr>
            </w:pPr>
            <w:r>
              <w:rPr>
                <w:rFonts w:ascii="Times New Roman"/>
                <w:b/>
                <w:spacing w:val="-1"/>
                <w:sz w:val="18"/>
              </w:rPr>
              <w:t>721.353</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103"/>
              <w:jc w:val="right"/>
              <w:rPr>
                <w:rFonts w:ascii="Times New Roman" w:hAnsi="Times New Roman" w:cs="Times New Roman" w:eastAsia="Times New Roman" w:hint="default"/>
                <w:sz w:val="18"/>
                <w:szCs w:val="18"/>
              </w:rPr>
            </w:pPr>
            <w:r>
              <w:rPr>
                <w:rFonts w:ascii="Times New Roman"/>
                <w:b/>
                <w:spacing w:val="-1"/>
                <w:sz w:val="18"/>
              </w:rPr>
              <w:t>799.155</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left="154" w:right="155"/>
              <w:jc w:val="center"/>
              <w:rPr>
                <w:rFonts w:ascii="Times New Roman" w:hAnsi="Times New Roman" w:cs="Times New Roman" w:eastAsia="Times New Roman" w:hint="default"/>
                <w:sz w:val="18"/>
                <w:szCs w:val="18"/>
              </w:rPr>
            </w:pPr>
            <w:r>
              <w:rPr>
                <w:rFonts w:ascii="Times New Roman"/>
                <w:b/>
                <w:sz w:val="18"/>
              </w:rPr>
              <w:t>63,27</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left="87" w:right="88"/>
              <w:jc w:val="center"/>
              <w:rPr>
                <w:rFonts w:ascii="Times New Roman" w:hAnsi="Times New Roman" w:cs="Times New Roman" w:eastAsia="Times New Roman" w:hint="default"/>
                <w:sz w:val="18"/>
                <w:szCs w:val="18"/>
              </w:rPr>
            </w:pPr>
            <w:r>
              <w:rPr>
                <w:rFonts w:ascii="Times New Roman"/>
                <w:b/>
                <w:sz w:val="18"/>
              </w:rPr>
              <w:t>110,79</w:t>
            </w:r>
            <w:r>
              <w:rPr>
                <w:rFonts w:ascii="Times New Roman"/>
                <w:sz w:val="18"/>
              </w:rPr>
            </w:r>
          </w:p>
        </w:tc>
      </w:tr>
    </w:tbl>
    <w:p>
      <w:pPr>
        <w:pStyle w:val="BodyText"/>
        <w:spacing w:line="240" w:lineRule="auto"/>
        <w:ind w:right="178" w:firstLine="719"/>
        <w:jc w:val="both"/>
      </w:pPr>
      <w:r>
        <w:rPr/>
        <w:t>Исказан је расход у износу од </w:t>
      </w:r>
      <w:r>
        <w:rPr>
          <w:rFonts w:ascii="Times New Roman" w:hAnsi="Times New Roman"/>
        </w:rPr>
        <w:t>721.353 </w:t>
      </w:r>
      <w:r>
        <w:rPr/>
        <w:t>хиљаде динара на терет буџета Града, и то за текуће трансфере ост</w:t>
      </w:r>
      <w:r>
        <w:rPr>
          <w:rFonts w:ascii="Times New Roman" w:hAnsi="Times New Roman"/>
        </w:rPr>
        <w:t>a</w:t>
      </w:r>
      <w:r>
        <w:rPr/>
        <w:t>лим нивоима власти у износу од </w:t>
      </w:r>
      <w:r>
        <w:rPr>
          <w:rFonts w:ascii="Times New Roman" w:hAnsi="Times New Roman"/>
        </w:rPr>
        <w:t>669.297 </w:t>
      </w:r>
      <w:r>
        <w:rPr/>
        <w:t>хиљада динара и капиталне трансфере осталим нивоима власти у износу од 52.056 хиљада</w:t>
      </w:r>
      <w:r>
        <w:rPr>
          <w:spacing w:val="-25"/>
        </w:rPr>
        <w:t> </w:t>
      </w:r>
      <w:r>
        <w:rPr/>
        <w:t>динара.</w:t>
      </w:r>
    </w:p>
    <w:p>
      <w:pPr>
        <w:pStyle w:val="ListParagraph"/>
        <w:numPr>
          <w:ilvl w:val="0"/>
          <w:numId w:val="41"/>
        </w:numPr>
        <w:tabs>
          <w:tab w:pos="1013" w:val="left" w:leader="none"/>
        </w:tabs>
        <w:spacing w:line="240" w:lineRule="auto" w:before="139" w:after="0"/>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Градоначелник </w:t>
      </w:r>
      <w:r>
        <w:rPr>
          <w:rFonts w:ascii="Times New Roman" w:hAnsi="Times New Roman" w:cs="Times New Roman" w:eastAsia="Times New Roman" w:hint="default"/>
          <w:sz w:val="24"/>
          <w:szCs w:val="24"/>
        </w:rPr>
        <w:t>– Исказан је расход у износу од 2.133 хиљаде динара и </w:t>
      </w:r>
      <w:r>
        <w:rPr>
          <w:rFonts w:ascii="Times New Roman" w:hAnsi="Times New Roman" w:cs="Times New Roman" w:eastAsia="Times New Roman" w:hint="default"/>
          <w:spacing w:val="2"/>
          <w:sz w:val="24"/>
          <w:szCs w:val="24"/>
        </w:rPr>
        <w:t>то</w:t>
      </w:r>
      <w:r>
        <w:rPr>
          <w:rFonts w:ascii="Times New Roman" w:hAnsi="Times New Roman" w:cs="Times New Roman" w:eastAsia="Times New Roman" w:hint="default"/>
          <w:spacing w:val="2"/>
          <w:sz w:val="24"/>
          <w:szCs w:val="24"/>
        </w:rPr>
        <w:t>: </w:t>
      </w:r>
      <w:r>
        <w:rPr>
          <w:rFonts w:ascii="Times New Roman" w:hAnsi="Times New Roman" w:cs="Times New Roman" w:eastAsia="Times New Roman" w:hint="default"/>
          <w:sz w:val="24"/>
          <w:szCs w:val="24"/>
        </w:rPr>
        <w:t>1.133 </w:t>
      </w:r>
      <w:r>
        <w:rPr>
          <w:rFonts w:ascii="Times New Roman" w:hAnsi="Times New Roman" w:cs="Times New Roman" w:eastAsia="Times New Roman" w:hint="default"/>
          <w:sz w:val="24"/>
          <w:szCs w:val="24"/>
        </w:rPr>
      </w:r>
      <w:r>
        <w:rPr>
          <w:rFonts w:ascii="Times New Roman" w:hAnsi="Times New Roman" w:cs="Times New Roman" w:eastAsia="Times New Roman" w:hint="default"/>
          <w:sz w:val="24"/>
          <w:szCs w:val="24"/>
        </w:rPr>
        <w:t>хиљаде динара за финансирање пројеката по Правилнику о ближим критеријумима, начину и поступку за доделу средстава из буџета града Ниша за дотације, донације, покровитељство и спонзорство корисницима буџета са других нивоа власти број 3502</w:t>
      </w:r>
      <w:r>
        <w:rPr>
          <w:rFonts w:ascii="Times New Roman" w:hAnsi="Times New Roman" w:cs="Times New Roman" w:eastAsia="Times New Roman" w:hint="default"/>
          <w:sz w:val="24"/>
          <w:szCs w:val="24"/>
        </w:rPr>
        <w:t>- 2006-</w:t>
      </w:r>
      <w:r>
        <w:rPr>
          <w:rFonts w:ascii="Times New Roman" w:hAnsi="Times New Roman" w:cs="Times New Roman" w:eastAsia="Times New Roman" w:hint="default"/>
          <w:sz w:val="24"/>
          <w:szCs w:val="24"/>
        </w:rPr>
        <w:t>01 од 01.11.2006. године посебном правилнику и 1.000 хиљада динара за остале трансфере</w:t>
      </w:r>
      <w:r>
        <w:rPr>
          <w:rFonts w:ascii="Times New Roman" w:hAnsi="Times New Roman" w:cs="Times New Roman" w:eastAsia="Times New Roman" w:hint="default"/>
          <w:sz w:val="24"/>
          <w:szCs w:val="24"/>
        </w:rPr>
        <w:t>.</w:t>
      </w:r>
    </w:p>
    <w:p>
      <w:pPr>
        <w:pStyle w:val="Heading1"/>
        <w:spacing w:line="275" w:lineRule="exact"/>
        <w:ind w:right="141"/>
        <w:jc w:val="left"/>
        <w:rPr>
          <w:b w:val="0"/>
          <w:bCs w:val="0"/>
        </w:rPr>
      </w:pPr>
      <w:r>
        <w:rPr/>
        <w:t>На основу ревизије узорковане документације утврђено</w:t>
      </w:r>
      <w:r>
        <w:rPr>
          <w:spacing w:val="-15"/>
        </w:rPr>
        <w:t> </w:t>
      </w:r>
      <w:r>
        <w:rPr/>
        <w:t>је:</w:t>
      </w:r>
      <w:r>
        <w:rPr>
          <w:b w:val="0"/>
        </w:rPr>
      </w:r>
    </w:p>
    <w:p>
      <w:pPr>
        <w:pStyle w:val="ListParagraph"/>
        <w:numPr>
          <w:ilvl w:val="0"/>
          <w:numId w:val="9"/>
        </w:numPr>
        <w:tabs>
          <w:tab w:pos="303" w:val="left" w:leader="none"/>
        </w:tabs>
        <w:spacing w:line="237" w:lineRule="auto" w:before="1"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Планиран је и извршен расход за трансфере осталим нивоима власти који није у надлежности овог органа Града додељених Законом о локалној самоуправи и Статутом града</w:t>
      </w:r>
      <w:r>
        <w:rPr>
          <w:rFonts w:ascii="Times New Roman" w:hAnsi="Times New Roman"/>
          <w:sz w:val="24"/>
        </w:rPr>
        <w:t>.</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Расход у износу од 2.133 хиљаде динара и то за пренос</w:t>
      </w:r>
      <w:r>
        <w:rPr>
          <w:rFonts w:ascii="Times New Roman" w:hAnsi="Times New Roman"/>
          <w:sz w:val="24"/>
        </w:rPr>
        <w:t>: </w:t>
      </w:r>
      <w:r>
        <w:rPr>
          <w:rFonts w:ascii="Times New Roman" w:hAnsi="Times New Roman"/>
          <w:sz w:val="24"/>
        </w:rPr>
        <w:t>836 хиљада динара Факултету уметности у Нишу за реализацију концерта </w:t>
      </w:r>
      <w:r>
        <w:rPr>
          <w:rFonts w:ascii="Times New Roman" w:hAnsi="Times New Roman"/>
          <w:sz w:val="24"/>
        </w:rPr>
        <w:t>IX </w:t>
      </w:r>
      <w:r>
        <w:rPr>
          <w:rFonts w:ascii="Times New Roman" w:hAnsi="Times New Roman"/>
          <w:sz w:val="24"/>
        </w:rPr>
        <w:t>Бетовенова симфонија, 147 хиљада динара Гимназији Светозар Марковић за Наук није баук, 150 хиљада динара Музичкој школи за превоз и смештај гостију са колеџа у Француској и 1.000 хиљада динара Музичкој школи у Косовској Митровици</w:t>
      </w:r>
      <w:r>
        <w:rPr>
          <w:rFonts w:ascii="Times New Roman" w:hAnsi="Times New Roman"/>
          <w:sz w:val="24"/>
        </w:rPr>
        <w:t>, </w:t>
      </w:r>
      <w:r>
        <w:rPr>
          <w:rFonts w:ascii="Times New Roman" w:hAnsi="Times New Roman"/>
          <w:sz w:val="24"/>
        </w:rPr>
        <w:t>извршен је без основа који је у складу са законом</w:t>
      </w:r>
      <w:r>
        <w:rPr>
          <w:rFonts w:ascii="Times New Roman" w:hAnsi="Times New Roman"/>
          <w:sz w:val="24"/>
        </w:rPr>
        <w:t>, </w:t>
      </w:r>
      <w:r>
        <w:rPr>
          <w:rFonts w:ascii="Times New Roman" w:hAnsi="Times New Roman"/>
          <w:sz w:val="24"/>
        </w:rPr>
        <w:t>односно супротно члану 57, 58. и 59. Закона о високом образовању и члану 159. Закона о  основама система образовања и васпитања, што је супротно члану 56. и 58. Закона о буџетском</w:t>
      </w:r>
      <w:r>
        <w:rPr>
          <w:rFonts w:ascii="Times New Roman" w:hAnsi="Times New Roman"/>
          <w:spacing w:val="-11"/>
          <w:sz w:val="24"/>
        </w:rPr>
        <w:t> </w:t>
      </w:r>
      <w:r>
        <w:rPr>
          <w:rFonts w:ascii="Times New Roman" w:hAnsi="Times New Roman"/>
          <w:sz w:val="24"/>
        </w:rPr>
        <w:t>систему.</w:t>
      </w:r>
    </w:p>
    <w:p>
      <w:pPr>
        <w:pStyle w:val="Heading2"/>
        <w:spacing w:line="240" w:lineRule="auto"/>
        <w:ind w:right="179"/>
        <w:jc w:val="both"/>
        <w:rPr>
          <w:b w:val="0"/>
          <w:bCs w:val="0"/>
          <w:i w:val="0"/>
        </w:rPr>
      </w:pPr>
      <w:r>
        <w:rPr>
          <w:i/>
        </w:rPr>
        <w:t>Препоручује се одговорним лицима да обезбеде правилну примену буџетске класификације и обезбеде правни основ за сваки расход из</w:t>
      </w:r>
      <w:r>
        <w:rPr>
          <w:i/>
          <w:spacing w:val="-17"/>
        </w:rPr>
        <w:t> </w:t>
      </w:r>
      <w:r>
        <w:rPr>
          <w:i/>
        </w:rPr>
        <w:t>буџета.</w:t>
      </w:r>
      <w:r>
        <w:rPr>
          <w:b w:val="0"/>
          <w:i w:val="0"/>
        </w:rPr>
      </w:r>
    </w:p>
    <w:p>
      <w:pPr>
        <w:pStyle w:val="ListParagraph"/>
        <w:numPr>
          <w:ilvl w:val="0"/>
          <w:numId w:val="41"/>
        </w:numPr>
        <w:tabs>
          <w:tab w:pos="1013" w:val="left" w:leader="none"/>
        </w:tabs>
        <w:spacing w:line="274" w:lineRule="exact" w:before="139" w:after="0"/>
        <w:ind w:left="1012" w:right="0" w:hanging="286"/>
        <w:jc w:val="left"/>
        <w:rPr>
          <w:rFonts w:ascii="Times New Roman" w:hAnsi="Times New Roman" w:cs="Times New Roman" w:eastAsia="Times New Roman" w:hint="default"/>
          <w:sz w:val="24"/>
          <w:szCs w:val="24"/>
        </w:rPr>
      </w:pPr>
      <w:r>
        <w:rPr>
          <w:rFonts w:ascii="Times New Roman" w:hAnsi="Times New Roman"/>
          <w:b/>
          <w:sz w:val="24"/>
        </w:rPr>
        <w:t>Управа за финансије, изворне приходе локалне самоуправе и јавне  </w:t>
      </w:r>
      <w:r>
        <w:rPr>
          <w:rFonts w:ascii="Times New Roman" w:hAnsi="Times New Roman"/>
          <w:b/>
          <w:spacing w:val="5"/>
          <w:sz w:val="24"/>
        </w:rPr>
        <w:t> </w:t>
      </w:r>
      <w:r>
        <w:rPr>
          <w:rFonts w:ascii="Times New Roman" w:hAnsi="Times New Roman"/>
          <w:b/>
          <w:sz w:val="24"/>
        </w:rPr>
        <w:t>набавке</w:t>
      </w:r>
      <w:r>
        <w:rPr>
          <w:rFonts w:ascii="Times New Roman" w:hAnsi="Times New Roman"/>
          <w:sz w:val="24"/>
        </w:rPr>
      </w:r>
    </w:p>
    <w:p>
      <w:pPr>
        <w:pStyle w:val="BodyText"/>
        <w:spacing w:line="240" w:lineRule="auto"/>
        <w:ind w:right="183"/>
        <w:jc w:val="both"/>
      </w:pPr>
      <w:r>
        <w:rPr/>
        <w:t>– Исказан је расход у износу од 291.191 хиљаде динара и то за финансирање текућег пословања и програмских активности градских општина 288.117 хиљада динара и остале намене градским општинама у износу од 3.074 хиљаде</w:t>
      </w:r>
      <w:r>
        <w:rPr>
          <w:spacing w:val="-18"/>
        </w:rPr>
        <w:t> </w:t>
      </w:r>
      <w:r>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3"/>
        </w:rPr>
        <w:t> </w:t>
      </w:r>
      <w:r>
        <w:rPr/>
        <w:t>је:</w:t>
      </w:r>
      <w:r>
        <w:rPr>
          <w:b w:val="0"/>
        </w:rPr>
      </w:r>
    </w:p>
    <w:p>
      <w:pPr>
        <w:pStyle w:val="ListParagraph"/>
        <w:numPr>
          <w:ilvl w:val="0"/>
          <w:numId w:val="9"/>
        </w:numPr>
        <w:tabs>
          <w:tab w:pos="303" w:val="left" w:leader="none"/>
        </w:tabs>
        <w:spacing w:line="274" w:lineRule="exact" w:before="20"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Расход у износу од 288 хиљада динара за одржавање манифестације градске општине Палилула извршен је без основа који је у складу са законом, што је супротно члану 56. </w:t>
      </w:r>
      <w:r>
        <w:rPr>
          <w:rFonts w:ascii="Times New Roman" w:hAnsi="Times New Roman"/>
          <w:spacing w:val="52"/>
          <w:sz w:val="24"/>
        </w:rPr>
        <w:t> </w:t>
      </w:r>
      <w:r>
        <w:rPr>
          <w:rFonts w:ascii="Times New Roman" w:hAnsi="Times New Roman"/>
          <w:sz w:val="24"/>
        </w:rPr>
        <w:t>и</w:t>
      </w:r>
    </w:p>
    <w:p>
      <w:pPr>
        <w:pStyle w:val="BodyText"/>
        <w:spacing w:line="273" w:lineRule="exact"/>
        <w:ind w:right="0"/>
        <w:jc w:val="both"/>
      </w:pPr>
      <w:r>
        <w:rPr/>
        <w:t>58. Закона о буџетском</w:t>
      </w:r>
      <w:r>
        <w:rPr>
          <w:spacing w:val="-12"/>
        </w:rPr>
        <w:t> </w:t>
      </w:r>
      <w:r>
        <w:rPr/>
        <w:t>систему.</w:t>
      </w:r>
    </w:p>
    <w:p>
      <w:pPr>
        <w:spacing w:after="0" w:line="273" w:lineRule="exact"/>
        <w:jc w:val="both"/>
        <w:sectPr>
          <w:pgSz w:w="12240" w:h="15840"/>
          <w:pgMar w:header="740" w:footer="1274" w:top="1280" w:bottom="1460" w:left="1400" w:right="1260"/>
        </w:sectPr>
      </w:pPr>
    </w:p>
    <w:p>
      <w:pPr>
        <w:pStyle w:val="ListParagraph"/>
        <w:numPr>
          <w:ilvl w:val="0"/>
          <w:numId w:val="9"/>
        </w:numPr>
        <w:tabs>
          <w:tab w:pos="303" w:val="left" w:leader="none"/>
        </w:tabs>
        <w:spacing w:line="240" w:lineRule="auto" w:before="124"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Расход у износу од 288 хиљада динара за одржавање манифестације градске општине Палилула извршен је и прокњижен у пословним књигама без рачуноводствене исправе, што је супротно члану 58. Закона о буџетском систему и члану 16. Уредбе о буџетском рачуноводству</w:t>
      </w:r>
      <w:r>
        <w:rPr>
          <w:rFonts w:ascii="Times New Roman" w:hAnsi="Times New Roman"/>
          <w:sz w:val="24"/>
        </w:rPr>
        <w:t>.</w:t>
      </w:r>
    </w:p>
    <w:p>
      <w:pPr>
        <w:pStyle w:val="Heading2"/>
        <w:spacing w:line="240" w:lineRule="auto"/>
        <w:ind w:right="176"/>
        <w:jc w:val="both"/>
        <w:rPr>
          <w:rFonts w:ascii="Times New Roman" w:hAnsi="Times New Roman" w:cs="Times New Roman" w:eastAsia="Times New Roman" w:hint="default"/>
          <w:b w:val="0"/>
          <w:bCs w:val="0"/>
          <w:i w:val="0"/>
        </w:rPr>
      </w:pPr>
      <w:r>
        <w:rPr>
          <w:i/>
        </w:rPr>
        <w:t>Препоручује се одговорним лицима да обезбеде правни основ и валидну документацију за сваки расход из</w:t>
      </w:r>
      <w:r>
        <w:rPr>
          <w:i/>
          <w:spacing w:val="-8"/>
        </w:rPr>
        <w:t> </w:t>
      </w:r>
      <w:r>
        <w:rPr>
          <w:i/>
        </w:rPr>
        <w:t>буџета</w:t>
      </w:r>
      <w:r>
        <w:rPr>
          <w:rFonts w:ascii="Times New Roman" w:hAnsi="Times New Roman"/>
          <w:i/>
        </w:rPr>
        <w:t>.</w:t>
      </w:r>
      <w:r>
        <w:rPr>
          <w:rFonts w:ascii="Times New Roman" w:hAnsi="Times New Roman"/>
          <w:b w:val="0"/>
          <w:i w:val="0"/>
        </w:rPr>
      </w:r>
    </w:p>
    <w:p>
      <w:pPr>
        <w:pStyle w:val="ListParagraph"/>
        <w:numPr>
          <w:ilvl w:val="0"/>
          <w:numId w:val="41"/>
        </w:numPr>
        <w:tabs>
          <w:tab w:pos="1013" w:val="left" w:leader="none"/>
        </w:tabs>
        <w:spacing w:line="240" w:lineRule="auto" w:before="132" w:after="0"/>
        <w:ind w:left="160" w:right="174"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 за дечију, социјалну и примарну здравствену заштиту </w:t>
      </w:r>
      <w:r>
        <w:rPr>
          <w:rFonts w:ascii="Times New Roman" w:hAnsi="Times New Roman" w:cs="Times New Roman" w:eastAsia="Times New Roman" w:hint="default"/>
          <w:sz w:val="24"/>
          <w:szCs w:val="24"/>
        </w:rPr>
        <w:t>– Исказан је расход у износу од 54.76</w:t>
      </w:r>
      <w:r>
        <w:rPr>
          <w:rFonts w:ascii="Times New Roman" w:hAnsi="Times New Roman" w:cs="Times New Roman" w:eastAsia="Times New Roman" w:hint="default"/>
          <w:sz w:val="24"/>
          <w:szCs w:val="24"/>
        </w:rPr>
        <w:t>7 </w:t>
      </w:r>
      <w:r>
        <w:rPr>
          <w:rFonts w:ascii="Times New Roman" w:hAnsi="Times New Roman" w:cs="Times New Roman" w:eastAsia="Times New Roman" w:hint="default"/>
          <w:sz w:val="24"/>
          <w:szCs w:val="24"/>
        </w:rPr>
        <w:t>хиљада динара и то: 24.000 хиљада динара за Центар за социјални рад, 25.83</w:t>
      </w:r>
      <w:r>
        <w:rPr>
          <w:rFonts w:ascii="Times New Roman" w:hAnsi="Times New Roman" w:cs="Times New Roman" w:eastAsia="Times New Roman" w:hint="default"/>
          <w:sz w:val="24"/>
          <w:szCs w:val="24"/>
        </w:rPr>
        <w:t>2 </w:t>
      </w:r>
      <w:r>
        <w:rPr>
          <w:rFonts w:ascii="Times New Roman" w:hAnsi="Times New Roman" w:cs="Times New Roman" w:eastAsia="Times New Roman" w:hint="default"/>
          <w:sz w:val="24"/>
          <w:szCs w:val="24"/>
        </w:rPr>
        <w:t>хиљада динара за финансирање изградње, одржавање и опремање здравствених установа, 4.935 хиљада динара за бољу кадровску обезбеђеност здравствених</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установа.</w:t>
      </w:r>
    </w:p>
    <w:p>
      <w:pPr>
        <w:pStyle w:val="BodyText"/>
        <w:spacing w:line="240" w:lineRule="auto"/>
        <w:ind w:right="173" w:firstLine="566"/>
        <w:jc w:val="both"/>
      </w:pPr>
      <w:r>
        <w:rPr>
          <w:rFonts w:ascii="Times New Roman" w:hAnsi="Times New Roman" w:cs="Times New Roman" w:eastAsia="Times New Roman" w:hint="default"/>
          <w:b/>
          <w:bCs/>
        </w:rPr>
        <w:t>На основу ревизије узорковане документације утврђено је </w:t>
      </w:r>
      <w:r>
        <w:rPr/>
        <w:t>да је неправилно на овој групи евидентиран расход за здравствене установе у износу од 30.765 хиљада динара, уместо на групи 464000 – дотације организацијама обавезног социјалног осигурања, што је супротно члану 9. Уредбе о буџетском рачуноводству и Правилнику о стандардном класификационом оквиру и контном плану за буџетски</w:t>
      </w:r>
      <w:r>
        <w:rPr>
          <w:spacing w:val="-26"/>
        </w:rPr>
        <w:t> </w:t>
      </w:r>
      <w:r>
        <w:rPr/>
        <w:t>систем.</w:t>
      </w:r>
    </w:p>
    <w:p>
      <w:pPr>
        <w:pStyle w:val="Heading2"/>
        <w:spacing w:line="240" w:lineRule="auto"/>
        <w:ind w:right="181"/>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ListParagraph"/>
        <w:numPr>
          <w:ilvl w:val="0"/>
          <w:numId w:val="41"/>
        </w:numPr>
        <w:tabs>
          <w:tab w:pos="1013" w:val="left" w:leader="none"/>
        </w:tabs>
        <w:spacing w:line="240" w:lineRule="auto" w:before="134" w:after="0"/>
        <w:ind w:left="1012" w:right="0" w:hanging="286"/>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 за образовање </w:t>
      </w:r>
      <w:r>
        <w:rPr>
          <w:rFonts w:ascii="Times New Roman" w:hAnsi="Times New Roman" w:cs="Times New Roman" w:eastAsia="Times New Roman" w:hint="default"/>
          <w:sz w:val="24"/>
          <w:szCs w:val="24"/>
        </w:rPr>
        <w:t>– Исказан је расход у износу 358.74</w:t>
      </w:r>
      <w:r>
        <w:rPr>
          <w:rFonts w:ascii="Times New Roman" w:hAnsi="Times New Roman" w:cs="Times New Roman" w:eastAsia="Times New Roman" w:hint="default"/>
          <w:sz w:val="24"/>
          <w:szCs w:val="24"/>
        </w:rPr>
        <w:t>3 </w:t>
      </w:r>
      <w:r>
        <w:rPr>
          <w:rFonts w:ascii="Times New Roman" w:hAnsi="Times New Roman" w:cs="Times New Roman" w:eastAsia="Times New Roman" w:hint="default"/>
          <w:sz w:val="24"/>
          <w:szCs w:val="24"/>
        </w:rPr>
        <w:t>хиљаде динара и</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то:</w:t>
      </w:r>
    </w:p>
    <w:p>
      <w:pPr>
        <w:pStyle w:val="BodyText"/>
        <w:spacing w:line="240" w:lineRule="auto"/>
        <w:ind w:right="178"/>
        <w:jc w:val="both"/>
        <w:rPr>
          <w:rFonts w:ascii="Times New Roman" w:hAnsi="Times New Roman" w:cs="Times New Roman" w:eastAsia="Times New Roman" w:hint="default"/>
        </w:rPr>
      </w:pPr>
      <w:r>
        <w:rPr/>
        <w:t>224.188 хиљада динара за основне школе, 128.499 хиљада динара за средње школе, 1.539 хиљада динара за трошкове путовања ученика, 4.517 хиљада динара за трансфер Универзитету у Нишу по Протоколу о сарадњи од 20.05.2013. године којим је уговорено финансирање дела трошкова за рад и функционисање</w:t>
      </w:r>
      <w:r>
        <w:rPr>
          <w:spacing w:val="-16"/>
        </w:rPr>
        <w:t> </w:t>
      </w:r>
      <w:r>
        <w:rPr/>
        <w:t>Универзитета</w:t>
      </w:r>
      <w:r>
        <w:rPr>
          <w:rFonts w:ascii="Times New Roman" w:hAnsi="Times New Roman"/>
        </w:rPr>
        <w:t>.</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Расход у износу од 4.517 хиљада динара за трансфер средстава Универзитету за набавку агрегата и санацију мокрих чворова</w:t>
      </w:r>
      <w:r>
        <w:rPr>
          <w:rFonts w:ascii="Times New Roman" w:hAnsi="Times New Roman"/>
          <w:sz w:val="24"/>
        </w:rPr>
        <w:t>, </w:t>
      </w:r>
      <w:r>
        <w:rPr>
          <w:rFonts w:ascii="Times New Roman" w:hAnsi="Times New Roman"/>
          <w:sz w:val="24"/>
        </w:rPr>
        <w:t>извршен је без основа који је у складу са законом</w:t>
      </w:r>
      <w:r>
        <w:rPr>
          <w:rFonts w:ascii="Times New Roman" w:hAnsi="Times New Roman"/>
          <w:sz w:val="24"/>
        </w:rPr>
        <w:t>, </w:t>
      </w:r>
      <w:r>
        <w:rPr>
          <w:rFonts w:ascii="Times New Roman" w:hAnsi="Times New Roman"/>
          <w:sz w:val="24"/>
        </w:rPr>
        <w:t>односно супротно члану 57, 58. и 59. Закона о високом образовању и члану 56. Закона о буџетском</w:t>
      </w:r>
      <w:r>
        <w:rPr>
          <w:rFonts w:ascii="Times New Roman" w:hAnsi="Times New Roman"/>
          <w:spacing w:val="-11"/>
          <w:sz w:val="24"/>
        </w:rPr>
        <w:t> </w:t>
      </w:r>
      <w:r>
        <w:rPr>
          <w:rFonts w:ascii="Times New Roman" w:hAnsi="Times New Roman"/>
          <w:sz w:val="24"/>
        </w:rPr>
        <w:t>систему.</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Од Управе за образовање, три пута је у поступку ревизије захтевано да од свих школа обезбеде спецификацију обавеза на дан 31.12.2014. године. Сва три пута су школе достављале различите податке, тако да се нисмо уверили да школе, ажурно евидентирају обавезе и трансакције и достављају захтеве за плаћање Управи за</w:t>
      </w:r>
      <w:r>
        <w:rPr>
          <w:rFonts w:ascii="Times New Roman" w:hAnsi="Times New Roman"/>
          <w:spacing w:val="-20"/>
          <w:sz w:val="24"/>
        </w:rPr>
        <w:t> </w:t>
      </w:r>
      <w:r>
        <w:rPr>
          <w:rFonts w:ascii="Times New Roman" w:hAnsi="Times New Roman"/>
          <w:sz w:val="24"/>
        </w:rPr>
        <w:t>образовање</w:t>
      </w:r>
      <w:r>
        <w:rPr>
          <w:rFonts w:ascii="Times New Roman" w:hAnsi="Times New Roman"/>
          <w:sz w:val="24"/>
        </w:rPr>
        <w:t>.</w:t>
      </w:r>
    </w:p>
    <w:p>
      <w:pPr>
        <w:pStyle w:val="Heading2"/>
        <w:spacing w:line="240" w:lineRule="auto"/>
        <w:ind w:right="184"/>
        <w:jc w:val="both"/>
        <w:rPr>
          <w:b w:val="0"/>
          <w:bCs w:val="0"/>
          <w:i w:val="0"/>
        </w:rPr>
      </w:pPr>
      <w:r>
        <w:rPr>
          <w:i/>
        </w:rPr>
        <w:t>Препоручује се одговорним лицима да обезбеде правни основ за сваки расход из буџета и адекватно праћење корисника за које су</w:t>
      </w:r>
      <w:r>
        <w:rPr>
          <w:i/>
          <w:spacing w:val="-18"/>
        </w:rPr>
        <w:t> </w:t>
      </w:r>
      <w:r>
        <w:rPr>
          <w:i/>
        </w:rPr>
        <w:t>надлежни.</w:t>
      </w:r>
      <w:r>
        <w:rPr>
          <w:b w:val="0"/>
          <w:i w:val="0"/>
        </w:rPr>
      </w:r>
    </w:p>
    <w:p>
      <w:pPr>
        <w:pStyle w:val="ListParagraph"/>
        <w:numPr>
          <w:ilvl w:val="0"/>
          <w:numId w:val="41"/>
        </w:numPr>
        <w:tabs>
          <w:tab w:pos="1013" w:val="left" w:leader="none"/>
        </w:tabs>
        <w:spacing w:line="274" w:lineRule="exact" w:before="139" w:after="0"/>
        <w:ind w:left="160" w:right="176"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 за привреду, одрживи развој и заштиту животне средине </w:t>
      </w:r>
      <w:r>
        <w:rPr>
          <w:rFonts w:ascii="Times New Roman" w:hAnsi="Times New Roman" w:cs="Times New Roman" w:eastAsia="Times New Roman" w:hint="default"/>
          <w:sz w:val="24"/>
          <w:szCs w:val="24"/>
        </w:rPr>
        <w:t>– Исказан је расход у износу од 14.5</w:t>
      </w:r>
      <w:r>
        <w:rPr>
          <w:rFonts w:ascii="Times New Roman" w:hAnsi="Times New Roman" w:cs="Times New Roman" w:eastAsia="Times New Roman" w:hint="default"/>
          <w:sz w:val="24"/>
          <w:szCs w:val="24"/>
        </w:rPr>
        <w:t>19 </w:t>
      </w:r>
      <w:r>
        <w:rPr>
          <w:rFonts w:ascii="Times New Roman" w:hAnsi="Times New Roman" w:cs="Times New Roman" w:eastAsia="Times New Roman" w:hint="default"/>
          <w:sz w:val="24"/>
          <w:szCs w:val="24"/>
        </w:rPr>
        <w:t>хиљада</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динара</w:t>
      </w:r>
      <w:r>
        <w:rPr>
          <w:rFonts w:ascii="Times New Roman" w:hAnsi="Times New Roman" w:cs="Times New Roman" w:eastAsia="Times New Roman" w:hint="default"/>
          <w:sz w:val="24"/>
          <w:szCs w:val="24"/>
        </w:rPr>
        <w:t>.</w:t>
      </w:r>
    </w:p>
    <w:p>
      <w:pPr>
        <w:pStyle w:val="BodyText"/>
        <w:spacing w:line="273" w:lineRule="exact"/>
        <w:ind w:left="726" w:right="141"/>
        <w:jc w:val="left"/>
      </w:pPr>
      <w:r>
        <w:rPr/>
        <w:t>На основу ревизије узорковане документације нису утврђене</w:t>
      </w:r>
      <w:r>
        <w:rPr>
          <w:spacing w:val="-24"/>
        </w:rPr>
        <w:t> </w:t>
      </w:r>
      <w:r>
        <w:rPr/>
        <w:t>неправилности.</w:t>
      </w:r>
    </w:p>
    <w:p>
      <w:pPr>
        <w:spacing w:after="0" w:line="273" w:lineRule="exact"/>
        <w:jc w:val="left"/>
        <w:sectPr>
          <w:pgSz w:w="12240" w:h="15840"/>
          <w:pgMar w:header="740" w:footer="1274" w:top="1280" w:bottom="1460" w:left="1400" w:right="1260"/>
        </w:sectPr>
      </w:pPr>
    </w:p>
    <w:p>
      <w:pPr>
        <w:pStyle w:val="Heading1"/>
        <w:numPr>
          <w:ilvl w:val="3"/>
          <w:numId w:val="42"/>
        </w:numPr>
        <w:tabs>
          <w:tab w:pos="1001" w:val="left" w:leader="none"/>
        </w:tabs>
        <w:spacing w:line="274" w:lineRule="exact" w:before="126" w:after="0"/>
        <w:ind w:left="1000" w:right="0" w:hanging="840"/>
        <w:jc w:val="left"/>
        <w:rPr>
          <w:b w:val="0"/>
          <w:bCs w:val="0"/>
        </w:rPr>
      </w:pPr>
      <w:bookmarkStart w:name="_bookmark28" w:id="50"/>
      <w:bookmarkEnd w:id="50"/>
      <w:r>
        <w:rPr>
          <w:b w:val="0"/>
        </w:rPr>
      </w:r>
      <w:bookmarkStart w:name="_bookmark28" w:id="51"/>
      <w:bookmarkEnd w:id="51"/>
      <w:r>
        <w:rPr/>
        <w:t>До</w:t>
      </w:r>
      <w:r>
        <w:rPr/>
        <w:t>тације организацијама обавезног социјалног осигурања, група</w:t>
      </w:r>
      <w:r>
        <w:rPr>
          <w:spacing w:val="-8"/>
        </w:rPr>
        <w:t> </w:t>
      </w:r>
      <w:r>
        <w:rPr/>
        <w:t>464000</w:t>
      </w:r>
      <w:r>
        <w:rPr>
          <w:b w:val="0"/>
        </w:rPr>
      </w:r>
    </w:p>
    <w:p>
      <w:pPr>
        <w:pStyle w:val="BodyText"/>
        <w:spacing w:line="240" w:lineRule="auto"/>
        <w:ind w:right="178" w:firstLine="633"/>
        <w:jc w:val="both"/>
      </w:pPr>
      <w:r>
        <w:rPr/>
        <w:t>Група 464000 </w:t>
      </w:r>
      <w:r>
        <w:rPr>
          <w:rFonts w:ascii="Times New Roman" w:hAnsi="Times New Roman"/>
        </w:rPr>
        <w:t>- </w:t>
      </w:r>
      <w:r>
        <w:rPr/>
        <w:t>дотације организацијама обавезног социјалног осигурања садржи синтетичка конта: текуће дотације организацијама обавезног социјалног осигурања и капиталне дотације организацијама обавезног социјалног</w:t>
      </w:r>
      <w:r>
        <w:rPr>
          <w:spacing w:val="-28"/>
        </w:rPr>
        <w:t> </w:t>
      </w:r>
      <w:r>
        <w:rPr/>
        <w:t>осигурања.</w:t>
      </w:r>
    </w:p>
    <w:p>
      <w:pPr>
        <w:spacing w:before="3" w:after="4"/>
        <w:ind w:left="0" w:right="177" w:firstLine="0"/>
        <w:jc w:val="right"/>
        <w:rPr>
          <w:rFonts w:ascii="Times New Roman" w:hAnsi="Times New Roman" w:cs="Times New Roman" w:eastAsia="Times New Roman" w:hint="default"/>
          <w:sz w:val="18"/>
          <w:szCs w:val="18"/>
        </w:rPr>
      </w:pPr>
      <w:r>
        <w:rPr>
          <w:rFonts w:ascii="Times New Roman" w:hAnsi="Times New Roman"/>
          <w:sz w:val="18"/>
        </w:rPr>
        <w:t>(у хиљадама</w:t>
      </w:r>
      <w:r>
        <w:rPr>
          <w:rFonts w:ascii="Times New Roman" w:hAnsi="Times New Roman"/>
          <w:spacing w:val="-9"/>
          <w:sz w:val="18"/>
        </w:rPr>
        <w:t> </w:t>
      </w:r>
      <w:r>
        <w:rPr>
          <w:rFonts w:ascii="Times New Roman" w:hAnsi="Times New Roman"/>
          <w:sz w:val="18"/>
        </w:rPr>
        <w:t>динара)</w:t>
      </w:r>
    </w:p>
    <w:tbl>
      <w:tblPr>
        <w:tblW w:w="0" w:type="auto"/>
        <w:jc w:val="left"/>
        <w:tblInd w:w="141" w:type="dxa"/>
        <w:tblLayout w:type="fixed"/>
        <w:tblCellMar>
          <w:top w:w="0" w:type="dxa"/>
          <w:left w:w="0" w:type="dxa"/>
          <w:bottom w:w="0" w:type="dxa"/>
          <w:right w:w="0" w:type="dxa"/>
        </w:tblCellMar>
        <w:tblLook w:val="01E0"/>
      </w:tblPr>
      <w:tblGrid>
        <w:gridCol w:w="722"/>
        <w:gridCol w:w="2554"/>
        <w:gridCol w:w="960"/>
        <w:gridCol w:w="1351"/>
        <w:gridCol w:w="1047"/>
        <w:gridCol w:w="936"/>
        <w:gridCol w:w="845"/>
        <w:gridCol w:w="847"/>
      </w:tblGrid>
      <w:tr>
        <w:trPr>
          <w:trHeight w:val="504"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87" w:right="102" w:hanging="75"/>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4"/>
              <w:ind w:left="467"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8"/>
                <w:sz w:val="18"/>
              </w:rPr>
              <w:t> </w:t>
            </w:r>
            <w:r>
              <w:rPr>
                <w:rFonts w:ascii="Times New Roman" w:hAnsi="Times New Roman"/>
                <w:b/>
                <w:sz w:val="18"/>
              </w:rPr>
              <w:t>корисник</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4"/>
              <w:ind w:right="103"/>
              <w:jc w:val="right"/>
              <w:rPr>
                <w:rFonts w:ascii="Times New Roman" w:hAnsi="Times New Roman" w:cs="Times New Roman" w:eastAsia="Times New Roman" w:hint="default"/>
                <w:sz w:val="18"/>
                <w:szCs w:val="18"/>
              </w:rPr>
            </w:pPr>
            <w:r>
              <w:rPr>
                <w:rFonts w:ascii="Times New Roman" w:hAnsi="Times New Roman"/>
                <w:b/>
                <w:spacing w:val="-1"/>
                <w:sz w:val="18"/>
              </w:rPr>
              <w:t>Ребаланс</w:t>
            </w:r>
            <w:r>
              <w:rPr>
                <w:rFonts w:ascii="Times New Roman" w:hAns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03" w:right="93" w:firstLine="88"/>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реалокацијом</w:t>
            </w:r>
            <w:r>
              <w:rPr>
                <w:rFonts w:ascii="Times New Roman" w:hAns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03" w:right="95"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12" w:right="107"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299" w:right="110"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02" w:right="109"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54"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326" w:right="0"/>
              <w:jc w:val="left"/>
              <w:rPr>
                <w:rFonts w:ascii="Times New Roman" w:hAnsi="Times New Roman" w:cs="Times New Roman" w:eastAsia="Times New Roman" w:hint="default"/>
                <w:sz w:val="12"/>
                <w:szCs w:val="12"/>
              </w:rPr>
            </w:pPr>
            <w:r>
              <w:rPr>
                <w:rFonts w:ascii="Times New Roman"/>
                <w:sz w:val="12"/>
              </w:rPr>
              <w:t>1</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
              <w:jc w:val="center"/>
              <w:rPr>
                <w:rFonts w:ascii="Times New Roman" w:hAnsi="Times New Roman" w:cs="Times New Roman" w:eastAsia="Times New Roman" w:hint="default"/>
                <w:sz w:val="12"/>
                <w:szCs w:val="12"/>
              </w:rPr>
            </w:pPr>
            <w:r>
              <w:rPr>
                <w:rFonts w:ascii="Times New Roman"/>
                <w:sz w:val="12"/>
              </w:rPr>
              <w:t>2</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center"/>
              <w:rPr>
                <w:rFonts w:ascii="Times New Roman" w:hAnsi="Times New Roman" w:cs="Times New Roman" w:eastAsia="Times New Roman" w:hint="default"/>
                <w:sz w:val="12"/>
                <w:szCs w:val="12"/>
              </w:rPr>
            </w:pPr>
            <w:r>
              <w:rPr>
                <w:rFonts w:ascii="Times New Roman"/>
                <w:sz w:val="12"/>
              </w:rPr>
              <w:t>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center"/>
              <w:rPr>
                <w:rFonts w:ascii="Times New Roman" w:hAnsi="Times New Roman" w:cs="Times New Roman" w:eastAsia="Times New Roman" w:hint="default"/>
                <w:sz w:val="12"/>
                <w:szCs w:val="12"/>
              </w:rPr>
            </w:pPr>
            <w:r>
              <w:rPr>
                <w:rFonts w:ascii="Times New Roman"/>
                <w:sz w:val="12"/>
              </w:rPr>
              <w:t>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2"/>
              <w:jc w:val="center"/>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5"/>
              <w:jc w:val="center"/>
              <w:rPr>
                <w:rFonts w:ascii="Times New Roman" w:hAnsi="Times New Roman" w:cs="Times New Roman" w:eastAsia="Times New Roman" w:hint="default"/>
                <w:sz w:val="12"/>
                <w:szCs w:val="12"/>
              </w:rPr>
            </w:pPr>
            <w:r>
              <w:rPr>
                <w:rFonts w:ascii="Times New Roman"/>
                <w:sz w:val="12"/>
              </w:rPr>
              <w:t>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center"/>
              <w:rPr>
                <w:rFonts w:ascii="Times New Roman" w:hAnsi="Times New Roman" w:cs="Times New Roman" w:eastAsia="Times New Roman" w:hint="default"/>
                <w:sz w:val="12"/>
                <w:szCs w:val="12"/>
              </w:rPr>
            </w:pPr>
            <w:r>
              <w:rPr>
                <w:rFonts w:ascii="Times New Roman"/>
                <w:sz w:val="12"/>
              </w:rPr>
              <w:t>7</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center"/>
              <w:rPr>
                <w:rFonts w:ascii="Times New Roman" w:hAnsi="Times New Roman" w:cs="Times New Roman" w:eastAsia="Times New Roman" w:hint="default"/>
                <w:sz w:val="12"/>
                <w:szCs w:val="12"/>
              </w:rPr>
            </w:pPr>
            <w:r>
              <w:rPr>
                <w:rFonts w:ascii="Times New Roman"/>
                <w:sz w:val="12"/>
              </w:rPr>
              <w:t>8</w:t>
            </w:r>
          </w:p>
        </w:tc>
      </w:tr>
      <w:tr>
        <w:trPr>
          <w:trHeight w:val="218"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11" w:right="0"/>
              <w:jc w:val="left"/>
              <w:rPr>
                <w:rFonts w:ascii="Times New Roman" w:hAnsi="Times New Roman" w:cs="Times New Roman" w:eastAsia="Times New Roman" w:hint="default"/>
                <w:sz w:val="18"/>
                <w:szCs w:val="18"/>
              </w:rPr>
            </w:pPr>
            <w:r>
              <w:rPr>
                <w:rFonts w:ascii="Times New Roman"/>
                <w:sz w:val="18"/>
              </w:rPr>
              <w:t>1</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ком.</w:t>
            </w:r>
            <w:r>
              <w:rPr>
                <w:rFonts w:ascii="Times New Roman" w:hAnsi="Times New Roman"/>
                <w:spacing w:val="-10"/>
                <w:sz w:val="18"/>
              </w:rPr>
              <w:t> </w:t>
            </w:r>
            <w:r>
              <w:rPr>
                <w:rFonts w:ascii="Times New Roman" w:hAnsi="Times New Roman"/>
                <w:sz w:val="18"/>
              </w:rPr>
              <w:t>делатн.</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4"/>
              <w:jc w:val="right"/>
              <w:rPr>
                <w:rFonts w:ascii="Times New Roman" w:hAnsi="Times New Roman" w:cs="Times New Roman" w:eastAsia="Times New Roman" w:hint="default"/>
                <w:sz w:val="18"/>
                <w:szCs w:val="18"/>
              </w:rPr>
            </w:pPr>
            <w:r>
              <w:rPr>
                <w:rFonts w:ascii="Times New Roman"/>
                <w:sz w:val="18"/>
              </w:rPr>
              <w:t>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37.992</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r>
      <w:tr>
        <w:trPr>
          <w:trHeight w:val="21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441" w:right="0"/>
              <w:jc w:val="left"/>
              <w:rPr>
                <w:rFonts w:ascii="Times New Roman" w:hAnsi="Times New Roman" w:cs="Times New Roman" w:eastAsia="Times New Roman" w:hint="default"/>
                <w:sz w:val="18"/>
                <w:szCs w:val="18"/>
              </w:rPr>
            </w:pPr>
            <w:r>
              <w:rPr>
                <w:rFonts w:ascii="Times New Roman" w:hAnsi="Times New Roman"/>
                <w:sz w:val="18"/>
              </w:rPr>
              <w:t>1а</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ЈП</w:t>
            </w:r>
            <w:r>
              <w:rPr>
                <w:rFonts w:ascii="Times New Roman" w:hAnsi="Times New Roman"/>
                <w:spacing w:val="-6"/>
                <w:sz w:val="18"/>
              </w:rPr>
              <w:t> </w:t>
            </w:r>
            <w:r>
              <w:rPr>
                <w:rFonts w:ascii="Times New Roman" w:hAnsi="Times New Roman"/>
                <w:sz w:val="18"/>
              </w:rPr>
              <w:t>Дирекција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4"/>
              <w:jc w:val="right"/>
              <w:rPr>
                <w:rFonts w:ascii="Times New Roman" w:hAnsi="Times New Roman" w:cs="Times New Roman" w:eastAsia="Times New Roman" w:hint="default"/>
                <w:sz w:val="18"/>
                <w:szCs w:val="18"/>
              </w:rPr>
            </w:pPr>
            <w:r>
              <w:rPr>
                <w:rFonts w:ascii="Times New Roman"/>
                <w:sz w:val="18"/>
              </w:rPr>
              <w:t>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37.992</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r>
      <w:tr>
        <w:trPr>
          <w:trHeight w:val="21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11" w:right="0"/>
              <w:jc w:val="left"/>
              <w:rPr>
                <w:rFonts w:ascii="Times New Roman" w:hAnsi="Times New Roman" w:cs="Times New Roman" w:eastAsia="Times New Roman" w:hint="default"/>
                <w:sz w:val="18"/>
                <w:szCs w:val="18"/>
              </w:rPr>
            </w:pPr>
            <w:r>
              <w:rPr>
                <w:rFonts w:ascii="Times New Roman"/>
                <w:sz w:val="18"/>
              </w:rPr>
              <w:t>2</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деч, соц и здр</w:t>
            </w:r>
            <w:r>
              <w:rPr>
                <w:rFonts w:ascii="Times New Roman" w:hAnsi="Times New Roman"/>
                <w:spacing w:val="-6"/>
                <w:sz w:val="18"/>
              </w:rPr>
              <w:t> </w:t>
            </w:r>
            <w:r>
              <w:rPr>
                <w:rFonts w:ascii="Times New Roman" w:hAnsi="Times New Roman"/>
                <w:sz w:val="18"/>
              </w:rPr>
              <w:t>заш.</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4"/>
              <w:jc w:val="right"/>
              <w:rPr>
                <w:rFonts w:ascii="Times New Roman" w:hAnsi="Times New Roman" w:cs="Times New Roman" w:eastAsia="Times New Roman" w:hint="default"/>
                <w:sz w:val="18"/>
                <w:szCs w:val="18"/>
              </w:rPr>
            </w:pPr>
            <w:r>
              <w:rPr>
                <w:rFonts w:ascii="Times New Roman"/>
                <w:sz w:val="18"/>
              </w:rPr>
              <w:t>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30.765</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r>
      <w:tr>
        <w:trPr>
          <w:trHeight w:val="218"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695" w:right="0"/>
              <w:jc w:val="left"/>
              <w:rPr>
                <w:rFonts w:ascii="Times New Roman" w:hAnsi="Times New Roman" w:cs="Times New Roman" w:eastAsia="Times New Roman" w:hint="default"/>
                <w:sz w:val="18"/>
                <w:szCs w:val="18"/>
              </w:rPr>
            </w:pPr>
            <w:r>
              <w:rPr>
                <w:rFonts w:ascii="Times New Roman" w:hAnsi="Times New Roman"/>
                <w:b/>
                <w:sz w:val="18"/>
              </w:rPr>
              <w:t>Укупно крисници (1</w:t>
            </w:r>
            <w:r>
              <w:rPr>
                <w:rFonts w:ascii="Times New Roman" w:hAnsi="Times New Roman"/>
                <w:b/>
                <w:sz w:val="18"/>
              </w:rPr>
              <w:t>-2)</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2"/>
              <w:jc w:val="right"/>
              <w:rPr>
                <w:rFonts w:ascii="Times New Roman" w:hAnsi="Times New Roman" w:cs="Times New Roman" w:eastAsia="Times New Roman" w:hint="default"/>
                <w:sz w:val="18"/>
                <w:szCs w:val="18"/>
              </w:rPr>
            </w:pPr>
            <w:r>
              <w:rPr>
                <w:rFonts w:ascii="Times New Roman"/>
                <w:b/>
                <w:sz w:val="18"/>
              </w:rPr>
              <w:t>0</w:t>
            </w:r>
            <w:r>
              <w:rPr>
                <w:rFonts w:ascii="Times New Roman"/>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2"/>
              <w:jc w:val="right"/>
              <w:rPr>
                <w:rFonts w:ascii="Times New Roman" w:hAnsi="Times New Roman" w:cs="Times New Roman" w:eastAsia="Times New Roman" w:hint="default"/>
                <w:sz w:val="18"/>
                <w:szCs w:val="18"/>
              </w:rPr>
            </w:pPr>
            <w:r>
              <w:rPr>
                <w:rFonts w:ascii="Times New Roman"/>
                <w:b/>
                <w:sz w:val="18"/>
              </w:rPr>
              <w:t>0</w:t>
            </w:r>
            <w:r>
              <w:rPr>
                <w:rFonts w:asci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4"/>
              <w:jc w:val="right"/>
              <w:rPr>
                <w:rFonts w:ascii="Times New Roman" w:hAnsi="Times New Roman" w:cs="Times New Roman" w:eastAsia="Times New Roman" w:hint="default"/>
                <w:sz w:val="18"/>
                <w:szCs w:val="18"/>
              </w:rPr>
            </w:pPr>
            <w:r>
              <w:rPr>
                <w:rFonts w:ascii="Times New Roman"/>
                <w:b/>
                <w:sz w:val="18"/>
              </w:rPr>
              <w:t>0</w:t>
            </w:r>
            <w:r>
              <w:rPr>
                <w:rFonts w:asci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2"/>
              <w:jc w:val="right"/>
              <w:rPr>
                <w:rFonts w:ascii="Times New Roman" w:hAnsi="Times New Roman" w:cs="Times New Roman" w:eastAsia="Times New Roman" w:hint="default"/>
                <w:sz w:val="18"/>
                <w:szCs w:val="18"/>
              </w:rPr>
            </w:pPr>
            <w:r>
              <w:rPr>
                <w:rFonts w:ascii="Times New Roman"/>
                <w:b/>
                <w:spacing w:val="-1"/>
                <w:sz w:val="18"/>
              </w:rPr>
              <w:t>68.757</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2"/>
              <w:jc w:val="right"/>
              <w:rPr>
                <w:rFonts w:ascii="Times New Roman" w:hAnsi="Times New Roman" w:cs="Times New Roman" w:eastAsia="Times New Roman" w:hint="default"/>
                <w:sz w:val="18"/>
                <w:szCs w:val="18"/>
              </w:rPr>
            </w:pPr>
            <w:r>
              <w:rPr>
                <w:rFonts w:ascii="Times New Roman"/>
                <w:b/>
                <w:sz w:val="18"/>
              </w:rPr>
              <w:t>0</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2"/>
              <w:jc w:val="right"/>
              <w:rPr>
                <w:rFonts w:ascii="Times New Roman" w:hAnsi="Times New Roman" w:cs="Times New Roman" w:eastAsia="Times New Roman" w:hint="default"/>
                <w:sz w:val="18"/>
                <w:szCs w:val="18"/>
              </w:rPr>
            </w:pPr>
            <w:r>
              <w:rPr>
                <w:rFonts w:ascii="Times New Roman"/>
                <w:b/>
                <w:sz w:val="18"/>
              </w:rPr>
              <w:t>0</w:t>
            </w:r>
            <w:r>
              <w:rPr>
                <w:rFonts w:ascii="Times New Roman"/>
                <w:sz w:val="18"/>
              </w:rPr>
            </w:r>
          </w:p>
        </w:tc>
      </w:tr>
      <w:tr>
        <w:trPr>
          <w:trHeight w:val="217"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499" w:right="0"/>
              <w:jc w:val="left"/>
              <w:rPr>
                <w:rFonts w:ascii="Times New Roman" w:hAnsi="Times New Roman" w:cs="Times New Roman" w:eastAsia="Times New Roman" w:hint="default"/>
                <w:sz w:val="18"/>
                <w:szCs w:val="18"/>
              </w:rPr>
            </w:pPr>
            <w:r>
              <w:rPr>
                <w:rFonts w:ascii="Times New Roman" w:hAnsi="Times New Roman"/>
                <w:b/>
                <w:sz w:val="18"/>
              </w:rPr>
              <w:t>Укупно Град </w:t>
            </w:r>
            <w:r>
              <w:rPr>
                <w:rFonts w:ascii="Times New Roman" w:hAnsi="Times New Roman"/>
                <w:b/>
                <w:sz w:val="18"/>
              </w:rPr>
              <w:t>- </w:t>
            </w:r>
            <w:r>
              <w:rPr>
                <w:rFonts w:ascii="Times New Roman" w:hAnsi="Times New Roman"/>
                <w:b/>
                <w:sz w:val="18"/>
              </w:rPr>
              <w:t>група</w:t>
            </w:r>
            <w:r>
              <w:rPr>
                <w:rFonts w:ascii="Times New Roman" w:hAnsi="Times New Roman"/>
                <w:b/>
                <w:spacing w:val="-5"/>
                <w:sz w:val="18"/>
              </w:rPr>
              <w:t> </w:t>
            </w:r>
            <w:r>
              <w:rPr>
                <w:rFonts w:ascii="Times New Roman" w:hAnsi="Times New Roman"/>
                <w:b/>
                <w:sz w:val="18"/>
              </w:rPr>
              <w:t>464000</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2"/>
              <w:jc w:val="right"/>
              <w:rPr>
                <w:rFonts w:ascii="Times New Roman" w:hAnsi="Times New Roman" w:cs="Times New Roman" w:eastAsia="Times New Roman" w:hint="default"/>
                <w:sz w:val="18"/>
                <w:szCs w:val="18"/>
              </w:rPr>
            </w:pPr>
            <w:r>
              <w:rPr>
                <w:rFonts w:ascii="Times New Roman"/>
                <w:b/>
                <w:sz w:val="18"/>
              </w:rPr>
              <w:t>0</w:t>
            </w:r>
            <w:r>
              <w:rPr>
                <w:rFonts w:ascii="Times New Roman"/>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2"/>
              <w:jc w:val="right"/>
              <w:rPr>
                <w:rFonts w:ascii="Times New Roman" w:hAnsi="Times New Roman" w:cs="Times New Roman" w:eastAsia="Times New Roman" w:hint="default"/>
                <w:sz w:val="18"/>
                <w:szCs w:val="18"/>
              </w:rPr>
            </w:pPr>
            <w:r>
              <w:rPr>
                <w:rFonts w:ascii="Times New Roman"/>
                <w:b/>
                <w:sz w:val="18"/>
              </w:rPr>
              <w:t>0</w:t>
            </w:r>
            <w:r>
              <w:rPr>
                <w:rFonts w:asci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4"/>
              <w:jc w:val="right"/>
              <w:rPr>
                <w:rFonts w:ascii="Times New Roman" w:hAnsi="Times New Roman" w:cs="Times New Roman" w:eastAsia="Times New Roman" w:hint="default"/>
                <w:sz w:val="18"/>
                <w:szCs w:val="18"/>
              </w:rPr>
            </w:pPr>
            <w:r>
              <w:rPr>
                <w:rFonts w:ascii="Times New Roman"/>
                <w:b/>
                <w:sz w:val="18"/>
              </w:rPr>
              <w:t>0</w:t>
            </w:r>
            <w:r>
              <w:rPr>
                <w:rFonts w:asci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2"/>
              <w:jc w:val="right"/>
              <w:rPr>
                <w:rFonts w:ascii="Times New Roman" w:hAnsi="Times New Roman" w:cs="Times New Roman" w:eastAsia="Times New Roman" w:hint="default"/>
                <w:sz w:val="18"/>
                <w:szCs w:val="18"/>
              </w:rPr>
            </w:pPr>
            <w:r>
              <w:rPr>
                <w:rFonts w:ascii="Times New Roman"/>
                <w:b/>
                <w:spacing w:val="-1"/>
                <w:sz w:val="18"/>
              </w:rPr>
              <w:t>68.757</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2"/>
              <w:jc w:val="right"/>
              <w:rPr>
                <w:rFonts w:ascii="Times New Roman" w:hAnsi="Times New Roman" w:cs="Times New Roman" w:eastAsia="Times New Roman" w:hint="default"/>
                <w:sz w:val="18"/>
                <w:szCs w:val="18"/>
              </w:rPr>
            </w:pPr>
            <w:r>
              <w:rPr>
                <w:rFonts w:ascii="Times New Roman"/>
                <w:b/>
                <w:sz w:val="18"/>
              </w:rPr>
              <w:t>0</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2"/>
              <w:jc w:val="right"/>
              <w:rPr>
                <w:rFonts w:ascii="Times New Roman" w:hAnsi="Times New Roman" w:cs="Times New Roman" w:eastAsia="Times New Roman" w:hint="default"/>
                <w:sz w:val="18"/>
                <w:szCs w:val="18"/>
              </w:rPr>
            </w:pPr>
            <w:r>
              <w:rPr>
                <w:rFonts w:ascii="Times New Roman"/>
                <w:b/>
                <w:sz w:val="18"/>
              </w:rPr>
              <w:t>0</w:t>
            </w:r>
            <w:r>
              <w:rPr>
                <w:rFonts w:ascii="Times New Roman"/>
                <w:sz w:val="18"/>
              </w:rPr>
            </w:r>
          </w:p>
        </w:tc>
      </w:tr>
    </w:tbl>
    <w:p>
      <w:pPr>
        <w:pStyle w:val="BodyText"/>
        <w:spacing w:line="240" w:lineRule="auto"/>
        <w:ind w:right="183" w:firstLine="623"/>
        <w:jc w:val="both"/>
      </w:pPr>
      <w:r>
        <w:rPr/>
        <w:t>На групи 464000 нису евидентирани расходи. У поступку ревизије утврђено је да су неправилно евидентирани расходи за дотације организацијама обавезног социјалног осигурања на групи 463000</w:t>
      </w:r>
      <w:r>
        <w:rPr>
          <w:rFonts w:ascii="Times New Roman" w:hAnsi="Times New Roman" w:cs="Times New Roman" w:eastAsia="Times New Roman" w:hint="default"/>
        </w:rPr>
        <w:t>-</w:t>
      </w:r>
      <w:r>
        <w:rPr/>
        <w:t>трансфери осталим нивоима власти у износу од 30.765 хиљада динара и на групи </w:t>
      </w:r>
      <w:r>
        <w:rPr>
          <w:rFonts w:ascii="Times New Roman" w:hAnsi="Times New Roman" w:cs="Times New Roman" w:eastAsia="Times New Roman" w:hint="default"/>
        </w:rPr>
        <w:t>511000 </w:t>
      </w:r>
      <w:r>
        <w:rPr/>
        <w:t>– зграде и грађевински објекти у износу од 37.992 хиљаде динара, што је објашњено у тачки 3.1.4.19. и 4.1.5</w:t>
      </w:r>
      <w:r>
        <w:rPr>
          <w:rFonts w:ascii="Times New Roman" w:hAnsi="Times New Roman" w:cs="Times New Roman" w:eastAsia="Times New Roman" w:hint="default"/>
        </w:rPr>
        <w:t>.1.</w:t>
      </w:r>
      <w:r>
        <w:rPr>
          <w:rFonts w:ascii="Times New Roman" w:hAnsi="Times New Roman" w:cs="Times New Roman" w:eastAsia="Times New Roman" w:hint="default"/>
          <w:spacing w:val="-13"/>
        </w:rPr>
        <w:t> </w:t>
      </w:r>
      <w:r>
        <w:rPr/>
        <w:t>Напомена.</w:t>
      </w:r>
    </w:p>
    <w:p>
      <w:pPr>
        <w:pStyle w:val="Heading1"/>
        <w:numPr>
          <w:ilvl w:val="3"/>
          <w:numId w:val="42"/>
        </w:numPr>
        <w:tabs>
          <w:tab w:pos="1001" w:val="left" w:leader="none"/>
        </w:tabs>
        <w:spacing w:line="274" w:lineRule="exact" w:before="206" w:after="0"/>
        <w:ind w:left="1000" w:right="0" w:hanging="840"/>
        <w:jc w:val="left"/>
        <w:rPr>
          <w:b w:val="0"/>
          <w:bCs w:val="0"/>
        </w:rPr>
      </w:pPr>
      <w:bookmarkStart w:name="_bookmark29" w:id="52"/>
      <w:bookmarkEnd w:id="52"/>
      <w:r>
        <w:rPr>
          <w:b w:val="0"/>
        </w:rPr>
      </w:r>
      <w:bookmarkStart w:name="_bookmark29" w:id="53"/>
      <w:bookmarkEnd w:id="53"/>
      <w:r>
        <w:rPr/>
        <w:t>Ос</w:t>
      </w:r>
      <w:r>
        <w:rPr/>
        <w:t>тале дотације и трансфери, група</w:t>
      </w:r>
      <w:r>
        <w:rPr>
          <w:spacing w:val="-13"/>
        </w:rPr>
        <w:t> </w:t>
      </w:r>
      <w:r>
        <w:rPr/>
        <w:t>465000</w:t>
      </w:r>
      <w:r>
        <w:rPr>
          <w:b w:val="0"/>
        </w:rPr>
      </w:r>
    </w:p>
    <w:p>
      <w:pPr>
        <w:pStyle w:val="BodyText"/>
        <w:spacing w:line="240" w:lineRule="auto"/>
        <w:ind w:right="818" w:firstLine="566"/>
        <w:jc w:val="left"/>
      </w:pPr>
      <w:r>
        <w:rPr/>
        <w:t>Група 46</w:t>
      </w:r>
      <w:r>
        <w:rPr>
          <w:rFonts w:ascii="Times New Roman" w:hAnsi="Times New Roman" w:cs="Times New Roman" w:eastAsia="Times New Roman" w:hint="default"/>
        </w:rPr>
        <w:t>5000 </w:t>
      </w:r>
      <w:r>
        <w:rPr/>
        <w:t>– остале дотације и трансфери садржи синтетичка конта: остале текуће дотације и трансфери и остале капиталне дотације и</w:t>
      </w:r>
      <w:r>
        <w:rPr>
          <w:spacing w:val="-13"/>
        </w:rPr>
        <w:t> </w:t>
      </w:r>
      <w:r>
        <w:rPr/>
        <w:t>трансфери.</w:t>
      </w:r>
    </w:p>
    <w:p>
      <w:pPr>
        <w:spacing w:before="3" w:after="4"/>
        <w:ind w:left="0" w:right="177" w:firstLine="0"/>
        <w:jc w:val="right"/>
        <w:rPr>
          <w:rFonts w:ascii="Times New Roman" w:hAnsi="Times New Roman" w:cs="Times New Roman" w:eastAsia="Times New Roman" w:hint="default"/>
          <w:sz w:val="18"/>
          <w:szCs w:val="18"/>
        </w:rPr>
      </w:pPr>
      <w:r>
        <w:rPr>
          <w:rFonts w:ascii="Times New Roman" w:hAnsi="Times New Roman"/>
          <w:sz w:val="18"/>
        </w:rPr>
        <w:t>(у хиљадама</w:t>
      </w:r>
      <w:r>
        <w:rPr>
          <w:rFonts w:ascii="Times New Roman" w:hAnsi="Times New Roman"/>
          <w:spacing w:val="-9"/>
          <w:sz w:val="18"/>
        </w:rPr>
        <w:t> </w:t>
      </w:r>
      <w:r>
        <w:rPr>
          <w:rFonts w:ascii="Times New Roman" w:hAnsi="Times New Roman"/>
          <w:sz w:val="18"/>
        </w:rPr>
        <w:t>динара)</w:t>
      </w:r>
    </w:p>
    <w:tbl>
      <w:tblPr>
        <w:tblW w:w="0" w:type="auto"/>
        <w:jc w:val="left"/>
        <w:tblInd w:w="141" w:type="dxa"/>
        <w:tblLayout w:type="fixed"/>
        <w:tblCellMar>
          <w:top w:w="0" w:type="dxa"/>
          <w:left w:w="0" w:type="dxa"/>
          <w:bottom w:w="0" w:type="dxa"/>
          <w:right w:w="0" w:type="dxa"/>
        </w:tblCellMar>
        <w:tblLook w:val="01E0"/>
      </w:tblPr>
      <w:tblGrid>
        <w:gridCol w:w="876"/>
        <w:gridCol w:w="2401"/>
        <w:gridCol w:w="960"/>
        <w:gridCol w:w="1351"/>
        <w:gridCol w:w="1047"/>
        <w:gridCol w:w="936"/>
        <w:gridCol w:w="845"/>
        <w:gridCol w:w="847"/>
      </w:tblGrid>
      <w:tr>
        <w:trPr>
          <w:trHeight w:val="461"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261" w:right="178" w:hanging="72"/>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2"/>
              <w:ind w:left="393"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8"/>
                <w:sz w:val="18"/>
              </w:rPr>
              <w:t> </w:t>
            </w:r>
            <w:r>
              <w:rPr>
                <w:rFonts w:ascii="Times New Roman" w:hAnsi="Times New Roman"/>
                <w:b/>
                <w:sz w:val="18"/>
              </w:rPr>
              <w:t>корисник</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2"/>
              <w:ind w:right="103"/>
              <w:jc w:val="right"/>
              <w:rPr>
                <w:rFonts w:ascii="Times New Roman" w:hAnsi="Times New Roman" w:cs="Times New Roman" w:eastAsia="Times New Roman" w:hint="default"/>
                <w:sz w:val="18"/>
                <w:szCs w:val="18"/>
              </w:rPr>
            </w:pPr>
            <w:r>
              <w:rPr>
                <w:rFonts w:ascii="Times New Roman" w:hAnsi="Times New Roman"/>
                <w:b/>
                <w:spacing w:val="-1"/>
                <w:sz w:val="18"/>
              </w:rPr>
              <w:t>Ребаланс</w:t>
            </w:r>
            <w:r>
              <w:rPr>
                <w:rFonts w:ascii="Times New Roman" w:hAns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03" w:right="93" w:firstLine="88"/>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реалокацијом</w:t>
            </w:r>
            <w:r>
              <w:rPr>
                <w:rFonts w:ascii="Times New Roman" w:hAns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03" w:right="95"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12" w:right="107"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299" w:right="110"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302" w:right="109"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4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1</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1"/>
              <w:jc w:val="center"/>
              <w:rPr>
                <w:rFonts w:ascii="Times New Roman" w:hAnsi="Times New Roman" w:cs="Times New Roman" w:eastAsia="Times New Roman" w:hint="default"/>
                <w:sz w:val="12"/>
                <w:szCs w:val="12"/>
              </w:rPr>
            </w:pPr>
            <w:r>
              <w:rPr>
                <w:rFonts w:ascii="Times New Roman"/>
                <w:sz w:val="12"/>
              </w:rPr>
              <w:t>2</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487" w:right="0"/>
              <w:jc w:val="left"/>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
              <w:jc w:val="center"/>
              <w:rPr>
                <w:rFonts w:ascii="Times New Roman" w:hAnsi="Times New Roman" w:cs="Times New Roman" w:eastAsia="Times New Roman" w:hint="default"/>
                <w:sz w:val="12"/>
                <w:szCs w:val="12"/>
              </w:rPr>
            </w:pPr>
            <w:r>
              <w:rPr>
                <w:rFonts w:ascii="Times New Roman"/>
                <w:sz w:val="12"/>
              </w:rPr>
              <w:t>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7</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8</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
              <w:jc w:val="center"/>
              <w:rPr>
                <w:rFonts w:ascii="Times New Roman" w:hAnsi="Times New Roman" w:cs="Times New Roman" w:eastAsia="Times New Roman" w:hint="default"/>
                <w:sz w:val="18"/>
                <w:szCs w:val="18"/>
              </w:rPr>
            </w:pPr>
            <w:r>
              <w:rPr>
                <w:rFonts w:ascii="Times New Roman"/>
                <w:sz w:val="18"/>
              </w:rPr>
              <w:t>1</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6"/>
                <w:sz w:val="18"/>
              </w:rPr>
              <w:t> </w:t>
            </w:r>
            <w:r>
              <w:rPr>
                <w:rFonts w:ascii="Times New Roman" w:hAnsi="Times New Roman"/>
                <w:sz w:val="18"/>
              </w:rPr>
              <w:t>културу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17.770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17.770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436" w:right="0"/>
              <w:jc w:val="left"/>
              <w:rPr>
                <w:rFonts w:ascii="Times New Roman" w:hAnsi="Times New Roman" w:cs="Times New Roman" w:eastAsia="Times New Roman" w:hint="default"/>
                <w:sz w:val="18"/>
                <w:szCs w:val="18"/>
              </w:rPr>
            </w:pPr>
            <w:r>
              <w:rPr>
                <w:rFonts w:ascii="Times New Roman"/>
                <w:sz w:val="18"/>
              </w:rPr>
              <w:t>17.820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50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0,28</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0,28</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
              <w:jc w:val="center"/>
              <w:rPr>
                <w:rFonts w:ascii="Times New Roman" w:hAnsi="Times New Roman" w:cs="Times New Roman" w:eastAsia="Times New Roman" w:hint="default"/>
                <w:sz w:val="18"/>
                <w:szCs w:val="18"/>
              </w:rPr>
            </w:pPr>
            <w:r>
              <w:rPr>
                <w:rFonts w:ascii="Times New Roman"/>
                <w:sz w:val="18"/>
              </w:rPr>
              <w:t>2</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8"/>
                <w:sz w:val="18"/>
              </w:rPr>
              <w:t> </w:t>
            </w:r>
            <w:r>
              <w:rPr>
                <w:rFonts w:ascii="Times New Roman" w:hAnsi="Times New Roman"/>
                <w:sz w:val="18"/>
              </w:rPr>
              <w:t>финансије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5.438</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525" w:right="0"/>
              <w:jc w:val="left"/>
              <w:rPr>
                <w:rFonts w:ascii="Times New Roman" w:hAnsi="Times New Roman" w:cs="Times New Roman" w:eastAsia="Times New Roman" w:hint="default"/>
                <w:sz w:val="18"/>
                <w:szCs w:val="18"/>
              </w:rPr>
            </w:pPr>
            <w:r>
              <w:rPr>
                <w:rFonts w:ascii="Times New Roman"/>
                <w:sz w:val="18"/>
              </w:rPr>
              <w:t>5.437</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5.437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99,98</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8"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650" w:right="0"/>
              <w:jc w:val="left"/>
              <w:rPr>
                <w:rFonts w:ascii="Times New Roman" w:hAnsi="Times New Roman" w:cs="Times New Roman" w:eastAsia="Times New Roman" w:hint="default"/>
                <w:sz w:val="18"/>
                <w:szCs w:val="18"/>
              </w:rPr>
            </w:pPr>
            <w:r>
              <w:rPr>
                <w:rFonts w:ascii="Times New Roman" w:hAnsi="Times New Roman"/>
                <w:b/>
                <w:sz w:val="18"/>
              </w:rPr>
              <w:t>Укупно корисници</w:t>
            </w:r>
            <w:r>
              <w:rPr>
                <w:rFonts w:ascii="Times New Roman" w:hAnsi="Times New Roman"/>
                <w:b/>
                <w:spacing w:val="-3"/>
                <w:sz w:val="18"/>
              </w:rPr>
              <w:t> </w:t>
            </w:r>
            <w:r>
              <w:rPr>
                <w:rFonts w:ascii="Times New Roman" w:hAnsi="Times New Roman"/>
                <w:b/>
                <w:sz w:val="18"/>
              </w:rPr>
              <w:t>(1</w:t>
            </w:r>
            <w:r>
              <w:rPr>
                <w:rFonts w:ascii="Times New Roman" w:hAnsi="Times New Roman"/>
                <w:b/>
                <w:sz w:val="18"/>
              </w:rPr>
              <w:t>-2)</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b/>
                <w:spacing w:val="-1"/>
                <w:sz w:val="18"/>
              </w:rPr>
              <w:t>17.770</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b/>
                <w:spacing w:val="-1"/>
                <w:sz w:val="18"/>
              </w:rPr>
              <w:t>23.208</w:t>
            </w:r>
            <w:r>
              <w:rPr>
                <w:rFonts w:ascii="Times New Roman"/>
                <w:spacing w:val="-1"/>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436" w:right="0"/>
              <w:jc w:val="left"/>
              <w:rPr>
                <w:rFonts w:ascii="Times New Roman" w:hAnsi="Times New Roman" w:cs="Times New Roman" w:eastAsia="Times New Roman" w:hint="default"/>
                <w:sz w:val="18"/>
                <w:szCs w:val="18"/>
              </w:rPr>
            </w:pPr>
            <w:r>
              <w:rPr>
                <w:rFonts w:ascii="Times New Roman"/>
                <w:b/>
                <w:sz w:val="18"/>
              </w:rPr>
              <w:t>23.257</w:t>
            </w:r>
            <w:r>
              <w:rPr>
                <w:rFonts w:asci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2"/>
              <w:jc w:val="right"/>
              <w:rPr>
                <w:rFonts w:ascii="Times New Roman" w:hAnsi="Times New Roman" w:cs="Times New Roman" w:eastAsia="Times New Roman" w:hint="default"/>
                <w:sz w:val="18"/>
                <w:szCs w:val="18"/>
              </w:rPr>
            </w:pPr>
            <w:r>
              <w:rPr>
                <w:rFonts w:ascii="Times New Roman"/>
                <w:b/>
                <w:sz w:val="18"/>
              </w:rPr>
              <w:t>5.487</w:t>
            </w:r>
            <w:r>
              <w:rPr>
                <w:rFonts w:asci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b/>
                <w:sz w:val="18"/>
              </w:rPr>
              <w:t>23,64</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b/>
                <w:sz w:val="18"/>
              </w:rPr>
              <w:t>23,59</w:t>
            </w:r>
            <w:r>
              <w:rPr>
                <w:rFonts w:ascii="Times New Roman"/>
                <w:sz w:val="18"/>
              </w:rPr>
            </w:r>
          </w:p>
        </w:tc>
      </w:tr>
      <w:tr>
        <w:trPr>
          <w:trHeight w:val="216"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477" w:right="0"/>
              <w:jc w:val="left"/>
              <w:rPr>
                <w:rFonts w:ascii="Times New Roman" w:hAnsi="Times New Roman" w:cs="Times New Roman" w:eastAsia="Times New Roman" w:hint="default"/>
                <w:sz w:val="18"/>
                <w:szCs w:val="18"/>
              </w:rPr>
            </w:pPr>
            <w:r>
              <w:rPr>
                <w:rFonts w:ascii="Times New Roman" w:hAnsi="Times New Roman"/>
                <w:b/>
                <w:sz w:val="18"/>
              </w:rPr>
              <w:t>Укупно  Град </w:t>
            </w:r>
            <w:r>
              <w:rPr>
                <w:rFonts w:ascii="Times New Roman" w:hAnsi="Times New Roman"/>
                <w:b/>
                <w:sz w:val="18"/>
              </w:rPr>
              <w:t>- </w:t>
            </w:r>
            <w:r>
              <w:rPr>
                <w:rFonts w:ascii="Times New Roman" w:hAnsi="Times New Roman"/>
                <w:b/>
                <w:sz w:val="18"/>
              </w:rPr>
              <w:t>група</w:t>
            </w:r>
            <w:r>
              <w:rPr>
                <w:rFonts w:ascii="Times New Roman" w:hAnsi="Times New Roman"/>
                <w:b/>
                <w:spacing w:val="-8"/>
                <w:sz w:val="18"/>
              </w:rPr>
              <w:t> </w:t>
            </w:r>
            <w:r>
              <w:rPr>
                <w:rFonts w:ascii="Times New Roman" w:hAnsi="Times New Roman"/>
                <w:b/>
                <w:sz w:val="18"/>
              </w:rPr>
              <w:t>465000</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17.788</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28.210</w:t>
            </w:r>
            <w:r>
              <w:rPr>
                <w:rFonts w:ascii="Times New Roman"/>
                <w:spacing w:val="-1"/>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436" w:right="0"/>
              <w:jc w:val="left"/>
              <w:rPr>
                <w:rFonts w:ascii="Times New Roman" w:hAnsi="Times New Roman" w:cs="Times New Roman" w:eastAsia="Times New Roman" w:hint="default"/>
                <w:sz w:val="18"/>
                <w:szCs w:val="18"/>
              </w:rPr>
            </w:pPr>
            <w:r>
              <w:rPr>
                <w:rFonts w:ascii="Times New Roman"/>
                <w:b/>
                <w:sz w:val="18"/>
              </w:rPr>
              <w:t>28.697</w:t>
            </w:r>
            <w:r>
              <w:rPr>
                <w:rFonts w:asci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2"/>
              <w:jc w:val="right"/>
              <w:rPr>
                <w:rFonts w:ascii="Times New Roman" w:hAnsi="Times New Roman" w:cs="Times New Roman" w:eastAsia="Times New Roman" w:hint="default"/>
                <w:sz w:val="18"/>
                <w:szCs w:val="18"/>
              </w:rPr>
            </w:pPr>
            <w:r>
              <w:rPr>
                <w:rFonts w:ascii="Times New Roman"/>
                <w:b/>
                <w:spacing w:val="-1"/>
                <w:sz w:val="18"/>
              </w:rPr>
              <w:t>10.927</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38,73</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38,08</w:t>
            </w:r>
            <w:r>
              <w:rPr>
                <w:rFonts w:ascii="Times New Roman"/>
                <w:sz w:val="18"/>
              </w:rPr>
            </w:r>
          </w:p>
        </w:tc>
      </w:tr>
    </w:tbl>
    <w:p>
      <w:pPr>
        <w:pStyle w:val="BodyText"/>
        <w:spacing w:line="240" w:lineRule="auto"/>
        <w:ind w:right="177" w:firstLine="566"/>
        <w:jc w:val="both"/>
      </w:pPr>
      <w:r>
        <w:rPr/>
        <w:t>Исказан је расход у износу од 28.697 хиљада динара, од којих 28.183 хиљаде динара из средстава буџета Града за: остале текуће дотације и трансфере у износу од 17.770 хиљада динара и остале текуће дотације по закону у износу од 10.413 хиљада</w:t>
      </w:r>
      <w:r>
        <w:rPr>
          <w:spacing w:val="-25"/>
        </w:rPr>
        <w:t> </w:t>
      </w:r>
      <w:r>
        <w:rPr/>
        <w:t>динара.</w:t>
      </w:r>
    </w:p>
    <w:p>
      <w:pPr>
        <w:pStyle w:val="ListParagraph"/>
        <w:numPr>
          <w:ilvl w:val="0"/>
          <w:numId w:val="43"/>
        </w:numPr>
        <w:tabs>
          <w:tab w:pos="1013" w:val="left" w:leader="none"/>
        </w:tabs>
        <w:spacing w:line="240" w:lineRule="auto" w:before="139" w:after="0"/>
        <w:ind w:left="160" w:right="174" w:firstLine="566"/>
        <w:jc w:val="both"/>
        <w:rPr>
          <w:rFonts w:ascii="Times New Roman" w:hAnsi="Times New Roman" w:cs="Times New Roman" w:eastAsia="Times New Roman" w:hint="default"/>
          <w:sz w:val="24"/>
          <w:szCs w:val="24"/>
        </w:rPr>
      </w:pPr>
      <w:r>
        <w:rPr>
          <w:rFonts w:ascii="Times New Roman" w:hAnsi="Times New Roman"/>
          <w:b/>
          <w:sz w:val="24"/>
        </w:rPr>
        <w:t>Управа за културу </w:t>
      </w:r>
      <w:r>
        <w:rPr>
          <w:rFonts w:ascii="Times New Roman" w:hAnsi="Times New Roman"/>
          <w:sz w:val="24"/>
        </w:rPr>
        <w:t>- </w:t>
      </w:r>
      <w:r>
        <w:rPr>
          <w:rFonts w:ascii="Times New Roman" w:hAnsi="Times New Roman"/>
          <w:sz w:val="24"/>
        </w:rPr>
        <w:t>Исказан је расход у износу од 17.820 хиљада динара и то 17.770 хиљада динара из средстава буџета града и 50 хиљада динара из осталих извора. Исказан је расход код директног корисника Управе за културу у износу од 17.770 хиљада динара из средстава буџета и то за остале текуће дотације и трансфере и код индиректног буџетског корисника Галерија савремене ликовне уметности у износу од 50 хиљада динара</w:t>
      </w:r>
      <w:r>
        <w:rPr>
          <w:rFonts w:ascii="Times New Roman" w:hAnsi="Times New Roman"/>
          <w:sz w:val="24"/>
        </w:rPr>
        <w:t>.</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Захтев Управе за културу за плаћање и трансфер број 1453</w:t>
      </w:r>
      <w:r>
        <w:rPr>
          <w:rFonts w:ascii="Times New Roman" w:hAnsi="Times New Roman"/>
          <w:sz w:val="24"/>
        </w:rPr>
        <w:t>-5/2014-</w:t>
      </w:r>
      <w:r>
        <w:rPr>
          <w:rFonts w:ascii="Times New Roman" w:hAnsi="Times New Roman"/>
          <w:sz w:val="24"/>
        </w:rPr>
        <w:t>18 од 14.07.2014. године у износу од 5.000 хиљада динара није потписан од стране лица која одобравају плаћање код Управе за финансије, изворне приходе локалне самоуправе и јавне набавке, што је супротно члану 58. Закона о буџетском систему, члану 16. Уредбе о буџетском рачуноводству и Упутству о раду трезора града</w:t>
      </w:r>
      <w:r>
        <w:rPr>
          <w:rFonts w:ascii="Times New Roman" w:hAnsi="Times New Roman"/>
          <w:spacing w:val="-12"/>
          <w:sz w:val="24"/>
        </w:rPr>
        <w:t> </w:t>
      </w:r>
      <w:r>
        <w:rPr>
          <w:rFonts w:ascii="Times New Roman" w:hAnsi="Times New Roman"/>
          <w:sz w:val="24"/>
        </w:rPr>
        <w:t>Ниша</w:t>
      </w:r>
      <w:r>
        <w:rPr>
          <w:rFonts w:ascii="Times New Roman" w:hAnsi="Times New Roman"/>
          <w:sz w:val="24"/>
        </w:rPr>
        <w:t>.</w:t>
      </w:r>
    </w:p>
    <w:p>
      <w:pPr>
        <w:pStyle w:val="ListParagraph"/>
        <w:numPr>
          <w:ilvl w:val="0"/>
          <w:numId w:val="9"/>
        </w:numPr>
        <w:tabs>
          <w:tab w:pos="303" w:val="left" w:leader="none"/>
        </w:tabs>
        <w:spacing w:line="240" w:lineRule="auto" w:before="2" w:after="0"/>
        <w:ind w:left="160" w:right="183" w:firstLine="0"/>
        <w:jc w:val="both"/>
        <w:rPr>
          <w:rFonts w:ascii="Times New Roman" w:hAnsi="Times New Roman" w:cs="Times New Roman" w:eastAsia="Times New Roman" w:hint="default"/>
          <w:sz w:val="24"/>
          <w:szCs w:val="24"/>
        </w:rPr>
      </w:pPr>
      <w:r>
        <w:rPr>
          <w:rFonts w:ascii="Times New Roman" w:hAnsi="Times New Roman"/>
          <w:sz w:val="24"/>
        </w:rPr>
        <w:t>Неправилно је евидентиран расход у износу </w:t>
      </w:r>
      <w:r>
        <w:rPr>
          <w:rFonts w:ascii="Times New Roman" w:hAnsi="Times New Roman"/>
          <w:spacing w:val="3"/>
          <w:sz w:val="24"/>
        </w:rPr>
        <w:t>од </w:t>
      </w:r>
      <w:r>
        <w:rPr>
          <w:rFonts w:ascii="Times New Roman" w:hAnsi="Times New Roman"/>
          <w:sz w:val="24"/>
        </w:rPr>
        <w:t>17.770 хиљада динара, уместо на групи </w:t>
      </w:r>
      <w:r>
        <w:rPr>
          <w:rFonts w:ascii="Times New Roman" w:hAnsi="Times New Roman"/>
          <w:sz w:val="24"/>
        </w:rPr>
      </w:r>
      <w:r>
        <w:rPr>
          <w:rFonts w:ascii="Times New Roman" w:hAnsi="Times New Roman"/>
          <w:sz w:val="24"/>
        </w:rPr>
        <w:t>424000-</w:t>
      </w:r>
      <w:r>
        <w:rPr>
          <w:rFonts w:ascii="Times New Roman" w:hAnsi="Times New Roman"/>
          <w:sz w:val="24"/>
        </w:rPr>
        <w:t>специјализоване услуге,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spacing w:val="-10"/>
          <w:sz w:val="24"/>
        </w:rPr>
        <w:t> </w:t>
      </w:r>
      <w:r>
        <w:rPr>
          <w:rFonts w:ascii="Times New Roman" w:hAnsi="Times New Roman"/>
          <w:sz w:val="24"/>
        </w:rPr>
        <w:t>систем.</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Heading2"/>
        <w:spacing w:line="240" w:lineRule="auto" w:before="126"/>
        <w:ind w:right="174"/>
        <w:jc w:val="both"/>
        <w:rPr>
          <w:b w:val="0"/>
          <w:bCs w:val="0"/>
          <w:i w:val="0"/>
        </w:rPr>
      </w:pPr>
      <w:r>
        <w:rPr>
          <w:i/>
        </w:rPr>
        <w:t>Препоручује се одговорним лицима да за сваки расход из буџета обезбеде  валидну документацију и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6"/>
        </w:rPr>
        <w:t> </w:t>
      </w:r>
      <w:r>
        <w:rPr>
          <w:i/>
        </w:rPr>
        <w:t>систем.</w:t>
      </w:r>
      <w:r>
        <w:rPr>
          <w:b w:val="0"/>
          <w:i w:val="0"/>
        </w:rPr>
      </w:r>
    </w:p>
    <w:p>
      <w:pPr>
        <w:pStyle w:val="ListParagraph"/>
        <w:numPr>
          <w:ilvl w:val="0"/>
          <w:numId w:val="43"/>
        </w:numPr>
        <w:tabs>
          <w:tab w:pos="1003" w:val="left" w:leader="none"/>
        </w:tabs>
        <w:spacing w:line="274" w:lineRule="exact" w:before="137" w:after="0"/>
        <w:ind w:left="1002" w:right="0" w:hanging="276"/>
        <w:jc w:val="left"/>
        <w:rPr>
          <w:rFonts w:ascii="Times New Roman" w:hAnsi="Times New Roman" w:cs="Times New Roman" w:eastAsia="Times New Roman" w:hint="default"/>
          <w:sz w:val="24"/>
          <w:szCs w:val="24"/>
        </w:rPr>
      </w:pPr>
      <w:r>
        <w:rPr>
          <w:rFonts w:ascii="Times New Roman" w:hAnsi="Times New Roman"/>
          <w:b/>
          <w:sz w:val="24"/>
        </w:rPr>
        <w:t>Управа за финансије, изворне приходе локалне самоуправе и јавне  </w:t>
      </w:r>
      <w:r>
        <w:rPr>
          <w:rFonts w:ascii="Times New Roman" w:hAnsi="Times New Roman"/>
          <w:b/>
          <w:spacing w:val="11"/>
          <w:sz w:val="24"/>
        </w:rPr>
        <w:t> </w:t>
      </w:r>
      <w:r>
        <w:rPr>
          <w:rFonts w:ascii="Times New Roman" w:hAnsi="Times New Roman"/>
          <w:b/>
          <w:sz w:val="24"/>
        </w:rPr>
        <w:t>набавке</w:t>
      </w:r>
      <w:r>
        <w:rPr>
          <w:rFonts w:ascii="Times New Roman" w:hAnsi="Times New Roman"/>
          <w:sz w:val="24"/>
        </w:rPr>
      </w:r>
    </w:p>
    <w:p>
      <w:pPr>
        <w:pStyle w:val="BodyText"/>
        <w:spacing w:line="276" w:lineRule="exact" w:before="1"/>
        <w:ind w:right="186"/>
        <w:jc w:val="both"/>
        <w:rPr>
          <w:rFonts w:ascii="Times New Roman" w:hAnsi="Times New Roman" w:cs="Times New Roman" w:eastAsia="Times New Roman" w:hint="default"/>
        </w:rPr>
      </w:pPr>
      <w:r>
        <w:rPr>
          <w:rFonts w:ascii="Times New Roman" w:hAnsi="Times New Roman" w:cs="Times New Roman" w:eastAsia="Times New Roman" w:hint="default"/>
          <w:b/>
          <w:bCs/>
        </w:rPr>
        <w:t>– </w:t>
      </w:r>
      <w:r>
        <w:rPr/>
        <w:t>Исказан је расход у износу од 5.437 хиљада динара из средстава буџета града за остале текуће дотације по закону, по основу повраћаја 10% новембарске плате у буџет Републике</w:t>
      </w:r>
      <w:r>
        <w:rPr>
          <w:rFonts w:ascii="Times New Roman" w:hAnsi="Times New Roman" w:cs="Times New Roman" w:eastAsia="Times New Roman" w:hint="default"/>
        </w:rPr>
        <w:t>, </w:t>
      </w:r>
      <w:r>
        <w:rPr/>
        <w:t>сходно Закону о привременом уређењу основица за обрачун и исплату плата, односно зарада и других сталних примања код корисника јавних</w:t>
      </w:r>
      <w:r>
        <w:rPr>
          <w:spacing w:val="-13"/>
        </w:rPr>
        <w:t> </w:t>
      </w:r>
      <w:r>
        <w:rPr/>
        <w:t>средстава</w:t>
      </w:r>
      <w:r>
        <w:rPr>
          <w:rFonts w:ascii="Times New Roman" w:hAnsi="Times New Roman" w:cs="Times New Roman" w:eastAsia="Times New Roman" w:hint="default"/>
          <w:position w:val="11"/>
          <w:sz w:val="16"/>
          <w:szCs w:val="16"/>
        </w:rPr>
        <w:t>60</w:t>
      </w:r>
      <w:r>
        <w:rPr>
          <w:rFonts w:ascii="Times New Roman" w:hAnsi="Times New Roman" w:cs="Times New Roman" w:eastAsia="Times New Roman" w:hint="default"/>
        </w:rPr>
        <w:t>.</w:t>
      </w:r>
    </w:p>
    <w:p>
      <w:pPr>
        <w:pStyle w:val="BodyText"/>
        <w:spacing w:line="240" w:lineRule="auto"/>
        <w:ind w:right="175" w:firstLine="566"/>
        <w:jc w:val="both"/>
      </w:pPr>
      <w:r>
        <w:rPr>
          <w:rFonts w:ascii="Times New Roman" w:hAnsi="Times New Roman"/>
          <w:b/>
        </w:rPr>
        <w:t>На основу ревизије узорковане документације утврђено је </w:t>
      </w:r>
      <w:r>
        <w:rPr/>
        <w:t>да је расход више извршен у износу, који у поступку ревизије нисмо могли да утврдимо, по основу увећања плата запослених са средњом и нижом стручном спремом супротно Закону о платама у државним органима и јавним службама и Уредби о коефицијентима за обрачун и исплату плата именованих и постављених лица и запослених у државним органима, како је објашњено код групе</w:t>
      </w:r>
      <w:r>
        <w:rPr>
          <w:spacing w:val="-4"/>
        </w:rPr>
        <w:t> </w:t>
      </w:r>
      <w:r>
        <w:rPr/>
        <w:t>411000.</w:t>
      </w:r>
    </w:p>
    <w:p>
      <w:pPr>
        <w:pStyle w:val="Heading2"/>
        <w:spacing w:line="240" w:lineRule="auto"/>
        <w:ind w:left="726" w:right="141" w:firstLine="0"/>
        <w:jc w:val="left"/>
        <w:rPr>
          <w:rFonts w:ascii="Times New Roman" w:hAnsi="Times New Roman" w:cs="Times New Roman" w:eastAsia="Times New Roman" w:hint="default"/>
          <w:b w:val="0"/>
          <w:bCs w:val="0"/>
          <w:i w:val="0"/>
        </w:rPr>
      </w:pPr>
      <w:r>
        <w:rPr>
          <w:i/>
        </w:rPr>
        <w:t>Препоручује се одговорним лицима да обезбеде основ за сваки расход из</w:t>
      </w:r>
      <w:r>
        <w:rPr>
          <w:i/>
          <w:spacing w:val="-13"/>
        </w:rPr>
        <w:t> </w:t>
      </w:r>
      <w:r>
        <w:rPr>
          <w:i/>
        </w:rPr>
        <w:t>буџета</w:t>
      </w:r>
      <w:r>
        <w:rPr>
          <w:rFonts w:ascii="Times New Roman" w:hAnsi="Times New Roman"/>
          <w:i/>
        </w:rPr>
        <w:t>.</w:t>
      </w:r>
      <w:r>
        <w:rPr>
          <w:rFonts w:ascii="Times New Roman" w:hAnsi="Times New Roman"/>
          <w:b w:val="0"/>
          <w:i w:val="0"/>
        </w:rPr>
      </w:r>
    </w:p>
    <w:p>
      <w:pPr>
        <w:spacing w:line="240" w:lineRule="auto" w:before="0"/>
        <w:rPr>
          <w:rFonts w:ascii="Times New Roman" w:hAnsi="Times New Roman" w:cs="Times New Roman" w:eastAsia="Times New Roman" w:hint="default"/>
          <w:b/>
          <w:bCs/>
          <w:i/>
          <w:sz w:val="24"/>
          <w:szCs w:val="24"/>
        </w:rPr>
      </w:pPr>
    </w:p>
    <w:p>
      <w:pPr>
        <w:pStyle w:val="Heading1"/>
        <w:numPr>
          <w:ilvl w:val="3"/>
          <w:numId w:val="42"/>
        </w:numPr>
        <w:tabs>
          <w:tab w:pos="1061" w:val="left" w:leader="none"/>
        </w:tabs>
        <w:spacing w:line="274" w:lineRule="exact" w:before="0" w:after="0"/>
        <w:ind w:left="1060" w:right="0" w:hanging="900"/>
        <w:jc w:val="both"/>
        <w:rPr>
          <w:b w:val="0"/>
          <w:bCs w:val="0"/>
        </w:rPr>
      </w:pPr>
      <w:bookmarkStart w:name="_bookmark30" w:id="54"/>
      <w:bookmarkEnd w:id="54"/>
      <w:r>
        <w:rPr>
          <w:b w:val="0"/>
        </w:rPr>
      </w:r>
      <w:bookmarkStart w:name="_bookmark30" w:id="55"/>
      <w:bookmarkEnd w:id="55"/>
      <w:r>
        <w:rPr/>
        <w:t>На</w:t>
      </w:r>
      <w:r>
        <w:rPr/>
        <w:t>кнаде за социјалну заштиту из буџета, група</w:t>
      </w:r>
      <w:r>
        <w:rPr>
          <w:spacing w:val="-10"/>
        </w:rPr>
        <w:t> </w:t>
      </w:r>
      <w:r>
        <w:rPr/>
        <w:t>472000</w:t>
      </w:r>
      <w:r>
        <w:rPr>
          <w:b w:val="0"/>
        </w:rPr>
      </w:r>
    </w:p>
    <w:p>
      <w:pPr>
        <w:pStyle w:val="BodyText"/>
        <w:spacing w:line="240" w:lineRule="auto"/>
        <w:ind w:right="175" w:firstLine="566"/>
        <w:jc w:val="both"/>
      </w:pPr>
      <w:r>
        <w:rPr/>
        <w:t>Група 472000 – Накнаде за социјалну заштиту из буџета садржи синтетичка конта: накнаде из буџета у случају болести и инвалидност, накнаде из буџета за породиљско одсуство, накнаде из буџета за децу и породицу, накнаде из буџета за случај незапослености, старосне и породичне пензије из буџета, накнаде из буџета у случају смрти, накнаде из буџета за образовање, културу, науку и спорт, накнаде из буџета за становање и живот и остале накнаде из</w:t>
      </w:r>
      <w:r>
        <w:rPr>
          <w:spacing w:val="-19"/>
        </w:rPr>
        <w:t> </w:t>
      </w:r>
      <w:r>
        <w:rPr/>
        <w:t>буџета.</w:t>
      </w:r>
    </w:p>
    <w:p>
      <w:pPr>
        <w:spacing w:before="3" w:after="4"/>
        <w:ind w:left="0" w:right="175" w:firstLine="0"/>
        <w:jc w:val="right"/>
        <w:rPr>
          <w:rFonts w:ascii="Times New Roman" w:hAnsi="Times New Roman" w:cs="Times New Roman" w:eastAsia="Times New Roman" w:hint="default"/>
          <w:sz w:val="18"/>
          <w:szCs w:val="18"/>
        </w:rPr>
      </w:pPr>
      <w:r>
        <w:rPr>
          <w:rFonts w:ascii="Times New Roman" w:hAnsi="Times New Roman"/>
          <w:sz w:val="18"/>
        </w:rPr>
        <w:t>(у хиљадама</w:t>
      </w:r>
      <w:r>
        <w:rPr>
          <w:rFonts w:ascii="Times New Roman" w:hAnsi="Times New Roman"/>
          <w:spacing w:val="-8"/>
          <w:sz w:val="18"/>
        </w:rPr>
        <w:t> </w:t>
      </w:r>
      <w:r>
        <w:rPr>
          <w:rFonts w:ascii="Times New Roman" w:hAnsi="Times New Roman"/>
          <w:sz w:val="18"/>
        </w:rPr>
        <w:t>динара)</w:t>
      </w:r>
    </w:p>
    <w:tbl>
      <w:tblPr>
        <w:tblW w:w="0" w:type="auto"/>
        <w:jc w:val="left"/>
        <w:tblInd w:w="141" w:type="dxa"/>
        <w:tblLayout w:type="fixed"/>
        <w:tblCellMar>
          <w:top w:w="0" w:type="dxa"/>
          <w:left w:w="0" w:type="dxa"/>
          <w:bottom w:w="0" w:type="dxa"/>
          <w:right w:w="0" w:type="dxa"/>
        </w:tblCellMar>
        <w:tblLook w:val="01E0"/>
      </w:tblPr>
      <w:tblGrid>
        <w:gridCol w:w="722"/>
        <w:gridCol w:w="2554"/>
        <w:gridCol w:w="960"/>
        <w:gridCol w:w="1351"/>
        <w:gridCol w:w="1047"/>
        <w:gridCol w:w="936"/>
        <w:gridCol w:w="845"/>
        <w:gridCol w:w="847"/>
      </w:tblGrid>
      <w:tr>
        <w:trPr>
          <w:trHeight w:val="50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87" w:right="102" w:hanging="75"/>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6"/>
              <w:ind w:left="467"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8"/>
                <w:sz w:val="18"/>
              </w:rPr>
              <w:t> </w:t>
            </w:r>
            <w:r>
              <w:rPr>
                <w:rFonts w:ascii="Times New Roman" w:hAnsi="Times New Roman"/>
                <w:b/>
                <w:sz w:val="18"/>
              </w:rPr>
              <w:t>корисник</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6"/>
              <w:ind w:right="103"/>
              <w:jc w:val="right"/>
              <w:rPr>
                <w:rFonts w:ascii="Times New Roman" w:hAnsi="Times New Roman" w:cs="Times New Roman" w:eastAsia="Times New Roman" w:hint="default"/>
                <w:sz w:val="18"/>
                <w:szCs w:val="18"/>
              </w:rPr>
            </w:pPr>
            <w:r>
              <w:rPr>
                <w:rFonts w:ascii="Times New Roman" w:hAnsi="Times New Roman"/>
                <w:b/>
                <w:spacing w:val="-1"/>
                <w:sz w:val="18"/>
              </w:rPr>
              <w:t>Ребаланс</w:t>
            </w:r>
            <w:r>
              <w:rPr>
                <w:rFonts w:ascii="Times New Roman" w:hAns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03" w:right="93" w:firstLine="88"/>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реалокацијом</w:t>
            </w:r>
            <w:r>
              <w:rPr>
                <w:rFonts w:ascii="Times New Roman" w:hAns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03" w:right="95"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12" w:right="107"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299" w:right="110"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02" w:right="109"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4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326" w:right="0"/>
              <w:jc w:val="left"/>
              <w:rPr>
                <w:rFonts w:ascii="Times New Roman" w:hAnsi="Times New Roman" w:cs="Times New Roman" w:eastAsia="Times New Roman" w:hint="default"/>
                <w:sz w:val="12"/>
                <w:szCs w:val="12"/>
              </w:rPr>
            </w:pPr>
            <w:r>
              <w:rPr>
                <w:rFonts w:ascii="Times New Roman"/>
                <w:sz w:val="12"/>
              </w:rPr>
              <w:t>1</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1"/>
              <w:jc w:val="center"/>
              <w:rPr>
                <w:rFonts w:ascii="Times New Roman" w:hAnsi="Times New Roman" w:cs="Times New Roman" w:eastAsia="Times New Roman" w:hint="default"/>
                <w:sz w:val="12"/>
                <w:szCs w:val="12"/>
              </w:rPr>
            </w:pPr>
            <w:r>
              <w:rPr>
                <w:rFonts w:ascii="Times New Roman"/>
                <w:sz w:val="12"/>
              </w:rPr>
              <w:t>2</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2"/>
              <w:jc w:val="center"/>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
              <w:jc w:val="center"/>
              <w:rPr>
                <w:rFonts w:ascii="Times New Roman" w:hAnsi="Times New Roman" w:cs="Times New Roman" w:eastAsia="Times New Roman" w:hint="default"/>
                <w:sz w:val="12"/>
                <w:szCs w:val="12"/>
              </w:rPr>
            </w:pPr>
            <w:r>
              <w:rPr>
                <w:rFonts w:ascii="Times New Roman"/>
                <w:sz w:val="12"/>
              </w:rPr>
              <w:t>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7</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8</w:t>
            </w:r>
          </w:p>
        </w:tc>
      </w:tr>
      <w:tr>
        <w:trPr>
          <w:trHeight w:val="218"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11" w:right="0"/>
              <w:jc w:val="left"/>
              <w:rPr>
                <w:rFonts w:ascii="Times New Roman" w:hAnsi="Times New Roman" w:cs="Times New Roman" w:eastAsia="Times New Roman" w:hint="default"/>
                <w:sz w:val="18"/>
                <w:szCs w:val="18"/>
              </w:rPr>
            </w:pPr>
            <w:r>
              <w:rPr>
                <w:rFonts w:ascii="Times New Roman"/>
                <w:sz w:val="18"/>
              </w:rPr>
              <w:t>1</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деч, соц и здр</w:t>
            </w:r>
            <w:r>
              <w:rPr>
                <w:rFonts w:ascii="Times New Roman" w:hAnsi="Times New Roman"/>
                <w:sz w:val="18"/>
              </w:rPr>
              <w:t>.</w:t>
            </w:r>
            <w:r>
              <w:rPr>
                <w:rFonts w:ascii="Times New Roman" w:hAnsi="Times New Roman"/>
                <w:spacing w:val="-6"/>
                <w:sz w:val="18"/>
              </w:rPr>
              <w:t> </w:t>
            </w:r>
            <w:r>
              <w:rPr>
                <w:rFonts w:ascii="Times New Roman" w:hAnsi="Times New Roman"/>
                <w:sz w:val="18"/>
              </w:rPr>
              <w:t>заш</w:t>
            </w:r>
            <w:r>
              <w:rPr>
                <w:rFonts w:ascii="Times New Roman" w:hAnsi="Times New Roman"/>
                <w:sz w:val="18"/>
              </w:rPr>
              <w:t>.</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pacing w:val="-1"/>
                <w:sz w:val="18"/>
              </w:rPr>
              <w:t>419.054</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419.054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3"/>
              <w:jc w:val="right"/>
              <w:rPr>
                <w:rFonts w:ascii="Times New Roman" w:hAnsi="Times New Roman" w:cs="Times New Roman" w:eastAsia="Times New Roman" w:hint="default"/>
                <w:sz w:val="18"/>
                <w:szCs w:val="18"/>
              </w:rPr>
            </w:pPr>
            <w:r>
              <w:rPr>
                <w:rFonts w:ascii="Times New Roman"/>
                <w:spacing w:val="-1"/>
                <w:sz w:val="18"/>
              </w:rPr>
              <w:t>259.889</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3"/>
              <w:jc w:val="right"/>
              <w:rPr>
                <w:rFonts w:ascii="Times New Roman" w:hAnsi="Times New Roman" w:cs="Times New Roman" w:eastAsia="Times New Roman" w:hint="default"/>
                <w:sz w:val="18"/>
                <w:szCs w:val="18"/>
              </w:rPr>
            </w:pPr>
            <w:r>
              <w:rPr>
                <w:rFonts w:ascii="Times New Roman"/>
                <w:spacing w:val="-1"/>
                <w:sz w:val="18"/>
              </w:rPr>
              <w:t>156.756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37,41</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60,32</w:t>
            </w:r>
          </w:p>
        </w:tc>
      </w:tr>
      <w:tr>
        <w:trPr>
          <w:trHeight w:val="21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441" w:right="0"/>
              <w:jc w:val="left"/>
              <w:rPr>
                <w:rFonts w:ascii="Times New Roman" w:hAnsi="Times New Roman" w:cs="Times New Roman" w:eastAsia="Times New Roman" w:hint="default"/>
                <w:sz w:val="18"/>
                <w:szCs w:val="18"/>
              </w:rPr>
            </w:pPr>
            <w:r>
              <w:rPr>
                <w:rFonts w:ascii="Times New Roman" w:hAnsi="Times New Roman"/>
                <w:sz w:val="18"/>
              </w:rPr>
              <w:t>1а</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Центар</w:t>
            </w:r>
            <w:r>
              <w:rPr>
                <w:rFonts w:ascii="Times New Roman" w:hAnsi="Times New Roman"/>
                <w:spacing w:val="-2"/>
                <w:sz w:val="18"/>
              </w:rPr>
              <w:t> </w:t>
            </w:r>
            <w:r>
              <w:rPr>
                <w:rFonts w:ascii="Times New Roman" w:hAnsi="Times New Roman"/>
                <w:sz w:val="18"/>
              </w:rPr>
              <w:t>Мара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z w:val="18"/>
              </w:rPr>
              <w:t>3.687</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3.687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0,00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8"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11" w:right="0"/>
              <w:jc w:val="left"/>
              <w:rPr>
                <w:rFonts w:ascii="Times New Roman" w:hAnsi="Times New Roman" w:cs="Times New Roman" w:eastAsia="Times New Roman" w:hint="default"/>
                <w:sz w:val="18"/>
                <w:szCs w:val="18"/>
              </w:rPr>
            </w:pPr>
            <w:r>
              <w:rPr>
                <w:rFonts w:ascii="Times New Roman"/>
                <w:sz w:val="18"/>
              </w:rPr>
              <w:t>2</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5"/>
                <w:sz w:val="18"/>
              </w:rPr>
              <w:t> </w:t>
            </w:r>
            <w:r>
              <w:rPr>
                <w:rFonts w:ascii="Times New Roman" w:hAnsi="Times New Roman"/>
                <w:sz w:val="18"/>
              </w:rPr>
              <w:t>образовање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21.065</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21.065</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16.831</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16.831</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79,90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11" w:right="0"/>
              <w:jc w:val="left"/>
              <w:rPr>
                <w:rFonts w:ascii="Times New Roman" w:hAnsi="Times New Roman" w:cs="Times New Roman" w:eastAsia="Times New Roman" w:hint="default"/>
                <w:sz w:val="18"/>
                <w:szCs w:val="18"/>
              </w:rPr>
            </w:pPr>
            <w:r>
              <w:rPr>
                <w:rFonts w:ascii="Times New Roman"/>
                <w:sz w:val="18"/>
              </w:rPr>
              <w:t>3</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6"/>
                <w:sz w:val="18"/>
              </w:rPr>
              <w:t> </w:t>
            </w:r>
            <w:r>
              <w:rPr>
                <w:rFonts w:ascii="Times New Roman" w:hAnsi="Times New Roman"/>
                <w:sz w:val="18"/>
              </w:rPr>
              <w:t>културу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2.700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2.700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z w:val="18"/>
              </w:rPr>
              <w:t>1.419</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1.419</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52,56</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11" w:right="0"/>
              <w:jc w:val="left"/>
              <w:rPr>
                <w:rFonts w:ascii="Times New Roman" w:hAnsi="Times New Roman" w:cs="Times New Roman" w:eastAsia="Times New Roman" w:hint="default"/>
                <w:sz w:val="18"/>
                <w:szCs w:val="18"/>
              </w:rPr>
            </w:pPr>
            <w:r>
              <w:rPr>
                <w:rFonts w:ascii="Times New Roman"/>
                <w:sz w:val="18"/>
              </w:rPr>
              <w:t>4</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омладину и</w:t>
            </w:r>
            <w:r>
              <w:rPr>
                <w:rFonts w:ascii="Times New Roman" w:hAnsi="Times New Roman"/>
                <w:spacing w:val="-8"/>
                <w:sz w:val="18"/>
              </w:rPr>
              <w:t> </w:t>
            </w:r>
            <w:r>
              <w:rPr>
                <w:rFonts w:ascii="Times New Roman" w:hAnsi="Times New Roman"/>
                <w:sz w:val="18"/>
              </w:rPr>
              <w:t>спорт</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6.590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6.590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z w:val="18"/>
              </w:rPr>
              <w:t>5.712</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5.712</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86,68</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8"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11" w:right="0"/>
              <w:jc w:val="left"/>
              <w:rPr>
                <w:rFonts w:ascii="Times New Roman" w:hAnsi="Times New Roman" w:cs="Times New Roman" w:eastAsia="Times New Roman" w:hint="default"/>
                <w:sz w:val="18"/>
                <w:szCs w:val="18"/>
              </w:rPr>
            </w:pPr>
            <w:r>
              <w:rPr>
                <w:rFonts w:ascii="Times New Roman"/>
                <w:sz w:val="18"/>
              </w:rPr>
              <w:t>5</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5"/>
                <w:sz w:val="18"/>
              </w:rPr>
              <w:t> </w:t>
            </w:r>
            <w:r>
              <w:rPr>
                <w:rFonts w:ascii="Times New Roman" w:hAnsi="Times New Roman"/>
                <w:sz w:val="18"/>
              </w:rPr>
              <w:t>привреду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4"/>
              <w:jc w:val="right"/>
              <w:rPr>
                <w:rFonts w:ascii="Times New Roman" w:hAnsi="Times New Roman" w:cs="Times New Roman" w:eastAsia="Times New Roman" w:hint="default"/>
                <w:sz w:val="18"/>
                <w:szCs w:val="18"/>
              </w:rPr>
            </w:pPr>
            <w:r>
              <w:rPr>
                <w:rFonts w:ascii="Times New Roman"/>
                <w:sz w:val="18"/>
              </w:rPr>
              <w:t>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z w:val="18"/>
              </w:rPr>
              <w:t>360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0,00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0,00</w:t>
            </w:r>
          </w:p>
        </w:tc>
      </w:tr>
      <w:tr>
        <w:trPr>
          <w:trHeight w:val="217"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650" w:right="0"/>
              <w:jc w:val="left"/>
              <w:rPr>
                <w:rFonts w:ascii="Times New Roman" w:hAnsi="Times New Roman" w:cs="Times New Roman" w:eastAsia="Times New Roman" w:hint="default"/>
                <w:sz w:val="18"/>
                <w:szCs w:val="18"/>
              </w:rPr>
            </w:pPr>
            <w:r>
              <w:rPr>
                <w:rFonts w:ascii="Times New Roman" w:hAnsi="Times New Roman"/>
                <w:b/>
                <w:sz w:val="18"/>
              </w:rPr>
              <w:t>Укупно корисници</w:t>
            </w:r>
            <w:r>
              <w:rPr>
                <w:rFonts w:ascii="Times New Roman" w:hAnsi="Times New Roman"/>
                <w:b/>
                <w:spacing w:val="-2"/>
                <w:sz w:val="18"/>
              </w:rPr>
              <w:t> </w:t>
            </w:r>
            <w:r>
              <w:rPr>
                <w:rFonts w:ascii="Times New Roman" w:hAnsi="Times New Roman"/>
                <w:b/>
                <w:sz w:val="18"/>
              </w:rPr>
              <w:t>(1</w:t>
            </w:r>
            <w:r>
              <w:rPr>
                <w:rFonts w:ascii="Times New Roman" w:hAnsi="Times New Roman"/>
                <w:b/>
                <w:sz w:val="18"/>
              </w:rPr>
              <w:t>-5)</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pacing w:val="-1"/>
                <w:sz w:val="18"/>
              </w:rPr>
              <w:t>449.409</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449.409</w:t>
            </w:r>
            <w:r>
              <w:rPr>
                <w:rFonts w:ascii="Times New Roman"/>
                <w:spacing w:val="-1"/>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3"/>
              <w:jc w:val="right"/>
              <w:rPr>
                <w:rFonts w:ascii="Times New Roman" w:hAnsi="Times New Roman" w:cs="Times New Roman" w:eastAsia="Times New Roman" w:hint="default"/>
                <w:sz w:val="18"/>
                <w:szCs w:val="18"/>
              </w:rPr>
            </w:pPr>
            <w:r>
              <w:rPr>
                <w:rFonts w:ascii="Times New Roman"/>
                <w:b/>
                <w:spacing w:val="-1"/>
                <w:sz w:val="18"/>
              </w:rPr>
              <w:t>283.851</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3"/>
              <w:jc w:val="right"/>
              <w:rPr>
                <w:rFonts w:ascii="Times New Roman" w:hAnsi="Times New Roman" w:cs="Times New Roman" w:eastAsia="Times New Roman" w:hint="default"/>
                <w:sz w:val="18"/>
                <w:szCs w:val="18"/>
              </w:rPr>
            </w:pPr>
            <w:r>
              <w:rPr>
                <w:rFonts w:ascii="Times New Roman"/>
                <w:b/>
                <w:spacing w:val="-1"/>
                <w:sz w:val="18"/>
              </w:rPr>
              <w:t>181.078</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40,29</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63,79</w:t>
            </w:r>
            <w:r>
              <w:rPr>
                <w:rFonts w:ascii="Times New Roman"/>
                <w:sz w:val="18"/>
              </w:rPr>
            </w:r>
          </w:p>
        </w:tc>
      </w:tr>
      <w:tr>
        <w:trPr>
          <w:trHeight w:val="218"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499" w:right="0"/>
              <w:jc w:val="left"/>
              <w:rPr>
                <w:rFonts w:ascii="Times New Roman" w:hAnsi="Times New Roman" w:cs="Times New Roman" w:eastAsia="Times New Roman" w:hint="default"/>
                <w:sz w:val="18"/>
                <w:szCs w:val="18"/>
              </w:rPr>
            </w:pPr>
            <w:r>
              <w:rPr>
                <w:rFonts w:ascii="Times New Roman" w:hAnsi="Times New Roman"/>
                <w:b/>
                <w:sz w:val="18"/>
              </w:rPr>
              <w:t>Укупно Град </w:t>
            </w:r>
            <w:r>
              <w:rPr>
                <w:rFonts w:ascii="Times New Roman" w:hAnsi="Times New Roman"/>
                <w:b/>
                <w:sz w:val="18"/>
              </w:rPr>
              <w:t>- </w:t>
            </w:r>
            <w:r>
              <w:rPr>
                <w:rFonts w:ascii="Times New Roman" w:hAnsi="Times New Roman"/>
                <w:b/>
                <w:sz w:val="18"/>
              </w:rPr>
              <w:t>група</w:t>
            </w:r>
            <w:r>
              <w:rPr>
                <w:rFonts w:ascii="Times New Roman" w:hAnsi="Times New Roman"/>
                <w:b/>
                <w:spacing w:val="-5"/>
                <w:sz w:val="18"/>
              </w:rPr>
              <w:t> </w:t>
            </w:r>
            <w:r>
              <w:rPr>
                <w:rFonts w:ascii="Times New Roman" w:hAnsi="Times New Roman"/>
                <w:b/>
                <w:sz w:val="18"/>
              </w:rPr>
              <w:t>472000</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pacing w:val="-1"/>
                <w:sz w:val="18"/>
              </w:rPr>
              <w:t>449.409</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449.409</w:t>
            </w:r>
            <w:r>
              <w:rPr>
                <w:rFonts w:ascii="Times New Roman"/>
                <w:spacing w:val="-1"/>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3"/>
              <w:jc w:val="right"/>
              <w:rPr>
                <w:rFonts w:ascii="Times New Roman" w:hAnsi="Times New Roman" w:cs="Times New Roman" w:eastAsia="Times New Roman" w:hint="default"/>
                <w:sz w:val="18"/>
                <w:szCs w:val="18"/>
              </w:rPr>
            </w:pPr>
            <w:r>
              <w:rPr>
                <w:rFonts w:ascii="Times New Roman"/>
                <w:b/>
                <w:spacing w:val="-1"/>
                <w:sz w:val="18"/>
              </w:rPr>
              <w:t>283.851</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3"/>
              <w:jc w:val="right"/>
              <w:rPr>
                <w:rFonts w:ascii="Times New Roman" w:hAnsi="Times New Roman" w:cs="Times New Roman" w:eastAsia="Times New Roman" w:hint="default"/>
                <w:sz w:val="18"/>
                <w:szCs w:val="18"/>
              </w:rPr>
            </w:pPr>
            <w:r>
              <w:rPr>
                <w:rFonts w:ascii="Times New Roman"/>
                <w:b/>
                <w:spacing w:val="-1"/>
                <w:sz w:val="18"/>
              </w:rPr>
              <w:t>181.078</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40,29</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63,79</w:t>
            </w:r>
            <w:r>
              <w:rPr>
                <w:rFonts w:ascii="Times New Roman"/>
                <w:sz w:val="18"/>
              </w:rPr>
            </w:r>
          </w:p>
        </w:tc>
      </w:tr>
    </w:tbl>
    <w:p>
      <w:pPr>
        <w:pStyle w:val="BodyText"/>
        <w:spacing w:line="268" w:lineRule="exact"/>
        <w:ind w:left="726" w:right="141"/>
        <w:jc w:val="left"/>
        <w:rPr>
          <w:rFonts w:ascii="Times New Roman" w:hAnsi="Times New Roman" w:cs="Times New Roman" w:eastAsia="Times New Roman" w:hint="default"/>
        </w:rPr>
      </w:pPr>
      <w:r>
        <w:rPr/>
        <w:t>Исказан је расход у износу од 283.851 хиљаде динара на терет буџета</w:t>
      </w:r>
      <w:r>
        <w:rPr>
          <w:spacing w:val="-17"/>
        </w:rPr>
        <w:t> </w:t>
      </w:r>
      <w:r>
        <w:rPr/>
        <w:t>града</w:t>
      </w:r>
      <w:r>
        <w:rPr>
          <w:rFonts w:ascii="Times New Roman" w:hAnsi="Times New Roman"/>
        </w:rPr>
        <w:t>.</w:t>
      </w:r>
    </w:p>
    <w:p>
      <w:pPr>
        <w:pStyle w:val="BodyText"/>
        <w:spacing w:line="240" w:lineRule="auto"/>
        <w:ind w:right="175" w:firstLine="566"/>
        <w:jc w:val="both"/>
      </w:pPr>
      <w:r>
        <w:rPr>
          <w:rFonts w:ascii="Times New Roman" w:hAnsi="Times New Roman" w:cs="Times New Roman" w:eastAsia="Times New Roman" w:hint="default"/>
          <w:b/>
          <w:bCs/>
        </w:rPr>
        <w:t>На основу ревизије узорковане документације утврђено је </w:t>
      </w:r>
      <w:r>
        <w:rPr/>
        <w:t>да расходи за накнаде за социјалну заштиту из буџета нису евидентирани преко групе 244000 – обавезе за социјално осигурање, што је супротно члану 9. Уредбе о буџетском рачуноводству и Правилнику о стандардном класификационом оквиру и контном плану за буџетски систем.</w:t>
      </w:r>
    </w:p>
    <w:p>
      <w:pPr>
        <w:pStyle w:val="Heading2"/>
        <w:spacing w:line="240" w:lineRule="auto"/>
        <w:ind w:right="174"/>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spacing w:line="240" w:lineRule="auto" w:before="0"/>
        <w:rPr>
          <w:rFonts w:ascii="Times New Roman" w:hAnsi="Times New Roman" w:cs="Times New Roman" w:eastAsia="Times New Roman" w:hint="default"/>
          <w:b/>
          <w:bCs/>
          <w:i/>
          <w:sz w:val="20"/>
          <w:szCs w:val="20"/>
        </w:rPr>
      </w:pPr>
    </w:p>
    <w:p>
      <w:pPr>
        <w:spacing w:line="240" w:lineRule="auto" w:before="0"/>
        <w:rPr>
          <w:rFonts w:ascii="Times New Roman" w:hAnsi="Times New Roman" w:cs="Times New Roman" w:eastAsia="Times New Roman" w:hint="default"/>
          <w:b/>
          <w:bCs/>
          <w:i/>
          <w:sz w:val="20"/>
          <w:szCs w:val="20"/>
        </w:rPr>
      </w:pPr>
    </w:p>
    <w:p>
      <w:pPr>
        <w:spacing w:line="240" w:lineRule="auto" w:before="7"/>
        <w:rPr>
          <w:rFonts w:ascii="Times New Roman" w:hAnsi="Times New Roman" w:cs="Times New Roman" w:eastAsia="Times New Roman" w:hint="default"/>
          <w:b/>
          <w:bCs/>
          <w:i/>
          <w:sz w:val="24"/>
          <w:szCs w:val="24"/>
        </w:rPr>
      </w:pPr>
      <w:r>
        <w:rPr/>
        <w:pict>
          <v:group style="position:absolute;margin-left:78.024002pt;margin-top:15.406253pt;width:144.050pt;height:.1pt;mso-position-horizontal-relative:page;mso-position-vertical-relative:paragraph;z-index:1792;mso-wrap-distance-left:0;mso-wrap-distance-right:0" coordorigin="1560,308" coordsize="2881,2">
            <v:shape style="position:absolute;left:1560;top:308;width:2881;height:2" coordorigin="1560,308" coordsize="2881,0" path="m1560,308l4441,308e" filled="false" stroked="true" strokeweight=".599980pt" strokecolor="#000000">
              <v:path arrowok="t"/>
            </v:shape>
            <w10:wrap type="topAndBottom"/>
          </v:group>
        </w:pict>
      </w:r>
    </w:p>
    <w:p>
      <w:pPr>
        <w:spacing w:before="52"/>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60 </w:t>
      </w:r>
      <w:r>
        <w:rPr>
          <w:rFonts w:ascii="Times New Roman" w:hAnsi="Times New Roman" w:cs="Times New Roman" w:eastAsia="Times New Roman" w:hint="default"/>
          <w:sz w:val="16"/>
          <w:szCs w:val="16"/>
        </w:rPr>
        <w:t>„Службени гласник Републике Србије“ број</w:t>
      </w:r>
      <w:r>
        <w:rPr>
          <w:rFonts w:ascii="Times New Roman" w:hAnsi="Times New Roman" w:cs="Times New Roman" w:eastAsia="Times New Roman" w:hint="default"/>
          <w:spacing w:val="-6"/>
          <w:sz w:val="16"/>
          <w:szCs w:val="16"/>
        </w:rPr>
        <w:t> </w:t>
      </w:r>
      <w:r>
        <w:rPr>
          <w:rFonts w:ascii="Times New Roman" w:hAnsi="Times New Roman" w:cs="Times New Roman" w:eastAsia="Times New Roman" w:hint="default"/>
          <w:sz w:val="16"/>
          <w:szCs w:val="16"/>
        </w:rPr>
        <w:t>116/2014</w:t>
      </w:r>
    </w:p>
    <w:p>
      <w:pPr>
        <w:spacing w:after="0"/>
        <w:jc w:val="left"/>
        <w:rPr>
          <w:rFonts w:ascii="Times New Roman" w:hAnsi="Times New Roman" w:cs="Times New Roman" w:eastAsia="Times New Roman" w:hint="default"/>
          <w:sz w:val="16"/>
          <w:szCs w:val="16"/>
        </w:rPr>
        <w:sectPr>
          <w:pgSz w:w="12240" w:h="15840"/>
          <w:pgMar w:header="740" w:footer="1274" w:top="1280" w:bottom="1460" w:left="1400" w:right="1260"/>
        </w:sectPr>
      </w:pPr>
    </w:p>
    <w:p>
      <w:pPr>
        <w:pStyle w:val="ListParagraph"/>
        <w:numPr>
          <w:ilvl w:val="0"/>
          <w:numId w:val="44"/>
        </w:numPr>
        <w:tabs>
          <w:tab w:pos="1013" w:val="left" w:leader="none"/>
        </w:tabs>
        <w:spacing w:line="240" w:lineRule="auto" w:before="122" w:after="0"/>
        <w:ind w:left="160" w:right="173" w:firstLine="566"/>
        <w:jc w:val="both"/>
        <w:rPr>
          <w:rFonts w:ascii="Times New Roman" w:hAnsi="Times New Roman" w:cs="Times New Roman" w:eastAsia="Times New Roman" w:hint="default"/>
          <w:sz w:val="24"/>
          <w:szCs w:val="24"/>
        </w:rPr>
      </w:pPr>
      <w:r>
        <w:rPr>
          <w:rFonts w:ascii="Times New Roman" w:hAnsi="Times New Roman"/>
          <w:b/>
          <w:sz w:val="24"/>
        </w:rPr>
        <w:t>Управа за дечију, социјалну и примарну здравствену заштиту </w:t>
      </w:r>
      <w:r>
        <w:rPr>
          <w:rFonts w:ascii="Times New Roman" w:hAnsi="Times New Roman"/>
          <w:sz w:val="24"/>
        </w:rPr>
        <w:t>- </w:t>
      </w:r>
      <w:r>
        <w:rPr>
          <w:rFonts w:ascii="Times New Roman" w:hAnsi="Times New Roman"/>
          <w:sz w:val="24"/>
        </w:rPr>
        <w:t>Исказан је расход у износу од 259.889 хиљада динара на терет буџета Града и то </w:t>
      </w:r>
      <w:r>
        <w:rPr>
          <w:rFonts w:ascii="Times New Roman" w:hAnsi="Times New Roman"/>
          <w:spacing w:val="2"/>
          <w:sz w:val="24"/>
        </w:rPr>
        <w:t>за</w:t>
      </w:r>
      <w:r>
        <w:rPr>
          <w:rFonts w:ascii="Times New Roman" w:hAnsi="Times New Roman"/>
          <w:spacing w:val="2"/>
          <w:sz w:val="24"/>
        </w:rPr>
        <w:t>: </w:t>
      </w:r>
      <w:r>
        <w:rPr>
          <w:rFonts w:ascii="Times New Roman" w:hAnsi="Times New Roman"/>
          <w:sz w:val="24"/>
        </w:rPr>
        <w:t>накнаде из буџета у случају болести и инвалидности у износу од 489 хиљада динара, накнаде из буџета за децу и породицу у износу од 107.850 хиљада динара, накнаде из буџета у случају смрти у износу од 248 хиљада динара, накнаде из буџета за становање и </w:t>
      </w:r>
      <w:r>
        <w:rPr>
          <w:rFonts w:ascii="Times New Roman" w:hAnsi="Times New Roman"/>
          <w:spacing w:val="2"/>
          <w:sz w:val="24"/>
        </w:rPr>
        <w:t>живот </w:t>
      </w:r>
      <w:r>
        <w:rPr>
          <w:rFonts w:ascii="Times New Roman" w:hAnsi="Times New Roman"/>
          <w:sz w:val="24"/>
        </w:rPr>
        <w:t>у </w:t>
      </w:r>
      <w:r>
        <w:rPr>
          <w:rFonts w:ascii="Times New Roman" w:hAnsi="Times New Roman"/>
          <w:sz w:val="24"/>
        </w:rPr>
        <w:t>износу од 77.585 хиљада динара и остале накнаде из буџета у износу од 73.717 хиљада динара.</w:t>
      </w:r>
    </w:p>
    <w:p>
      <w:pPr>
        <w:pStyle w:val="BodyText"/>
        <w:spacing w:line="276" w:lineRule="exact" w:before="3"/>
        <w:ind w:right="179" w:firstLine="566"/>
        <w:jc w:val="both"/>
      </w:pPr>
      <w:r>
        <w:rPr/>
        <w:t>Скупштина града Ниша донела је Одлуку о правима из области социјалне заштите на територији града Ниша</w:t>
      </w:r>
      <w:r>
        <w:rPr>
          <w:rFonts w:ascii="Times New Roman" w:hAnsi="Times New Roman"/>
          <w:position w:val="11"/>
          <w:sz w:val="16"/>
        </w:rPr>
        <w:t>61</w:t>
      </w:r>
      <w:r>
        <w:rPr/>
        <w:t>, Одлуку о субвенцији за запошљавање трудница на територији   града   Ниша</w:t>
      </w:r>
      <w:r>
        <w:rPr>
          <w:rFonts w:ascii="Times New Roman" w:hAnsi="Times New Roman"/>
          <w:position w:val="11"/>
          <w:sz w:val="16"/>
        </w:rPr>
        <w:t>62</w:t>
      </w:r>
      <w:r>
        <w:rPr/>
        <w:t>,   Одлуку   о   подстицају   развоја   талентованих   ученика </w:t>
      </w:r>
      <w:r>
        <w:rPr>
          <w:spacing w:val="59"/>
        </w:rPr>
        <w:t> </w:t>
      </w:r>
      <w:r>
        <w:rPr/>
        <w:t>и</w:t>
      </w:r>
    </w:p>
    <w:p>
      <w:pPr>
        <w:pStyle w:val="BodyText"/>
        <w:spacing w:line="258" w:lineRule="exact"/>
        <w:ind w:right="141"/>
        <w:jc w:val="left"/>
      </w:pPr>
      <w:r>
        <w:rPr/>
        <w:pict>
          <v:shape style="position:absolute;margin-left:136.460007pt;margin-top:4.570421pt;width:2.050pt;height:8.0500pt;mso-position-horizontal-relative:page;mso-position-vertical-relative:paragraph;z-index:-772840" type="#_x0000_t202" filled="false" stroked="false">
            <v:textbox inset="0,0,0,0">
              <w:txbxContent>
                <w:p>
                  <w:pPr>
                    <w:spacing w:line="161" w:lineRule="exact" w:before="0"/>
                    <w:ind w:left="0" w:right="0" w:firstLine="0"/>
                    <w:jc w:val="left"/>
                    <w:rPr>
                      <w:rFonts w:ascii="Times New Roman" w:hAnsi="Times New Roman" w:cs="Times New Roman" w:eastAsia="Times New Roman" w:hint="default"/>
                      <w:sz w:val="16"/>
                      <w:szCs w:val="16"/>
                    </w:rPr>
                  </w:pPr>
                  <w:r>
                    <w:rPr>
                      <w:rFonts w:ascii="Times New Roman"/>
                      <w:w w:val="100"/>
                      <w:sz w:val="16"/>
                    </w:rPr>
                    <w:t>,</w:t>
                  </w:r>
                </w:p>
              </w:txbxContent>
            </v:textbox>
            <w10:wrap type="none"/>
          </v:shape>
        </w:pict>
      </w:r>
      <w:r>
        <w:rPr/>
        <w:t>студената</w:t>
      </w:r>
      <w:r>
        <w:rPr>
          <w:rFonts w:ascii="Times New Roman" w:hAnsi="Times New Roman"/>
          <w:position w:val="11"/>
          <w:sz w:val="16"/>
        </w:rPr>
        <w:t>63   </w:t>
      </w:r>
      <w:r>
        <w:rPr/>
        <w:t>Одлуку о јавним признањима</w:t>
      </w:r>
      <w:r>
        <w:rPr>
          <w:rFonts w:ascii="Times New Roman" w:hAnsi="Times New Roman"/>
          <w:position w:val="11"/>
          <w:sz w:val="16"/>
        </w:rPr>
        <w:t>64</w:t>
      </w:r>
      <w:r>
        <w:rPr>
          <w:rFonts w:ascii="Times New Roman" w:hAnsi="Times New Roman"/>
        </w:rPr>
        <w:t>,   </w:t>
      </w:r>
      <w:r>
        <w:rPr/>
        <w:t>Одлуку о остваривању потреба и  </w:t>
      </w:r>
      <w:r>
        <w:rPr>
          <w:spacing w:val="24"/>
        </w:rPr>
        <w:t> </w:t>
      </w:r>
      <w:r>
        <w:rPr/>
        <w:t>интереса</w:t>
      </w:r>
    </w:p>
    <w:p>
      <w:pPr>
        <w:pStyle w:val="BodyText"/>
        <w:spacing w:line="276" w:lineRule="exact" w:before="19"/>
        <w:ind w:right="175"/>
        <w:jc w:val="both"/>
        <w:rPr>
          <w:rFonts w:ascii="Times New Roman" w:hAnsi="Times New Roman" w:cs="Times New Roman" w:eastAsia="Times New Roman" w:hint="default"/>
        </w:rPr>
      </w:pPr>
      <w:r>
        <w:rPr/>
        <w:t>грађана у области спорта у граду Нишу</w:t>
      </w:r>
      <w:r>
        <w:rPr>
          <w:rFonts w:ascii="Times New Roman" w:hAnsi="Times New Roman"/>
          <w:position w:val="11"/>
          <w:sz w:val="16"/>
        </w:rPr>
        <w:t>65</w:t>
      </w:r>
      <w:r>
        <w:rPr/>
        <w:t>, Одлуку о финансијској подршци породици са децом на територији града Ниша</w:t>
      </w:r>
      <w:r>
        <w:rPr>
          <w:rFonts w:ascii="Times New Roman" w:hAnsi="Times New Roman"/>
          <w:position w:val="11"/>
          <w:sz w:val="16"/>
        </w:rPr>
        <w:t>66</w:t>
      </w:r>
      <w:r>
        <w:rPr/>
        <w:t>, Одлуку о новчаној и материјалној помоћи породици са децом на територији града Ниша</w:t>
      </w:r>
      <w:r>
        <w:rPr>
          <w:rFonts w:ascii="Times New Roman" w:hAnsi="Times New Roman"/>
          <w:position w:val="11"/>
          <w:sz w:val="16"/>
        </w:rPr>
        <w:t>67</w:t>
      </w:r>
      <w:r>
        <w:rPr>
          <w:rFonts w:ascii="Times New Roman" w:hAnsi="Times New Roman"/>
        </w:rPr>
        <w:t>, </w:t>
      </w:r>
      <w:r>
        <w:rPr/>
        <w:t>Одлуку о манифестацијама и програмима у области културе од значаја за</w:t>
      </w:r>
      <w:r>
        <w:rPr>
          <w:spacing w:val="-2"/>
        </w:rPr>
        <w:t> </w:t>
      </w:r>
      <w:r>
        <w:rPr/>
        <w:t>Град</w:t>
      </w:r>
      <w:r>
        <w:rPr>
          <w:rFonts w:ascii="Times New Roman" w:hAnsi="Times New Roman"/>
          <w:position w:val="11"/>
          <w:sz w:val="16"/>
        </w:rPr>
        <w:t>68</w:t>
      </w:r>
      <w:r>
        <w:rPr>
          <w:rFonts w:ascii="Times New Roman" w:hAnsi="Times New Roman"/>
        </w:rPr>
        <w:t>.</w:t>
      </w:r>
    </w:p>
    <w:p>
      <w:pPr>
        <w:pStyle w:val="BodyText"/>
        <w:spacing w:line="240" w:lineRule="auto"/>
        <w:ind w:right="175" w:firstLine="566"/>
        <w:jc w:val="both"/>
      </w:pPr>
      <w:r>
        <w:rPr>
          <w:rFonts w:ascii="Times New Roman" w:hAnsi="Times New Roman"/>
        </w:rPr>
      </w:r>
      <w:r>
        <w:rPr>
          <w:rFonts w:ascii="Times New Roman" w:hAnsi="Times New Roman"/>
          <w:spacing w:val="-60"/>
          <w:u w:val="single" w:color="000000"/>
        </w:rPr>
        <w:t> </w:t>
      </w:r>
      <w:r>
        <w:rPr>
          <w:u w:val="single" w:color="000000"/>
        </w:rPr>
        <w:t>Накнаде из буџета за децу и породицу, субаналитички конто </w:t>
      </w:r>
      <w:r>
        <w:rPr>
          <w:rFonts w:ascii="Times New Roman" w:hAnsi="Times New Roman"/>
          <w:u w:val="single" w:color="000000"/>
        </w:rPr>
        <w:t>472311 </w:t>
      </w:r>
      <w:r>
        <w:rPr>
          <w:rFonts w:ascii="Times New Roman" w:hAnsi="Times New Roman"/>
        </w:rPr>
        <w:t>- </w:t>
      </w:r>
      <w:r>
        <w:rPr/>
        <w:t>Исказани су расходи у износу од </w:t>
      </w:r>
      <w:r>
        <w:rPr>
          <w:rFonts w:ascii="Times New Roman" w:hAnsi="Times New Roman"/>
        </w:rPr>
        <w:t>107.850 </w:t>
      </w:r>
      <w:r>
        <w:rPr/>
        <w:t>хиљада</w:t>
      </w:r>
      <w:r>
        <w:rPr>
          <w:spacing w:val="-8"/>
        </w:rPr>
        <w:t> </w:t>
      </w:r>
      <w:r>
        <w:rPr/>
        <w:t>динара.</w:t>
      </w:r>
    </w:p>
    <w:p>
      <w:pPr>
        <w:pStyle w:val="BodyText"/>
        <w:spacing w:line="240" w:lineRule="auto"/>
        <w:ind w:right="172" w:firstLine="566"/>
        <w:jc w:val="both"/>
      </w:pPr>
      <w:r>
        <w:rPr/>
        <w:t>Из буџета града Ниша пренето је ПУ Пчелица Ниш </w:t>
      </w:r>
      <w:r>
        <w:rPr>
          <w:rFonts w:ascii="Times New Roman" w:hAnsi="Times New Roman"/>
        </w:rPr>
        <w:t>40.691 </w:t>
      </w:r>
      <w:r>
        <w:rPr/>
        <w:t>хиљада динара и то: за бесплатну ужину за децу основношколског и предшколског узраста у износу од 25.575 хиљада динара и за регресирање трошкова исхране за децу основношколског узраста до 10 година у продуженом боравку у износу од 15.116 хиљада</w:t>
      </w:r>
      <w:r>
        <w:rPr>
          <w:spacing w:val="-15"/>
        </w:rPr>
        <w:t> </w:t>
      </w:r>
      <w:r>
        <w:rPr/>
        <w:t>динара.</w:t>
      </w:r>
    </w:p>
    <w:p>
      <w:pPr>
        <w:pStyle w:val="BodyText"/>
        <w:spacing w:line="240" w:lineRule="auto"/>
        <w:ind w:right="173" w:firstLine="566"/>
        <w:jc w:val="both"/>
      </w:pPr>
      <w:r>
        <w:rPr/>
        <w:t>Са ове буџетске позиције извршени су расходи у износу од 67.159 хиљада динара  за: накнаде послодавцима за запошљавање трудница у износу од 7.616 хиљада динара по обавези из 2013. године</w:t>
      </w:r>
      <w:r>
        <w:rPr>
          <w:rFonts w:ascii="Times New Roman" w:hAnsi="Times New Roman"/>
        </w:rPr>
        <w:t>; </w:t>
      </w:r>
      <w:r>
        <w:rPr/>
        <w:t>једнократну помоћ за прво дете у износу од 27.670 хиљада динара по решењима донетим у 2013. години; новчану помоћ за дупле близанце, тројке и четворке у износу од 7.781 хиљаде динара; пакете за новорођенчад у износу од 15.553 хиљаде динара; једнократну новчану помоћ за вантелесну оплодњу у износу од 2.027 хиљада динара</w:t>
      </w:r>
      <w:r>
        <w:rPr>
          <w:rFonts w:ascii="Times New Roman" w:hAnsi="Times New Roman"/>
        </w:rPr>
        <w:t>; </w:t>
      </w:r>
      <w:r>
        <w:rPr/>
        <w:t>пакете за ђаке прваке у износу од 400 хиљада динара; регресирање трошкова боравка деце у одмаралишту Дивљана у износу од 6.112 хиљада</w:t>
      </w:r>
      <w:r>
        <w:rPr>
          <w:spacing w:val="-19"/>
        </w:rPr>
        <w:t> </w:t>
      </w:r>
      <w:r>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Град Ниш и ПУ Пчелица закључили су Уговор број 508/2014</w:t>
      </w:r>
      <w:r>
        <w:rPr>
          <w:rFonts w:ascii="Times New Roman" w:hAnsi="Times New Roman"/>
          <w:sz w:val="24"/>
        </w:rPr>
        <w:t>-</w:t>
      </w:r>
      <w:r>
        <w:rPr>
          <w:rFonts w:ascii="Times New Roman" w:hAnsi="Times New Roman"/>
          <w:sz w:val="24"/>
        </w:rPr>
        <w:t>01 од 19.02.2014. године за пружање услуге припреме и дистрибуције ужине за децу основношколског и предшколског узраста и Уговор број </w:t>
      </w:r>
      <w:r>
        <w:rPr>
          <w:rFonts w:ascii="Times New Roman" w:hAnsi="Times New Roman"/>
          <w:sz w:val="24"/>
        </w:rPr>
        <w:t>509/2014-</w:t>
      </w:r>
      <w:r>
        <w:rPr>
          <w:rFonts w:ascii="Times New Roman" w:hAnsi="Times New Roman"/>
          <w:sz w:val="24"/>
        </w:rPr>
        <w:t>01 од 19.02.2014. године за пружање  услуге припреме и дистрибуције оброка за децу основношколског узраста до 10 година у продуженом боравку, без уговорене вредности, што је супротно члану 56. и 58. Закона о буџетском</w:t>
      </w:r>
      <w:r>
        <w:rPr>
          <w:rFonts w:ascii="Times New Roman" w:hAnsi="Times New Roman"/>
          <w:spacing w:val="-11"/>
          <w:sz w:val="24"/>
        </w:rPr>
        <w:t> </w:t>
      </w:r>
      <w:r>
        <w:rPr>
          <w:rFonts w:ascii="Times New Roman" w:hAnsi="Times New Roman"/>
          <w:sz w:val="24"/>
        </w:rPr>
        <w:t>систему.</w:t>
      </w:r>
    </w:p>
    <w:p>
      <w:pPr>
        <w:pStyle w:val="ListParagraph"/>
        <w:numPr>
          <w:ilvl w:val="0"/>
          <w:numId w:val="9"/>
        </w:numPr>
        <w:tabs>
          <w:tab w:pos="303" w:val="left" w:leader="none"/>
        </w:tabs>
        <w:spacing w:line="240" w:lineRule="auto" w:before="2"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Исплата једнократне помоћи за прворођено дете није вршена у року од десет дана од дана правноснажности решења о признавању права, већ са закашњењем, што је супротно члану 5. Одлуке о новчаној и материјалној помоћи породици са децом на територији града</w:t>
      </w:r>
      <w:r>
        <w:rPr>
          <w:rFonts w:ascii="Times New Roman" w:hAnsi="Times New Roman"/>
          <w:spacing w:val="-3"/>
          <w:sz w:val="24"/>
        </w:rPr>
        <w:t> </w:t>
      </w:r>
      <w:r>
        <w:rPr>
          <w:rFonts w:ascii="Times New Roman" w:hAnsi="Times New Roman"/>
          <w:sz w:val="24"/>
        </w:rPr>
        <w:t>Ниша</w:t>
      </w:r>
      <w:r>
        <w:rPr>
          <w:rFonts w:ascii="Times New Roman" w:hAnsi="Times New Roman"/>
          <w:sz w:val="24"/>
        </w:rPr>
        <w:t>.</w:t>
      </w:r>
    </w:p>
    <w:p>
      <w:pPr>
        <w:spacing w:line="240" w:lineRule="auto" w:before="9"/>
        <w:rPr>
          <w:rFonts w:ascii="Times New Roman" w:hAnsi="Times New Roman" w:cs="Times New Roman" w:eastAsia="Times New Roman" w:hint="default"/>
          <w:sz w:val="20"/>
          <w:szCs w:val="20"/>
        </w:rPr>
      </w:pPr>
      <w:r>
        <w:rPr/>
        <w:pict>
          <v:group style="position:absolute;margin-left:78.024002pt;margin-top:13.18431pt;width:144.050pt;height:.1pt;mso-position-horizontal-relative:page;mso-position-vertical-relative:paragraph;z-index:1816;mso-wrap-distance-left:0;mso-wrap-distance-right:0" coordorigin="1560,264" coordsize="2881,2">
            <v:shape style="position:absolute;left:1560;top:264;width:2881;height:2" coordorigin="1560,264" coordsize="2881,0" path="m1560,264l4441,264e" filled="false" stroked="true" strokeweight=".599980pt" strokecolor="#000000">
              <v:path arrowok="t"/>
            </v:shape>
            <w10:wrap type="topAndBottom"/>
          </v:group>
        </w:pict>
      </w:r>
    </w:p>
    <w:p>
      <w:pPr>
        <w:spacing w:line="191" w:lineRule="exact" w:before="5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61 </w:t>
      </w:r>
      <w:r>
        <w:rPr>
          <w:rFonts w:ascii="Times New Roman" w:hAnsi="Times New Roman" w:cs="Times New Roman" w:eastAsia="Times New Roman" w:hint="default"/>
          <w:sz w:val="16"/>
          <w:szCs w:val="16"/>
        </w:rPr>
        <w:t>„Службени лист града Ниша“ број 101/2012, 96/2013 и</w:t>
      </w:r>
      <w:r>
        <w:rPr>
          <w:rFonts w:ascii="Times New Roman" w:hAnsi="Times New Roman" w:cs="Times New Roman" w:eastAsia="Times New Roman" w:hint="default"/>
          <w:spacing w:val="-15"/>
          <w:sz w:val="16"/>
          <w:szCs w:val="16"/>
        </w:rPr>
        <w:t> </w:t>
      </w:r>
      <w:r>
        <w:rPr>
          <w:rFonts w:ascii="Times New Roman" w:hAnsi="Times New Roman" w:cs="Times New Roman" w:eastAsia="Times New Roman" w:hint="default"/>
          <w:sz w:val="16"/>
          <w:szCs w:val="16"/>
        </w:rPr>
        <w:t>44/2014</w:t>
      </w:r>
    </w:p>
    <w:p>
      <w:pPr>
        <w:spacing w:line="184" w:lineRule="exact" w:before="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62  </w:t>
      </w:r>
      <w:r>
        <w:rPr>
          <w:rFonts w:ascii="Times New Roman" w:hAnsi="Times New Roman" w:cs="Times New Roman" w:eastAsia="Times New Roman" w:hint="default"/>
          <w:sz w:val="16"/>
          <w:szCs w:val="16"/>
        </w:rPr>
        <w:t>„Службени лист града Ниша“ број</w:t>
      </w:r>
      <w:r>
        <w:rPr>
          <w:rFonts w:ascii="Times New Roman" w:hAnsi="Times New Roman" w:cs="Times New Roman" w:eastAsia="Times New Roman" w:hint="default"/>
          <w:spacing w:val="-26"/>
          <w:sz w:val="16"/>
          <w:szCs w:val="16"/>
        </w:rPr>
        <w:t> </w:t>
      </w:r>
      <w:r>
        <w:rPr>
          <w:rFonts w:ascii="Times New Roman" w:hAnsi="Times New Roman" w:cs="Times New Roman" w:eastAsia="Times New Roman" w:hint="default"/>
          <w:sz w:val="16"/>
          <w:szCs w:val="16"/>
        </w:rPr>
        <w:t>84/2009</w:t>
      </w:r>
    </w:p>
    <w:p>
      <w:pPr>
        <w:spacing w:line="184" w:lineRule="exact" w:before="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63 </w:t>
      </w:r>
      <w:r>
        <w:rPr>
          <w:rFonts w:ascii="Times New Roman" w:hAnsi="Times New Roman" w:cs="Times New Roman" w:eastAsia="Times New Roman" w:hint="default"/>
          <w:sz w:val="16"/>
          <w:szCs w:val="16"/>
        </w:rPr>
        <w:t>„Службени лист града Ниша“ број 49/2005, 49/2006 и 83/2012 – др.</w:t>
      </w:r>
      <w:r>
        <w:rPr>
          <w:rFonts w:ascii="Times New Roman" w:hAnsi="Times New Roman" w:cs="Times New Roman" w:eastAsia="Times New Roman" w:hint="default"/>
          <w:spacing w:val="-20"/>
          <w:sz w:val="16"/>
          <w:szCs w:val="16"/>
        </w:rPr>
        <w:t> </w:t>
      </w:r>
      <w:r>
        <w:rPr>
          <w:rFonts w:ascii="Times New Roman" w:hAnsi="Times New Roman" w:cs="Times New Roman" w:eastAsia="Times New Roman" w:hint="default"/>
          <w:sz w:val="16"/>
          <w:szCs w:val="16"/>
        </w:rPr>
        <w:t>одлука</w:t>
      </w:r>
    </w:p>
    <w:p>
      <w:pPr>
        <w:spacing w:line="185" w:lineRule="exact" w:before="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64 </w:t>
      </w:r>
      <w:r>
        <w:rPr>
          <w:rFonts w:ascii="Times New Roman" w:hAnsi="Times New Roman" w:cs="Times New Roman" w:eastAsia="Times New Roman" w:hint="default"/>
          <w:sz w:val="16"/>
          <w:szCs w:val="16"/>
        </w:rPr>
        <w:t>„Службени лист града Ниша“ број 96/2013 и</w:t>
      </w:r>
      <w:r>
        <w:rPr>
          <w:rFonts w:ascii="Times New Roman" w:hAnsi="Times New Roman" w:cs="Times New Roman" w:eastAsia="Times New Roman" w:hint="default"/>
          <w:spacing w:val="-10"/>
          <w:sz w:val="16"/>
          <w:szCs w:val="16"/>
        </w:rPr>
        <w:t> </w:t>
      </w:r>
      <w:r>
        <w:rPr>
          <w:rFonts w:ascii="Times New Roman" w:hAnsi="Times New Roman" w:cs="Times New Roman" w:eastAsia="Times New Roman" w:hint="default"/>
          <w:sz w:val="16"/>
          <w:szCs w:val="16"/>
        </w:rPr>
        <w:t>102/2014</w:t>
      </w:r>
    </w:p>
    <w:p>
      <w:pPr>
        <w:spacing w:line="184" w:lineRule="exact" w:before="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65 </w:t>
      </w:r>
      <w:r>
        <w:rPr>
          <w:rFonts w:ascii="Times New Roman" w:hAnsi="Times New Roman" w:cs="Times New Roman" w:eastAsia="Times New Roman" w:hint="default"/>
          <w:sz w:val="16"/>
          <w:szCs w:val="16"/>
        </w:rPr>
        <w:t>„Службени лист града Ниша“ број 83/2012 и</w:t>
      </w:r>
      <w:r>
        <w:rPr>
          <w:rFonts w:ascii="Times New Roman" w:hAnsi="Times New Roman" w:cs="Times New Roman" w:eastAsia="Times New Roman" w:hint="default"/>
          <w:spacing w:val="-9"/>
          <w:sz w:val="16"/>
          <w:szCs w:val="16"/>
        </w:rPr>
        <w:t> </w:t>
      </w:r>
      <w:r>
        <w:rPr>
          <w:rFonts w:ascii="Times New Roman" w:hAnsi="Times New Roman" w:cs="Times New Roman" w:eastAsia="Times New Roman" w:hint="default"/>
          <w:sz w:val="16"/>
          <w:szCs w:val="16"/>
        </w:rPr>
        <w:t>67/2013</w:t>
      </w:r>
    </w:p>
    <w:p>
      <w:pPr>
        <w:spacing w:line="184" w:lineRule="exact" w:before="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66 </w:t>
      </w:r>
      <w:r>
        <w:rPr>
          <w:rFonts w:ascii="Times New Roman" w:hAnsi="Times New Roman" w:cs="Times New Roman" w:eastAsia="Times New Roman" w:hint="default"/>
          <w:sz w:val="16"/>
          <w:szCs w:val="16"/>
        </w:rPr>
        <w:t>„Службени лист града Ниша“ број 66/2010, 71/2010 – испр. и</w:t>
      </w:r>
      <w:r>
        <w:rPr>
          <w:rFonts w:ascii="Times New Roman" w:hAnsi="Times New Roman" w:cs="Times New Roman" w:eastAsia="Times New Roman" w:hint="default"/>
          <w:spacing w:val="-17"/>
          <w:sz w:val="16"/>
          <w:szCs w:val="16"/>
        </w:rPr>
        <w:t> </w:t>
      </w:r>
      <w:r>
        <w:rPr>
          <w:rFonts w:ascii="Times New Roman" w:hAnsi="Times New Roman" w:cs="Times New Roman" w:eastAsia="Times New Roman" w:hint="default"/>
          <w:sz w:val="16"/>
          <w:szCs w:val="16"/>
        </w:rPr>
        <w:t>2/2012</w:t>
      </w:r>
    </w:p>
    <w:p>
      <w:pPr>
        <w:spacing w:line="185" w:lineRule="exact" w:before="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67 </w:t>
      </w:r>
      <w:r>
        <w:rPr>
          <w:rFonts w:ascii="Times New Roman" w:hAnsi="Times New Roman" w:cs="Times New Roman" w:eastAsia="Times New Roman" w:hint="default"/>
          <w:sz w:val="16"/>
          <w:szCs w:val="16"/>
        </w:rPr>
        <w:t>„Службени лист града Ниша“ број</w:t>
      </w:r>
      <w:r>
        <w:rPr>
          <w:rFonts w:ascii="Times New Roman" w:hAnsi="Times New Roman" w:cs="Times New Roman" w:eastAsia="Times New Roman" w:hint="default"/>
          <w:spacing w:val="-9"/>
          <w:sz w:val="16"/>
          <w:szCs w:val="16"/>
        </w:rPr>
        <w:t> </w:t>
      </w:r>
      <w:r>
        <w:rPr>
          <w:rFonts w:ascii="Times New Roman" w:hAnsi="Times New Roman" w:cs="Times New Roman" w:eastAsia="Times New Roman" w:hint="default"/>
          <w:sz w:val="16"/>
          <w:szCs w:val="16"/>
        </w:rPr>
        <w:t>52/2005...66/2010</w:t>
      </w:r>
    </w:p>
    <w:p>
      <w:pPr>
        <w:spacing w:line="191" w:lineRule="exact" w:before="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68  </w:t>
      </w:r>
      <w:r>
        <w:rPr>
          <w:rFonts w:ascii="Times New Roman" w:hAnsi="Times New Roman" w:cs="Times New Roman" w:eastAsia="Times New Roman" w:hint="default"/>
          <w:sz w:val="16"/>
          <w:szCs w:val="16"/>
        </w:rPr>
        <w:t>„Службени лист града Ниша“ број</w:t>
      </w:r>
      <w:r>
        <w:rPr>
          <w:rFonts w:ascii="Times New Roman" w:hAnsi="Times New Roman" w:cs="Times New Roman" w:eastAsia="Times New Roman" w:hint="default"/>
          <w:spacing w:val="-26"/>
          <w:sz w:val="16"/>
          <w:szCs w:val="16"/>
        </w:rPr>
        <w:t> </w:t>
      </w:r>
      <w:r>
        <w:rPr>
          <w:rFonts w:ascii="Times New Roman" w:hAnsi="Times New Roman" w:cs="Times New Roman" w:eastAsia="Times New Roman" w:hint="default"/>
          <w:sz w:val="16"/>
          <w:szCs w:val="16"/>
        </w:rPr>
        <w:t>7/2012</w:t>
      </w:r>
    </w:p>
    <w:p>
      <w:pPr>
        <w:spacing w:after="0" w:line="191" w:lineRule="exact"/>
        <w:jc w:val="left"/>
        <w:rPr>
          <w:rFonts w:ascii="Times New Roman" w:hAnsi="Times New Roman" w:cs="Times New Roman" w:eastAsia="Times New Roman" w:hint="default"/>
          <w:sz w:val="16"/>
          <w:szCs w:val="16"/>
        </w:rPr>
        <w:sectPr>
          <w:pgSz w:w="12240" w:h="15840"/>
          <w:pgMar w:header="740" w:footer="1274" w:top="1280" w:bottom="1460" w:left="1400" w:right="1260"/>
        </w:sectPr>
      </w:pPr>
    </w:p>
    <w:p>
      <w:pPr>
        <w:pStyle w:val="ListParagraph"/>
        <w:numPr>
          <w:ilvl w:val="0"/>
          <w:numId w:val="9"/>
        </w:numPr>
        <w:tabs>
          <w:tab w:pos="303" w:val="left" w:leader="none"/>
        </w:tabs>
        <w:spacing w:line="240" w:lineRule="auto" w:before="124"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Цена једног пакета за новорођенче износи у апсолутном износу 2.650,00 динара без ПДВ, односно 3.180,00 са ПДВ, што је мање од 30% од просечне месечне зараде без пореза и доприноса, исплаћене у граду Нишу, за претходни месец на дан покретања јавне набавке. Просечна месечна зарада на дан покретања јавне набавке за април месец износи у апсолутном износу 39.756,00 динара, а 30% од тога је 11.927,00 динара. На напред наведени начин, Град је поступио супротно члану 8. Одлуке о новчаној и материјалној помоћи породици са децом на територији града Ниша и члану 16. Одлуке о финансијској подршци породици са децом на територији града</w:t>
      </w:r>
      <w:r>
        <w:rPr>
          <w:rFonts w:ascii="Times New Roman" w:hAnsi="Times New Roman"/>
          <w:spacing w:val="-16"/>
          <w:sz w:val="24"/>
        </w:rPr>
        <w:t> </w:t>
      </w:r>
      <w:r>
        <w:rPr>
          <w:rFonts w:ascii="Times New Roman" w:hAnsi="Times New Roman"/>
          <w:sz w:val="24"/>
        </w:rPr>
        <w:t>Ниша.</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Уговори: број 508/2014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19.02.2014. године за пружање услуге припреме и дистрибуције ужине за децу основношколског и предшколског узраста и број 509/2014</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01 од 19.02.2014. године за пружање услуге припреме и дистрибуције оброка за децу основношколског узраста до 10 година у продуженом боравку закључени између града Ниша и ПУ Пчелица Ниш, као и Уговори број 1293/2014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08.04.2014. године и број </w:t>
      </w:r>
      <w:r>
        <w:rPr>
          <w:rFonts w:ascii="Times New Roman" w:hAnsi="Times New Roman" w:cs="Times New Roman" w:eastAsia="Times New Roman" w:hint="default"/>
          <w:sz w:val="24"/>
          <w:szCs w:val="24"/>
        </w:rPr>
        <w:t>1300/2014-</w:t>
      </w:r>
      <w:r>
        <w:rPr>
          <w:rFonts w:ascii="Times New Roman" w:hAnsi="Times New Roman" w:cs="Times New Roman" w:eastAsia="Times New Roman" w:hint="default"/>
          <w:sz w:val="24"/>
          <w:szCs w:val="24"/>
        </w:rPr>
        <w:t>01 од 08.04.2014. године за боравак деце у дечијем одмаралишту закључени између града Ниша и Установе Дечије одмаралиште „Дивљана“ Ниш примењују од 01.01.2014. године, тј.</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ретроактивно.</w:t>
      </w:r>
    </w:p>
    <w:p>
      <w:pPr>
        <w:pStyle w:val="Heading2"/>
        <w:spacing w:line="240" w:lineRule="auto"/>
        <w:ind w:right="172"/>
        <w:jc w:val="both"/>
        <w:rPr>
          <w:rFonts w:ascii="Times New Roman" w:hAnsi="Times New Roman" w:cs="Times New Roman" w:eastAsia="Times New Roman" w:hint="default"/>
          <w:b w:val="0"/>
          <w:bCs w:val="0"/>
          <w:i w:val="0"/>
        </w:rPr>
      </w:pPr>
      <w:r>
        <w:rPr>
          <w:i/>
        </w:rPr>
        <w:t>Препоручује се одговорним лицима да приликом закључења уговора уговоре вредност, да не преузимају обавезе ретроактивно, већ за наступајући период и да доследно спроводе интерна</w:t>
      </w:r>
      <w:r>
        <w:rPr>
          <w:i/>
          <w:spacing w:val="-8"/>
        </w:rPr>
        <w:t> </w:t>
      </w:r>
      <w:r>
        <w:rPr>
          <w:i/>
        </w:rPr>
        <w:t>акта</w:t>
      </w:r>
      <w:r>
        <w:rPr>
          <w:rFonts w:ascii="Times New Roman" w:hAnsi="Times New Roman"/>
          <w:i/>
        </w:rPr>
        <w:t>.</w:t>
      </w:r>
      <w:r>
        <w:rPr>
          <w:rFonts w:ascii="Times New Roman" w:hAnsi="Times New Roman"/>
          <w:b w:val="0"/>
          <w:i w:val="0"/>
        </w:rPr>
      </w:r>
    </w:p>
    <w:p>
      <w:pPr>
        <w:pStyle w:val="BodyText"/>
        <w:spacing w:line="240" w:lineRule="auto"/>
        <w:ind w:right="174"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Накнаде из буџета за становање и живот, субаналитички конто 472811 </w:t>
      </w:r>
      <w:r>
        <w:rPr/>
        <w:t>– Исказани </w:t>
      </w:r>
      <w:r>
        <w:rPr/>
        <w:t>су расходи у износу од 77.585 хиљада динара и то Центру „Мара“ 3.687 хиљада динара (за услуге припреме и дистрибуције оброка за кориснике дневног боравка</w:t>
      </w:r>
      <w:r>
        <w:rPr>
          <w:rFonts w:ascii="Times New Roman" w:hAnsi="Times New Roman" w:cs="Times New Roman" w:eastAsia="Times New Roman" w:hint="default"/>
        </w:rPr>
        <w:t>)</w:t>
      </w:r>
      <w:r>
        <w:rPr/>
        <w:t>, Центру за социјални рад 72.914 хиљаде динара </w:t>
      </w:r>
      <w:r>
        <w:rPr>
          <w:rFonts w:ascii="Times New Roman" w:hAnsi="Times New Roman" w:cs="Times New Roman" w:eastAsia="Times New Roman" w:hint="default"/>
        </w:rPr>
        <w:t>(</w:t>
      </w:r>
      <w:r>
        <w:rPr/>
        <w:t>за помоћ у кући – „Интегрисани сервис за стара и инвалидна лица“ у износу од 10.419 хиљада динара</w:t>
      </w:r>
      <w:r>
        <w:rPr>
          <w:rFonts w:ascii="Times New Roman" w:hAnsi="Times New Roman" w:cs="Times New Roman" w:eastAsia="Times New Roman" w:hint="default"/>
        </w:rPr>
        <w:t>, </w:t>
      </w:r>
      <w:r>
        <w:rPr/>
        <w:t>прихват и збрињавање лица у прихватне станице у износу од 1.959 хиљада динара, накнаде за рад домаћина у  објектима за социјално становање, трошкове утрошене електричне енергије и обједињене наплате и за лож </w:t>
      </w:r>
      <w:r>
        <w:rPr>
          <w:spacing w:val="-3"/>
        </w:rPr>
        <w:t>уље </w:t>
      </w:r>
      <w:r>
        <w:rPr/>
        <w:t>за грејање зграда социјалног становања у Паси Пољани у износу</w:t>
      </w:r>
      <w:r>
        <w:rPr>
          <w:spacing w:val="34"/>
        </w:rPr>
        <w:t> </w:t>
      </w:r>
      <w:r>
        <w:rPr/>
        <w:t>од</w:t>
      </w:r>
    </w:p>
    <w:p>
      <w:pPr>
        <w:pStyle w:val="BodyText"/>
        <w:spacing w:line="240" w:lineRule="auto"/>
        <w:ind w:right="180"/>
        <w:jc w:val="both"/>
      </w:pPr>
      <w:r>
        <w:rPr/>
        <w:t>1.549 хиљада динара, плаћање комуналних услуга за испоручену топлотну енергију, утрошену воду и изношење смећа за поједнице, односно породице који, према Одлуци о правима из области социјалне заштите на територији града Ниша, имају право на  потпуно или делимично ослобођење од плаћања комуналних услуга ЈКП „Naissus“ и</w:t>
      </w:r>
      <w:r>
        <w:rPr>
          <w:spacing w:val="28"/>
        </w:rPr>
        <w:t> </w:t>
      </w:r>
      <w:r>
        <w:rPr/>
        <w:t>ЈКП</w:t>
      </w:r>
    </w:p>
    <w:p>
      <w:pPr>
        <w:pStyle w:val="BodyText"/>
        <w:spacing w:line="240" w:lineRule="auto"/>
        <w:ind w:right="172"/>
        <w:jc w:val="both"/>
        <w:rPr>
          <w:rFonts w:ascii="Times New Roman" w:hAnsi="Times New Roman" w:cs="Times New Roman" w:eastAsia="Times New Roman" w:hint="default"/>
        </w:rPr>
      </w:pPr>
      <w:r>
        <w:rPr/>
        <w:t>„Обједињена наплата“ у укупном износу од 58.986 хиљада динара) и Црвеном крсту Србије 984 хиљаде динара (за Народну</w:t>
      </w:r>
      <w:r>
        <w:rPr>
          <w:spacing w:val="-12"/>
        </w:rPr>
        <w:t> </w:t>
      </w:r>
      <w:r>
        <w:rPr/>
        <w:t>кухињу)</w:t>
      </w:r>
      <w:r>
        <w:rPr>
          <w:rFonts w:ascii="Times New Roman" w:hAnsi="Times New Roman" w:cs="Times New Roman" w:eastAsia="Times New Roman" w:hint="default"/>
        </w:rPr>
        <w:t>.</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74" w:lineRule="exact" w:before="20" w:after="0"/>
        <w:ind w:left="160" w:right="17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Градско веће града Ниша није дало сагласност на уговорену цену дневног оброка за кориснике Центра „Мара“ у апсолутном износу од 259,00 динара,  што је супротно</w:t>
      </w:r>
      <w:r>
        <w:rPr>
          <w:rFonts w:ascii="Times New Roman" w:hAnsi="Times New Roman" w:cs="Times New Roman" w:eastAsia="Times New Roman" w:hint="default"/>
          <w:spacing w:val="44"/>
          <w:sz w:val="24"/>
          <w:szCs w:val="24"/>
        </w:rPr>
        <w:t> </w:t>
      </w:r>
      <w:r>
        <w:rPr>
          <w:rFonts w:ascii="Times New Roman" w:hAnsi="Times New Roman" w:cs="Times New Roman" w:eastAsia="Times New Roman" w:hint="default"/>
          <w:sz w:val="24"/>
          <w:szCs w:val="24"/>
        </w:rPr>
        <w:t>члану</w:t>
      </w:r>
    </w:p>
    <w:p>
      <w:pPr>
        <w:pStyle w:val="BodyText"/>
        <w:spacing w:line="273" w:lineRule="exact"/>
        <w:ind w:right="0"/>
        <w:jc w:val="both"/>
      </w:pPr>
      <w:r>
        <w:rPr/>
        <w:t>13. Одлуке о правима из области социјалне заштите на територији града</w:t>
      </w:r>
      <w:r>
        <w:rPr>
          <w:spacing w:val="-24"/>
        </w:rPr>
        <w:t> </w:t>
      </w:r>
      <w:r>
        <w:rPr/>
        <w:t>Ниша.</w:t>
      </w:r>
    </w:p>
    <w:p>
      <w:pPr>
        <w:pStyle w:val="ListParagraph"/>
        <w:numPr>
          <w:ilvl w:val="0"/>
          <w:numId w:val="9"/>
        </w:numPr>
        <w:tabs>
          <w:tab w:pos="303"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Град Ниш није закључио уговор са ПУ Пчелица за припрему и дистрибуцију оброка корисницима дневног боравка у Установи „Мара“ од 12.12.2012. године (дан доношења Одлуке) до 11.08.2014. године, што је супротно члану 13. Одлуке о правима из области социјалне заштите на територији града</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Ниша.</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ПУ Пчелица је у 2014. години вршила фактурисање услуга припреме и дистрибуције оброка за кориснике дневног боравка Центра „Мара“ уместо Управи за дечију, социјалну и примарну здравствену заштиту, што је супротно члану 4. Уговора број 2743/2014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11.08.2014. године закљученог између Града и ПУ</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Пчелица</w:t>
      </w:r>
      <w:r>
        <w:rPr>
          <w:rFonts w:ascii="Times New Roman" w:hAnsi="Times New Roman" w:cs="Times New Roman" w:eastAsia="Times New Roman" w:hint="default"/>
          <w:sz w:val="24"/>
          <w:szCs w:val="24"/>
        </w:rPr>
        <w:t>.</w:t>
      </w:r>
    </w:p>
    <w:p>
      <w:pPr>
        <w:spacing w:after="0" w:line="240" w:lineRule="auto"/>
        <w:jc w:val="both"/>
        <w:rPr>
          <w:rFonts w:ascii="Times New Roman" w:hAnsi="Times New Roman" w:cs="Times New Roman" w:eastAsia="Times New Roman" w:hint="default"/>
          <w:sz w:val="24"/>
          <w:szCs w:val="24"/>
        </w:rPr>
        <w:sectPr>
          <w:footerReference w:type="default" r:id="rId74"/>
          <w:pgSz w:w="12240" w:h="15840"/>
          <w:pgMar w:footer="1274" w:header="740" w:top="1280" w:bottom="1460" w:left="1400" w:right="1260"/>
          <w:pgNumType w:start="170"/>
        </w:sectPr>
      </w:pPr>
    </w:p>
    <w:p>
      <w:pPr>
        <w:pStyle w:val="ListParagraph"/>
        <w:numPr>
          <w:ilvl w:val="0"/>
          <w:numId w:val="9"/>
        </w:numPr>
        <w:tabs>
          <w:tab w:pos="303" w:val="left" w:leader="none"/>
        </w:tabs>
        <w:spacing w:line="240" w:lineRule="auto" w:before="124"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Одлуком о буџету града Ниша за 2014. годину, Финансијским планом Управе за дечију, социјалну и примарну здравствену заштиту за 2014. годину и Финансијским планом Центра „Мара“ за 2014. годину није одобрена апропријација 472000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накнаде за социјалну заштиту из буџета за Центар „Мара“. Управа за дечију, социјалну и примарну здравствену заштиту је поднела захтеве у укупном износу од 3.687 хиљада динара за пренос средстава индиректном кориснику за кога је надлежна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Центар „Мара“, за  намену која му није одобрена буџетом, што је супротно члану 54, 56. и 58. Закона о буџетском</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систему.</w:t>
      </w:r>
    </w:p>
    <w:p>
      <w:pPr>
        <w:pStyle w:val="ListParagraph"/>
        <w:numPr>
          <w:ilvl w:val="0"/>
          <w:numId w:val="9"/>
        </w:numPr>
        <w:tabs>
          <w:tab w:pos="303" w:val="left" w:leader="none"/>
        </w:tabs>
        <w:spacing w:line="274" w:lineRule="exact" w:before="24"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Управа за финансије, изворне приходе локалне самоуправе и јавне набавке је одобрила захтеве Управе за дечију, социјалну и примарну здравствену заштиту за плаћање </w:t>
      </w:r>
      <w:r>
        <w:rPr>
          <w:rFonts w:ascii="Times New Roman" w:hAnsi="Times New Roman"/>
          <w:spacing w:val="19"/>
          <w:sz w:val="24"/>
        </w:rPr>
        <w:t> </w:t>
      </w:r>
      <w:r>
        <w:rPr>
          <w:rFonts w:ascii="Times New Roman" w:hAnsi="Times New Roman"/>
          <w:sz w:val="24"/>
        </w:rPr>
        <w:t>Центру</w:t>
      </w:r>
    </w:p>
    <w:p>
      <w:pPr>
        <w:pStyle w:val="BodyText"/>
        <w:spacing w:line="240" w:lineRule="auto"/>
        <w:ind w:right="171"/>
        <w:jc w:val="both"/>
      </w:pPr>
      <w:r>
        <w:rPr/>
        <w:t>„Мара“ и пренела средства Центру „Мара“, по основу уговора закљученог између ПУ Пчелица и Града, што је супротно члану 40. Упутства о раду трезора града Ниша и</w:t>
      </w:r>
      <w:r>
        <w:rPr>
          <w:spacing w:val="45"/>
        </w:rPr>
        <w:t> </w:t>
      </w:r>
      <w:r>
        <w:rPr/>
        <w:t>члану</w:t>
      </w:r>
    </w:p>
    <w:p>
      <w:pPr>
        <w:pStyle w:val="BodyText"/>
        <w:spacing w:line="240" w:lineRule="auto"/>
        <w:ind w:right="0"/>
        <w:jc w:val="both"/>
      </w:pPr>
      <w:r>
        <w:rPr/>
        <w:t>22. Правилника о буџетском рачуноводству и рачуноводственим</w:t>
      </w:r>
      <w:r>
        <w:rPr>
          <w:spacing w:val="-29"/>
        </w:rPr>
        <w:t> </w:t>
      </w:r>
      <w:r>
        <w:rPr/>
        <w:t>политикама.</w:t>
      </w:r>
    </w:p>
    <w:p>
      <w:pPr>
        <w:pStyle w:val="ListParagraph"/>
        <w:numPr>
          <w:ilvl w:val="0"/>
          <w:numId w:val="9"/>
        </w:numPr>
        <w:tabs>
          <w:tab w:pos="303" w:val="left" w:leader="none"/>
        </w:tabs>
        <w:spacing w:line="237" w:lineRule="auto" w:before="4"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Захтеви за плаћање – трансфер средстава Центру за социјални рад број 1705/2014 од </w:t>
      </w:r>
      <w:r>
        <w:rPr>
          <w:rFonts w:ascii="Times New Roman" w:hAnsi="Times New Roman" w:cs="Times New Roman" w:eastAsia="Times New Roman" w:hint="default"/>
          <w:sz w:val="24"/>
          <w:szCs w:val="24"/>
        </w:rPr>
        <w:t>01.08.2014. </w:t>
      </w:r>
      <w:r>
        <w:rPr>
          <w:rFonts w:ascii="Times New Roman" w:hAnsi="Times New Roman" w:cs="Times New Roman" w:eastAsia="Times New Roman" w:hint="default"/>
          <w:sz w:val="24"/>
          <w:szCs w:val="24"/>
        </w:rPr>
        <w:t>године у износу од 5.419 хиљада динара, број 1704/2014 од 01.08.2014. године у</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износу</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од</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4.435</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хиљад</w:t>
      </w:r>
      <w:r>
        <w:rPr>
          <w:rFonts w:ascii="Times New Roman" w:hAnsi="Times New Roman" w:cs="Times New Roman" w:eastAsia="Times New Roman" w:hint="default"/>
          <w:sz w:val="24"/>
          <w:szCs w:val="24"/>
        </w:rPr>
        <w:t>a</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динара</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и</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број</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07</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2853/2014</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од</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18.12.2014.</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године</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у</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износу</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од</w:t>
      </w:r>
    </w:p>
    <w:p>
      <w:pPr>
        <w:pStyle w:val="BodyText"/>
        <w:spacing w:line="240" w:lineRule="auto"/>
        <w:ind w:right="177"/>
        <w:jc w:val="both"/>
        <w:rPr>
          <w:rFonts w:ascii="Times New Roman" w:hAnsi="Times New Roman" w:cs="Times New Roman" w:eastAsia="Times New Roman" w:hint="default"/>
        </w:rPr>
      </w:pPr>
      <w:r>
        <w:rPr>
          <w:rFonts w:ascii="Times New Roman" w:hAnsi="Times New Roman"/>
        </w:rPr>
        <w:t>27.211 </w:t>
      </w:r>
      <w:r>
        <w:rPr/>
        <w:t>хиљад</w:t>
      </w:r>
      <w:r>
        <w:rPr>
          <w:rFonts w:ascii="Times New Roman" w:hAnsi="Times New Roman"/>
        </w:rPr>
        <w:t>a </w:t>
      </w:r>
      <w:r>
        <w:rPr/>
        <w:t>динара, нису потписани од стране лица које је исправу контролисало и лица одговорног за насталу пословну промену из Управе за финансије, изворне приходе локалне самоуправе и јавне набавке, што је супротно члану 58. Закона о буџетском систему, члану 16. Уредбе о буџетском рачуноводству и Упутству о раду трезора града Ниша</w:t>
      </w:r>
      <w:r>
        <w:rPr>
          <w:rFonts w:ascii="Times New Roman" w:hAnsi="Times New Roman"/>
        </w:rPr>
        <w:t>.</w:t>
      </w:r>
    </w:p>
    <w:p>
      <w:pPr>
        <w:pStyle w:val="ListParagraph"/>
        <w:numPr>
          <w:ilvl w:val="0"/>
          <w:numId w:val="9"/>
        </w:numPr>
        <w:tabs>
          <w:tab w:pos="303" w:val="left" w:leader="none"/>
        </w:tabs>
        <w:spacing w:line="240" w:lineRule="auto" w:before="2" w:after="0"/>
        <w:ind w:left="160" w:right="17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Расход у износу од 58.986 хиљада динара извршен је на основу захтева које Центар за социјални рад „Свети Сава“ Ниш упућује Управи за дечију, социјалну и примарну здравствену заштиту. Уз захтев Центра за социјални рад није достављена документација из које би се могао утврдити основ извршеног расхода, што је супротно члану 58. Закона о буџетском систему и члану 16. Уредбе о буџетском</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рачуноводству.</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Неправилно је евидентиран расход у износу од 72.914 хиљада динара по основу преноса средстава Центру за социјални рад из буџета по основу Одлуке о правима из области социјалне заштите, уместо на групи 463000</w:t>
      </w:r>
      <w:r>
        <w:rPr>
          <w:rFonts w:ascii="Times New Roman" w:hAnsi="Times New Roman"/>
          <w:sz w:val="24"/>
        </w:rPr>
        <w:t>-</w:t>
      </w:r>
      <w:r>
        <w:rPr>
          <w:rFonts w:ascii="Times New Roman" w:hAnsi="Times New Roman"/>
          <w:sz w:val="24"/>
        </w:rPr>
        <w:t>трансфери осталим нивоима власти,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spacing w:val="-31"/>
          <w:sz w:val="24"/>
        </w:rPr>
        <w:t> </w:t>
      </w:r>
      <w:r>
        <w:rPr>
          <w:rFonts w:ascii="Times New Roman" w:hAnsi="Times New Roman"/>
          <w:sz w:val="24"/>
        </w:rPr>
        <w:t>систем.</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Град Ниш није дефинисао протоколе функционисања, извештавања и мониторинг између потписника споразума за реализацију </w:t>
      </w:r>
      <w:r>
        <w:rPr>
          <w:rFonts w:ascii="Times New Roman" w:hAnsi="Times New Roman" w:cs="Times New Roman" w:eastAsia="Times New Roman" w:hint="default"/>
          <w:sz w:val="22"/>
          <w:szCs w:val="22"/>
        </w:rPr>
        <w:t>Пројекта „Народна кухиња“, </w:t>
      </w:r>
      <w:r>
        <w:rPr>
          <w:rFonts w:ascii="Times New Roman" w:hAnsi="Times New Roman" w:cs="Times New Roman" w:eastAsia="Times New Roman" w:hint="default"/>
          <w:sz w:val="24"/>
          <w:szCs w:val="24"/>
        </w:rPr>
        <w:t>што је супротно </w:t>
      </w:r>
      <w:r>
        <w:rPr>
          <w:rFonts w:ascii="Times New Roman" w:hAnsi="Times New Roman" w:cs="Times New Roman" w:eastAsia="Times New Roman" w:hint="default"/>
          <w:sz w:val="24"/>
          <w:szCs w:val="24"/>
        </w:rPr>
        <w:t>Протоколу о међусобним обавезама и правима број 3345/2014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23.09.2014. године који су закључили Град Ниш, Црвени крст Ниш, Студентски центар Ниш, Центар за социјални рад и Управа за дечију, социјалну и примарну здравствену</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заштиту</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40" w:lineRule="auto" w:before="2" w:after="0"/>
        <w:ind w:left="160" w:right="168" w:firstLine="0"/>
        <w:jc w:val="both"/>
        <w:rPr>
          <w:rFonts w:ascii="Times New Roman" w:hAnsi="Times New Roman" w:cs="Times New Roman" w:eastAsia="Times New Roman" w:hint="default"/>
          <w:sz w:val="24"/>
          <w:szCs w:val="24"/>
        </w:rPr>
      </w:pPr>
      <w:r>
        <w:rPr>
          <w:rFonts w:ascii="Times New Roman" w:hAnsi="Times New Roman"/>
          <w:sz w:val="24"/>
        </w:rPr>
        <w:t>Граду су за 2014. годину достављени захтеви Црвеног крста за рефундацију трошкова  са приложеним фактурама Студентског центра Ниш и спецификацијом наручених и примљених оброка за Народну кухињу за период од октобра до децембра 2014. године у укупном износу од 3.449 хиљада динара</w:t>
      </w:r>
      <w:r>
        <w:rPr>
          <w:rFonts w:ascii="Times New Roman" w:hAnsi="Times New Roman"/>
          <w:sz w:val="24"/>
        </w:rPr>
        <w:t>. </w:t>
      </w:r>
      <w:r>
        <w:rPr>
          <w:rFonts w:ascii="Times New Roman" w:hAnsi="Times New Roman"/>
          <w:sz w:val="24"/>
        </w:rPr>
        <w:t>Износ од 2.465 хиљада динара који није плаћен, није евидентиран у пословним књигама,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spacing w:val="-8"/>
          <w:sz w:val="24"/>
        </w:rPr>
        <w:t> </w:t>
      </w:r>
      <w:r>
        <w:rPr>
          <w:rFonts w:ascii="Times New Roman" w:hAnsi="Times New Roman"/>
          <w:sz w:val="24"/>
        </w:rPr>
        <w:t>систем</w:t>
      </w:r>
      <w:r>
        <w:rPr>
          <w:rFonts w:ascii="Times New Roman" w:hAnsi="Times New Roman"/>
          <w:sz w:val="24"/>
        </w:rPr>
        <w:t>.</w:t>
      </w:r>
    </w:p>
    <w:p>
      <w:pPr>
        <w:pStyle w:val="ListParagraph"/>
        <w:numPr>
          <w:ilvl w:val="0"/>
          <w:numId w:val="9"/>
        </w:numPr>
        <w:tabs>
          <w:tab w:pos="303" w:val="left" w:leader="none"/>
        </w:tabs>
        <w:spacing w:line="274" w:lineRule="exact" w:before="24"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Фактурисана је Граду количина оброка за Народну кухињу која је спремљена. Дневно је у октобру месецу спремано од </w:t>
      </w:r>
      <w:r>
        <w:rPr>
          <w:rFonts w:ascii="Times New Roman" w:hAnsi="Times New Roman"/>
          <w:sz w:val="24"/>
        </w:rPr>
        <w:t>450 </w:t>
      </w:r>
      <w:r>
        <w:rPr>
          <w:rFonts w:ascii="Times New Roman" w:hAnsi="Times New Roman"/>
          <w:sz w:val="24"/>
        </w:rPr>
        <w:t>до </w:t>
      </w:r>
      <w:r>
        <w:rPr>
          <w:rFonts w:ascii="Times New Roman" w:hAnsi="Times New Roman"/>
          <w:sz w:val="24"/>
        </w:rPr>
        <w:t>604 </w:t>
      </w:r>
      <w:r>
        <w:rPr>
          <w:rFonts w:ascii="Times New Roman" w:hAnsi="Times New Roman"/>
          <w:sz w:val="24"/>
        </w:rPr>
        <w:t>оброка, у новембру је дневно спремано од  </w:t>
      </w:r>
      <w:r>
        <w:rPr>
          <w:rFonts w:ascii="Times New Roman" w:hAnsi="Times New Roman"/>
          <w:spacing w:val="33"/>
          <w:sz w:val="24"/>
        </w:rPr>
        <w:t> </w:t>
      </w:r>
      <w:r>
        <w:rPr>
          <w:rFonts w:ascii="Times New Roman" w:hAnsi="Times New Roman"/>
          <w:sz w:val="24"/>
        </w:rPr>
        <w:t>260</w:t>
      </w:r>
    </w:p>
    <w:p>
      <w:pPr>
        <w:spacing w:after="0" w:line="274" w:lineRule="exact"/>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80"/>
        <w:jc w:val="both"/>
      </w:pPr>
      <w:r>
        <w:rPr/>
        <w:t>до 496 оброка, а у децембру од 302 до 530 оброка. Протоколом о сарадњи није дефинисан поступак утврђивања потребних оброка по</w:t>
      </w:r>
      <w:r>
        <w:rPr>
          <w:spacing w:val="-21"/>
        </w:rPr>
        <w:t> </w:t>
      </w:r>
      <w:r>
        <w:rPr/>
        <w:t>дану.</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Спремљен број оброка није у целости подељен. У новембру се количина неподељених оброка дневно кретала од 2 до 102 оброка. Количина оброка која није подељена, наведено је у писаном допису да је уништена, за шта није достављен записник. Протоколом о сарадњи није дефинисано поступање са неподељеним</w:t>
      </w:r>
      <w:r>
        <w:rPr>
          <w:rFonts w:ascii="Times New Roman" w:hAnsi="Times New Roman"/>
          <w:spacing w:val="-19"/>
          <w:sz w:val="24"/>
        </w:rPr>
        <w:t> </w:t>
      </w:r>
      <w:r>
        <w:rPr>
          <w:rFonts w:ascii="Times New Roman" w:hAnsi="Times New Roman"/>
          <w:sz w:val="24"/>
        </w:rPr>
        <w:t>оброцима.</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Град Ниш не врши контролу остваривања права и исплате из области социјалне заштите, затим Управа за дечију, социјалну и примарну здравствену заштиту не врши мониторинг над радом кухиње</w:t>
      </w:r>
      <w:r>
        <w:rPr>
          <w:rFonts w:ascii="Times New Roman" w:hAnsi="Times New Roman"/>
          <w:i/>
          <w:sz w:val="24"/>
        </w:rPr>
        <w:t>, </w:t>
      </w:r>
      <w:r>
        <w:rPr>
          <w:rFonts w:ascii="Times New Roman" w:hAnsi="Times New Roman"/>
          <w:sz w:val="24"/>
        </w:rPr>
        <w:t>тако да давање из буџета није ослобођено ризика од злоупотребе</w:t>
      </w:r>
      <w:r>
        <w:rPr>
          <w:rFonts w:ascii="Times New Roman" w:hAnsi="Times New Roman"/>
          <w:sz w:val="24"/>
        </w:rPr>
        <w:t>.</w:t>
      </w:r>
    </w:p>
    <w:p>
      <w:pPr>
        <w:pStyle w:val="ListParagraph"/>
        <w:numPr>
          <w:ilvl w:val="0"/>
          <w:numId w:val="9"/>
        </w:numPr>
        <w:tabs>
          <w:tab w:pos="303" w:val="left" w:leader="none"/>
        </w:tabs>
        <w:spacing w:line="240" w:lineRule="auto" w:before="2" w:after="0"/>
        <w:ind w:left="160" w:right="18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Град Ниш и Дом за децу и омладину „Душко Радовић“ Ниш закључили су Уговор број </w:t>
      </w:r>
      <w:r>
        <w:rPr>
          <w:rFonts w:ascii="Times New Roman" w:hAnsi="Times New Roman" w:cs="Times New Roman" w:eastAsia="Times New Roman" w:hint="default"/>
          <w:sz w:val="24"/>
          <w:szCs w:val="24"/>
        </w:rPr>
        <w:t>68/2014-</w:t>
      </w:r>
      <w:r>
        <w:rPr>
          <w:rFonts w:ascii="Times New Roman" w:hAnsi="Times New Roman" w:cs="Times New Roman" w:eastAsia="Times New Roman" w:hint="default"/>
          <w:sz w:val="24"/>
          <w:szCs w:val="24"/>
        </w:rPr>
        <w:t>01 од 23.01.2014. године за прихват и збрињавање лица у прихватне станице,  који се примењује од 01.01.2014. године до 31.12.2014. године, тј.</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ретроактивно.</w:t>
      </w:r>
    </w:p>
    <w:p>
      <w:pPr>
        <w:pStyle w:val="Heading2"/>
        <w:spacing w:line="240" w:lineRule="auto"/>
        <w:ind w:right="173"/>
        <w:jc w:val="both"/>
        <w:rPr>
          <w:b w:val="0"/>
          <w:bCs w:val="0"/>
          <w:i w:val="0"/>
        </w:rPr>
      </w:pPr>
      <w:r>
        <w:rPr>
          <w:i/>
        </w:rPr>
        <w:t>Препоручује се одговорним лицима да обезбеде сагласност Градског већа на цене дневног оброка корисника Центра „Мара“, примењују одредбе уговора, расходе извршавају у складу са одобреним апропријацијама, интерним контролним поступцима онемогуће плаћање за које није обезбеђен правни основ, за сваки расход обезбеде валидну документацију, обезбеде правилну примену одредби интерних аката, Уредбе о буџетском рачуноводству и Правилника о стандардном класификационом оквиру и контном плану за буџетски систем, уреде и редовно прате коришћење буџетских средстава, обавезе не преузимају ретроактивно, већ за наступајући</w:t>
      </w:r>
      <w:r>
        <w:rPr>
          <w:i/>
          <w:spacing w:val="-6"/>
        </w:rPr>
        <w:t> </w:t>
      </w:r>
      <w:r>
        <w:rPr>
          <w:i/>
        </w:rPr>
        <w:t>период.</w:t>
      </w:r>
      <w:r>
        <w:rPr>
          <w:b w:val="0"/>
          <w:bCs w:val="0"/>
          <w:i w:val="0"/>
        </w:rPr>
      </w:r>
    </w:p>
    <w:p>
      <w:pPr>
        <w:pStyle w:val="BodyText"/>
        <w:spacing w:line="240" w:lineRule="auto"/>
        <w:ind w:right="174"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Једнократна помоћ, субаналитички конто 472931 </w:t>
      </w:r>
      <w:r>
        <w:rPr/>
        <w:t>– Исказани су расходи у износу од </w:t>
      </w:r>
      <w:r>
        <w:rPr/>
      </w:r>
      <w:r>
        <w:rPr>
          <w:rFonts w:ascii="Times New Roman" w:hAnsi="Times New Roman" w:cs="Times New Roman" w:eastAsia="Times New Roman" w:hint="default"/>
        </w:rPr>
        <w:t>73.739 </w:t>
      </w:r>
      <w:r>
        <w:rPr/>
        <w:t>хиљада динара за: једнократну новчану помоћ незапосленим породиљама у износу од 37.980 хиљада динара</w:t>
      </w:r>
      <w:r>
        <w:rPr>
          <w:rFonts w:ascii="Times New Roman" w:hAnsi="Times New Roman" w:cs="Times New Roman" w:eastAsia="Times New Roman" w:hint="default"/>
        </w:rPr>
        <w:t>, </w:t>
      </w:r>
      <w:r>
        <w:rPr/>
        <w:t>једнократну помоћ избеглим и расељеним лицима у износу  </w:t>
      </w:r>
      <w:r>
        <w:rPr>
          <w:spacing w:val="26"/>
        </w:rPr>
        <w:t> </w:t>
      </w:r>
      <w:r>
        <w:rPr/>
        <w:t>од</w:t>
      </w:r>
    </w:p>
    <w:p>
      <w:pPr>
        <w:pStyle w:val="BodyText"/>
        <w:spacing w:line="240" w:lineRule="auto"/>
        <w:ind w:right="176"/>
        <w:jc w:val="both"/>
      </w:pPr>
      <w:r>
        <w:rPr>
          <w:rFonts w:ascii="Times New Roman" w:hAnsi="Times New Roman" w:cs="Times New Roman" w:eastAsia="Times New Roman" w:hint="default"/>
        </w:rPr>
        <w:t>5.083 </w:t>
      </w:r>
      <w:r>
        <w:rPr/>
        <w:t>хиљаде динара</w:t>
      </w:r>
      <w:r>
        <w:rPr>
          <w:rFonts w:ascii="Times New Roman" w:hAnsi="Times New Roman" w:cs="Times New Roman" w:eastAsia="Times New Roman" w:hint="default"/>
        </w:rPr>
        <w:t>, </w:t>
      </w:r>
      <w:r>
        <w:rPr/>
        <w:t>пренос средства Центру за социјални рад „Свети Сава“ у износу од 30.653 хиљаде динара (за једнократне новчане помоћи 16.126 хиљада динара и за новчане накнаде  за  добровољно  радно  ангажовање  радно  способних  појединаца  у  износу </w:t>
      </w:r>
      <w:r>
        <w:rPr>
          <w:spacing w:val="30"/>
        </w:rPr>
        <w:t> </w:t>
      </w:r>
      <w:r>
        <w:rPr/>
        <w:t>од</w:t>
      </w:r>
    </w:p>
    <w:p>
      <w:pPr>
        <w:pStyle w:val="BodyText"/>
        <w:spacing w:line="240" w:lineRule="auto"/>
        <w:ind w:right="0"/>
        <w:jc w:val="both"/>
      </w:pPr>
      <w:r>
        <w:rPr/>
        <w:t>14.527 хиљада</w:t>
      </w:r>
      <w:r>
        <w:rPr>
          <w:spacing w:val="-3"/>
        </w:rPr>
        <w:t> </w:t>
      </w:r>
      <w:r>
        <w:rPr/>
        <w:t>динара)</w:t>
      </w:r>
    </w:p>
    <w:p>
      <w:pPr>
        <w:pStyle w:val="BodyText"/>
        <w:spacing w:line="240" w:lineRule="auto"/>
        <w:ind w:right="175" w:firstLine="566"/>
        <w:jc w:val="both"/>
      </w:pPr>
      <w:r>
        <w:rPr>
          <w:rFonts w:ascii="Times New Roman" w:hAnsi="Times New Roman"/>
          <w:b/>
        </w:rPr>
        <w:t>На основу ревизије узорковане документације утврђено је </w:t>
      </w:r>
      <w:r>
        <w:rPr/>
        <w:t>да је неправилно евидентиран расход у износу од 30.653 хиљаде динара по основу преноса средстава Центру за социјални рад из буџета по основу Одлуке о правима из области социјалне заштите, уместо на групи 463000</w:t>
      </w:r>
      <w:r>
        <w:rPr>
          <w:rFonts w:ascii="Times New Roman" w:hAnsi="Times New Roman"/>
        </w:rPr>
        <w:t>-</w:t>
      </w:r>
      <w:r>
        <w:rPr/>
        <w:t>трансфери осталим нивоима власти, што је супротно члану 9. Уредбе о буџетском рачуноводству и Правилнику о стандардном класификационом оквиру и контном плану за буџетски</w:t>
      </w:r>
      <w:r>
        <w:rPr>
          <w:spacing w:val="-30"/>
        </w:rPr>
        <w:t> </w:t>
      </w:r>
      <w:r>
        <w:rPr/>
        <w:t>систем.</w:t>
      </w:r>
    </w:p>
    <w:p>
      <w:pPr>
        <w:pStyle w:val="Heading2"/>
        <w:spacing w:line="240" w:lineRule="auto"/>
        <w:ind w:right="181"/>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BodyText"/>
        <w:spacing w:line="240" w:lineRule="auto" w:before="132"/>
        <w:ind w:right="181" w:firstLine="566"/>
        <w:jc w:val="both"/>
        <w:rPr>
          <w:rFonts w:ascii="Times New Roman" w:hAnsi="Times New Roman" w:cs="Times New Roman" w:eastAsia="Times New Roman" w:hint="default"/>
        </w:rPr>
      </w:pPr>
      <w:r>
        <w:rPr>
          <w:rFonts w:ascii="Times New Roman" w:hAnsi="Times New Roman" w:cs="Times New Roman" w:eastAsia="Times New Roman" w:hint="default"/>
          <w:b/>
          <w:bCs/>
        </w:rPr>
        <w:t>1а) Центар „Мара“ </w:t>
      </w:r>
      <w:r>
        <w:rPr/>
        <w:t>– Исказан је расход у износу од 3.687 хиљада динара из средстава буџета града за плаћање ПУ „Пчелица“ Ниш услуга припреме и дистрибуције оброка за кориснике дневног</w:t>
      </w:r>
      <w:r>
        <w:rPr>
          <w:spacing w:val="-8"/>
        </w:rPr>
        <w:t> </w:t>
      </w:r>
      <w:r>
        <w:rPr/>
        <w:t>боравка</w:t>
      </w:r>
      <w:r>
        <w:rPr>
          <w:rFonts w:ascii="Times New Roman" w:hAnsi="Times New Roman" w:cs="Times New Roman" w:eastAsia="Times New Roman" w:hint="default"/>
        </w:rPr>
        <w:t>.</w:t>
      </w:r>
    </w:p>
    <w:p>
      <w:pPr>
        <w:pStyle w:val="Heading1"/>
        <w:spacing w:line="275" w:lineRule="exact"/>
        <w:ind w:left="880"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ПУ Пчелица је у 2014. години вршила фактурисање услуга припреме и дистрибуције оброка за кориснике дневног боравка Центра „Мара“ уместо Управи за дечију, социјалну и примарну здравствену заштиту, што је супротно члану 4. Уговора број 2743/2014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11.08.2014. године који је Град закључио са ПУ</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Пчелица</w:t>
      </w:r>
      <w:r>
        <w:rPr>
          <w:rFonts w:ascii="Times New Roman" w:hAnsi="Times New Roman" w:cs="Times New Roman" w:eastAsia="Times New Roman" w:hint="default"/>
          <w:sz w:val="24"/>
          <w:szCs w:val="24"/>
        </w:rPr>
        <w:t>.</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ListParagraph"/>
        <w:numPr>
          <w:ilvl w:val="0"/>
          <w:numId w:val="9"/>
        </w:numPr>
        <w:tabs>
          <w:tab w:pos="303" w:val="left" w:leader="none"/>
        </w:tabs>
        <w:spacing w:line="274" w:lineRule="exact" w:before="146" w:after="0"/>
        <w:ind w:left="160" w:right="18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Одлуком о буџету града Ниша и Финансијским планом Центра „Мара“ није одобрена апропријација 472000</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накнаде за социјалну заштиту из буџета за Центар „Мара“.</w:t>
      </w:r>
      <w:r>
        <w:rPr>
          <w:rFonts w:ascii="Times New Roman" w:hAnsi="Times New Roman" w:cs="Times New Roman" w:eastAsia="Times New Roman" w:hint="default"/>
          <w:spacing w:val="52"/>
          <w:sz w:val="24"/>
          <w:szCs w:val="24"/>
        </w:rPr>
        <w:t> </w:t>
      </w:r>
      <w:r>
        <w:rPr>
          <w:rFonts w:ascii="Times New Roman" w:hAnsi="Times New Roman" w:cs="Times New Roman" w:eastAsia="Times New Roman" w:hint="default"/>
          <w:sz w:val="24"/>
          <w:szCs w:val="24"/>
        </w:rPr>
        <w:t>Центар</w:t>
      </w:r>
    </w:p>
    <w:p>
      <w:pPr>
        <w:pStyle w:val="BodyText"/>
        <w:spacing w:line="240" w:lineRule="auto"/>
        <w:ind w:right="172"/>
        <w:jc w:val="both"/>
      </w:pPr>
      <w:r>
        <w:rPr/>
        <w:t>„Мара“ је извршио расход са апропријације 472000</w:t>
      </w:r>
      <w:r>
        <w:rPr>
          <w:rFonts w:ascii="Times New Roman" w:hAnsi="Times New Roman" w:cs="Times New Roman" w:eastAsia="Times New Roman" w:hint="default"/>
        </w:rPr>
        <w:t>-</w:t>
      </w:r>
      <w:r>
        <w:rPr/>
        <w:t>накнаде за социјалну заштиту из буџета која јој буџетом није одобрена, у износу од 3.687 хиљада динара, што је супротно члану 54. Закона о буџетском систему. Предлогом финансијског плана број 382 од 16.10.2013. године, који је достављен Управи за дечију, социјалну и примарну здравствену заштиту дана 16.10.2013. године, Центар „Мара“ је планирао апропријацију </w:t>
      </w:r>
      <w:r>
        <w:rPr>
          <w:rFonts w:ascii="Times New Roman" w:hAnsi="Times New Roman" w:cs="Times New Roman" w:eastAsia="Times New Roman" w:hint="default"/>
        </w:rPr>
        <w:t>472000-</w:t>
      </w:r>
      <w:r>
        <w:rPr/>
        <w:t>накнаде за социјалну заштиту из буџета у износу од 4.200 хиљада динара. Управа за дечију, социјалну и примарну здравствену заштиту је дописом број 0</w:t>
      </w:r>
      <w:r>
        <w:rPr>
          <w:rFonts w:ascii="Times New Roman" w:hAnsi="Times New Roman" w:cs="Times New Roman" w:eastAsia="Times New Roman" w:hint="default"/>
        </w:rPr>
        <w:t>7-</w:t>
      </w:r>
      <w:r>
        <w:rPr/>
        <w:t>82/2014 од 23.01.2014. године обавестила Центар „Мара“ да је Одлуком о буџету града Ниша за 2014. годину извршена расподела средстава за Установу на другачији начин и у другачијем износу од средстава предвиђених планом, те да је неопходно да приступи доношењу и усвајању финансијског плана за 2014. годину на начин и у складу са одредбама Одлуке о буџету града Ниша за 2014. годину и доставила табеларни приказ распореда средстава за Центар „Мара“ по позицијама, на основу чега је Управни одбор Центра „Мара“ дана 23.01.2014. године донео Одлуку о усвајању Плана финансијског пословања за 2014.</w:t>
      </w:r>
      <w:r>
        <w:rPr>
          <w:spacing w:val="-10"/>
        </w:rPr>
        <w:t> </w:t>
      </w:r>
      <w:r>
        <w:rPr/>
        <w:t>годину.</w:t>
      </w:r>
    </w:p>
    <w:p>
      <w:pPr>
        <w:pStyle w:val="Heading2"/>
        <w:spacing w:line="240" w:lineRule="auto"/>
        <w:ind w:right="185"/>
        <w:jc w:val="both"/>
        <w:rPr>
          <w:b w:val="0"/>
          <w:bCs w:val="0"/>
          <w:i w:val="0"/>
        </w:rPr>
      </w:pPr>
      <w:r>
        <w:rPr>
          <w:i/>
        </w:rPr>
        <w:t>Препоручује се одговорним лицима да примењују одредбе уговора и расходе извршавају у складу са одобреним</w:t>
      </w:r>
      <w:r>
        <w:rPr>
          <w:i/>
          <w:spacing w:val="-10"/>
        </w:rPr>
        <w:t> </w:t>
      </w:r>
      <w:r>
        <w:rPr>
          <w:i/>
        </w:rPr>
        <w:t>апропријацијама.</w:t>
      </w:r>
      <w:r>
        <w:rPr>
          <w:b w:val="0"/>
          <w:i w:val="0"/>
        </w:rPr>
      </w:r>
    </w:p>
    <w:p>
      <w:pPr>
        <w:pStyle w:val="ListParagraph"/>
        <w:numPr>
          <w:ilvl w:val="0"/>
          <w:numId w:val="44"/>
        </w:numPr>
        <w:tabs>
          <w:tab w:pos="1013" w:val="left" w:leader="none"/>
        </w:tabs>
        <w:spacing w:line="240" w:lineRule="auto" w:before="0" w:after="0"/>
        <w:ind w:left="160" w:right="175"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 за образовање </w:t>
      </w:r>
      <w:r>
        <w:rPr>
          <w:rFonts w:ascii="Times New Roman" w:hAnsi="Times New Roman" w:cs="Times New Roman" w:eastAsia="Times New Roman" w:hint="default"/>
          <w:sz w:val="24"/>
          <w:szCs w:val="24"/>
        </w:rPr>
        <w:t>– Исказан је расход у износу од 16.831 хиљаде динара и то за накнаде из буџета за образовање, културу, науку и спорт у износу од 16.80</w:t>
      </w:r>
      <w:r>
        <w:rPr>
          <w:rFonts w:ascii="Times New Roman" w:hAnsi="Times New Roman" w:cs="Times New Roman" w:eastAsia="Times New Roman" w:hint="default"/>
          <w:sz w:val="24"/>
          <w:szCs w:val="24"/>
        </w:rPr>
        <w:t>9 </w:t>
      </w:r>
      <w:r>
        <w:rPr>
          <w:rFonts w:ascii="Times New Roman" w:hAnsi="Times New Roman" w:cs="Times New Roman" w:eastAsia="Times New Roman" w:hint="default"/>
          <w:sz w:val="24"/>
          <w:szCs w:val="24"/>
        </w:rPr>
        <w:t>хиљада динара и остале накнаде из буџета у износу од 22 хиљаде</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динара.</w:t>
      </w:r>
    </w:p>
    <w:p>
      <w:pPr>
        <w:pStyle w:val="BodyText"/>
        <w:spacing w:line="240" w:lineRule="auto"/>
        <w:ind w:right="175" w:firstLine="566"/>
        <w:jc w:val="both"/>
      </w:pPr>
      <w:r>
        <w:rPr/>
        <w:t>На основу ревизије узорковане документације за</w:t>
      </w:r>
      <w:r>
        <w:rPr>
          <w:rFonts w:ascii="Times New Roman" w:hAnsi="Times New Roman"/>
        </w:rPr>
        <w:t>: </w:t>
      </w:r>
      <w:r>
        <w:rPr>
          <w:rFonts w:ascii="Times New Roman" w:hAnsi="Times New Roman"/>
        </w:rPr>
      </w:r>
      <w:r>
        <w:rPr>
          <w:rFonts w:ascii="Times New Roman" w:hAnsi="Times New Roman"/>
          <w:u w:val="single" w:color="000000"/>
        </w:rPr>
      </w:r>
      <w:r>
        <w:rPr>
          <w:u w:val="single" w:color="000000"/>
        </w:rPr>
        <w:t>студентске награде </w:t>
      </w:r>
      <w:r>
        <w:rPr/>
      </w:r>
      <w:r>
        <w:rPr/>
        <w:t>субаналитички  конто  472712</w:t>
      </w:r>
      <w:r>
        <w:rPr>
          <w:rFonts w:ascii="Times New Roman" w:hAnsi="Times New Roman"/>
        </w:rPr>
        <w:t>,  </w:t>
      </w:r>
      <w:r>
        <w:rPr>
          <w:rFonts w:ascii="Times New Roman" w:hAnsi="Times New Roman"/>
        </w:rPr>
      </w:r>
      <w:r>
        <w:rPr>
          <w:rFonts w:ascii="Times New Roman" w:hAnsi="Times New Roman"/>
          <w:u w:val="single" w:color="000000"/>
        </w:rPr>
      </w:r>
      <w:r>
        <w:rPr>
          <w:u w:val="single" w:color="000000"/>
        </w:rPr>
        <w:t>студентске  стипендије  </w:t>
      </w:r>
      <w:r>
        <w:rPr/>
        <w:t>субаналитички  конто  472714  </w:t>
      </w:r>
      <w:r>
        <w:rPr>
          <w:spacing w:val="56"/>
        </w:rPr>
        <w:t> </w:t>
      </w:r>
      <w:r>
        <w:rPr/>
        <w:t>и</w:t>
      </w:r>
    </w:p>
    <w:p>
      <w:pPr>
        <w:pStyle w:val="BodyText"/>
        <w:spacing w:line="240" w:lineRule="auto"/>
        <w:ind w:right="0"/>
        <w:jc w:val="both"/>
      </w:pPr>
      <w:r>
        <w:rPr>
          <w:rFonts w:ascii="Times New Roman" w:hAnsi="Times New Roman"/>
        </w:rPr>
      </w:r>
      <w:r>
        <w:rPr>
          <w:rFonts w:ascii="Times New Roman" w:hAnsi="Times New Roman"/>
          <w:spacing w:val="-60"/>
          <w:u w:val="single" w:color="000000"/>
        </w:rPr>
        <w:t> </w:t>
      </w:r>
      <w:r>
        <w:rPr>
          <w:u w:val="single" w:color="000000"/>
        </w:rPr>
        <w:t>ученичке стипендије </w:t>
      </w:r>
      <w:r>
        <w:rPr/>
        <w:t>субаналитички конто 472715</w:t>
      </w:r>
      <w:r>
        <w:rPr>
          <w:rFonts w:ascii="Times New Roman" w:hAnsi="Times New Roman"/>
        </w:rPr>
        <w:t>, </w:t>
      </w:r>
      <w:r>
        <w:rPr/>
        <w:t>нису утврђене</w:t>
      </w:r>
      <w:r>
        <w:rPr>
          <w:spacing w:val="-29"/>
        </w:rPr>
        <w:t> </w:t>
      </w:r>
      <w:r>
        <w:rPr/>
        <w:t>неправилности.</w:t>
      </w:r>
    </w:p>
    <w:p>
      <w:pPr>
        <w:pStyle w:val="BodyText"/>
        <w:spacing w:line="240" w:lineRule="auto"/>
        <w:ind w:left="726" w:right="141"/>
        <w:jc w:val="left"/>
      </w:pPr>
      <w:r>
        <w:rPr>
          <w:rFonts w:ascii="Times New Roman" w:hAnsi="Times New Roman"/>
        </w:rPr>
      </w:r>
      <w:r>
        <w:rPr>
          <w:rFonts w:ascii="Times New Roman" w:hAnsi="Times New Roman"/>
          <w:spacing w:val="-60"/>
          <w:u w:val="single" w:color="000000"/>
        </w:rPr>
        <w:t> </w:t>
      </w:r>
      <w:r>
        <w:rPr>
          <w:u w:val="single" w:color="000000"/>
        </w:rPr>
        <w:t>Ученичке награде, субаналитички конто </w:t>
      </w:r>
      <w:r>
        <w:rPr>
          <w:rFonts w:ascii="Times New Roman" w:hAnsi="Times New Roman"/>
          <w:u w:val="single" w:color="000000"/>
        </w:rPr>
        <w:t>472713 </w:t>
      </w:r>
      <w:r>
        <w:rPr>
          <w:rFonts w:ascii="Times New Roman" w:hAnsi="Times New Roman"/>
        </w:rPr>
      </w:r>
      <w:r>
        <w:rPr>
          <w:rFonts w:ascii="Times New Roman" w:hAnsi="Times New Roman"/>
          <w:i/>
        </w:rPr>
        <w:t>- </w:t>
      </w:r>
      <w:r>
        <w:rPr/>
        <w:t>Исказани су расходи у износу  </w:t>
      </w:r>
      <w:r>
        <w:rPr>
          <w:spacing w:val="20"/>
        </w:rPr>
        <w:t> </w:t>
      </w:r>
      <w:r>
        <w:rPr/>
        <w:t>од</w:t>
      </w:r>
    </w:p>
    <w:p>
      <w:pPr>
        <w:pStyle w:val="BodyText"/>
        <w:spacing w:line="240" w:lineRule="auto"/>
        <w:ind w:right="0"/>
        <w:jc w:val="both"/>
      </w:pPr>
      <w:r>
        <w:rPr/>
        <w:t>3.144 хиљаде</w:t>
      </w:r>
      <w:r>
        <w:rPr>
          <w:spacing w:val="-3"/>
        </w:rPr>
        <w:t> </w:t>
      </w:r>
      <w:r>
        <w:rPr/>
        <w:t>динара.</w:t>
      </w:r>
    </w:p>
    <w:p>
      <w:pPr>
        <w:pStyle w:val="BodyText"/>
        <w:spacing w:line="240" w:lineRule="auto"/>
        <w:ind w:right="175" w:firstLine="566"/>
        <w:jc w:val="both"/>
        <w:rPr>
          <w:rFonts w:ascii="Times New Roman" w:hAnsi="Times New Roman" w:cs="Times New Roman" w:eastAsia="Times New Roman" w:hint="default"/>
        </w:rPr>
      </w:pPr>
      <w:r>
        <w:rPr>
          <w:rFonts w:ascii="Times New Roman" w:hAnsi="Times New Roman"/>
          <w:b/>
        </w:rPr>
        <w:t>На основу ревизије узорковане документације утврђено је </w:t>
      </w:r>
      <w:r>
        <w:rPr/>
        <w:t>да захтев за плаћање Управе за образовање број 4667</w:t>
      </w:r>
      <w:r>
        <w:rPr>
          <w:rFonts w:ascii="Times New Roman" w:hAnsi="Times New Roman"/>
        </w:rPr>
        <w:t>-2/2014-</w:t>
      </w:r>
      <w:r>
        <w:rPr/>
        <w:t>12 од 25.06.2014. године није потписан од стране лица која одобравају плаћање из Управе за финансије, изворне приходе локалне самоуправе и јавне набавке, што је супротно члану 58. Закона о буџетском систему, члану 16. Уредбе о буџетском рачуноводству и Упутству о раду трезора града</w:t>
      </w:r>
      <w:r>
        <w:rPr>
          <w:spacing w:val="-15"/>
        </w:rPr>
        <w:t> </w:t>
      </w:r>
      <w:r>
        <w:rPr/>
        <w:t>Ниша</w:t>
      </w:r>
      <w:r>
        <w:rPr>
          <w:rFonts w:ascii="Times New Roman" w:hAnsi="Times New Roman"/>
        </w:rPr>
        <w:t>.</w:t>
      </w:r>
    </w:p>
    <w:p>
      <w:pPr>
        <w:pStyle w:val="Heading2"/>
        <w:spacing w:line="240" w:lineRule="auto"/>
        <w:ind w:right="174"/>
        <w:jc w:val="both"/>
        <w:rPr>
          <w:rFonts w:ascii="Times New Roman" w:hAnsi="Times New Roman" w:cs="Times New Roman" w:eastAsia="Times New Roman" w:hint="default"/>
          <w:b w:val="0"/>
          <w:bCs w:val="0"/>
          <w:i w:val="0"/>
        </w:rPr>
      </w:pPr>
      <w:r>
        <w:rPr>
          <w:i/>
        </w:rPr>
        <w:t>Препоручује се одговорним лицима да за сваки расход из буџета обезбеде  валидну</w:t>
      </w:r>
      <w:r>
        <w:rPr>
          <w:i/>
          <w:spacing w:val="-9"/>
        </w:rPr>
        <w:t> </w:t>
      </w:r>
      <w:r>
        <w:rPr>
          <w:i/>
        </w:rPr>
        <w:t>документацију</w:t>
      </w:r>
      <w:r>
        <w:rPr>
          <w:rFonts w:ascii="Times New Roman" w:hAnsi="Times New Roman"/>
          <w:i/>
        </w:rPr>
        <w:t>.</w:t>
      </w:r>
      <w:r>
        <w:rPr>
          <w:rFonts w:ascii="Times New Roman" w:hAnsi="Times New Roman"/>
          <w:b w:val="0"/>
          <w:i w:val="0"/>
        </w:rPr>
      </w:r>
    </w:p>
    <w:p>
      <w:pPr>
        <w:pStyle w:val="BodyText"/>
        <w:spacing w:line="240" w:lineRule="auto"/>
        <w:ind w:right="178" w:firstLine="566"/>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Остале накнаде за образовање, субаналитички конто 472719 </w:t>
      </w:r>
      <w:r>
        <w:rPr/>
      </w:r>
      <w:r>
        <w:rPr>
          <w:rFonts w:ascii="Times New Roman" w:hAnsi="Times New Roman"/>
          <w:i/>
        </w:rPr>
        <w:t>- </w:t>
      </w:r>
      <w:r>
        <w:rPr/>
        <w:t>Исказани су расходи  у износу од </w:t>
      </w:r>
      <w:r>
        <w:rPr>
          <w:rFonts w:ascii="Times New Roman" w:hAnsi="Times New Roman"/>
        </w:rPr>
        <w:t>480 </w:t>
      </w:r>
      <w:r>
        <w:rPr/>
        <w:t>хиљада</w:t>
      </w:r>
      <w:r>
        <w:rPr>
          <w:spacing w:val="-6"/>
        </w:rPr>
        <w:t> </w:t>
      </w:r>
      <w:r>
        <w:rPr/>
        <w:t>динара</w:t>
      </w:r>
      <w:r>
        <w:rPr>
          <w:rFonts w:ascii="Times New Roman" w:hAnsi="Times New Roman"/>
        </w:rPr>
        <w:t>.</w:t>
      </w:r>
    </w:p>
    <w:p>
      <w:pPr>
        <w:pStyle w:val="BodyText"/>
        <w:spacing w:line="240" w:lineRule="auto"/>
        <w:ind w:right="172" w:firstLine="566"/>
        <w:jc w:val="both"/>
        <w:rPr>
          <w:rFonts w:ascii="Times New Roman" w:hAnsi="Times New Roman" w:cs="Times New Roman" w:eastAsia="Times New Roman" w:hint="default"/>
        </w:rPr>
      </w:pPr>
      <w:r>
        <w:rPr>
          <w:rFonts w:ascii="Times New Roman" w:hAnsi="Times New Roman"/>
          <w:b/>
        </w:rPr>
        <w:t>На основу ревизије узорковане документације утврђено је </w:t>
      </w:r>
      <w:r>
        <w:rPr/>
        <w:t>да захтеви за плаћање број 3646</w:t>
      </w:r>
      <w:r>
        <w:rPr>
          <w:rFonts w:ascii="Times New Roman" w:hAnsi="Times New Roman"/>
        </w:rPr>
        <w:t>-4/2014-</w:t>
      </w:r>
      <w:r>
        <w:rPr/>
        <w:t>12 од 10.07.2014. године у износу 250 хиљада динара и број 4834</w:t>
      </w:r>
      <w:r>
        <w:rPr>
          <w:rFonts w:ascii="Times New Roman" w:hAnsi="Times New Roman"/>
        </w:rPr>
        <w:t>- 3/2014-</w:t>
      </w:r>
      <w:r>
        <w:rPr/>
        <w:t>12 од 10.07.2014. године у износу од 210 хиљада динара нису потписани од стране лица која одобравају плаћање из Управе за финансије, изворне приходе локалне самоуправе и јавне набавке, што је супротно члану 58. Закона о буџетском систему, члану 16. Уредбе о буџетском рачуноводству и Упутству о раду трезора града</w:t>
      </w:r>
      <w:r>
        <w:rPr>
          <w:spacing w:val="-15"/>
        </w:rPr>
        <w:t> </w:t>
      </w:r>
      <w:r>
        <w:rPr/>
        <w:t>Ниша</w:t>
      </w:r>
      <w:r>
        <w:rPr>
          <w:rFonts w:ascii="Times New Roman" w:hAnsi="Times New Roman"/>
        </w:rPr>
        <w:t>.</w:t>
      </w:r>
    </w:p>
    <w:p>
      <w:pPr>
        <w:pStyle w:val="Heading2"/>
        <w:spacing w:line="240" w:lineRule="auto"/>
        <w:ind w:right="178"/>
        <w:jc w:val="both"/>
        <w:rPr>
          <w:b w:val="0"/>
          <w:bCs w:val="0"/>
          <w:i w:val="0"/>
        </w:rPr>
      </w:pPr>
      <w:r>
        <w:rPr>
          <w:i/>
        </w:rPr>
        <w:t>Препоручује се одговорним лицима да за сваки расход из буџета обезбеде  валидну</w:t>
      </w:r>
      <w:r>
        <w:rPr>
          <w:i/>
          <w:spacing w:val="-11"/>
        </w:rPr>
        <w:t> </w:t>
      </w:r>
      <w:r>
        <w:rPr>
          <w:i/>
        </w:rPr>
        <w:t>документацију.</w:t>
      </w:r>
      <w:r>
        <w:rPr>
          <w:b w:val="0"/>
          <w:i w:val="0"/>
        </w:rPr>
      </w:r>
    </w:p>
    <w:p>
      <w:pPr>
        <w:pStyle w:val="ListParagraph"/>
        <w:numPr>
          <w:ilvl w:val="0"/>
          <w:numId w:val="44"/>
        </w:numPr>
        <w:tabs>
          <w:tab w:pos="1013" w:val="left" w:leader="none"/>
        </w:tabs>
        <w:spacing w:line="271" w:lineRule="exact" w:before="0" w:after="0"/>
        <w:ind w:left="1012" w:right="0" w:hanging="286"/>
        <w:jc w:val="left"/>
        <w:rPr>
          <w:rFonts w:ascii="Times New Roman" w:hAnsi="Times New Roman" w:cs="Times New Roman" w:eastAsia="Times New Roman" w:hint="default"/>
          <w:sz w:val="24"/>
          <w:szCs w:val="24"/>
        </w:rPr>
      </w:pPr>
      <w:r>
        <w:rPr>
          <w:rFonts w:ascii="Times New Roman" w:hAnsi="Times New Roman"/>
          <w:b/>
          <w:sz w:val="24"/>
        </w:rPr>
        <w:t>Управа за културу </w:t>
      </w:r>
      <w:r>
        <w:rPr>
          <w:rFonts w:ascii="Times New Roman" w:hAnsi="Times New Roman"/>
          <w:sz w:val="24"/>
        </w:rPr>
        <w:t>- </w:t>
      </w:r>
      <w:r>
        <w:rPr>
          <w:rFonts w:ascii="Times New Roman" w:hAnsi="Times New Roman"/>
          <w:sz w:val="24"/>
        </w:rPr>
        <w:t>Исказано је извршење у износу од 1.419 хиљада</w:t>
      </w:r>
      <w:r>
        <w:rPr>
          <w:rFonts w:ascii="Times New Roman" w:hAnsi="Times New Roman"/>
          <w:spacing w:val="-14"/>
          <w:sz w:val="24"/>
        </w:rPr>
        <w:t> </w:t>
      </w:r>
      <w:r>
        <w:rPr>
          <w:rFonts w:ascii="Times New Roman" w:hAnsi="Times New Roman"/>
          <w:sz w:val="24"/>
        </w:rPr>
        <w:t>динара</w:t>
      </w:r>
      <w:r>
        <w:rPr>
          <w:rFonts w:ascii="Times New Roman" w:hAnsi="Times New Roman"/>
          <w:sz w:val="24"/>
        </w:rPr>
        <w:t>.</w:t>
      </w:r>
    </w:p>
    <w:p>
      <w:pPr>
        <w:spacing w:after="0" w:line="271" w:lineRule="exact"/>
        <w:jc w:val="left"/>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4" w:firstLine="566"/>
        <w:jc w:val="both"/>
      </w:pPr>
      <w:r>
        <w:rPr>
          <w:rFonts w:ascii="Times New Roman" w:hAnsi="Times New Roman"/>
        </w:rPr>
      </w:r>
      <w:r>
        <w:rPr>
          <w:rFonts w:ascii="Times New Roman" w:hAnsi="Times New Roman"/>
          <w:spacing w:val="-60"/>
          <w:u w:val="single" w:color="000000"/>
        </w:rPr>
        <w:t> </w:t>
      </w:r>
      <w:r>
        <w:rPr>
          <w:u w:val="single" w:color="000000"/>
        </w:rPr>
        <w:t>Накнаде из буџета за културу, субаналитички конто 472721 </w:t>
      </w:r>
      <w:r>
        <w:rPr/>
      </w:r>
      <w:r>
        <w:rPr>
          <w:rFonts w:ascii="Times New Roman" w:hAnsi="Times New Roman"/>
          <w:i/>
        </w:rPr>
        <w:t>- </w:t>
      </w:r>
      <w:r>
        <w:rPr/>
        <w:t>Исказани су расходи у износу од 1.419 хиљада динара на основу Одлуке о манифестацијама и програмима у области културе од значаја за</w:t>
      </w:r>
      <w:r>
        <w:rPr>
          <w:spacing w:val="-9"/>
        </w:rPr>
        <w:t> </w:t>
      </w:r>
      <w:r>
        <w:rPr/>
        <w:t>Град.</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Градоначелник града Ниша расписао је Конкурс за избор пројеката у култури, као и пројеката уметничких, односно стручних и научних истраживања у култури града Ниша за 2012. годину дана 26.04.2012. године, што је супротно члану 24. Одлуке о манифестацијама и програмима у области културе од значаја за Град, којим је предвиђено да се конкурс за избор пројеката за сваку наредну буџетску годину расписује најкасније до 1. октобра текуће године. Конкурс за избор пројеката у култури, као и пројеката уметничких, односно стручних и научних истраживања у култури града Ниша за 2013. годину расписан је у складу са чланом 24. Одлуке о манифестацијама и програмима у области културе од значаја за</w:t>
      </w:r>
      <w:r>
        <w:rPr>
          <w:rFonts w:ascii="Times New Roman" w:hAnsi="Times New Roman"/>
          <w:spacing w:val="-14"/>
          <w:sz w:val="24"/>
        </w:rPr>
        <w:t> </w:t>
      </w:r>
      <w:r>
        <w:rPr>
          <w:rFonts w:ascii="Times New Roman" w:hAnsi="Times New Roman"/>
          <w:sz w:val="24"/>
        </w:rPr>
        <w:t>Град.</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ревидиране пројекте у култури и то за Пројекат „</w:t>
      </w:r>
      <w:r>
        <w:rPr>
          <w:rFonts w:ascii="Times New Roman" w:hAnsi="Times New Roman" w:cs="Times New Roman" w:eastAsia="Times New Roman" w:hint="default"/>
          <w:sz w:val="24"/>
          <w:szCs w:val="24"/>
        </w:rPr>
        <w:t>APERTO NUOVO</w:t>
      </w:r>
      <w:r>
        <w:rPr>
          <w:rFonts w:ascii="Times New Roman" w:hAnsi="Times New Roman" w:cs="Times New Roman" w:eastAsia="Times New Roman" w:hint="default"/>
          <w:sz w:val="24"/>
          <w:szCs w:val="24"/>
        </w:rPr>
        <w:t>“ – музички магазин, „Милански едикт/</w:t>
      </w:r>
      <w:r>
        <w:rPr>
          <w:rFonts w:ascii="Times New Roman" w:hAnsi="Times New Roman" w:cs="Times New Roman" w:eastAsia="Times New Roman" w:hint="default"/>
          <w:sz w:val="24"/>
          <w:szCs w:val="24"/>
        </w:rPr>
        <w:t>Edict of Milan</w:t>
      </w:r>
      <w:r>
        <w:rPr>
          <w:rFonts w:ascii="Times New Roman" w:hAnsi="Times New Roman" w:cs="Times New Roman" w:eastAsia="Times New Roman" w:hint="default"/>
          <w:sz w:val="24"/>
          <w:szCs w:val="24"/>
        </w:rPr>
        <w:t>“ и Креативна радионица етно – звука „</w:t>
      </w:r>
      <w:r>
        <w:rPr>
          <w:rFonts w:ascii="Times New Roman" w:hAnsi="Times New Roman" w:cs="Times New Roman" w:eastAsia="Times New Roman" w:hint="default"/>
          <w:sz w:val="24"/>
          <w:szCs w:val="24"/>
        </w:rPr>
        <w:t>NAISSA</w:t>
      </w:r>
      <w:r>
        <w:rPr>
          <w:rFonts w:ascii="Times New Roman" w:hAnsi="Times New Roman" w:cs="Times New Roman" w:eastAsia="Times New Roman" w:hint="default"/>
          <w:sz w:val="24"/>
          <w:szCs w:val="24"/>
        </w:rPr>
        <w:t>“ корисници средстава су доставили Управи за културу извештаје о реализацији пројеката, у току поступка ревизије, те на тај начин није поступљено у складу са чланом 3. Уговора о суфинансирању пројеката у култури и члану 34. Одлуке о манифестацијама и програмима у области културе од значаја за</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Град.</w:t>
      </w:r>
    </w:p>
    <w:p>
      <w:pPr>
        <w:pStyle w:val="ListParagraph"/>
        <w:numPr>
          <w:ilvl w:val="0"/>
          <w:numId w:val="9"/>
        </w:numPr>
        <w:tabs>
          <w:tab w:pos="303" w:val="left" w:leader="none"/>
        </w:tabs>
        <w:spacing w:line="240" w:lineRule="auto" w:before="2" w:after="0"/>
        <w:ind w:left="160" w:right="171" w:firstLine="0"/>
        <w:jc w:val="both"/>
        <w:rPr>
          <w:rFonts w:ascii="Times New Roman" w:hAnsi="Times New Roman" w:cs="Times New Roman" w:eastAsia="Times New Roman" w:hint="default"/>
          <w:sz w:val="24"/>
          <w:szCs w:val="24"/>
        </w:rPr>
      </w:pPr>
      <w:r>
        <w:rPr>
          <w:rFonts w:ascii="Times New Roman" w:hAnsi="Times New Roman"/>
          <w:sz w:val="24"/>
        </w:rPr>
        <w:t>Корисници средстава нису доставили Управи за културу адекватан доказ из кога би се утврдило да су средства утрошена у складу са наменом предвиђеном чланом 1. уговора о суфинансирању програма у култури, што указује да Управа није вршила контролу реализације уговора, те се стога нисмо уверили да су средства утрошена за намену за  коју су дата, што је супротно члану 58. Закона о буџетском систему и члану 16. Уредбе о буџетском</w:t>
      </w:r>
      <w:r>
        <w:rPr>
          <w:rFonts w:ascii="Times New Roman" w:hAnsi="Times New Roman"/>
          <w:spacing w:val="-13"/>
          <w:sz w:val="24"/>
        </w:rPr>
        <w:t> </w:t>
      </w:r>
      <w:r>
        <w:rPr>
          <w:rFonts w:ascii="Times New Roman" w:hAnsi="Times New Roman"/>
          <w:sz w:val="24"/>
        </w:rPr>
        <w:t>рачуноводству.</w:t>
      </w:r>
    </w:p>
    <w:p>
      <w:pPr>
        <w:pStyle w:val="Heading2"/>
        <w:spacing w:line="240" w:lineRule="auto"/>
        <w:ind w:right="176"/>
        <w:jc w:val="both"/>
        <w:rPr>
          <w:b w:val="0"/>
          <w:bCs w:val="0"/>
          <w:i w:val="0"/>
        </w:rPr>
      </w:pPr>
      <w:r>
        <w:rPr>
          <w:i/>
        </w:rPr>
        <w:t>Препоручује се одговорним лицима да врше контролу реализације уговора и да за сваки расход из буџета обезбеде валидну</w:t>
      </w:r>
      <w:r>
        <w:rPr>
          <w:i/>
          <w:spacing w:val="-15"/>
        </w:rPr>
        <w:t> </w:t>
      </w:r>
      <w:r>
        <w:rPr>
          <w:i/>
        </w:rPr>
        <w:t>документацију.</w:t>
      </w:r>
      <w:r>
        <w:rPr>
          <w:b w:val="0"/>
          <w:i w:val="0"/>
        </w:rPr>
      </w:r>
    </w:p>
    <w:p>
      <w:pPr>
        <w:pStyle w:val="ListParagraph"/>
        <w:numPr>
          <w:ilvl w:val="0"/>
          <w:numId w:val="44"/>
        </w:numPr>
        <w:tabs>
          <w:tab w:pos="1022" w:val="left" w:leader="none"/>
        </w:tabs>
        <w:spacing w:line="240" w:lineRule="auto" w:before="0" w:after="0"/>
        <w:ind w:left="160" w:right="180"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 за омладину и спорт </w:t>
      </w:r>
      <w:r>
        <w:rPr>
          <w:rFonts w:ascii="Times New Roman" w:hAnsi="Times New Roman" w:cs="Times New Roman" w:eastAsia="Times New Roman" w:hint="default"/>
          <w:sz w:val="24"/>
          <w:szCs w:val="24"/>
        </w:rPr>
        <w:t>– Извршен је расход у износу од 5.712 хиљада динара за накнаде из буџета за образовање, културу, науку и</w:t>
      </w:r>
      <w:r>
        <w:rPr>
          <w:rFonts w:ascii="Times New Roman" w:hAnsi="Times New Roman" w:cs="Times New Roman" w:eastAsia="Times New Roman" w:hint="default"/>
          <w:spacing w:val="-26"/>
          <w:sz w:val="24"/>
          <w:szCs w:val="24"/>
        </w:rPr>
        <w:t> </w:t>
      </w:r>
      <w:r>
        <w:rPr>
          <w:rFonts w:ascii="Times New Roman" w:hAnsi="Times New Roman" w:cs="Times New Roman" w:eastAsia="Times New Roman" w:hint="default"/>
          <w:sz w:val="24"/>
          <w:szCs w:val="24"/>
        </w:rPr>
        <w:t>спорт.</w:t>
      </w:r>
    </w:p>
    <w:p>
      <w:pPr>
        <w:pStyle w:val="BodyText"/>
        <w:spacing w:line="240" w:lineRule="auto"/>
        <w:ind w:right="176" w:firstLine="566"/>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Спортске стипендије, субаналитички конто 472732 </w:t>
      </w:r>
      <w:r>
        <w:rPr/>
      </w:r>
      <w:r>
        <w:rPr>
          <w:rFonts w:ascii="Times New Roman" w:hAnsi="Times New Roman"/>
          <w:i/>
        </w:rPr>
        <w:t>- </w:t>
      </w:r>
      <w:r>
        <w:rPr/>
        <w:t>Исказани су расходи у износу од </w:t>
      </w:r>
      <w:r>
        <w:rPr>
          <w:rFonts w:ascii="Times New Roman" w:hAnsi="Times New Roman"/>
        </w:rPr>
        <w:t>5.712 </w:t>
      </w:r>
      <w:r>
        <w:rPr/>
        <w:t>хиљада</w:t>
      </w:r>
      <w:r>
        <w:rPr>
          <w:spacing w:val="-3"/>
        </w:rPr>
        <w:t> </w:t>
      </w:r>
      <w:r>
        <w:rPr/>
        <w:t>динара</w:t>
      </w:r>
      <w:r>
        <w:rPr>
          <w:rFonts w:ascii="Times New Roman" w:hAnsi="Times New Roman"/>
        </w:rPr>
        <w:t>.</w:t>
      </w:r>
    </w:p>
    <w:p>
      <w:pPr>
        <w:pStyle w:val="BodyText"/>
        <w:spacing w:line="240" w:lineRule="auto"/>
        <w:ind w:left="726" w:right="141"/>
        <w:jc w:val="left"/>
      </w:pPr>
      <w:r>
        <w:rPr/>
        <w:t>На основу ревизије узорковане документације нису утврђене</w:t>
      </w:r>
      <w:r>
        <w:rPr>
          <w:spacing w:val="-24"/>
        </w:rPr>
        <w:t> </w:t>
      </w:r>
      <w:r>
        <w:rPr/>
        <w:t>неправилности.</w:t>
      </w:r>
    </w:p>
    <w:p>
      <w:pPr>
        <w:spacing w:line="240" w:lineRule="auto" w:before="5"/>
        <w:rPr>
          <w:rFonts w:ascii="Times New Roman" w:hAnsi="Times New Roman" w:cs="Times New Roman" w:eastAsia="Times New Roman" w:hint="default"/>
          <w:sz w:val="24"/>
          <w:szCs w:val="24"/>
        </w:rPr>
      </w:pPr>
    </w:p>
    <w:p>
      <w:pPr>
        <w:pStyle w:val="Heading1"/>
        <w:spacing w:line="274" w:lineRule="exact" w:before="0"/>
        <w:ind w:left="160" w:right="0"/>
        <w:jc w:val="both"/>
        <w:rPr>
          <w:b w:val="0"/>
          <w:bCs w:val="0"/>
        </w:rPr>
      </w:pPr>
      <w:bookmarkStart w:name="_bookmark31" w:id="56"/>
      <w:bookmarkEnd w:id="56"/>
      <w:r>
        <w:rPr>
          <w:b w:val="0"/>
        </w:rPr>
      </w:r>
      <w:r>
        <w:rPr>
          <w:rFonts w:ascii="Times New Roman" w:hAnsi="Times New Roman"/>
        </w:rPr>
        <w:t>4.1.4.23 </w:t>
      </w:r>
      <w:r>
        <w:rPr/>
        <w:t>Дотације невладиним организацијама, група</w:t>
      </w:r>
      <w:r>
        <w:rPr>
          <w:spacing w:val="-12"/>
        </w:rPr>
        <w:t> </w:t>
      </w:r>
      <w:r>
        <w:rPr/>
        <w:t>481000</w:t>
      </w:r>
      <w:r>
        <w:rPr>
          <w:b w:val="0"/>
        </w:rPr>
      </w:r>
    </w:p>
    <w:p>
      <w:pPr>
        <w:pStyle w:val="BodyText"/>
        <w:tabs>
          <w:tab w:pos="7750" w:val="left" w:leader="none"/>
        </w:tabs>
        <w:spacing w:line="240" w:lineRule="auto" w:after="8"/>
        <w:ind w:right="176" w:firstLine="719"/>
        <w:jc w:val="both"/>
        <w:rPr>
          <w:sz w:val="16"/>
          <w:szCs w:val="16"/>
        </w:rPr>
      </w:pPr>
      <w:r>
        <w:rPr/>
        <w:t>Група 481000 – дотације невладиним организацијама, садржи синтетичка конта дотације непрофитним организацијама које пружају помоћ домаћинствима и дотације осталим </w:t>
      </w:r>
      <w:r>
        <w:rPr>
          <w:spacing w:val="2"/>
        </w:rPr>
        <w:t> </w:t>
      </w:r>
      <w:r>
        <w:rPr/>
        <w:t>непрофитним</w:t>
      </w:r>
      <w:r>
        <w:rPr>
          <w:spacing w:val="55"/>
        </w:rPr>
        <w:t> </w:t>
      </w:r>
      <w:r>
        <w:rPr/>
        <w:t>институцијама.</w:t>
        <w:tab/>
      </w:r>
      <w:r>
        <w:rPr>
          <w:sz w:val="16"/>
          <w:szCs w:val="16"/>
        </w:rPr>
        <w:t>(у хиљадама</w:t>
      </w:r>
      <w:r>
        <w:rPr>
          <w:spacing w:val="-5"/>
          <w:sz w:val="16"/>
          <w:szCs w:val="16"/>
        </w:rPr>
        <w:t> </w:t>
      </w:r>
      <w:r>
        <w:rPr>
          <w:sz w:val="16"/>
          <w:szCs w:val="16"/>
        </w:rPr>
        <w:t>динара)</w:t>
      </w:r>
    </w:p>
    <w:tbl>
      <w:tblPr>
        <w:tblW w:w="0" w:type="auto"/>
        <w:jc w:val="left"/>
        <w:tblInd w:w="141" w:type="dxa"/>
        <w:tblLayout w:type="fixed"/>
        <w:tblCellMar>
          <w:top w:w="0" w:type="dxa"/>
          <w:left w:w="0" w:type="dxa"/>
          <w:bottom w:w="0" w:type="dxa"/>
          <w:right w:w="0" w:type="dxa"/>
        </w:tblCellMar>
        <w:tblLook w:val="01E0"/>
      </w:tblPr>
      <w:tblGrid>
        <w:gridCol w:w="722"/>
        <w:gridCol w:w="2554"/>
        <w:gridCol w:w="960"/>
        <w:gridCol w:w="1351"/>
        <w:gridCol w:w="1047"/>
        <w:gridCol w:w="936"/>
        <w:gridCol w:w="845"/>
        <w:gridCol w:w="847"/>
      </w:tblGrid>
      <w:tr>
        <w:trPr>
          <w:trHeight w:val="504"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87" w:right="102" w:hanging="75"/>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4"/>
              <w:ind w:left="467"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6"/>
                <w:sz w:val="18"/>
              </w:rPr>
              <w:t> </w:t>
            </w:r>
            <w:r>
              <w:rPr>
                <w:rFonts w:ascii="Times New Roman" w:hAnsi="Times New Roman"/>
                <w:b/>
                <w:sz w:val="18"/>
              </w:rPr>
              <w:t>корисник</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4"/>
              <w:ind w:right="103"/>
              <w:jc w:val="right"/>
              <w:rPr>
                <w:rFonts w:ascii="Times New Roman" w:hAnsi="Times New Roman" w:cs="Times New Roman" w:eastAsia="Times New Roman" w:hint="default"/>
                <w:sz w:val="18"/>
                <w:szCs w:val="18"/>
              </w:rPr>
            </w:pPr>
            <w:r>
              <w:rPr>
                <w:rFonts w:ascii="Times New Roman" w:hAnsi="Times New Roman"/>
                <w:b/>
                <w:spacing w:val="-1"/>
                <w:sz w:val="18"/>
              </w:rPr>
              <w:t>Ребаланс</w:t>
            </w:r>
            <w:r>
              <w:rPr>
                <w:rFonts w:ascii="Times New Roman" w:hAns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03" w:right="93" w:firstLine="88"/>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реалокацијом</w:t>
            </w:r>
            <w:r>
              <w:rPr>
                <w:rFonts w:ascii="Times New Roman" w:hAns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03" w:right="95"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12" w:right="107"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299" w:right="110"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02" w:right="109"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49"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0"/>
              <w:jc w:val="center"/>
              <w:rPr>
                <w:rFonts w:ascii="Times New Roman" w:hAnsi="Times New Roman" w:cs="Times New Roman" w:eastAsia="Times New Roman" w:hint="default"/>
                <w:sz w:val="12"/>
                <w:szCs w:val="12"/>
              </w:rPr>
            </w:pPr>
            <w:r>
              <w:rPr>
                <w:rFonts w:ascii="Times New Roman"/>
                <w:sz w:val="12"/>
              </w:rPr>
              <w:t>1</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1"/>
              <w:jc w:val="center"/>
              <w:rPr>
                <w:rFonts w:ascii="Times New Roman" w:hAnsi="Times New Roman" w:cs="Times New Roman" w:eastAsia="Times New Roman" w:hint="default"/>
                <w:sz w:val="12"/>
                <w:szCs w:val="12"/>
              </w:rPr>
            </w:pPr>
            <w:r>
              <w:rPr>
                <w:rFonts w:ascii="Times New Roman"/>
                <w:sz w:val="12"/>
              </w:rPr>
              <w:t>2</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0"/>
              <w:jc w:val="center"/>
              <w:rPr>
                <w:rFonts w:ascii="Times New Roman" w:hAnsi="Times New Roman" w:cs="Times New Roman" w:eastAsia="Times New Roman" w:hint="default"/>
                <w:sz w:val="12"/>
                <w:szCs w:val="12"/>
              </w:rPr>
            </w:pPr>
            <w:r>
              <w:rPr>
                <w:rFonts w:ascii="Times New Roman"/>
                <w:sz w:val="12"/>
              </w:rPr>
              <w:t>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0"/>
              <w:jc w:val="center"/>
              <w:rPr>
                <w:rFonts w:ascii="Times New Roman" w:hAnsi="Times New Roman" w:cs="Times New Roman" w:eastAsia="Times New Roman" w:hint="default"/>
                <w:sz w:val="12"/>
                <w:szCs w:val="12"/>
              </w:rPr>
            </w:pPr>
            <w:r>
              <w:rPr>
                <w:rFonts w:ascii="Times New Roman"/>
                <w:sz w:val="12"/>
              </w:rPr>
              <w:t>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2"/>
              <w:jc w:val="center"/>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5"/>
              <w:jc w:val="center"/>
              <w:rPr>
                <w:rFonts w:ascii="Times New Roman" w:hAnsi="Times New Roman" w:cs="Times New Roman" w:eastAsia="Times New Roman" w:hint="default"/>
                <w:sz w:val="12"/>
                <w:szCs w:val="12"/>
              </w:rPr>
            </w:pPr>
            <w:r>
              <w:rPr>
                <w:rFonts w:ascii="Times New Roman"/>
                <w:sz w:val="12"/>
              </w:rPr>
              <w:t>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0"/>
              <w:jc w:val="center"/>
              <w:rPr>
                <w:rFonts w:ascii="Times New Roman" w:hAnsi="Times New Roman" w:cs="Times New Roman" w:eastAsia="Times New Roman" w:hint="default"/>
                <w:sz w:val="12"/>
                <w:szCs w:val="12"/>
              </w:rPr>
            </w:pPr>
            <w:r>
              <w:rPr>
                <w:rFonts w:ascii="Times New Roman"/>
                <w:sz w:val="12"/>
              </w:rPr>
              <w:t>7</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0"/>
              <w:jc w:val="center"/>
              <w:rPr>
                <w:rFonts w:ascii="Times New Roman" w:hAnsi="Times New Roman" w:cs="Times New Roman" w:eastAsia="Times New Roman" w:hint="default"/>
                <w:sz w:val="12"/>
                <w:szCs w:val="12"/>
              </w:rPr>
            </w:pPr>
            <w:r>
              <w:rPr>
                <w:rFonts w:ascii="Times New Roman"/>
                <w:sz w:val="12"/>
              </w:rPr>
              <w:t>8</w:t>
            </w:r>
          </w:p>
        </w:tc>
      </w:tr>
      <w:tr>
        <w:trPr>
          <w:trHeight w:val="21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 w:right="0"/>
              <w:jc w:val="center"/>
              <w:rPr>
                <w:rFonts w:ascii="Times New Roman" w:hAnsi="Times New Roman" w:cs="Times New Roman" w:eastAsia="Times New Roman" w:hint="default"/>
                <w:sz w:val="18"/>
                <w:szCs w:val="18"/>
              </w:rPr>
            </w:pPr>
            <w:r>
              <w:rPr>
                <w:rFonts w:ascii="Times New Roman"/>
                <w:sz w:val="18"/>
              </w:rPr>
              <w:t>1</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Скупштина</w:t>
            </w:r>
            <w:r>
              <w:rPr>
                <w:rFonts w:ascii="Times New Roman" w:hAnsi="Times New Roman"/>
                <w:spacing w:val="-5"/>
                <w:sz w:val="18"/>
              </w:rPr>
              <w:t> </w:t>
            </w:r>
            <w:r>
              <w:rPr>
                <w:rFonts w:ascii="Times New Roman" w:hAnsi="Times New Roman"/>
                <w:sz w:val="18"/>
              </w:rPr>
              <w:t>града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10.873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10.873</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z w:val="18"/>
              </w:rPr>
              <w:t>7.509</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7.509</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69,06</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8"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 w:right="0"/>
              <w:jc w:val="center"/>
              <w:rPr>
                <w:rFonts w:ascii="Times New Roman" w:hAnsi="Times New Roman" w:cs="Times New Roman" w:eastAsia="Times New Roman" w:hint="default"/>
                <w:sz w:val="18"/>
                <w:szCs w:val="18"/>
              </w:rPr>
            </w:pPr>
            <w:r>
              <w:rPr>
                <w:rFonts w:ascii="Times New Roman"/>
                <w:sz w:val="18"/>
              </w:rPr>
              <w:t>2</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Градоначелник</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5.813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5.813</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3"/>
              <w:jc w:val="right"/>
              <w:rPr>
                <w:rFonts w:ascii="Times New Roman" w:hAnsi="Times New Roman" w:cs="Times New Roman" w:eastAsia="Times New Roman" w:hint="default"/>
                <w:sz w:val="18"/>
                <w:szCs w:val="18"/>
              </w:rPr>
            </w:pPr>
            <w:r>
              <w:rPr>
                <w:rFonts w:ascii="Times New Roman"/>
                <w:sz w:val="18"/>
              </w:rPr>
              <w:t>2.991</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4.956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85,26</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165,70</w:t>
            </w:r>
          </w:p>
        </w:tc>
      </w:tr>
      <w:tr>
        <w:trPr>
          <w:trHeight w:val="21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 w:right="0"/>
              <w:jc w:val="center"/>
              <w:rPr>
                <w:rFonts w:ascii="Times New Roman" w:hAnsi="Times New Roman" w:cs="Times New Roman" w:eastAsia="Times New Roman" w:hint="default"/>
                <w:sz w:val="18"/>
                <w:szCs w:val="18"/>
              </w:rPr>
            </w:pPr>
            <w:r>
              <w:rPr>
                <w:rFonts w:ascii="Times New Roman"/>
                <w:sz w:val="18"/>
              </w:rPr>
              <w:t>3</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омладину и</w:t>
            </w:r>
            <w:r>
              <w:rPr>
                <w:rFonts w:ascii="Times New Roman" w:hAnsi="Times New Roman"/>
                <w:spacing w:val="-8"/>
                <w:sz w:val="18"/>
              </w:rPr>
              <w:t> </w:t>
            </w:r>
            <w:r>
              <w:rPr>
                <w:rFonts w:ascii="Times New Roman" w:hAnsi="Times New Roman"/>
                <w:sz w:val="18"/>
              </w:rPr>
              <w:t>спорт</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188.861</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188.861</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178.871</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179.867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95,24</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100,56</w:t>
            </w:r>
          </w:p>
        </w:tc>
      </w:tr>
      <w:tr>
        <w:trPr>
          <w:trHeight w:val="218"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 w:right="0"/>
              <w:jc w:val="center"/>
              <w:rPr>
                <w:rFonts w:ascii="Times New Roman" w:hAnsi="Times New Roman" w:cs="Times New Roman" w:eastAsia="Times New Roman" w:hint="default"/>
                <w:sz w:val="18"/>
                <w:szCs w:val="18"/>
              </w:rPr>
            </w:pPr>
            <w:r>
              <w:rPr>
                <w:rFonts w:ascii="Times New Roman"/>
                <w:sz w:val="18"/>
              </w:rPr>
              <w:t>4</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деч, соц и здр</w:t>
            </w:r>
            <w:r>
              <w:rPr>
                <w:rFonts w:ascii="Times New Roman" w:hAnsi="Times New Roman"/>
                <w:spacing w:val="-8"/>
                <w:sz w:val="18"/>
              </w:rPr>
              <w:t> </w:t>
            </w:r>
            <w:r>
              <w:rPr>
                <w:rFonts w:ascii="Times New Roman" w:hAnsi="Times New Roman"/>
                <w:sz w:val="18"/>
              </w:rPr>
              <w:t>заш</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28.077</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28.077</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24.939</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24.939</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88,82</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 w:right="0"/>
              <w:jc w:val="center"/>
              <w:rPr>
                <w:rFonts w:ascii="Times New Roman" w:hAnsi="Times New Roman" w:cs="Times New Roman" w:eastAsia="Times New Roman" w:hint="default"/>
                <w:sz w:val="18"/>
                <w:szCs w:val="18"/>
              </w:rPr>
            </w:pPr>
            <w:r>
              <w:rPr>
                <w:rFonts w:ascii="Times New Roman"/>
                <w:sz w:val="18"/>
              </w:rPr>
              <w:t>5</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6"/>
                <w:sz w:val="18"/>
              </w:rPr>
              <w:t> </w:t>
            </w:r>
            <w:r>
              <w:rPr>
                <w:rFonts w:ascii="Times New Roman" w:hAnsi="Times New Roman"/>
                <w:sz w:val="18"/>
              </w:rPr>
              <w:t>културу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z w:val="18"/>
              </w:rPr>
              <w:t>4.735</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z w:val="18"/>
              </w:rPr>
              <w:t>4.735</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3"/>
              <w:jc w:val="right"/>
              <w:rPr>
                <w:rFonts w:ascii="Times New Roman" w:hAnsi="Times New Roman" w:cs="Times New Roman" w:eastAsia="Times New Roman" w:hint="default"/>
                <w:sz w:val="18"/>
                <w:szCs w:val="18"/>
              </w:rPr>
            </w:pPr>
            <w:r>
              <w:rPr>
                <w:rFonts w:ascii="Times New Roman"/>
                <w:sz w:val="18"/>
              </w:rPr>
              <w:t>2.703</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2"/>
              <w:jc w:val="right"/>
              <w:rPr>
                <w:rFonts w:ascii="Times New Roman" w:hAnsi="Times New Roman" w:cs="Times New Roman" w:eastAsia="Times New Roman" w:hint="default"/>
                <w:sz w:val="18"/>
                <w:szCs w:val="18"/>
              </w:rPr>
            </w:pPr>
            <w:r>
              <w:rPr>
                <w:rFonts w:ascii="Times New Roman"/>
                <w:sz w:val="18"/>
              </w:rPr>
              <w:t>2.703</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z w:val="18"/>
              </w:rPr>
              <w:t>57,09</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8"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 w:right="0"/>
              <w:jc w:val="center"/>
              <w:rPr>
                <w:rFonts w:ascii="Times New Roman" w:hAnsi="Times New Roman" w:cs="Times New Roman" w:eastAsia="Times New Roman" w:hint="default"/>
                <w:sz w:val="18"/>
                <w:szCs w:val="18"/>
              </w:rPr>
            </w:pPr>
            <w:r>
              <w:rPr>
                <w:rFonts w:ascii="Times New Roman"/>
                <w:sz w:val="18"/>
              </w:rPr>
              <w:t>6</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8"/>
                <w:sz w:val="18"/>
              </w:rPr>
              <w:t> </w:t>
            </w:r>
            <w:r>
              <w:rPr>
                <w:rFonts w:ascii="Times New Roman" w:hAnsi="Times New Roman"/>
                <w:sz w:val="18"/>
              </w:rPr>
              <w:t>финансије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4"/>
              <w:jc w:val="right"/>
              <w:rPr>
                <w:rFonts w:ascii="Times New Roman" w:hAnsi="Times New Roman" w:cs="Times New Roman" w:eastAsia="Times New Roman" w:hint="default"/>
                <w:sz w:val="18"/>
                <w:szCs w:val="18"/>
              </w:rPr>
            </w:pPr>
            <w:r>
              <w:rPr>
                <w:rFonts w:ascii="Times New Roman"/>
                <w:sz w:val="18"/>
              </w:rPr>
              <w:t>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7.959</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0,00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0,00</w:t>
            </w:r>
          </w:p>
        </w:tc>
      </w:tr>
      <w:tr>
        <w:trPr>
          <w:trHeight w:val="21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 w:right="0"/>
              <w:jc w:val="center"/>
              <w:rPr>
                <w:rFonts w:ascii="Times New Roman" w:hAnsi="Times New Roman" w:cs="Times New Roman" w:eastAsia="Times New Roman" w:hint="default"/>
                <w:sz w:val="18"/>
                <w:szCs w:val="18"/>
              </w:rPr>
            </w:pPr>
            <w:r>
              <w:rPr>
                <w:rFonts w:ascii="Times New Roman"/>
                <w:sz w:val="18"/>
              </w:rPr>
              <w:t>7</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7"/>
                <w:sz w:val="18"/>
              </w:rPr>
              <w:t> </w:t>
            </w:r>
            <w:r>
              <w:rPr>
                <w:rFonts w:ascii="Times New Roman" w:hAnsi="Times New Roman"/>
                <w:sz w:val="18"/>
              </w:rPr>
              <w:t>пољопривреду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4"/>
              <w:jc w:val="right"/>
              <w:rPr>
                <w:rFonts w:ascii="Times New Roman" w:hAnsi="Times New Roman" w:cs="Times New Roman" w:eastAsia="Times New Roman" w:hint="default"/>
                <w:sz w:val="18"/>
                <w:szCs w:val="18"/>
              </w:rPr>
            </w:pPr>
            <w:r>
              <w:rPr>
                <w:rFonts w:ascii="Times New Roman"/>
                <w:sz w:val="18"/>
              </w:rPr>
              <w:t>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50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0,00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0,00</w:t>
            </w:r>
          </w:p>
        </w:tc>
      </w:tr>
      <w:tr>
        <w:trPr>
          <w:trHeight w:val="216"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650" w:right="0"/>
              <w:jc w:val="left"/>
              <w:rPr>
                <w:rFonts w:ascii="Times New Roman" w:hAnsi="Times New Roman" w:cs="Times New Roman" w:eastAsia="Times New Roman" w:hint="default"/>
                <w:sz w:val="18"/>
                <w:szCs w:val="18"/>
              </w:rPr>
            </w:pPr>
            <w:r>
              <w:rPr>
                <w:rFonts w:ascii="Times New Roman" w:hAnsi="Times New Roman"/>
                <w:b/>
                <w:sz w:val="18"/>
              </w:rPr>
              <w:t>Укупно корисници</w:t>
            </w:r>
            <w:r>
              <w:rPr>
                <w:rFonts w:ascii="Times New Roman" w:hAnsi="Times New Roman"/>
                <w:b/>
                <w:spacing w:val="-2"/>
                <w:sz w:val="18"/>
              </w:rPr>
              <w:t> </w:t>
            </w:r>
            <w:r>
              <w:rPr>
                <w:rFonts w:ascii="Times New Roman" w:hAnsi="Times New Roman"/>
                <w:b/>
                <w:sz w:val="18"/>
              </w:rPr>
              <w:t>(1</w:t>
            </w:r>
            <w:r>
              <w:rPr>
                <w:rFonts w:ascii="Times New Roman" w:hAnsi="Times New Roman"/>
                <w:b/>
                <w:sz w:val="18"/>
              </w:rPr>
              <w:t>-7)</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pacing w:val="-1"/>
                <w:sz w:val="18"/>
              </w:rPr>
              <w:t>238.359</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238.359</w:t>
            </w:r>
            <w:r>
              <w:rPr>
                <w:rFonts w:ascii="Times New Roman"/>
                <w:spacing w:val="-1"/>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3"/>
              <w:jc w:val="right"/>
              <w:rPr>
                <w:rFonts w:ascii="Times New Roman" w:hAnsi="Times New Roman" w:cs="Times New Roman" w:eastAsia="Times New Roman" w:hint="default"/>
                <w:sz w:val="18"/>
                <w:szCs w:val="18"/>
              </w:rPr>
            </w:pPr>
            <w:r>
              <w:rPr>
                <w:rFonts w:ascii="Times New Roman"/>
                <w:b/>
                <w:spacing w:val="-1"/>
                <w:sz w:val="18"/>
              </w:rPr>
              <w:t>217.013</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3"/>
              <w:jc w:val="right"/>
              <w:rPr>
                <w:rFonts w:ascii="Times New Roman" w:hAnsi="Times New Roman" w:cs="Times New Roman" w:eastAsia="Times New Roman" w:hint="default"/>
                <w:sz w:val="18"/>
                <w:szCs w:val="18"/>
              </w:rPr>
            </w:pPr>
            <w:r>
              <w:rPr>
                <w:rFonts w:ascii="Times New Roman"/>
                <w:b/>
                <w:spacing w:val="-1"/>
                <w:sz w:val="18"/>
              </w:rPr>
              <w:t>227.983</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95,65</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105,05</w:t>
            </w:r>
            <w:r>
              <w:rPr>
                <w:rFonts w:ascii="Times New Roman"/>
                <w:spacing w:val="-1"/>
                <w:sz w:val="18"/>
              </w:rPr>
            </w:r>
          </w:p>
        </w:tc>
      </w:tr>
      <w:tr>
        <w:trPr>
          <w:trHeight w:val="218"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499" w:right="0"/>
              <w:jc w:val="left"/>
              <w:rPr>
                <w:rFonts w:ascii="Times New Roman" w:hAnsi="Times New Roman" w:cs="Times New Roman" w:eastAsia="Times New Roman" w:hint="default"/>
                <w:sz w:val="18"/>
                <w:szCs w:val="18"/>
              </w:rPr>
            </w:pPr>
            <w:r>
              <w:rPr>
                <w:rFonts w:ascii="Times New Roman" w:hAnsi="Times New Roman"/>
                <w:b/>
                <w:sz w:val="18"/>
              </w:rPr>
              <w:t>Укупно Град </w:t>
            </w:r>
            <w:r>
              <w:rPr>
                <w:rFonts w:ascii="Times New Roman" w:hAnsi="Times New Roman"/>
                <w:b/>
                <w:sz w:val="18"/>
              </w:rPr>
              <w:t>- </w:t>
            </w:r>
            <w:r>
              <w:rPr>
                <w:rFonts w:ascii="Times New Roman" w:hAnsi="Times New Roman"/>
                <w:b/>
                <w:sz w:val="18"/>
              </w:rPr>
              <w:t>група</w:t>
            </w:r>
            <w:r>
              <w:rPr>
                <w:rFonts w:ascii="Times New Roman" w:hAnsi="Times New Roman"/>
                <w:b/>
                <w:spacing w:val="-5"/>
                <w:sz w:val="18"/>
              </w:rPr>
              <w:t> </w:t>
            </w:r>
            <w:r>
              <w:rPr>
                <w:rFonts w:ascii="Times New Roman" w:hAnsi="Times New Roman"/>
                <w:b/>
                <w:sz w:val="18"/>
              </w:rPr>
              <w:t>481000</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1"/>
              <w:jc w:val="right"/>
              <w:rPr>
                <w:rFonts w:ascii="Times New Roman" w:hAnsi="Times New Roman" w:cs="Times New Roman" w:eastAsia="Times New Roman" w:hint="default"/>
                <w:sz w:val="18"/>
                <w:szCs w:val="18"/>
              </w:rPr>
            </w:pPr>
            <w:r>
              <w:rPr>
                <w:rFonts w:ascii="Times New Roman"/>
                <w:b/>
                <w:spacing w:val="-1"/>
                <w:sz w:val="18"/>
              </w:rPr>
              <w:t>238.892</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b/>
                <w:spacing w:val="-1"/>
                <w:sz w:val="18"/>
              </w:rPr>
              <w:t>238.892</w:t>
            </w:r>
            <w:r>
              <w:rPr>
                <w:rFonts w:ascii="Times New Roman"/>
                <w:spacing w:val="-1"/>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3"/>
              <w:jc w:val="right"/>
              <w:rPr>
                <w:rFonts w:ascii="Times New Roman" w:hAnsi="Times New Roman" w:cs="Times New Roman" w:eastAsia="Times New Roman" w:hint="default"/>
                <w:sz w:val="18"/>
                <w:szCs w:val="18"/>
              </w:rPr>
            </w:pPr>
            <w:r>
              <w:rPr>
                <w:rFonts w:ascii="Times New Roman"/>
                <w:b/>
                <w:spacing w:val="-1"/>
                <w:sz w:val="18"/>
              </w:rPr>
              <w:t>217.782</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3"/>
              <w:jc w:val="right"/>
              <w:rPr>
                <w:rFonts w:ascii="Times New Roman" w:hAnsi="Times New Roman" w:cs="Times New Roman" w:eastAsia="Times New Roman" w:hint="default"/>
                <w:sz w:val="18"/>
                <w:szCs w:val="18"/>
              </w:rPr>
            </w:pPr>
            <w:r>
              <w:rPr>
                <w:rFonts w:ascii="Times New Roman"/>
                <w:b/>
                <w:spacing w:val="-1"/>
                <w:sz w:val="18"/>
              </w:rPr>
              <w:t>228.752</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b/>
                <w:sz w:val="18"/>
              </w:rPr>
              <w:t>95,76</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b/>
                <w:spacing w:val="-1"/>
                <w:sz w:val="18"/>
              </w:rPr>
              <w:t>105,04</w:t>
            </w:r>
            <w:r>
              <w:rPr>
                <w:rFonts w:ascii="Times New Roman"/>
                <w:spacing w:val="-1"/>
                <w:sz w:val="18"/>
              </w:rPr>
            </w:r>
          </w:p>
        </w:tc>
      </w:tr>
    </w:tbl>
    <w:p>
      <w:pPr>
        <w:spacing w:after="0" w:line="240" w:lineRule="auto"/>
        <w:jc w:val="right"/>
        <w:rPr>
          <w:rFonts w:ascii="Times New Roman" w:hAnsi="Times New Roman" w:cs="Times New Roman" w:eastAsia="Times New Roman" w:hint="default"/>
          <w:sz w:val="18"/>
          <w:szCs w:val="18"/>
        </w:rPr>
        <w:sectPr>
          <w:pgSz w:w="12240" w:h="15840"/>
          <w:pgMar w:header="740" w:footer="1274" w:top="1280" w:bottom="1460" w:left="1400" w:right="1260"/>
        </w:sectPr>
      </w:pPr>
    </w:p>
    <w:p>
      <w:pPr>
        <w:pStyle w:val="BodyText"/>
        <w:spacing w:line="240" w:lineRule="auto" w:before="122"/>
        <w:ind w:right="182" w:firstLine="566"/>
        <w:jc w:val="both"/>
      </w:pPr>
      <w:r>
        <w:rPr/>
        <w:t>Исказан је расход у износу од 217.782 хиљаде динара на терет буџета и то за дотације непрофитним  организацијама  које  пружају помоћ  домаћинствима</w:t>
      </w:r>
      <w:r>
        <w:rPr>
          <w:spacing w:val="20"/>
        </w:rPr>
        <w:t> </w:t>
      </w:r>
      <w:r>
        <w:rPr/>
        <w:t>у износу од</w:t>
      </w:r>
    </w:p>
    <w:p>
      <w:pPr>
        <w:pStyle w:val="BodyText"/>
        <w:spacing w:line="240" w:lineRule="auto"/>
        <w:ind w:right="0"/>
        <w:jc w:val="both"/>
      </w:pPr>
      <w:r>
        <w:rPr/>
        <w:t>1.400  хиљада  динара  и  дотације  осталим  непрофитним  институцијама  у  износу   </w:t>
      </w:r>
      <w:r>
        <w:rPr>
          <w:spacing w:val="55"/>
        </w:rPr>
        <w:t> </w:t>
      </w:r>
      <w:r>
        <w:rPr/>
        <w:t>од</w:t>
      </w:r>
    </w:p>
    <w:p>
      <w:pPr>
        <w:pStyle w:val="BodyText"/>
        <w:spacing w:line="240" w:lineRule="auto"/>
        <w:ind w:right="182"/>
        <w:jc w:val="both"/>
      </w:pPr>
      <w:r>
        <w:rPr/>
        <w:t>216.382 хиљаде динара и то 216.046 из средстава буџета и 336 хиљада динара из осталих средстава.</w:t>
      </w:r>
    </w:p>
    <w:p>
      <w:pPr>
        <w:pStyle w:val="ListParagraph"/>
        <w:numPr>
          <w:ilvl w:val="0"/>
          <w:numId w:val="45"/>
        </w:numPr>
        <w:tabs>
          <w:tab w:pos="1013" w:val="left" w:leader="none"/>
        </w:tabs>
        <w:spacing w:line="240" w:lineRule="auto" w:before="137" w:after="0"/>
        <w:ind w:left="160" w:right="0" w:firstLine="566"/>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Скупштина града </w:t>
      </w:r>
      <w:r>
        <w:rPr>
          <w:rFonts w:ascii="Times New Roman" w:hAnsi="Times New Roman" w:cs="Times New Roman" w:eastAsia="Times New Roman" w:hint="default"/>
          <w:sz w:val="24"/>
          <w:szCs w:val="24"/>
        </w:rPr>
        <w:t>– Исказани су расходи у износу од 7.509 хиљада</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динара</w:t>
      </w:r>
      <w:r>
        <w:rPr>
          <w:rFonts w:ascii="Times New Roman" w:hAnsi="Times New Roman" w:cs="Times New Roman" w:eastAsia="Times New Roman" w:hint="default"/>
          <w:sz w:val="24"/>
          <w:szCs w:val="24"/>
        </w:rPr>
        <w:t>.</w:t>
      </w:r>
    </w:p>
    <w:p>
      <w:pPr>
        <w:pStyle w:val="BodyText"/>
        <w:spacing w:line="240" w:lineRule="auto"/>
        <w:ind w:right="176"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Дотације политичким странкама, субаналитички конто </w:t>
      </w:r>
      <w:r>
        <w:rPr>
          <w:rFonts w:ascii="Times New Roman" w:hAnsi="Times New Roman" w:cs="Times New Roman" w:eastAsia="Times New Roman" w:hint="default"/>
          <w:u w:val="single" w:color="000000"/>
        </w:rPr>
        <w:t>481942 </w:t>
      </w:r>
      <w:r>
        <w:rPr>
          <w:rFonts w:ascii="Times New Roman" w:hAnsi="Times New Roman" w:cs="Times New Roman" w:eastAsia="Times New Roman" w:hint="default"/>
        </w:rPr>
      </w:r>
      <w:r>
        <w:rPr/>
        <w:t>– Исказано је извршење у износу од 7.509 хиљада динара за финансирање редовног рада политичких странака.</w:t>
      </w:r>
    </w:p>
    <w:p>
      <w:pPr>
        <w:pStyle w:val="BodyText"/>
        <w:spacing w:line="240" w:lineRule="auto"/>
        <w:ind w:right="172" w:firstLine="566"/>
        <w:jc w:val="both"/>
      </w:pPr>
      <w:r>
        <w:rPr>
          <w:rFonts w:ascii="Times New Roman" w:hAnsi="Times New Roman"/>
          <w:b/>
        </w:rPr>
        <w:t>На основу ревизије узорковане документације утврђено је </w:t>
      </w:r>
      <w:r>
        <w:rPr/>
        <w:t>да политичким странкама нису пренета средства сваког месеца до десетог у месецу за претходни месец, што је супротно члану 16. Закона о финансирању политичких активности. Према усменом објашњењу</w:t>
      </w:r>
      <w:r>
        <w:rPr>
          <w:rFonts w:ascii="Times New Roman" w:hAnsi="Times New Roman"/>
        </w:rPr>
        <w:t>, </w:t>
      </w:r>
      <w:r>
        <w:rPr/>
        <w:t>до наведеног је дошло због потешкоћа у остваривању прихода, а свим политичким странкама су истовремено преношена планирана</w:t>
      </w:r>
      <w:r>
        <w:rPr>
          <w:spacing w:val="-25"/>
        </w:rPr>
        <w:t> </w:t>
      </w:r>
      <w:r>
        <w:rPr/>
        <w:t>средства.</w:t>
      </w:r>
    </w:p>
    <w:p>
      <w:pPr>
        <w:pStyle w:val="Heading2"/>
        <w:spacing w:line="240" w:lineRule="auto"/>
        <w:ind w:right="180"/>
        <w:jc w:val="both"/>
        <w:rPr>
          <w:b w:val="0"/>
          <w:bCs w:val="0"/>
          <w:i w:val="0"/>
        </w:rPr>
      </w:pPr>
      <w:r>
        <w:rPr>
          <w:i/>
        </w:rPr>
        <w:t>Препоручује се одговорним лицима да политичким странкама преносе средства за финансирање редовног рада у прописаном</w:t>
      </w:r>
      <w:r>
        <w:rPr>
          <w:i/>
          <w:spacing w:val="-14"/>
        </w:rPr>
        <w:t> </w:t>
      </w:r>
      <w:r>
        <w:rPr>
          <w:i/>
        </w:rPr>
        <w:t>року.</w:t>
      </w:r>
      <w:r>
        <w:rPr>
          <w:b w:val="0"/>
          <w:i w:val="0"/>
        </w:rPr>
      </w:r>
    </w:p>
    <w:p>
      <w:pPr>
        <w:pStyle w:val="ListParagraph"/>
        <w:numPr>
          <w:ilvl w:val="0"/>
          <w:numId w:val="45"/>
        </w:numPr>
        <w:tabs>
          <w:tab w:pos="1013" w:val="left" w:leader="none"/>
        </w:tabs>
        <w:spacing w:line="240" w:lineRule="auto" w:before="134" w:after="0"/>
        <w:ind w:left="1012" w:right="0" w:hanging="286"/>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Градоначелник </w:t>
      </w:r>
      <w:r>
        <w:rPr>
          <w:rFonts w:ascii="Times New Roman" w:hAnsi="Times New Roman" w:cs="Times New Roman" w:eastAsia="Times New Roman" w:hint="default"/>
          <w:sz w:val="24"/>
          <w:szCs w:val="24"/>
        </w:rPr>
        <w:t>– Исказани су расходи у износу од 2.991 хиљаде</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динара</w:t>
      </w:r>
      <w:r>
        <w:rPr>
          <w:rFonts w:ascii="Times New Roman" w:hAnsi="Times New Roman" w:cs="Times New Roman" w:eastAsia="Times New Roman" w:hint="default"/>
          <w:sz w:val="24"/>
          <w:szCs w:val="24"/>
        </w:rPr>
        <w:t>.</w:t>
      </w:r>
    </w:p>
    <w:p>
      <w:pPr>
        <w:pStyle w:val="BodyText"/>
        <w:spacing w:line="240" w:lineRule="auto"/>
        <w:ind w:right="173"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Дотације осталим непрофитним институцијама, субаналитички конто 481991 </w:t>
      </w:r>
      <w:r>
        <w:rPr/>
        <w:t>– </w:t>
      </w:r>
      <w:r>
        <w:rPr/>
        <w:t>Исказано је извршење у износу од 2.991 хиљаде</w:t>
      </w:r>
      <w:r>
        <w:rPr>
          <w:spacing w:val="-17"/>
        </w:rPr>
        <w:t> </w:t>
      </w:r>
      <w:r>
        <w:rPr/>
        <w:t>динара.</w:t>
      </w:r>
    </w:p>
    <w:p>
      <w:pPr>
        <w:pStyle w:val="BodyText"/>
        <w:spacing w:line="232" w:lineRule="auto" w:before="6"/>
        <w:ind w:right="176" w:firstLine="566"/>
        <w:jc w:val="both"/>
      </w:pPr>
      <w:r>
        <w:rPr/>
        <w:t>Градоначелник града Ниша донео је Правилник о ближим критеријумима, начину и поступку расподеле средстава удружењима грађана</w:t>
      </w:r>
      <w:r>
        <w:rPr>
          <w:rFonts w:ascii="Times New Roman" w:hAnsi="Times New Roman"/>
          <w:position w:val="11"/>
          <w:sz w:val="16"/>
        </w:rPr>
        <w:t>69 </w:t>
      </w:r>
      <w:r>
        <w:rPr/>
        <w:t>којим су одређени ближи критеријуми, начин и поступак расподеле средстава удружењима грађана. Наведени Правилник се примењивао од 01.01.2006. године до 14.10.2014. године. Средства за дотације у 2014. години исплаћена су на основу наведеног</w:t>
      </w:r>
      <w:r>
        <w:rPr>
          <w:spacing w:val="-25"/>
        </w:rPr>
        <w:t> </w:t>
      </w:r>
      <w:r>
        <w:rPr/>
        <w:t>Правилника.</w:t>
      </w:r>
    </w:p>
    <w:p>
      <w:pPr>
        <w:pStyle w:val="BodyText"/>
        <w:spacing w:line="276" w:lineRule="exact" w:before="5"/>
        <w:ind w:right="180" w:firstLine="566"/>
        <w:jc w:val="both"/>
      </w:pPr>
      <w:r>
        <w:rPr/>
        <w:t>Од 15.10.2014. године примењује се Правилник Градског већа о ближим критеријумима, начину и поступку доделе средстава или недостајућег дела средстава из буџета града Ниша за подстицање програма и пројеката од јавног интереса која реализују удружења</w:t>
      </w:r>
      <w:r>
        <w:rPr>
          <w:rFonts w:ascii="Times New Roman" w:hAnsi="Times New Roman"/>
          <w:position w:val="11"/>
          <w:sz w:val="16"/>
        </w:rPr>
        <w:t>70 </w:t>
      </w:r>
      <w:r>
        <w:rPr/>
        <w:t>којим је предвиђено да се додела средстава врши се на основу јавног конкурса који расписује</w:t>
      </w:r>
      <w:r>
        <w:rPr>
          <w:spacing w:val="-12"/>
        </w:rPr>
        <w:t> </w:t>
      </w:r>
      <w:r>
        <w:rPr/>
        <w:t>Градоначелник.</w:t>
      </w:r>
    </w:p>
    <w:p>
      <w:pPr>
        <w:pStyle w:val="Heading1"/>
        <w:spacing w:line="275" w:lineRule="exact" w:before="1"/>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Додела средстава удружењима у износу од </w:t>
      </w:r>
      <w:r>
        <w:rPr>
          <w:rFonts w:ascii="Times New Roman" w:hAnsi="Times New Roman"/>
          <w:sz w:val="24"/>
        </w:rPr>
        <w:t>2.991 </w:t>
      </w:r>
      <w:r>
        <w:rPr>
          <w:rFonts w:ascii="Times New Roman" w:hAnsi="Times New Roman"/>
          <w:sz w:val="24"/>
        </w:rPr>
        <w:t>хиљаде динара није извршена на основу јавног конкурса, што је супротно члану 38. Закона о удружењима. У 2015. години средства су додељена на основу јавног</w:t>
      </w:r>
      <w:r>
        <w:rPr>
          <w:rFonts w:ascii="Times New Roman" w:hAnsi="Times New Roman"/>
          <w:spacing w:val="-15"/>
          <w:sz w:val="24"/>
        </w:rPr>
        <w:t> </w:t>
      </w:r>
      <w:r>
        <w:rPr>
          <w:rFonts w:ascii="Times New Roman" w:hAnsi="Times New Roman"/>
          <w:sz w:val="24"/>
        </w:rPr>
        <w:t>конкурса.</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Средства су додељена на основу решења градоначелника. Градоначелник није закључио уговор са удружењима којим је доделио средства, што је супротно члану 38. Закона о удружењима. У 2015. години Градоначелник је закључио уговоре са удружењима којима су додељена</w:t>
      </w:r>
      <w:r>
        <w:rPr>
          <w:rFonts w:ascii="Times New Roman" w:hAnsi="Times New Roman"/>
          <w:spacing w:val="-8"/>
          <w:sz w:val="24"/>
        </w:rPr>
        <w:t> </w:t>
      </w:r>
      <w:r>
        <w:rPr>
          <w:rFonts w:ascii="Times New Roman" w:hAnsi="Times New Roman"/>
          <w:sz w:val="24"/>
        </w:rPr>
        <w:t>средства.</w:t>
      </w:r>
    </w:p>
    <w:p>
      <w:pPr>
        <w:pStyle w:val="ListParagraph"/>
        <w:numPr>
          <w:ilvl w:val="0"/>
          <w:numId w:val="9"/>
        </w:numPr>
        <w:tabs>
          <w:tab w:pos="303" w:val="left" w:leader="none"/>
        </w:tabs>
        <w:spacing w:line="240" w:lineRule="auto" w:before="2" w:after="0"/>
        <w:ind w:left="160" w:right="183" w:firstLine="0"/>
        <w:jc w:val="both"/>
        <w:rPr>
          <w:rFonts w:ascii="Times New Roman" w:hAnsi="Times New Roman" w:cs="Times New Roman" w:eastAsia="Times New Roman" w:hint="default"/>
          <w:sz w:val="24"/>
          <w:szCs w:val="24"/>
        </w:rPr>
      </w:pPr>
      <w:r>
        <w:rPr>
          <w:rFonts w:ascii="Times New Roman" w:hAnsi="Times New Roman"/>
          <w:sz w:val="24"/>
        </w:rPr>
        <w:t>Средства у износу од 300 хиљада динара, која је градоначелник доделио Синдикалној организацији Скупштине града Ниша за суфинансирање одласка екипе градске управе на Радничко спортске игре, исплаћена у без основа који је у складу са законом, што је супротно члану 56. и 58. Закона о буџетском</w:t>
      </w:r>
      <w:r>
        <w:rPr>
          <w:rFonts w:ascii="Times New Roman" w:hAnsi="Times New Roman"/>
          <w:spacing w:val="-17"/>
          <w:sz w:val="24"/>
        </w:rPr>
        <w:t> </w:t>
      </w:r>
      <w:r>
        <w:rPr>
          <w:rFonts w:ascii="Times New Roman" w:hAnsi="Times New Roman"/>
          <w:sz w:val="24"/>
        </w:rPr>
        <w:t>систему.</w:t>
      </w:r>
    </w:p>
    <w:p>
      <w:pPr>
        <w:pStyle w:val="ListParagraph"/>
        <w:numPr>
          <w:ilvl w:val="0"/>
          <w:numId w:val="9"/>
        </w:numPr>
        <w:tabs>
          <w:tab w:pos="303" w:val="left" w:leader="none"/>
        </w:tabs>
        <w:spacing w:line="274" w:lineRule="exact" w:before="24"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Дотације осталим непрофитним институцијама нису у надлежности Градоначелника, додељених Законом о локалној самоуправи и Статутом</w:t>
      </w:r>
      <w:r>
        <w:rPr>
          <w:rFonts w:ascii="Times New Roman" w:hAnsi="Times New Roman"/>
          <w:spacing w:val="-16"/>
          <w:sz w:val="24"/>
        </w:rPr>
        <w:t> </w:t>
      </w:r>
      <w:r>
        <w:rPr>
          <w:rFonts w:ascii="Times New Roman" w:hAnsi="Times New Roman"/>
          <w:sz w:val="24"/>
        </w:rPr>
        <w:t>Града</w:t>
      </w:r>
      <w:r>
        <w:rPr>
          <w:rFonts w:ascii="Times New Roman" w:hAnsi="Times New Roman"/>
          <w:sz w:val="24"/>
        </w:rPr>
        <w:t>.</w:t>
      </w:r>
    </w:p>
    <w:p>
      <w:pPr>
        <w:spacing w:line="240" w:lineRule="auto" w:before="7"/>
        <w:rPr>
          <w:rFonts w:ascii="Times New Roman" w:hAnsi="Times New Roman" w:cs="Times New Roman" w:eastAsia="Times New Roman" w:hint="default"/>
          <w:sz w:val="17"/>
          <w:szCs w:val="17"/>
        </w:rPr>
      </w:pPr>
      <w:r>
        <w:rPr/>
        <w:pict>
          <v:group style="position:absolute;margin-left:78.024002pt;margin-top:11.360011pt;width:144.050pt;height:.1pt;mso-position-horizontal-relative:page;mso-position-vertical-relative:paragraph;z-index:1864;mso-wrap-distance-left:0;mso-wrap-distance-right:0" coordorigin="1560,227" coordsize="2881,2">
            <v:shape style="position:absolute;left:1560;top:227;width:2881;height:2" coordorigin="1560,227" coordsize="2881,0" path="m1560,227l4441,227e" filled="false" stroked="true" strokeweight=".599980pt" strokecolor="#000000">
              <v:path arrowok="t"/>
            </v:shape>
            <w10:wrap type="topAndBottom"/>
          </v:group>
        </w:pict>
      </w:r>
    </w:p>
    <w:p>
      <w:pPr>
        <w:spacing w:line="191" w:lineRule="exact" w:before="5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69 </w:t>
      </w:r>
      <w:r>
        <w:rPr>
          <w:rFonts w:ascii="Times New Roman" w:hAnsi="Times New Roman" w:cs="Times New Roman" w:eastAsia="Times New Roman" w:hint="default"/>
          <w:sz w:val="16"/>
          <w:szCs w:val="16"/>
        </w:rPr>
        <w:t>„Службени лист града Ниша“ број 65/2005 и</w:t>
      </w:r>
      <w:r>
        <w:rPr>
          <w:rFonts w:ascii="Times New Roman" w:hAnsi="Times New Roman" w:cs="Times New Roman" w:eastAsia="Times New Roman" w:hint="default"/>
          <w:spacing w:val="-9"/>
          <w:sz w:val="16"/>
          <w:szCs w:val="16"/>
        </w:rPr>
        <w:t> </w:t>
      </w:r>
      <w:r>
        <w:rPr>
          <w:rFonts w:ascii="Times New Roman" w:hAnsi="Times New Roman" w:cs="Times New Roman" w:eastAsia="Times New Roman" w:hint="default"/>
          <w:sz w:val="16"/>
          <w:szCs w:val="16"/>
        </w:rPr>
        <w:t>72/2005</w:t>
      </w:r>
    </w:p>
    <w:p>
      <w:pPr>
        <w:spacing w:line="191" w:lineRule="exact" w:before="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70  </w:t>
      </w:r>
      <w:r>
        <w:rPr>
          <w:rFonts w:ascii="Times New Roman" w:hAnsi="Times New Roman" w:cs="Times New Roman" w:eastAsia="Times New Roman" w:hint="default"/>
          <w:sz w:val="16"/>
          <w:szCs w:val="16"/>
        </w:rPr>
        <w:t>„Службени лист града Ниша“ број</w:t>
      </w:r>
      <w:r>
        <w:rPr>
          <w:rFonts w:ascii="Times New Roman" w:hAnsi="Times New Roman" w:cs="Times New Roman" w:eastAsia="Times New Roman" w:hint="default"/>
          <w:spacing w:val="-26"/>
          <w:sz w:val="16"/>
          <w:szCs w:val="16"/>
        </w:rPr>
        <w:t> </w:t>
      </w:r>
      <w:r>
        <w:rPr>
          <w:rFonts w:ascii="Times New Roman" w:hAnsi="Times New Roman" w:cs="Times New Roman" w:eastAsia="Times New Roman" w:hint="default"/>
          <w:sz w:val="16"/>
          <w:szCs w:val="16"/>
        </w:rPr>
        <w:t>82/2014</w:t>
      </w:r>
    </w:p>
    <w:p>
      <w:pPr>
        <w:spacing w:after="0" w:line="191" w:lineRule="exact"/>
        <w:jc w:val="left"/>
        <w:rPr>
          <w:rFonts w:ascii="Times New Roman" w:hAnsi="Times New Roman" w:cs="Times New Roman" w:eastAsia="Times New Roman" w:hint="default"/>
          <w:sz w:val="16"/>
          <w:szCs w:val="16"/>
        </w:rPr>
        <w:sectPr>
          <w:pgSz w:w="12240" w:h="15840"/>
          <w:pgMar w:header="740" w:footer="1274" w:top="1280" w:bottom="1460" w:left="1400" w:right="1260"/>
        </w:sectPr>
      </w:pPr>
    </w:p>
    <w:p>
      <w:pPr>
        <w:pStyle w:val="Heading2"/>
        <w:spacing w:line="240" w:lineRule="auto" w:before="126"/>
        <w:ind w:right="182"/>
        <w:jc w:val="both"/>
        <w:rPr>
          <w:b w:val="0"/>
          <w:bCs w:val="0"/>
          <w:i w:val="0"/>
        </w:rPr>
      </w:pPr>
      <w:r>
        <w:rPr>
          <w:i/>
        </w:rPr>
        <w:t>Препоручује се одговорним лицима да обезбеде основ за сваки расход из буџета и извршавају расходе који су у њиховој</w:t>
      </w:r>
      <w:r>
        <w:rPr>
          <w:i/>
          <w:spacing w:val="-9"/>
        </w:rPr>
        <w:t> </w:t>
      </w:r>
      <w:r>
        <w:rPr>
          <w:i/>
        </w:rPr>
        <w:t>надлежности.</w:t>
      </w:r>
      <w:r>
        <w:rPr>
          <w:b w:val="0"/>
          <w:i w:val="0"/>
        </w:rPr>
      </w:r>
    </w:p>
    <w:p>
      <w:pPr>
        <w:pStyle w:val="ListParagraph"/>
        <w:numPr>
          <w:ilvl w:val="0"/>
          <w:numId w:val="45"/>
        </w:numPr>
        <w:tabs>
          <w:tab w:pos="1013" w:val="left" w:leader="none"/>
        </w:tabs>
        <w:spacing w:line="240" w:lineRule="auto" w:before="132" w:after="0"/>
        <w:ind w:left="160" w:right="181"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 за омладину и спорт </w:t>
      </w:r>
      <w:r>
        <w:rPr>
          <w:rFonts w:ascii="Times New Roman" w:hAnsi="Times New Roman" w:cs="Times New Roman" w:eastAsia="Times New Roman" w:hint="default"/>
          <w:sz w:val="24"/>
          <w:szCs w:val="24"/>
        </w:rPr>
        <w:t>– Исказани су расходи у износу од 178.871 хиљаде динара</w:t>
      </w:r>
      <w:r>
        <w:rPr>
          <w:rFonts w:ascii="Times New Roman" w:hAnsi="Times New Roman" w:cs="Times New Roman" w:eastAsia="Times New Roman" w:hint="default"/>
          <w:sz w:val="24"/>
          <w:szCs w:val="24"/>
        </w:rPr>
        <w:t>.</w:t>
      </w:r>
    </w:p>
    <w:p>
      <w:pPr>
        <w:pStyle w:val="BodyText"/>
        <w:spacing w:line="230" w:lineRule="auto" w:before="9"/>
        <w:ind w:right="173"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Дотације спортским омладинским организацијама, субаналитички конто 481911 </w:t>
      </w:r>
      <w:r>
        <w:rPr/>
        <w:t>– </w:t>
      </w:r>
      <w:r>
        <w:rPr/>
        <w:t>Град Ниш је исказао расход у износу од 175.010 хиљада динара за спортске организације и школски и рекреативни спорт у складу са Одлуком о остваривању потреба и интереса грађана у области спорта у граду Нишу</w:t>
      </w:r>
      <w:r>
        <w:rPr>
          <w:rFonts w:ascii="Times New Roman" w:hAnsi="Times New Roman" w:cs="Times New Roman" w:eastAsia="Times New Roman" w:hint="default"/>
          <w:position w:val="11"/>
          <w:sz w:val="16"/>
          <w:szCs w:val="16"/>
        </w:rPr>
        <w:t>71 </w:t>
      </w:r>
      <w:r>
        <w:rPr/>
        <w:t>и Правилником о поступку одобравања програма којима се остварују потребе и интереси грађана у области спорта у Граду Нишу</w:t>
      </w:r>
      <w:r>
        <w:rPr>
          <w:rFonts w:ascii="Times New Roman" w:hAnsi="Times New Roman" w:cs="Times New Roman" w:eastAsia="Times New Roman" w:hint="default"/>
          <w:position w:val="11"/>
          <w:sz w:val="16"/>
          <w:szCs w:val="16"/>
        </w:rPr>
        <w:t>72</w:t>
      </w:r>
      <w:r>
        <w:rPr>
          <w:rFonts w:ascii="Times New Roman" w:hAnsi="Times New Roman" w:cs="Times New Roman" w:eastAsia="Times New Roman" w:hint="default"/>
        </w:rPr>
        <w:t>. </w:t>
      </w:r>
      <w:r>
        <w:rPr/>
        <w:t>Средства за остваривање потреба и интереса грађана у области спорта у Граду распоређују се програмом расподеле средстава по наменама, који доноси</w:t>
      </w:r>
      <w:r>
        <w:rPr>
          <w:spacing w:val="-14"/>
        </w:rPr>
        <w:t> </w:t>
      </w:r>
      <w:r>
        <w:rPr/>
        <w:t>Градоначелник.</w:t>
      </w:r>
    </w:p>
    <w:p>
      <w:pPr>
        <w:pStyle w:val="Heading1"/>
        <w:spacing w:line="275" w:lineRule="exact" w:before="7"/>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Спортске организације, као носиоци програма нису вршили набавку добара и услуга у складу са законом којим се уређују јавне набавке, што је супротно члану 7. уговора које је Градоначелник града Ниша закључио са носиоцима програма. Из наведеног се закључује да град Ниш није вршио адекватну контролу реализације уговора о суфинансирању програма спортских организација закључених са спортским организацијама, као носиоцима</w:t>
      </w:r>
      <w:r>
        <w:rPr>
          <w:rFonts w:ascii="Times New Roman" w:hAnsi="Times New Roman"/>
          <w:spacing w:val="-14"/>
          <w:sz w:val="24"/>
        </w:rPr>
        <w:t> </w:t>
      </w:r>
      <w:r>
        <w:rPr>
          <w:rFonts w:ascii="Times New Roman" w:hAnsi="Times New Roman"/>
          <w:sz w:val="24"/>
        </w:rPr>
        <w:t>програма.</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Градско веће донело је Закључак број 954</w:t>
      </w:r>
      <w:r>
        <w:rPr>
          <w:rFonts w:ascii="Times New Roman" w:hAnsi="Times New Roman"/>
          <w:sz w:val="24"/>
        </w:rPr>
        <w:t>-29/2014-</w:t>
      </w:r>
      <w:r>
        <w:rPr>
          <w:rFonts w:ascii="Times New Roman" w:hAnsi="Times New Roman"/>
          <w:sz w:val="24"/>
        </w:rPr>
        <w:t>03 дана 09.07.2014. године којим се предлаже Градоначелнику да донесе решење за стимулативно финансирање спортских организација, што није у складу са Закључком Градског већа број 257</w:t>
      </w:r>
      <w:r>
        <w:rPr>
          <w:rFonts w:ascii="Times New Roman" w:hAnsi="Times New Roman"/>
          <w:sz w:val="24"/>
        </w:rPr>
        <w:t>-10/2014-</w:t>
      </w:r>
      <w:r>
        <w:rPr>
          <w:rFonts w:ascii="Times New Roman" w:hAnsi="Times New Roman"/>
          <w:sz w:val="24"/>
        </w:rPr>
        <w:t>03 од 24.02.2014. године, којим је предвиђено да Градско веће донесе Закључак до 15.06.2014. године.</w:t>
      </w:r>
    </w:p>
    <w:p>
      <w:pPr>
        <w:pStyle w:val="Heading2"/>
        <w:spacing w:line="240" w:lineRule="auto"/>
        <w:ind w:right="177"/>
        <w:jc w:val="both"/>
        <w:rPr>
          <w:b w:val="0"/>
          <w:bCs w:val="0"/>
          <w:i w:val="0"/>
        </w:rPr>
      </w:pPr>
      <w:r>
        <w:rPr>
          <w:i/>
        </w:rPr>
        <w:t>Препоручује се одговорним лицима Града да врше контролу реализације уговора, поступају у складу са својим</w:t>
      </w:r>
      <w:r>
        <w:rPr>
          <w:i/>
          <w:spacing w:val="-6"/>
        </w:rPr>
        <w:t> </w:t>
      </w:r>
      <w:r>
        <w:rPr>
          <w:i/>
        </w:rPr>
        <w:t>актима.</w:t>
      </w:r>
      <w:r>
        <w:rPr>
          <w:b w:val="0"/>
          <w:i w:val="0"/>
        </w:rPr>
      </w:r>
    </w:p>
    <w:p>
      <w:pPr>
        <w:pStyle w:val="ListParagraph"/>
        <w:numPr>
          <w:ilvl w:val="0"/>
          <w:numId w:val="45"/>
        </w:numPr>
        <w:tabs>
          <w:tab w:pos="1013" w:val="left" w:leader="none"/>
        </w:tabs>
        <w:spacing w:line="240" w:lineRule="auto" w:before="134" w:after="0"/>
        <w:ind w:left="160" w:right="174"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 за дечију, социјалну и примарну здравствену заштиту – </w:t>
      </w:r>
      <w:r>
        <w:rPr>
          <w:rFonts w:ascii="Times New Roman" w:hAnsi="Times New Roman" w:cs="Times New Roman" w:eastAsia="Times New Roman" w:hint="default"/>
          <w:sz w:val="24"/>
          <w:szCs w:val="24"/>
        </w:rPr>
        <w:t>Исказан је расход у износу од 24.939 хиљада динара на терет буџета</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града.</w:t>
      </w:r>
    </w:p>
    <w:p>
      <w:pPr>
        <w:pStyle w:val="BodyText"/>
        <w:spacing w:line="240" w:lineRule="auto"/>
        <w:ind w:right="176"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Дотације Црвеном крсту Србије, субаналитички конто 481131 </w:t>
      </w:r>
      <w:r>
        <w:rPr/>
        <w:t>– Исказано је </w:t>
      </w:r>
      <w:r>
        <w:rPr/>
        <w:t>извршење у износу од 1.400 хиљада динара за програмске активности Црвеног</w:t>
      </w:r>
      <w:r>
        <w:rPr>
          <w:spacing w:val="-21"/>
        </w:rPr>
        <w:t> </w:t>
      </w:r>
      <w:r>
        <w:rPr/>
        <w:t>крста.</w:t>
      </w:r>
    </w:p>
    <w:p>
      <w:pPr>
        <w:pStyle w:val="BodyText"/>
        <w:spacing w:line="240" w:lineRule="auto"/>
        <w:ind w:left="726" w:right="141"/>
        <w:jc w:val="left"/>
      </w:pPr>
      <w:r>
        <w:rPr/>
        <w:t>На основу ревизије узорковане документације нису утврђене</w:t>
      </w:r>
      <w:r>
        <w:rPr>
          <w:spacing w:val="-24"/>
        </w:rPr>
        <w:t> </w:t>
      </w:r>
      <w:r>
        <w:rPr/>
        <w:t>неправилности.</w:t>
      </w:r>
    </w:p>
    <w:p>
      <w:pPr>
        <w:pStyle w:val="BodyText"/>
        <w:spacing w:line="240" w:lineRule="auto"/>
        <w:ind w:right="176"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Дотације осталим удружењима грађана, субаналитички конто 4</w:t>
      </w:r>
      <w:r>
        <w:rPr>
          <w:rFonts w:ascii="Times New Roman" w:hAnsi="Times New Roman" w:cs="Times New Roman" w:eastAsia="Times New Roman" w:hint="default"/>
          <w:u w:val="single" w:color="000000"/>
        </w:rPr>
        <w:t>81941 </w:t>
      </w:r>
      <w:r>
        <w:rPr>
          <w:rFonts w:ascii="Times New Roman" w:hAnsi="Times New Roman" w:cs="Times New Roman" w:eastAsia="Times New Roman" w:hint="default"/>
        </w:rPr>
      </w:r>
      <w:r>
        <w:rPr/>
        <w:t>– Исказано је извршење у износу од 23.539 хиљада</w:t>
      </w:r>
      <w:r>
        <w:rPr>
          <w:spacing w:val="-12"/>
        </w:rPr>
        <w:t> </w:t>
      </w:r>
      <w:r>
        <w:rPr/>
        <w:t>динара.</w:t>
      </w:r>
    </w:p>
    <w:p>
      <w:pPr>
        <w:pStyle w:val="Heading1"/>
        <w:spacing w:line="275" w:lineRule="exact"/>
        <w:ind w:right="141"/>
        <w:jc w:val="left"/>
        <w:rPr>
          <w:b w:val="0"/>
          <w:bCs w:val="0"/>
        </w:rPr>
      </w:pPr>
      <w:r>
        <w:rPr/>
        <w:t>На основу ревизје узорковане документације утврђено</w:t>
      </w:r>
      <w:r>
        <w:rPr>
          <w:spacing w:val="-18"/>
        </w:rPr>
        <w:t> </w:t>
      </w:r>
      <w:r>
        <w:rPr/>
        <w:t>је:</w:t>
      </w:r>
      <w:r>
        <w:rPr>
          <w:b w:val="0"/>
        </w:rPr>
      </w:r>
    </w:p>
    <w:p>
      <w:pPr>
        <w:pStyle w:val="ListParagraph"/>
        <w:numPr>
          <w:ilvl w:val="0"/>
          <w:numId w:val="9"/>
        </w:numPr>
        <w:tabs>
          <w:tab w:pos="303" w:val="left" w:leader="none"/>
        </w:tabs>
        <w:spacing w:line="237" w:lineRule="auto" w:before="1"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Додела средстава удружењима у износу од 23.539 хиљада динара није извршена на основу јавног конкурса, што је супротно члану 38. Закона о удружењима. У 2015. години средства су додељена на основу јавног</w:t>
      </w:r>
      <w:r>
        <w:rPr>
          <w:rFonts w:ascii="Times New Roman" w:hAnsi="Times New Roman"/>
          <w:spacing w:val="-16"/>
          <w:sz w:val="24"/>
        </w:rPr>
        <w:t> </w:t>
      </w:r>
      <w:r>
        <w:rPr>
          <w:rFonts w:ascii="Times New Roman" w:hAnsi="Times New Roman"/>
          <w:sz w:val="24"/>
        </w:rPr>
        <w:t>конкурса.</w:t>
      </w:r>
    </w:p>
    <w:p>
      <w:pPr>
        <w:pStyle w:val="ListParagraph"/>
        <w:numPr>
          <w:ilvl w:val="0"/>
          <w:numId w:val="9"/>
        </w:numPr>
        <w:tabs>
          <w:tab w:pos="303" w:val="left" w:leader="none"/>
        </w:tabs>
        <w:spacing w:line="274" w:lineRule="exact" w:before="24"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Средства су додељена на основу кварталних решења Градоначелника. Градоначелник није закључио уговор са   </w:t>
      </w:r>
      <w:r>
        <w:rPr>
          <w:rFonts w:ascii="Times New Roman" w:hAnsi="Times New Roman"/>
          <w:spacing w:val="12"/>
          <w:sz w:val="24"/>
        </w:rPr>
        <w:t> </w:t>
      </w:r>
      <w:r>
        <w:rPr>
          <w:rFonts w:ascii="Times New Roman" w:hAnsi="Times New Roman"/>
          <w:sz w:val="24"/>
        </w:rPr>
        <w:t>удружењима којим је доделио средства, што је супротно члану</w:t>
      </w:r>
    </w:p>
    <w:p>
      <w:pPr>
        <w:pStyle w:val="BodyText"/>
        <w:spacing w:line="240" w:lineRule="auto"/>
        <w:ind w:right="182"/>
        <w:jc w:val="both"/>
      </w:pPr>
      <w:r>
        <w:rPr/>
        <w:t>38. Закона о удружењима. У 2015. години Градоначелник је закључио уговоре са удружењима којима су додељена</w:t>
      </w:r>
      <w:r>
        <w:rPr>
          <w:spacing w:val="-12"/>
        </w:rPr>
        <w:t> </w:t>
      </w:r>
      <w:r>
        <w:rPr/>
        <w:t>средства.</w:t>
      </w:r>
    </w:p>
    <w:p>
      <w:pPr>
        <w:pStyle w:val="ListParagraph"/>
        <w:numPr>
          <w:ilvl w:val="0"/>
          <w:numId w:val="45"/>
        </w:numPr>
        <w:tabs>
          <w:tab w:pos="998" w:val="left" w:leader="none"/>
        </w:tabs>
        <w:spacing w:line="240" w:lineRule="auto" w:before="139" w:after="0"/>
        <w:ind w:left="160" w:right="181"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 за културу – </w:t>
      </w:r>
      <w:r>
        <w:rPr>
          <w:rFonts w:ascii="Times New Roman" w:hAnsi="Times New Roman" w:cs="Times New Roman" w:eastAsia="Times New Roman" w:hint="default"/>
          <w:sz w:val="24"/>
          <w:szCs w:val="24"/>
        </w:rPr>
        <w:t>Исказано је извршење у износу од 2.703 хиљаде динара за дотације осталим непрофитним институцијама на терет буџета</w:t>
      </w:r>
      <w:r>
        <w:rPr>
          <w:rFonts w:ascii="Times New Roman" w:hAnsi="Times New Roman" w:cs="Times New Roman" w:eastAsia="Times New Roman" w:hint="default"/>
          <w:spacing w:val="-28"/>
          <w:sz w:val="24"/>
          <w:szCs w:val="24"/>
        </w:rPr>
        <w:t> </w:t>
      </w:r>
      <w:r>
        <w:rPr>
          <w:rFonts w:ascii="Times New Roman" w:hAnsi="Times New Roman" w:cs="Times New Roman" w:eastAsia="Times New Roman" w:hint="default"/>
          <w:sz w:val="24"/>
          <w:szCs w:val="24"/>
        </w:rPr>
        <w:t>града.</w:t>
      </w:r>
    </w:p>
    <w:p>
      <w:pPr>
        <w:spacing w:line="240" w:lineRule="auto" w:before="8"/>
        <w:rPr>
          <w:rFonts w:ascii="Times New Roman" w:hAnsi="Times New Roman" w:cs="Times New Roman" w:eastAsia="Times New Roman" w:hint="default"/>
          <w:sz w:val="29"/>
          <w:szCs w:val="29"/>
        </w:rPr>
      </w:pPr>
      <w:r>
        <w:rPr/>
        <w:pict>
          <v:group style="position:absolute;margin-left:78.024002pt;margin-top:18.344305pt;width:144.050pt;height:.1pt;mso-position-horizontal-relative:page;mso-position-vertical-relative:paragraph;z-index:1888;mso-wrap-distance-left:0;mso-wrap-distance-right:0" coordorigin="1560,367" coordsize="2881,2">
            <v:shape style="position:absolute;left:1560;top:367;width:2881;height:2" coordorigin="1560,367" coordsize="2881,0" path="m1560,367l4441,367e" filled="false" stroked="true" strokeweight=".599980pt" strokecolor="#000000">
              <v:path arrowok="t"/>
            </v:shape>
            <w10:wrap type="topAndBottom"/>
          </v:group>
        </w:pict>
      </w:r>
    </w:p>
    <w:p>
      <w:pPr>
        <w:spacing w:line="191" w:lineRule="exact" w:before="5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71</w:t>
      </w:r>
      <w:r>
        <w:rPr>
          <w:rFonts w:ascii="Times New Roman" w:hAnsi="Times New Roman" w:cs="Times New Roman" w:eastAsia="Times New Roman" w:hint="default"/>
          <w:sz w:val="16"/>
          <w:szCs w:val="16"/>
        </w:rPr>
        <w:t>„Службени лист града Ниша“ број 83/2012 и</w:t>
      </w:r>
      <w:r>
        <w:rPr>
          <w:rFonts w:ascii="Times New Roman" w:hAnsi="Times New Roman" w:cs="Times New Roman" w:eastAsia="Times New Roman" w:hint="default"/>
          <w:spacing w:val="-25"/>
          <w:sz w:val="16"/>
          <w:szCs w:val="16"/>
        </w:rPr>
        <w:t> </w:t>
      </w:r>
      <w:r>
        <w:rPr>
          <w:rFonts w:ascii="Times New Roman" w:hAnsi="Times New Roman" w:cs="Times New Roman" w:eastAsia="Times New Roman" w:hint="default"/>
          <w:sz w:val="16"/>
          <w:szCs w:val="16"/>
        </w:rPr>
        <w:t>67/2013</w:t>
      </w:r>
    </w:p>
    <w:p>
      <w:pPr>
        <w:spacing w:line="191" w:lineRule="exact" w:before="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72 </w:t>
      </w:r>
      <w:r>
        <w:rPr>
          <w:rFonts w:ascii="Times New Roman" w:hAnsi="Times New Roman" w:cs="Times New Roman" w:eastAsia="Times New Roman" w:hint="default"/>
          <w:sz w:val="16"/>
          <w:szCs w:val="16"/>
        </w:rPr>
        <w:t>„Службени лист града Ниша“ број 97/2012 и</w:t>
      </w:r>
      <w:r>
        <w:rPr>
          <w:rFonts w:ascii="Times New Roman" w:hAnsi="Times New Roman" w:cs="Times New Roman" w:eastAsia="Times New Roman" w:hint="default"/>
          <w:spacing w:val="-9"/>
          <w:sz w:val="16"/>
          <w:szCs w:val="16"/>
        </w:rPr>
        <w:t> </w:t>
      </w:r>
      <w:r>
        <w:rPr>
          <w:rFonts w:ascii="Times New Roman" w:hAnsi="Times New Roman" w:cs="Times New Roman" w:eastAsia="Times New Roman" w:hint="default"/>
          <w:sz w:val="16"/>
          <w:szCs w:val="16"/>
        </w:rPr>
        <w:t>61/2013</w:t>
      </w:r>
    </w:p>
    <w:p>
      <w:pPr>
        <w:spacing w:after="0" w:line="191" w:lineRule="exact"/>
        <w:jc w:val="left"/>
        <w:rPr>
          <w:rFonts w:ascii="Times New Roman" w:hAnsi="Times New Roman" w:cs="Times New Roman" w:eastAsia="Times New Roman" w:hint="default"/>
          <w:sz w:val="16"/>
          <w:szCs w:val="16"/>
        </w:rPr>
        <w:sectPr>
          <w:footerReference w:type="default" r:id="rId75"/>
          <w:pgSz w:w="12240" w:h="15840"/>
          <w:pgMar w:footer="1274" w:header="740" w:top="1280" w:bottom="1460" w:left="1400" w:right="1260"/>
          <w:pgNumType w:start="176"/>
        </w:sectPr>
      </w:pPr>
    </w:p>
    <w:p>
      <w:pPr>
        <w:pStyle w:val="BodyText"/>
        <w:tabs>
          <w:tab w:pos="8433" w:val="left" w:leader="none"/>
        </w:tabs>
        <w:spacing w:line="240" w:lineRule="auto" w:before="122"/>
        <w:ind w:right="253" w:firstLine="566"/>
        <w:jc w:val="left"/>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Дотације  осталим  непрофитним  институцијама,  </w:t>
      </w:r>
      <w:r>
        <w:rPr>
          <w:spacing w:val="35"/>
          <w:u w:val="single" w:color="000000"/>
        </w:rPr>
        <w:t> </w:t>
      </w:r>
      <w:r>
        <w:rPr>
          <w:u w:val="single" w:color="000000"/>
        </w:rPr>
        <w:t>субаналитички </w:t>
      </w:r>
      <w:r>
        <w:rPr>
          <w:spacing w:val="23"/>
          <w:u w:val="single" w:color="000000"/>
        </w:rPr>
        <w:t> </w:t>
      </w:r>
      <w:r>
        <w:rPr>
          <w:u w:val="single" w:color="000000"/>
        </w:rPr>
        <w:t>конто</w:t>
        <w:tab/>
        <w:t>481991 </w:t>
      </w:r>
      <w:r>
        <w:rPr>
          <w:spacing w:val="1"/>
          <w:u w:val="single" w:color="000000"/>
        </w:rPr>
        <w:t> </w:t>
      </w:r>
      <w:r>
        <w:rPr>
          <w:spacing w:val="1"/>
        </w:rPr>
      </w:r>
      <w:r>
        <w:rPr/>
        <w:t>–</w:t>
      </w:r>
      <w:r>
        <w:rPr>
          <w:w w:val="99"/>
        </w:rPr>
        <w:t> </w:t>
      </w:r>
      <w:r>
        <w:rPr/>
        <w:t>Исказано је извршење у износу од 2.703 хиљаде</w:t>
      </w:r>
      <w:r>
        <w:rPr>
          <w:spacing w:val="-18"/>
        </w:rPr>
        <w:t> </w:t>
      </w:r>
      <w:r>
        <w:rPr/>
        <w:t>динара.</w:t>
      </w:r>
    </w:p>
    <w:p>
      <w:pPr>
        <w:pStyle w:val="Heading1"/>
        <w:spacing w:line="275" w:lineRule="exact"/>
        <w:ind w:right="253"/>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25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Омладинска филхармонија града Ниша „НАИСУС“ није доставила Управи за културу адекватан доказ из кога би се видело да су средства утрошена у складу са наменом предвиђеном чланом 1. Уговора о суфинансирању програма у култури број 1916</w:t>
      </w:r>
      <w:r>
        <w:rPr>
          <w:rFonts w:ascii="Times New Roman" w:hAnsi="Times New Roman" w:cs="Times New Roman" w:eastAsia="Times New Roman" w:hint="default"/>
          <w:sz w:val="24"/>
          <w:szCs w:val="24"/>
        </w:rPr>
        <w:t>-1/2014- </w:t>
      </w:r>
      <w:r>
        <w:rPr>
          <w:rFonts w:ascii="Times New Roman" w:hAnsi="Times New Roman" w:cs="Times New Roman" w:eastAsia="Times New Roman" w:hint="default"/>
          <w:sz w:val="24"/>
          <w:szCs w:val="24"/>
        </w:rPr>
        <w:t>01 од 02.06.2014. године, те се стога нисмо уверили да су средства у износу од 938 хиљада динара утрошена за намену за коју су дата, што је супротно члану 16. Уредбе о буџетском рачуноводству и 58. Закона о буџетском</w:t>
      </w:r>
      <w:r>
        <w:rPr>
          <w:rFonts w:ascii="Times New Roman" w:hAnsi="Times New Roman" w:cs="Times New Roman" w:eastAsia="Times New Roman" w:hint="default"/>
          <w:spacing w:val="-25"/>
          <w:sz w:val="24"/>
          <w:szCs w:val="24"/>
        </w:rPr>
        <w:t> </w:t>
      </w:r>
      <w:r>
        <w:rPr>
          <w:rFonts w:ascii="Times New Roman" w:hAnsi="Times New Roman" w:cs="Times New Roman" w:eastAsia="Times New Roman" w:hint="default"/>
          <w:sz w:val="24"/>
          <w:szCs w:val="24"/>
        </w:rPr>
        <w:t>систему.</w:t>
      </w:r>
    </w:p>
    <w:p>
      <w:pPr>
        <w:pStyle w:val="Heading2"/>
        <w:spacing w:line="240" w:lineRule="auto"/>
        <w:ind w:right="253"/>
        <w:jc w:val="left"/>
        <w:rPr>
          <w:b w:val="0"/>
          <w:bCs w:val="0"/>
          <w:i w:val="0"/>
        </w:rPr>
      </w:pPr>
      <w:r>
        <w:rPr>
          <w:i/>
        </w:rPr>
        <w:t>Препоручује се одговорним лицима да обезбеде валидну документацију за сваки расход из буџета.</w:t>
      </w:r>
      <w:r>
        <w:rPr>
          <w:b w:val="0"/>
          <w:i w:val="0"/>
        </w:rPr>
      </w:r>
    </w:p>
    <w:p>
      <w:pPr>
        <w:spacing w:line="240" w:lineRule="auto" w:before="1"/>
        <w:rPr>
          <w:rFonts w:ascii="Times New Roman" w:hAnsi="Times New Roman" w:cs="Times New Roman" w:eastAsia="Times New Roman" w:hint="default"/>
          <w:b/>
          <w:bCs/>
          <w:i/>
          <w:sz w:val="24"/>
          <w:szCs w:val="24"/>
        </w:rPr>
      </w:pPr>
    </w:p>
    <w:p>
      <w:pPr>
        <w:pStyle w:val="Heading1"/>
        <w:spacing w:line="274" w:lineRule="exact" w:before="0"/>
        <w:ind w:left="160" w:right="0"/>
        <w:jc w:val="both"/>
        <w:rPr>
          <w:b w:val="0"/>
          <w:bCs w:val="0"/>
        </w:rPr>
      </w:pPr>
      <w:bookmarkStart w:name="_bookmark32" w:id="57"/>
      <w:bookmarkEnd w:id="57"/>
      <w:r>
        <w:rPr>
          <w:b w:val="0"/>
        </w:rPr>
      </w:r>
      <w:r>
        <w:rPr>
          <w:rFonts w:ascii="Times New Roman" w:hAnsi="Times New Roman"/>
        </w:rPr>
        <w:t>4.1.4.24 </w:t>
      </w:r>
      <w:r>
        <w:rPr/>
        <w:t>Порези, обавезне таксе, казне и пенали, група</w:t>
      </w:r>
      <w:r>
        <w:rPr>
          <w:spacing w:val="-9"/>
        </w:rPr>
        <w:t> </w:t>
      </w:r>
      <w:r>
        <w:rPr/>
        <w:t>482000</w:t>
      </w:r>
      <w:r>
        <w:rPr>
          <w:b w:val="0"/>
        </w:rPr>
      </w:r>
    </w:p>
    <w:p>
      <w:pPr>
        <w:pStyle w:val="BodyText"/>
        <w:spacing w:line="240" w:lineRule="auto"/>
        <w:ind w:right="253" w:firstLine="566"/>
        <w:jc w:val="left"/>
      </w:pPr>
      <w:r>
        <w:rPr/>
        <w:t>Група 482000 – Порези, обавезне таксе, казне и пенали садржи синтетичка конта: остали порези, обавезне таксе, новчане казне и</w:t>
      </w:r>
      <w:r>
        <w:rPr>
          <w:spacing w:val="-17"/>
        </w:rPr>
        <w:t> </w:t>
      </w:r>
      <w:r>
        <w:rPr/>
        <w:t>пенали.</w:t>
      </w:r>
    </w:p>
    <w:p>
      <w:pPr>
        <w:spacing w:before="2" w:after="6"/>
        <w:ind w:left="0" w:right="252" w:firstLine="0"/>
        <w:jc w:val="right"/>
        <w:rPr>
          <w:rFonts w:ascii="Times New Roman" w:hAnsi="Times New Roman" w:cs="Times New Roman" w:eastAsia="Times New Roman" w:hint="default"/>
          <w:sz w:val="16"/>
          <w:szCs w:val="16"/>
        </w:rPr>
      </w:pPr>
      <w:r>
        <w:rPr>
          <w:rFonts w:ascii="Times New Roman" w:hAnsi="Times New Roman"/>
          <w:sz w:val="16"/>
        </w:rPr>
        <w:t>(</w:t>
      </w:r>
      <w:r>
        <w:rPr>
          <w:rFonts w:ascii="Times New Roman" w:hAnsi="Times New Roman"/>
          <w:sz w:val="16"/>
        </w:rPr>
        <w:t>у хиљадама</w:t>
      </w:r>
      <w:r>
        <w:rPr>
          <w:rFonts w:ascii="Times New Roman" w:hAnsi="Times New Roman"/>
          <w:spacing w:val="-7"/>
          <w:sz w:val="16"/>
        </w:rPr>
        <w:t> </w:t>
      </w:r>
      <w:r>
        <w:rPr>
          <w:rFonts w:ascii="Times New Roman" w:hAnsi="Times New Roman"/>
          <w:sz w:val="16"/>
        </w:rPr>
        <w:t>динара</w:t>
      </w:r>
      <w:r>
        <w:rPr>
          <w:rFonts w:ascii="Times New Roman" w:hAnsi="Times New Roman"/>
          <w:sz w:val="16"/>
        </w:rPr>
        <w:t>)</w:t>
      </w:r>
    </w:p>
    <w:tbl>
      <w:tblPr>
        <w:tblW w:w="0" w:type="auto"/>
        <w:jc w:val="left"/>
        <w:tblInd w:w="141" w:type="dxa"/>
        <w:tblLayout w:type="fixed"/>
        <w:tblCellMar>
          <w:top w:w="0" w:type="dxa"/>
          <w:left w:w="0" w:type="dxa"/>
          <w:bottom w:w="0" w:type="dxa"/>
          <w:right w:w="0" w:type="dxa"/>
        </w:tblCellMar>
        <w:tblLook w:val="01E0"/>
      </w:tblPr>
      <w:tblGrid>
        <w:gridCol w:w="876"/>
        <w:gridCol w:w="2542"/>
        <w:gridCol w:w="960"/>
        <w:gridCol w:w="1351"/>
        <w:gridCol w:w="1045"/>
        <w:gridCol w:w="936"/>
        <w:gridCol w:w="848"/>
        <w:gridCol w:w="845"/>
      </w:tblGrid>
      <w:tr>
        <w:trPr>
          <w:trHeight w:val="533"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5"/>
              <w:ind w:left="261" w:right="178" w:hanging="72"/>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8"/>
              <w:ind w:left="463"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8"/>
                <w:sz w:val="18"/>
              </w:rPr>
              <w:t> </w:t>
            </w:r>
            <w:r>
              <w:rPr>
                <w:rFonts w:ascii="Times New Roman" w:hAnsi="Times New Roman"/>
                <w:b/>
                <w:sz w:val="18"/>
              </w:rPr>
              <w:t>корисник</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8"/>
              <w:ind w:right="103"/>
              <w:jc w:val="right"/>
              <w:rPr>
                <w:rFonts w:ascii="Times New Roman" w:hAnsi="Times New Roman" w:cs="Times New Roman" w:eastAsia="Times New Roman" w:hint="default"/>
                <w:sz w:val="18"/>
                <w:szCs w:val="18"/>
              </w:rPr>
            </w:pPr>
            <w:r>
              <w:rPr>
                <w:rFonts w:ascii="Times New Roman" w:hAnsi="Times New Roman"/>
                <w:b/>
                <w:spacing w:val="-1"/>
                <w:sz w:val="18"/>
              </w:rPr>
              <w:t>Ребаланс</w:t>
            </w:r>
            <w:r>
              <w:rPr>
                <w:rFonts w:ascii="Times New Roman" w:hAns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5"/>
              <w:ind w:left="103" w:right="93" w:firstLine="88"/>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реалокацијом</w:t>
            </w:r>
            <w:r>
              <w:rPr>
                <w:rFonts w:ascii="Times New Roman" w:hAnsi="Times New Roman"/>
                <w:sz w:val="18"/>
              </w:rPr>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5"/>
              <w:ind w:left="103" w:right="93"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5"/>
              <w:ind w:left="115" w:right="104"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5"/>
              <w:ind w:left="302" w:right="110"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5"/>
              <w:ind w:left="302" w:right="107"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63"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left="403" w:right="0"/>
              <w:jc w:val="left"/>
              <w:rPr>
                <w:rFonts w:ascii="Times New Roman" w:hAnsi="Times New Roman" w:cs="Times New Roman" w:eastAsia="Times New Roman" w:hint="default"/>
                <w:sz w:val="12"/>
                <w:szCs w:val="12"/>
              </w:rPr>
            </w:pPr>
            <w:r>
              <w:rPr>
                <w:rFonts w:ascii="Times New Roman"/>
                <w:sz w:val="12"/>
              </w:rPr>
              <w:t>1</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2"/>
              <w:jc w:val="center"/>
              <w:rPr>
                <w:rFonts w:ascii="Times New Roman" w:hAnsi="Times New Roman" w:cs="Times New Roman" w:eastAsia="Times New Roman" w:hint="default"/>
                <w:sz w:val="12"/>
                <w:szCs w:val="12"/>
              </w:rPr>
            </w:pPr>
            <w:r>
              <w:rPr>
                <w:rFonts w:ascii="Times New Roman"/>
                <w:sz w:val="12"/>
              </w:rPr>
              <w:t>2</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0"/>
              <w:jc w:val="center"/>
              <w:rPr>
                <w:rFonts w:ascii="Times New Roman" w:hAnsi="Times New Roman" w:cs="Times New Roman" w:eastAsia="Times New Roman" w:hint="default"/>
                <w:sz w:val="12"/>
                <w:szCs w:val="12"/>
              </w:rPr>
            </w:pPr>
            <w:r>
              <w:rPr>
                <w:rFonts w:ascii="Times New Roman"/>
                <w:sz w:val="12"/>
              </w:rPr>
              <w:t>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0"/>
              <w:jc w:val="center"/>
              <w:rPr>
                <w:rFonts w:ascii="Times New Roman" w:hAnsi="Times New Roman" w:cs="Times New Roman" w:eastAsia="Times New Roman" w:hint="default"/>
                <w:sz w:val="12"/>
                <w:szCs w:val="12"/>
              </w:rPr>
            </w:pPr>
            <w:r>
              <w:rPr>
                <w:rFonts w:ascii="Times New Roman"/>
                <w:sz w:val="12"/>
              </w:rPr>
              <w:t>4</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0"/>
              <w:jc w:val="center"/>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0"/>
              <w:jc w:val="center"/>
              <w:rPr>
                <w:rFonts w:ascii="Times New Roman" w:hAnsi="Times New Roman" w:cs="Times New Roman" w:eastAsia="Times New Roman" w:hint="default"/>
                <w:sz w:val="12"/>
                <w:szCs w:val="12"/>
              </w:rPr>
            </w:pPr>
            <w:r>
              <w:rPr>
                <w:rFonts w:ascii="Times New Roman"/>
                <w:sz w:val="12"/>
              </w:rPr>
              <w:t>6</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0"/>
              <w:jc w:val="center"/>
              <w:rPr>
                <w:rFonts w:ascii="Times New Roman" w:hAnsi="Times New Roman" w:cs="Times New Roman" w:eastAsia="Times New Roman" w:hint="default"/>
                <w:sz w:val="12"/>
                <w:szCs w:val="12"/>
              </w:rPr>
            </w:pPr>
            <w:r>
              <w:rPr>
                <w:rFonts w:ascii="Times New Roman"/>
                <w:sz w:val="12"/>
              </w:rPr>
              <w:t>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left="2" w:right="0"/>
              <w:jc w:val="center"/>
              <w:rPr>
                <w:rFonts w:ascii="Times New Roman" w:hAnsi="Times New Roman" w:cs="Times New Roman" w:eastAsia="Times New Roman" w:hint="default"/>
                <w:sz w:val="12"/>
                <w:szCs w:val="12"/>
              </w:rPr>
            </w:pPr>
            <w:r>
              <w:rPr>
                <w:rFonts w:ascii="Times New Roman"/>
                <w:sz w:val="12"/>
              </w:rPr>
              <w:t>8</w:t>
            </w:r>
          </w:p>
        </w:tc>
      </w:tr>
      <w:tr>
        <w:trPr>
          <w:trHeight w:val="254"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left="386" w:right="0"/>
              <w:jc w:val="left"/>
              <w:rPr>
                <w:rFonts w:ascii="Times New Roman" w:hAnsi="Times New Roman" w:cs="Times New Roman" w:eastAsia="Times New Roman" w:hint="default"/>
                <w:sz w:val="18"/>
                <w:szCs w:val="18"/>
              </w:rPr>
            </w:pPr>
            <w:r>
              <w:rPr>
                <w:rFonts w:ascii="Times New Roman"/>
                <w:sz w:val="18"/>
              </w:rPr>
              <w:t>1</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left="103" w:right="0"/>
              <w:jc w:val="left"/>
              <w:rPr>
                <w:rFonts w:ascii="Times New Roman" w:hAnsi="Times New Roman" w:cs="Times New Roman" w:eastAsia="Times New Roman" w:hint="default"/>
                <w:sz w:val="18"/>
                <w:szCs w:val="18"/>
              </w:rPr>
            </w:pPr>
            <w:r>
              <w:rPr>
                <w:rFonts w:ascii="Times New Roman" w:hAnsi="Times New Roman"/>
                <w:sz w:val="18"/>
              </w:rPr>
              <w:t>Упр</w:t>
            </w:r>
            <w:r>
              <w:rPr>
                <w:rFonts w:ascii="Times New Roman" w:hAnsi="Times New Roman"/>
                <w:sz w:val="18"/>
              </w:rPr>
              <w:t>. </w:t>
            </w:r>
            <w:r>
              <w:rPr>
                <w:rFonts w:ascii="Times New Roman" w:hAnsi="Times New Roman"/>
                <w:sz w:val="18"/>
              </w:rPr>
              <w:t>за имов</w:t>
            </w:r>
            <w:r>
              <w:rPr>
                <w:rFonts w:ascii="Times New Roman" w:hAnsi="Times New Roman"/>
                <w:sz w:val="18"/>
              </w:rPr>
              <w:t>. </w:t>
            </w:r>
            <w:r>
              <w:rPr>
                <w:rFonts w:ascii="Times New Roman" w:hAnsi="Times New Roman"/>
                <w:sz w:val="18"/>
              </w:rPr>
              <w:t>и инспек</w:t>
            </w:r>
            <w:r>
              <w:rPr>
                <w:rFonts w:ascii="Times New Roman" w:hAnsi="Times New Roman"/>
                <w:sz w:val="18"/>
              </w:rPr>
              <w:t>.</w:t>
            </w:r>
            <w:r>
              <w:rPr>
                <w:rFonts w:ascii="Times New Roman" w:hAnsi="Times New Roman"/>
                <w:spacing w:val="-8"/>
                <w:sz w:val="18"/>
              </w:rPr>
              <w:t> </w:t>
            </w:r>
            <w:r>
              <w:rPr>
                <w:rFonts w:ascii="Times New Roman" w:hAnsi="Times New Roman"/>
                <w:sz w:val="18"/>
              </w:rPr>
              <w:t>посл</w:t>
            </w:r>
            <w:r>
              <w:rPr>
                <w:rFonts w:ascii="Times New Roman" w:hAnsi="Times New Roman"/>
                <w:sz w:val="18"/>
              </w:rPr>
              <w:t>.</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8"/>
                <w:szCs w:val="18"/>
              </w:rPr>
            </w:pPr>
            <w:r>
              <w:rPr>
                <w:rFonts w:ascii="Times New Roman"/>
                <w:spacing w:val="-1"/>
                <w:sz w:val="18"/>
              </w:rPr>
              <w:t>25.500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8"/>
                <w:szCs w:val="18"/>
              </w:rPr>
            </w:pPr>
            <w:r>
              <w:rPr>
                <w:rFonts w:ascii="Times New Roman"/>
                <w:spacing w:val="-1"/>
                <w:sz w:val="18"/>
              </w:rPr>
              <w:t>25.500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8"/>
                <w:szCs w:val="18"/>
              </w:rPr>
            </w:pPr>
            <w:r>
              <w:rPr>
                <w:rFonts w:ascii="Times New Roman"/>
                <w:spacing w:val="-1"/>
                <w:sz w:val="18"/>
              </w:rPr>
              <w:t>22.153</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8"/>
                <w:szCs w:val="18"/>
              </w:rPr>
            </w:pPr>
            <w:r>
              <w:rPr>
                <w:rFonts w:ascii="Times New Roman"/>
                <w:spacing w:val="-1"/>
                <w:sz w:val="18"/>
              </w:rPr>
              <w:t>23.534</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8"/>
                <w:szCs w:val="18"/>
              </w:rPr>
            </w:pPr>
            <w:r>
              <w:rPr>
                <w:rFonts w:ascii="Times New Roman"/>
                <w:sz w:val="18"/>
              </w:rPr>
              <w:t>92,29</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98"/>
              <w:jc w:val="right"/>
              <w:rPr>
                <w:rFonts w:ascii="Times New Roman" w:hAnsi="Times New Roman" w:cs="Times New Roman" w:eastAsia="Times New Roman" w:hint="default"/>
                <w:sz w:val="18"/>
                <w:szCs w:val="18"/>
              </w:rPr>
            </w:pPr>
            <w:r>
              <w:rPr>
                <w:rFonts w:ascii="Times New Roman"/>
                <w:spacing w:val="-1"/>
                <w:sz w:val="18"/>
              </w:rPr>
              <w:t>106,23</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2</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8"/>
                <w:sz w:val="18"/>
              </w:rPr>
              <w:t> </w:t>
            </w:r>
            <w:r>
              <w:rPr>
                <w:rFonts w:ascii="Times New Roman" w:hAnsi="Times New Roman"/>
                <w:sz w:val="18"/>
              </w:rPr>
              <w:t>финансије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420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626</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625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625</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99,84</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3</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5"/>
                <w:sz w:val="18"/>
              </w:rPr>
              <w:t> </w:t>
            </w:r>
            <w:r>
              <w:rPr>
                <w:rFonts w:ascii="Times New Roman" w:hAnsi="Times New Roman"/>
                <w:sz w:val="18"/>
              </w:rPr>
              <w:t>образовање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2.770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3.770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5.098</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2.785</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73,87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7"/>
              <w:jc w:val="right"/>
              <w:rPr>
                <w:rFonts w:ascii="Times New Roman" w:hAnsi="Times New Roman" w:cs="Times New Roman" w:eastAsia="Times New Roman" w:hint="default"/>
                <w:sz w:val="18"/>
                <w:szCs w:val="18"/>
              </w:rPr>
            </w:pPr>
            <w:r>
              <w:rPr>
                <w:rFonts w:ascii="Times New Roman"/>
                <w:sz w:val="18"/>
              </w:rPr>
              <w:t>54,63</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hAnsi="Times New Roman"/>
                <w:sz w:val="18"/>
              </w:rPr>
              <w:t>3</w:t>
            </w:r>
            <w:r>
              <w:rPr>
                <w:rFonts w:ascii="Times New Roman" w:hAnsi="Times New Roman"/>
                <w:sz w:val="18"/>
              </w:rPr>
              <w:t>а</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ПУ</w:t>
            </w:r>
            <w:r>
              <w:rPr>
                <w:rFonts w:ascii="Times New Roman" w:hAnsi="Times New Roman"/>
                <w:spacing w:val="-5"/>
                <w:sz w:val="18"/>
              </w:rPr>
              <w:t> </w:t>
            </w:r>
            <w:r>
              <w:rPr>
                <w:rFonts w:ascii="Times New Roman" w:hAnsi="Times New Roman"/>
                <w:sz w:val="18"/>
              </w:rPr>
              <w:t>Пчелица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1.000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2.000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3.639</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1.119</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55,95</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7"/>
              <w:jc w:val="right"/>
              <w:rPr>
                <w:rFonts w:ascii="Times New Roman" w:hAnsi="Times New Roman" w:cs="Times New Roman" w:eastAsia="Times New Roman" w:hint="default"/>
                <w:sz w:val="18"/>
                <w:szCs w:val="18"/>
              </w:rPr>
            </w:pPr>
            <w:r>
              <w:rPr>
                <w:rFonts w:ascii="Times New Roman"/>
                <w:sz w:val="18"/>
              </w:rPr>
              <w:t>30,75</w:t>
            </w:r>
          </w:p>
        </w:tc>
      </w:tr>
      <w:tr>
        <w:trPr>
          <w:trHeight w:val="219"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hAnsi="Times New Roman"/>
                <w:sz w:val="18"/>
              </w:rPr>
              <w:t>3</w:t>
            </w:r>
            <w:r>
              <w:rPr>
                <w:rFonts w:ascii="Times New Roman" w:hAnsi="Times New Roman"/>
                <w:sz w:val="18"/>
              </w:rPr>
              <w:t>б</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Дечији</w:t>
            </w:r>
            <w:r>
              <w:rPr>
                <w:rFonts w:ascii="Times New Roman" w:hAnsi="Times New Roman"/>
                <w:spacing w:val="-5"/>
                <w:sz w:val="18"/>
              </w:rPr>
              <w:t> </w:t>
            </w:r>
            <w:r>
              <w:rPr>
                <w:rFonts w:ascii="Times New Roman" w:hAnsi="Times New Roman"/>
                <w:sz w:val="18"/>
              </w:rPr>
              <w:t>центар</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570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570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334</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541</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94,91</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pacing w:val="-1"/>
                <w:sz w:val="18"/>
              </w:rPr>
              <w:t>161,98</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4</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ком.</w:t>
            </w:r>
            <w:r>
              <w:rPr>
                <w:rFonts w:ascii="Times New Roman" w:hAnsi="Times New Roman"/>
                <w:spacing w:val="-10"/>
                <w:sz w:val="18"/>
              </w:rPr>
              <w:t> </w:t>
            </w:r>
            <w:r>
              <w:rPr>
                <w:rFonts w:ascii="Times New Roman" w:hAnsi="Times New Roman"/>
                <w:sz w:val="18"/>
              </w:rPr>
              <w:t>делатн.</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9.000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9.000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2.490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3.148</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34,98</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126,43</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hAnsi="Times New Roman"/>
                <w:sz w:val="18"/>
              </w:rPr>
              <w:t>4а</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ЈП</w:t>
            </w:r>
            <w:r>
              <w:rPr>
                <w:rFonts w:ascii="Times New Roman" w:hAnsi="Times New Roman"/>
                <w:spacing w:val="-6"/>
                <w:sz w:val="18"/>
              </w:rPr>
              <w:t> </w:t>
            </w:r>
            <w:r>
              <w:rPr>
                <w:rFonts w:ascii="Times New Roman" w:hAnsi="Times New Roman"/>
                <w:sz w:val="18"/>
              </w:rPr>
              <w:t>Дирекција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9.000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9.000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2.490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3.148</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34,98</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126,43</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5</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Градски јавни</w:t>
            </w:r>
            <w:r>
              <w:rPr>
                <w:rFonts w:ascii="Times New Roman" w:hAnsi="Times New Roman"/>
                <w:spacing w:val="-5"/>
                <w:sz w:val="18"/>
              </w:rPr>
              <w:t> </w:t>
            </w:r>
            <w:r>
              <w:rPr>
                <w:rFonts w:ascii="Times New Roman" w:hAnsi="Times New Roman"/>
                <w:sz w:val="18"/>
              </w:rPr>
              <w:t>правобр</w:t>
            </w:r>
            <w:r>
              <w:rPr>
                <w:rFonts w:ascii="Times New Roman" w:hAnsi="Times New Roman"/>
                <w:sz w:val="18"/>
              </w:rPr>
              <w:t>.</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6</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0,00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0,00</w:t>
            </w:r>
          </w:p>
        </w:tc>
      </w:tr>
      <w:tr>
        <w:trPr>
          <w:trHeight w:val="216" w:hRule="exact"/>
        </w:trPr>
        <w:tc>
          <w:tcPr>
            <w:tcW w:w="3418"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719" w:right="0"/>
              <w:jc w:val="left"/>
              <w:rPr>
                <w:rFonts w:ascii="Times New Roman" w:hAnsi="Times New Roman" w:cs="Times New Roman" w:eastAsia="Times New Roman" w:hint="default"/>
                <w:sz w:val="18"/>
                <w:szCs w:val="18"/>
              </w:rPr>
            </w:pPr>
            <w:r>
              <w:rPr>
                <w:rFonts w:ascii="Times New Roman" w:hAnsi="Times New Roman"/>
                <w:b/>
                <w:sz w:val="18"/>
              </w:rPr>
              <w:t>Укупно корисници</w:t>
            </w:r>
            <w:r>
              <w:rPr>
                <w:rFonts w:ascii="Times New Roman" w:hAnsi="Times New Roman"/>
                <w:b/>
                <w:spacing w:val="-2"/>
                <w:sz w:val="18"/>
              </w:rPr>
              <w:t> </w:t>
            </w:r>
            <w:r>
              <w:rPr>
                <w:rFonts w:ascii="Times New Roman" w:hAnsi="Times New Roman"/>
                <w:b/>
                <w:sz w:val="18"/>
              </w:rPr>
              <w:t>(1</w:t>
            </w:r>
            <w:r>
              <w:rPr>
                <w:rFonts w:ascii="Times New Roman" w:hAnsi="Times New Roman"/>
                <w:b/>
                <w:sz w:val="18"/>
              </w:rPr>
              <w:t>-5)</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37.690</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38.896</w:t>
            </w:r>
            <w:r>
              <w:rPr>
                <w:rFonts w:ascii="Times New Roman"/>
                <w:spacing w:val="-1"/>
                <w:sz w:val="18"/>
              </w:rPr>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30.366</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30.098</w:t>
            </w:r>
            <w:r>
              <w:rPr>
                <w:rFonts w:ascii="Times New Roman"/>
                <w:spacing w:val="-1"/>
                <w:sz w:val="18"/>
              </w:rPr>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77,38</w:t>
            </w:r>
            <w:r>
              <w:rPr>
                <w:rFonts w:asci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97"/>
              <w:jc w:val="right"/>
              <w:rPr>
                <w:rFonts w:ascii="Times New Roman" w:hAnsi="Times New Roman" w:cs="Times New Roman" w:eastAsia="Times New Roman" w:hint="default"/>
                <w:sz w:val="18"/>
                <w:szCs w:val="18"/>
              </w:rPr>
            </w:pPr>
            <w:r>
              <w:rPr>
                <w:rFonts w:ascii="Times New Roman"/>
                <w:b/>
                <w:sz w:val="18"/>
              </w:rPr>
              <w:t>99,12</w:t>
            </w:r>
            <w:r>
              <w:rPr>
                <w:rFonts w:ascii="Times New Roman"/>
                <w:sz w:val="18"/>
              </w:rPr>
            </w:r>
          </w:p>
        </w:tc>
      </w:tr>
      <w:tr>
        <w:trPr>
          <w:trHeight w:val="218" w:hRule="exact"/>
        </w:trPr>
        <w:tc>
          <w:tcPr>
            <w:tcW w:w="3418"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595" w:right="0"/>
              <w:jc w:val="left"/>
              <w:rPr>
                <w:rFonts w:ascii="Times New Roman" w:hAnsi="Times New Roman" w:cs="Times New Roman" w:eastAsia="Times New Roman" w:hint="default"/>
                <w:sz w:val="18"/>
                <w:szCs w:val="18"/>
              </w:rPr>
            </w:pPr>
            <w:r>
              <w:rPr>
                <w:rFonts w:ascii="Times New Roman" w:hAnsi="Times New Roman"/>
                <w:b/>
                <w:sz w:val="18"/>
              </w:rPr>
              <w:t>Укупно Град </w:t>
            </w:r>
            <w:r>
              <w:rPr>
                <w:rFonts w:ascii="Times New Roman" w:hAnsi="Times New Roman"/>
                <w:b/>
                <w:sz w:val="18"/>
              </w:rPr>
              <w:t>- </w:t>
            </w:r>
            <w:r>
              <w:rPr>
                <w:rFonts w:ascii="Times New Roman" w:hAnsi="Times New Roman"/>
                <w:b/>
                <w:sz w:val="18"/>
              </w:rPr>
              <w:t>група</w:t>
            </w:r>
            <w:r>
              <w:rPr>
                <w:rFonts w:ascii="Times New Roman" w:hAnsi="Times New Roman"/>
                <w:b/>
                <w:spacing w:val="-7"/>
                <w:sz w:val="18"/>
              </w:rPr>
              <w:t> </w:t>
            </w:r>
            <w:r>
              <w:rPr>
                <w:rFonts w:ascii="Times New Roman" w:hAnsi="Times New Roman"/>
                <w:b/>
                <w:sz w:val="18"/>
              </w:rPr>
              <w:t>482000</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b/>
                <w:spacing w:val="-1"/>
                <w:sz w:val="18"/>
              </w:rPr>
              <w:t>67.651</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b/>
                <w:spacing w:val="-1"/>
                <w:sz w:val="18"/>
              </w:rPr>
              <w:t>68.857</w:t>
            </w:r>
            <w:r>
              <w:rPr>
                <w:rFonts w:ascii="Times New Roman"/>
                <w:spacing w:val="-1"/>
                <w:sz w:val="18"/>
              </w:rPr>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b/>
                <w:spacing w:val="-1"/>
                <w:sz w:val="18"/>
              </w:rPr>
              <w:t>33.746</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b/>
                <w:spacing w:val="-1"/>
                <w:sz w:val="18"/>
              </w:rPr>
              <w:t>33.478</w:t>
            </w:r>
            <w:r>
              <w:rPr>
                <w:rFonts w:ascii="Times New Roman"/>
                <w:spacing w:val="-1"/>
                <w:sz w:val="18"/>
              </w:rPr>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b/>
                <w:sz w:val="18"/>
              </w:rPr>
              <w:t>48,62</w:t>
            </w:r>
            <w:r>
              <w:rPr>
                <w:rFonts w:asci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97"/>
              <w:jc w:val="right"/>
              <w:rPr>
                <w:rFonts w:ascii="Times New Roman" w:hAnsi="Times New Roman" w:cs="Times New Roman" w:eastAsia="Times New Roman" w:hint="default"/>
                <w:sz w:val="18"/>
                <w:szCs w:val="18"/>
              </w:rPr>
            </w:pPr>
            <w:r>
              <w:rPr>
                <w:rFonts w:ascii="Times New Roman"/>
                <w:b/>
                <w:sz w:val="18"/>
              </w:rPr>
              <w:t>99,21</w:t>
            </w:r>
            <w:r>
              <w:rPr>
                <w:rFonts w:ascii="Times New Roman"/>
                <w:sz w:val="18"/>
              </w:rPr>
            </w:r>
          </w:p>
        </w:tc>
      </w:tr>
    </w:tbl>
    <w:p>
      <w:pPr>
        <w:pStyle w:val="BodyText"/>
        <w:spacing w:line="240" w:lineRule="auto"/>
        <w:ind w:right="254" w:firstLine="719"/>
        <w:jc w:val="both"/>
      </w:pPr>
      <w:r>
        <w:rPr/>
        <w:t>Исказано је извршење у износу од </w:t>
      </w:r>
      <w:r>
        <w:rPr>
          <w:rFonts w:ascii="Times New Roman" w:hAnsi="Times New Roman"/>
        </w:rPr>
        <w:t>33.746 </w:t>
      </w:r>
      <w:r>
        <w:rPr/>
        <w:t>хиљада динара и то</w:t>
      </w:r>
      <w:r>
        <w:rPr>
          <w:rFonts w:ascii="Times New Roman" w:hAnsi="Times New Roman"/>
        </w:rPr>
        <w:t>: </w:t>
      </w:r>
      <w:r>
        <w:rPr/>
        <w:t>из средстава буџета града у износу од </w:t>
      </w:r>
      <w:r>
        <w:rPr>
          <w:rFonts w:ascii="Times New Roman" w:hAnsi="Times New Roman"/>
        </w:rPr>
        <w:t>27.027 </w:t>
      </w:r>
      <w:r>
        <w:rPr/>
        <w:t>хиљада динара и из осталих извора у износу од </w:t>
      </w:r>
      <w:r>
        <w:rPr>
          <w:rFonts w:ascii="Times New Roman" w:hAnsi="Times New Roman"/>
        </w:rPr>
        <w:t>6.719 </w:t>
      </w:r>
      <w:r>
        <w:rPr/>
        <w:t>хиљад</w:t>
      </w:r>
      <w:r>
        <w:rPr>
          <w:rFonts w:ascii="Times New Roman" w:hAnsi="Times New Roman"/>
        </w:rPr>
        <w:t>a </w:t>
      </w:r>
      <w:r>
        <w:rPr/>
        <w:t>динара. Исказани су расходи за: остале порезе у износу од 26.285 хиљада динара, обавезне таксе у износу од 7.096 хиљада динара и новчане казне и пенале у износу од 365 хиљада</w:t>
      </w:r>
      <w:r>
        <w:rPr>
          <w:spacing w:val="-3"/>
        </w:rPr>
        <w:t> </w:t>
      </w:r>
      <w:r>
        <w:rPr/>
        <w:t>динара.</w:t>
      </w:r>
    </w:p>
    <w:p>
      <w:pPr>
        <w:pStyle w:val="ListParagraph"/>
        <w:numPr>
          <w:ilvl w:val="0"/>
          <w:numId w:val="46"/>
        </w:numPr>
        <w:tabs>
          <w:tab w:pos="1013" w:val="left" w:leader="none"/>
        </w:tabs>
        <w:spacing w:line="240" w:lineRule="auto" w:before="137" w:after="0"/>
        <w:ind w:left="160" w:right="0" w:firstLine="566"/>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w:t>
      </w:r>
      <w:r>
        <w:rPr>
          <w:rFonts w:ascii="Times New Roman" w:hAnsi="Times New Roman" w:cs="Times New Roman" w:eastAsia="Times New Roman" w:hint="default"/>
          <w:b/>
          <w:bCs/>
          <w:spacing w:val="27"/>
          <w:sz w:val="24"/>
          <w:szCs w:val="24"/>
        </w:rPr>
        <w:t> </w:t>
      </w:r>
      <w:r>
        <w:rPr>
          <w:rFonts w:ascii="Times New Roman" w:hAnsi="Times New Roman" w:cs="Times New Roman" w:eastAsia="Times New Roman" w:hint="default"/>
          <w:b/>
          <w:bCs/>
          <w:sz w:val="24"/>
          <w:szCs w:val="24"/>
        </w:rPr>
        <w:t>за</w:t>
      </w:r>
      <w:r>
        <w:rPr>
          <w:rFonts w:ascii="Times New Roman" w:hAnsi="Times New Roman" w:cs="Times New Roman" w:eastAsia="Times New Roman" w:hint="default"/>
          <w:b/>
          <w:bCs/>
          <w:spacing w:val="27"/>
          <w:sz w:val="24"/>
          <w:szCs w:val="24"/>
        </w:rPr>
        <w:t> </w:t>
      </w:r>
      <w:r>
        <w:rPr>
          <w:rFonts w:ascii="Times New Roman" w:hAnsi="Times New Roman" w:cs="Times New Roman" w:eastAsia="Times New Roman" w:hint="default"/>
          <w:b/>
          <w:bCs/>
          <w:sz w:val="24"/>
          <w:szCs w:val="24"/>
        </w:rPr>
        <w:t>имовину</w:t>
      </w:r>
      <w:r>
        <w:rPr>
          <w:rFonts w:ascii="Times New Roman" w:hAnsi="Times New Roman" w:cs="Times New Roman" w:eastAsia="Times New Roman" w:hint="default"/>
          <w:b/>
          <w:bCs/>
          <w:spacing w:val="27"/>
          <w:sz w:val="24"/>
          <w:szCs w:val="24"/>
        </w:rPr>
        <w:t> </w:t>
      </w:r>
      <w:r>
        <w:rPr>
          <w:rFonts w:ascii="Times New Roman" w:hAnsi="Times New Roman" w:cs="Times New Roman" w:eastAsia="Times New Roman" w:hint="default"/>
          <w:b/>
          <w:bCs/>
          <w:sz w:val="24"/>
          <w:szCs w:val="24"/>
        </w:rPr>
        <w:t>и</w:t>
      </w:r>
      <w:r>
        <w:rPr>
          <w:rFonts w:ascii="Times New Roman" w:hAnsi="Times New Roman" w:cs="Times New Roman" w:eastAsia="Times New Roman" w:hint="default"/>
          <w:b/>
          <w:bCs/>
          <w:spacing w:val="26"/>
          <w:sz w:val="24"/>
          <w:szCs w:val="24"/>
        </w:rPr>
        <w:t> </w:t>
      </w:r>
      <w:r>
        <w:rPr>
          <w:rFonts w:ascii="Times New Roman" w:hAnsi="Times New Roman" w:cs="Times New Roman" w:eastAsia="Times New Roman" w:hint="default"/>
          <w:b/>
          <w:bCs/>
          <w:sz w:val="24"/>
          <w:szCs w:val="24"/>
        </w:rPr>
        <w:t>инспекцијске</w:t>
      </w:r>
      <w:r>
        <w:rPr>
          <w:rFonts w:ascii="Times New Roman" w:hAnsi="Times New Roman" w:cs="Times New Roman" w:eastAsia="Times New Roman" w:hint="default"/>
          <w:b/>
          <w:bCs/>
          <w:spacing w:val="26"/>
          <w:sz w:val="24"/>
          <w:szCs w:val="24"/>
        </w:rPr>
        <w:t> </w:t>
      </w:r>
      <w:r>
        <w:rPr>
          <w:rFonts w:ascii="Times New Roman" w:hAnsi="Times New Roman" w:cs="Times New Roman" w:eastAsia="Times New Roman" w:hint="default"/>
          <w:b/>
          <w:bCs/>
          <w:sz w:val="24"/>
          <w:szCs w:val="24"/>
        </w:rPr>
        <w:t>послове</w:t>
      </w:r>
      <w:r>
        <w:rPr>
          <w:rFonts w:ascii="Times New Roman" w:hAnsi="Times New Roman" w:cs="Times New Roman" w:eastAsia="Times New Roman" w:hint="default"/>
          <w:b/>
          <w:bCs/>
          <w:spacing w:val="31"/>
          <w:sz w:val="24"/>
          <w:szCs w:val="24"/>
        </w:rPr>
        <w:t> </w:t>
      </w:r>
      <w:r>
        <w:rPr>
          <w:rFonts w:ascii="Times New Roman" w:hAnsi="Times New Roman" w:cs="Times New Roman" w:eastAsia="Times New Roman" w:hint="default"/>
          <w:sz w:val="24"/>
          <w:szCs w:val="24"/>
        </w:rPr>
        <w:t>–</w:t>
      </w:r>
      <w:r>
        <w:rPr>
          <w:rFonts w:ascii="Times New Roman" w:hAnsi="Times New Roman" w:cs="Times New Roman" w:eastAsia="Times New Roman" w:hint="default"/>
          <w:spacing w:val="27"/>
          <w:sz w:val="24"/>
          <w:szCs w:val="24"/>
        </w:rPr>
        <w:t> </w:t>
      </w:r>
      <w:r>
        <w:rPr>
          <w:rFonts w:ascii="Times New Roman" w:hAnsi="Times New Roman" w:cs="Times New Roman" w:eastAsia="Times New Roman" w:hint="default"/>
          <w:sz w:val="24"/>
          <w:szCs w:val="24"/>
        </w:rPr>
        <w:t>Исказан</w:t>
      </w:r>
      <w:r>
        <w:rPr>
          <w:rFonts w:ascii="Times New Roman" w:hAnsi="Times New Roman" w:cs="Times New Roman" w:eastAsia="Times New Roman" w:hint="default"/>
          <w:spacing w:val="28"/>
          <w:sz w:val="24"/>
          <w:szCs w:val="24"/>
        </w:rPr>
        <w:t> </w:t>
      </w:r>
      <w:r>
        <w:rPr>
          <w:rFonts w:ascii="Times New Roman" w:hAnsi="Times New Roman" w:cs="Times New Roman" w:eastAsia="Times New Roman" w:hint="default"/>
          <w:sz w:val="24"/>
          <w:szCs w:val="24"/>
        </w:rPr>
        <w:t>је</w:t>
      </w:r>
      <w:r>
        <w:rPr>
          <w:rFonts w:ascii="Times New Roman" w:hAnsi="Times New Roman" w:cs="Times New Roman" w:eastAsia="Times New Roman" w:hint="default"/>
          <w:spacing w:val="27"/>
          <w:sz w:val="24"/>
          <w:szCs w:val="24"/>
        </w:rPr>
        <w:t> </w:t>
      </w:r>
      <w:r>
        <w:rPr>
          <w:rFonts w:ascii="Times New Roman" w:hAnsi="Times New Roman" w:cs="Times New Roman" w:eastAsia="Times New Roman" w:hint="default"/>
          <w:sz w:val="24"/>
          <w:szCs w:val="24"/>
        </w:rPr>
        <w:t>расход</w:t>
      </w:r>
      <w:r>
        <w:rPr>
          <w:rFonts w:ascii="Times New Roman" w:hAnsi="Times New Roman" w:cs="Times New Roman" w:eastAsia="Times New Roman" w:hint="default"/>
          <w:spacing w:val="25"/>
          <w:sz w:val="24"/>
          <w:szCs w:val="24"/>
        </w:rPr>
        <w:t> </w:t>
      </w:r>
      <w:r>
        <w:rPr>
          <w:rFonts w:ascii="Times New Roman" w:hAnsi="Times New Roman" w:cs="Times New Roman" w:eastAsia="Times New Roman" w:hint="default"/>
          <w:sz w:val="24"/>
          <w:szCs w:val="24"/>
        </w:rPr>
        <w:t>у</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износу</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од</w:t>
      </w:r>
    </w:p>
    <w:p>
      <w:pPr>
        <w:pStyle w:val="BodyText"/>
        <w:spacing w:line="240" w:lineRule="auto"/>
        <w:ind w:right="253"/>
        <w:jc w:val="left"/>
        <w:rPr>
          <w:rFonts w:ascii="Times New Roman" w:hAnsi="Times New Roman" w:cs="Times New Roman" w:eastAsia="Times New Roman" w:hint="default"/>
        </w:rPr>
      </w:pPr>
      <w:r>
        <w:rPr/>
        <w:t>22.153 хиљаде</w:t>
      </w:r>
      <w:r>
        <w:rPr>
          <w:spacing w:val="-2"/>
        </w:rPr>
        <w:t> </w:t>
      </w:r>
      <w:r>
        <w:rPr/>
        <w:t>динара</w:t>
      </w:r>
      <w:r>
        <w:rPr>
          <w:rFonts w:ascii="Times New Roman" w:hAnsi="Times New Roman"/>
        </w:rPr>
        <w:t>.</w:t>
      </w:r>
    </w:p>
    <w:p>
      <w:pPr>
        <w:pStyle w:val="BodyText"/>
        <w:spacing w:line="240" w:lineRule="auto"/>
        <w:ind w:left="726" w:right="253"/>
        <w:jc w:val="left"/>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Остали</w:t>
      </w:r>
      <w:r>
        <w:rPr>
          <w:spacing w:val="25"/>
          <w:u w:val="single" w:color="000000"/>
        </w:rPr>
        <w:t> </w:t>
      </w:r>
      <w:r>
        <w:rPr>
          <w:u w:val="single" w:color="000000"/>
        </w:rPr>
        <w:t>порези,</w:t>
      </w:r>
      <w:r>
        <w:rPr>
          <w:spacing w:val="24"/>
          <w:u w:val="single" w:color="000000"/>
        </w:rPr>
        <w:t> </w:t>
      </w:r>
      <w:r>
        <w:rPr>
          <w:u w:val="single" w:color="000000"/>
        </w:rPr>
        <w:t>субаналитички</w:t>
      </w:r>
      <w:r>
        <w:rPr>
          <w:spacing w:val="22"/>
          <w:u w:val="single" w:color="000000"/>
        </w:rPr>
        <w:t> </w:t>
      </w:r>
      <w:r>
        <w:rPr>
          <w:u w:val="single" w:color="000000"/>
        </w:rPr>
        <w:t>конто</w:t>
      </w:r>
      <w:r>
        <w:rPr>
          <w:spacing w:val="24"/>
          <w:u w:val="single" w:color="000000"/>
        </w:rPr>
        <w:t> </w:t>
      </w:r>
      <w:r>
        <w:rPr>
          <w:u w:val="single" w:color="000000"/>
        </w:rPr>
        <w:t>482191</w:t>
      </w:r>
      <w:r>
        <w:rPr>
          <w:spacing w:val="22"/>
          <w:u w:val="single" w:color="000000"/>
        </w:rPr>
        <w:t> </w:t>
      </w:r>
      <w:r>
        <w:rPr>
          <w:spacing w:val="22"/>
        </w:rPr>
      </w:r>
      <w:r>
        <w:rPr/>
        <w:t>–</w:t>
      </w:r>
      <w:r>
        <w:rPr>
          <w:spacing w:val="24"/>
        </w:rPr>
        <w:t> </w:t>
      </w:r>
      <w:r>
        <w:rPr/>
        <w:t>Евидентиран</w:t>
      </w:r>
      <w:r>
        <w:rPr>
          <w:spacing w:val="22"/>
        </w:rPr>
        <w:t> </w:t>
      </w:r>
      <w:r>
        <w:rPr/>
        <w:t>је</w:t>
      </w:r>
      <w:r>
        <w:rPr>
          <w:spacing w:val="23"/>
        </w:rPr>
        <w:t> </w:t>
      </w:r>
      <w:r>
        <w:rPr/>
        <w:t>расход</w:t>
      </w:r>
      <w:r>
        <w:rPr>
          <w:spacing w:val="26"/>
        </w:rPr>
        <w:t> </w:t>
      </w:r>
      <w:r>
        <w:rPr/>
        <w:t>у</w:t>
      </w:r>
      <w:r>
        <w:rPr>
          <w:spacing w:val="19"/>
        </w:rPr>
        <w:t> </w:t>
      </w:r>
      <w:r>
        <w:rPr/>
        <w:t>износу</w:t>
      </w:r>
      <w:r>
        <w:rPr>
          <w:spacing w:val="16"/>
        </w:rPr>
        <w:t> </w:t>
      </w:r>
      <w:r>
        <w:rPr/>
        <w:t>од</w:t>
      </w:r>
    </w:p>
    <w:p>
      <w:pPr>
        <w:pStyle w:val="BodyText"/>
        <w:spacing w:line="240" w:lineRule="auto"/>
        <w:ind w:right="253"/>
        <w:jc w:val="left"/>
      </w:pPr>
      <w:r>
        <w:rPr/>
        <w:t>22.153 хиљаде динара по основу плаћања пореза на додату</w:t>
      </w:r>
      <w:r>
        <w:rPr>
          <w:spacing w:val="-18"/>
        </w:rPr>
        <w:t> </w:t>
      </w:r>
      <w:r>
        <w:rPr/>
        <w:t>вредност.</w:t>
      </w:r>
    </w:p>
    <w:p>
      <w:pPr>
        <w:pStyle w:val="BodyText"/>
        <w:spacing w:line="240" w:lineRule="auto"/>
        <w:ind w:right="254" w:firstLine="566"/>
        <w:jc w:val="both"/>
      </w:pPr>
      <w:r>
        <w:rPr>
          <w:rFonts w:ascii="Times New Roman" w:hAnsi="Times New Roman" w:cs="Times New Roman" w:eastAsia="Times New Roman" w:hint="default"/>
          <w:b/>
          <w:bCs/>
        </w:rPr>
        <w:t>На основу ревизије узорковане докуметације утврђено је </w:t>
      </w:r>
      <w:r>
        <w:rPr/>
        <w:t>да расходи за порезе, обавезне таксе и казне у износу од 22.153 хиљаде динара нису рачуноводствено евидентирани преко групе 245000 – обавезе за остале расходе, што је супротно члану 9. Уредбе о буџетском рачуноводству и Правилнику о стандардном класификационом оквиру и контном плану за буџетски</w:t>
      </w:r>
      <w:r>
        <w:rPr>
          <w:spacing w:val="-21"/>
        </w:rPr>
        <w:t> </w:t>
      </w:r>
      <w:r>
        <w:rPr/>
        <w:t>систем.</w:t>
      </w:r>
    </w:p>
    <w:p>
      <w:pPr>
        <w:pStyle w:val="Heading2"/>
        <w:spacing w:line="240" w:lineRule="auto"/>
        <w:ind w:right="259"/>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ListParagraph"/>
        <w:numPr>
          <w:ilvl w:val="0"/>
          <w:numId w:val="46"/>
        </w:numPr>
        <w:tabs>
          <w:tab w:pos="1013" w:val="left" w:leader="none"/>
        </w:tabs>
        <w:spacing w:line="240" w:lineRule="auto" w:before="134" w:after="0"/>
        <w:ind w:left="160" w:right="254" w:firstLine="566"/>
        <w:jc w:val="both"/>
        <w:rPr>
          <w:rFonts w:ascii="Times New Roman" w:hAnsi="Times New Roman" w:cs="Times New Roman" w:eastAsia="Times New Roman" w:hint="default"/>
          <w:sz w:val="22"/>
          <w:szCs w:val="22"/>
        </w:rPr>
      </w:pPr>
      <w:r>
        <w:rPr>
          <w:rFonts w:ascii="Times New Roman" w:hAnsi="Times New Roman"/>
          <w:b/>
          <w:sz w:val="24"/>
        </w:rPr>
        <w:t>Управа за финансије, изворне приходе локалне самоуправе и јавне набавке </w:t>
      </w:r>
      <w:r>
        <w:rPr>
          <w:rFonts w:ascii="Times New Roman" w:hAnsi="Times New Roman"/>
          <w:sz w:val="24"/>
        </w:rPr>
        <w:t>- </w:t>
      </w:r>
      <w:r>
        <w:rPr>
          <w:rFonts w:ascii="Times New Roman" w:hAnsi="Times New Roman"/>
          <w:sz w:val="24"/>
        </w:rPr>
        <w:t>Исказан је расход у износу од 625 хиљада</w:t>
      </w:r>
      <w:r>
        <w:rPr>
          <w:rFonts w:ascii="Times New Roman" w:hAnsi="Times New Roman"/>
          <w:spacing w:val="-11"/>
          <w:sz w:val="24"/>
        </w:rPr>
        <w:t> </w:t>
      </w:r>
      <w:r>
        <w:rPr>
          <w:rFonts w:ascii="Times New Roman" w:hAnsi="Times New Roman"/>
          <w:sz w:val="24"/>
        </w:rPr>
        <w:t>динара</w:t>
      </w:r>
      <w:r>
        <w:rPr>
          <w:rFonts w:ascii="Times New Roman" w:hAnsi="Times New Roman"/>
          <w:sz w:val="24"/>
        </w:rPr>
        <w:t>.</w:t>
      </w:r>
    </w:p>
    <w:p>
      <w:pPr>
        <w:spacing w:after="0" w:line="240" w:lineRule="auto"/>
        <w:jc w:val="both"/>
        <w:rPr>
          <w:rFonts w:ascii="Times New Roman" w:hAnsi="Times New Roman" w:cs="Times New Roman" w:eastAsia="Times New Roman" w:hint="default"/>
          <w:sz w:val="22"/>
          <w:szCs w:val="22"/>
        </w:rPr>
        <w:sectPr>
          <w:pgSz w:w="12240" w:h="15840"/>
          <w:pgMar w:header="740" w:footer="1274" w:top="1280" w:bottom="1460" w:left="1400" w:right="1180"/>
        </w:sectPr>
      </w:pPr>
    </w:p>
    <w:p>
      <w:pPr>
        <w:pStyle w:val="BodyText"/>
        <w:spacing w:line="240" w:lineRule="auto" w:before="122"/>
        <w:ind w:right="175"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Остали порези, субаналитички конто 482191 </w:t>
      </w:r>
      <w:r>
        <w:rPr/>
        <w:t>– Исказан је расход у износу од 368 </w:t>
      </w:r>
      <w:r>
        <w:rPr/>
        <w:t>хиљада динара по основу плаћеног пореза на додату вредност за радове по Уговору број </w:t>
      </w:r>
      <w:r>
        <w:rPr>
          <w:rFonts w:ascii="Times New Roman" w:hAnsi="Times New Roman" w:cs="Times New Roman" w:eastAsia="Times New Roman" w:hint="default"/>
        </w:rPr>
        <w:t>10-</w:t>
      </w:r>
      <w:r>
        <w:rPr/>
        <w:t>1349/2014 од </w:t>
      </w:r>
      <w:r>
        <w:rPr>
          <w:rFonts w:ascii="Times New Roman" w:hAnsi="Times New Roman" w:cs="Times New Roman" w:eastAsia="Times New Roman" w:hint="default"/>
        </w:rPr>
        <w:t>01.0</w:t>
      </w:r>
      <w:r>
        <w:rPr/>
        <w:t>8.2014. године закљученом са ЈКП „</w:t>
      </w:r>
      <w:r>
        <w:rPr>
          <w:rFonts w:ascii="Times New Roman" w:hAnsi="Times New Roman" w:cs="Times New Roman" w:eastAsia="Times New Roman" w:hint="default"/>
        </w:rPr>
        <w:t>Naissus</w:t>
      </w:r>
      <w:r>
        <w:rPr/>
        <w:t>“ Ниш, за изградњу потисног цевовода за водоснабдевање у селу</w:t>
      </w:r>
      <w:r>
        <w:rPr>
          <w:spacing w:val="-15"/>
        </w:rPr>
        <w:t> </w:t>
      </w:r>
      <w:r>
        <w:rPr/>
        <w:t>Бреница.</w:t>
      </w:r>
    </w:p>
    <w:p>
      <w:pPr>
        <w:pStyle w:val="BodyText"/>
        <w:spacing w:line="240" w:lineRule="auto"/>
        <w:ind w:left="726" w:right="141"/>
        <w:jc w:val="left"/>
      </w:pPr>
      <w:r>
        <w:rPr/>
        <w:t>Ревизијом је утврђено да узоркована документа не садрже</w:t>
      </w:r>
      <w:r>
        <w:rPr>
          <w:spacing w:val="-23"/>
        </w:rPr>
        <w:t> </w:t>
      </w:r>
      <w:r>
        <w:rPr/>
        <w:t>неправилности.</w:t>
      </w:r>
    </w:p>
    <w:p>
      <w:pPr>
        <w:pStyle w:val="BodyText"/>
        <w:spacing w:line="240" w:lineRule="auto"/>
        <w:ind w:right="182"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Републичке таксе, субаналитички конто 482211 </w:t>
      </w:r>
      <w:r>
        <w:rPr/>
        <w:t>– Исказан је расход у износу од 236 </w:t>
      </w:r>
      <w:r>
        <w:rPr/>
        <w:t>хиљада динара по основу плаћања такси за регистрацију 38</w:t>
      </w:r>
      <w:r>
        <w:rPr>
          <w:spacing w:val="-22"/>
        </w:rPr>
        <w:t> </w:t>
      </w:r>
      <w:r>
        <w:rPr/>
        <w:t>возила.</w:t>
      </w:r>
    </w:p>
    <w:p>
      <w:pPr>
        <w:pStyle w:val="Heading1"/>
        <w:spacing w:line="275" w:lineRule="exact"/>
        <w:ind w:right="141"/>
        <w:jc w:val="left"/>
        <w:rPr>
          <w:b w:val="0"/>
          <w:bCs w:val="0"/>
        </w:rPr>
      </w:pPr>
      <w:r>
        <w:rPr/>
        <w:t>На основу ревизије узорковане докуметације утврђено</w:t>
      </w:r>
      <w:r>
        <w:rPr>
          <w:spacing w:val="-11"/>
        </w:rPr>
        <w:t> </w:t>
      </w:r>
      <w:r>
        <w:rPr/>
        <w:t>је:</w:t>
      </w:r>
      <w:r>
        <w:rPr>
          <w:b w:val="0"/>
        </w:rPr>
      </w:r>
    </w:p>
    <w:p>
      <w:pPr>
        <w:pStyle w:val="ListParagraph"/>
        <w:numPr>
          <w:ilvl w:val="0"/>
          <w:numId w:val="9"/>
        </w:numPr>
        <w:tabs>
          <w:tab w:pos="303"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Средства за плаћање такси за регистрацију возила, нису планирана у складу са организационом класификацијом, јер су планирана код директног корисника Управе за финансије, изворне приходе локалне самоуправе и јавне набавке, док је власник службених возила директни корисник Служба за одржавање и информатичко комуникационе технологије, што је супротно члану 29. Закона о буџетском систему и члану 17. Одлуке о прибављању, располагању и управљању стварима у јавној својини града</w:t>
      </w:r>
      <w:r>
        <w:rPr>
          <w:rFonts w:ascii="Times New Roman" w:hAnsi="Times New Roman"/>
          <w:spacing w:val="-3"/>
          <w:sz w:val="24"/>
        </w:rPr>
        <w:t> </w:t>
      </w:r>
      <w:r>
        <w:rPr>
          <w:rFonts w:ascii="Times New Roman" w:hAnsi="Times New Roman"/>
          <w:sz w:val="24"/>
        </w:rPr>
        <w:t>Ниша.</w:t>
      </w:r>
    </w:p>
    <w:p>
      <w:pPr>
        <w:pStyle w:val="ListParagraph"/>
        <w:numPr>
          <w:ilvl w:val="0"/>
          <w:numId w:val="9"/>
        </w:numPr>
        <w:tabs>
          <w:tab w:pos="303" w:val="left" w:leader="none"/>
        </w:tabs>
        <w:spacing w:line="240" w:lineRule="auto" w:before="2" w:after="0"/>
        <w:ind w:left="160" w:right="17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Расходи за порезе, обавезне таксе и казне у износу од 625 хиљада динара нису рачуноводствено евидентирани преко групе 245000 – обавезе за остале расходе,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29"/>
          <w:sz w:val="24"/>
          <w:szCs w:val="24"/>
        </w:rPr>
        <w:t> </w:t>
      </w:r>
      <w:r>
        <w:rPr>
          <w:rFonts w:ascii="Times New Roman" w:hAnsi="Times New Roman" w:cs="Times New Roman" w:eastAsia="Times New Roman" w:hint="default"/>
          <w:sz w:val="24"/>
          <w:szCs w:val="24"/>
        </w:rPr>
        <w:t>систем.</w:t>
      </w:r>
    </w:p>
    <w:p>
      <w:pPr>
        <w:pStyle w:val="Heading2"/>
        <w:spacing w:line="240" w:lineRule="auto"/>
        <w:ind w:right="173"/>
        <w:jc w:val="both"/>
        <w:rPr>
          <w:rFonts w:ascii="Times New Roman" w:hAnsi="Times New Roman" w:cs="Times New Roman" w:eastAsia="Times New Roman" w:hint="default"/>
          <w:b w:val="0"/>
          <w:bCs w:val="0"/>
          <w:i w:val="0"/>
        </w:rPr>
      </w:pPr>
      <w:r>
        <w:rPr>
          <w:i/>
        </w:rPr>
        <w:t>Препоручује се одговорним лицима да у потпуности примењују јединствену буџетску класификацију и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3"/>
        </w:rPr>
        <w:t> </w:t>
      </w:r>
      <w:r>
        <w:rPr>
          <w:i/>
        </w:rPr>
        <w:t>систем</w:t>
      </w:r>
      <w:r>
        <w:rPr>
          <w:rFonts w:ascii="Times New Roman" w:hAnsi="Times New Roman"/>
          <w:i/>
        </w:rPr>
        <w:t>.</w:t>
      </w:r>
      <w:r>
        <w:rPr>
          <w:rFonts w:ascii="Times New Roman" w:hAnsi="Times New Roman"/>
          <w:b w:val="0"/>
          <w:i w:val="0"/>
        </w:rPr>
      </w:r>
    </w:p>
    <w:p>
      <w:pPr>
        <w:pStyle w:val="ListParagraph"/>
        <w:numPr>
          <w:ilvl w:val="0"/>
          <w:numId w:val="46"/>
        </w:numPr>
        <w:tabs>
          <w:tab w:pos="1020" w:val="left" w:leader="none"/>
        </w:tabs>
        <w:spacing w:line="240" w:lineRule="auto" w:before="132" w:after="0"/>
        <w:ind w:left="160" w:right="177"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 за образовање – </w:t>
      </w:r>
      <w:r>
        <w:rPr>
          <w:rFonts w:ascii="Times New Roman" w:hAnsi="Times New Roman" w:cs="Times New Roman" w:eastAsia="Times New Roman" w:hint="default"/>
          <w:sz w:val="24"/>
          <w:szCs w:val="24"/>
        </w:rPr>
        <w:t>Исказан је расход у износу од </w:t>
      </w:r>
      <w:r>
        <w:rPr>
          <w:rFonts w:ascii="Times New Roman" w:hAnsi="Times New Roman" w:cs="Times New Roman" w:eastAsia="Times New Roman" w:hint="default"/>
          <w:sz w:val="24"/>
          <w:szCs w:val="24"/>
        </w:rPr>
        <w:t>5.098 </w:t>
      </w:r>
      <w:r>
        <w:rPr>
          <w:rFonts w:ascii="Times New Roman" w:hAnsi="Times New Roman" w:cs="Times New Roman" w:eastAsia="Times New Roman" w:hint="default"/>
          <w:sz w:val="24"/>
          <w:szCs w:val="24"/>
        </w:rPr>
        <w:t>хиљада динара, који се односи на индиректне кориснике: ПУ Пчелица у износу од 3.639 хиљада динара, Регионални центар за професионални развој запослених у образовању у износу од 1.125 хиљада динара и Дечији центар у износу од 334 хиљаде</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динара.</w:t>
      </w:r>
    </w:p>
    <w:p>
      <w:pPr>
        <w:pStyle w:val="BodyText"/>
        <w:spacing w:line="240" w:lineRule="auto"/>
        <w:ind w:right="179" w:firstLine="566"/>
        <w:jc w:val="both"/>
      </w:pPr>
      <w:r>
        <w:rPr>
          <w:rFonts w:ascii="Times New Roman" w:hAnsi="Times New Roman"/>
          <w:b/>
        </w:rPr>
        <w:t>3а) ПУ Пчелица </w:t>
      </w:r>
      <w:r>
        <w:rPr>
          <w:rFonts w:ascii="Times New Roman" w:hAnsi="Times New Roman"/>
        </w:rPr>
        <w:t>- </w:t>
      </w:r>
      <w:r>
        <w:rPr/>
        <w:t>Исказано је извршење у укупном износу од 3.639 хиљада динара из осталих изворa. Исказани су расходи за: обавезне таксе у износу од 3.609 хиљада динара и новчане казне и пенале у износу од 30 хиљада</w:t>
      </w:r>
      <w:r>
        <w:rPr>
          <w:spacing w:val="-22"/>
        </w:rPr>
        <w:t> </w:t>
      </w:r>
      <w:r>
        <w:rPr/>
        <w:t>динара.</w:t>
      </w:r>
    </w:p>
    <w:p>
      <w:pPr>
        <w:pStyle w:val="BodyText"/>
        <w:spacing w:line="240" w:lineRule="auto"/>
        <w:ind w:right="182"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Градске таксе, субаналитички конто 482231 </w:t>
      </w:r>
      <w:r>
        <w:rPr/>
      </w:r>
      <w:r>
        <w:rPr>
          <w:rFonts w:ascii="Times New Roman" w:hAnsi="Times New Roman" w:cs="Times New Roman" w:eastAsia="Times New Roman" w:hint="default"/>
          <w:b/>
          <w:bCs/>
        </w:rPr>
        <w:t>– </w:t>
      </w:r>
      <w:r>
        <w:rPr/>
        <w:t>Исказан је расход у износу од 2.605 хиљада динара из осталих извора</w:t>
      </w:r>
      <w:r>
        <w:rPr>
          <w:spacing w:val="-17"/>
        </w:rPr>
        <w:t> </w:t>
      </w:r>
      <w:r>
        <w:rPr/>
        <w:t>средстава.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83" w:firstLine="0"/>
        <w:jc w:val="both"/>
        <w:rPr>
          <w:rFonts w:ascii="Times New Roman" w:hAnsi="Times New Roman" w:cs="Times New Roman" w:eastAsia="Times New Roman" w:hint="default"/>
          <w:sz w:val="24"/>
          <w:szCs w:val="24"/>
        </w:rPr>
      </w:pPr>
      <w:r>
        <w:rPr>
          <w:rFonts w:ascii="Times New Roman" w:hAnsi="Times New Roman"/>
          <w:sz w:val="24"/>
        </w:rPr>
        <w:t>Извршен је расход у износу већем од износа одобреног апропријацијом за износ  од 1.639 хиљада динара из осталих извора, што је супротно члану 54. Закона о буџетском систему.</w:t>
      </w:r>
    </w:p>
    <w:p>
      <w:pPr>
        <w:pStyle w:val="ListParagraph"/>
        <w:numPr>
          <w:ilvl w:val="0"/>
          <w:numId w:val="9"/>
        </w:numPr>
        <w:tabs>
          <w:tab w:pos="303"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је евидентиран расход у укупном износу од 2.520 хиљада динара и то на име накнаде за коришћење градског грађевинског земљишта у износу од 674 хиљаде динара и на име накнаде за заштиту и унапређење животне средине у износу од 1.846 хиљада динара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уместо на групи 421000 – стални трошкови,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систем.</w:t>
      </w:r>
    </w:p>
    <w:p>
      <w:pPr>
        <w:pStyle w:val="Heading2"/>
        <w:spacing w:line="240" w:lineRule="auto"/>
        <w:ind w:right="175"/>
        <w:jc w:val="both"/>
        <w:rPr>
          <w:b w:val="0"/>
          <w:bCs w:val="0"/>
          <w:i w:val="0"/>
        </w:rPr>
      </w:pPr>
      <w:r>
        <w:rPr>
          <w:i/>
        </w:rPr>
        <w:t>Препоручује се одговорним лицима да расходе извршавају до износа одобрене апропријације буџетом за ту намену у тој години и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8"/>
        </w:rPr>
        <w:t> </w:t>
      </w:r>
      <w:r>
        <w:rPr>
          <w:i/>
        </w:rPr>
        <w:t>систем.</w:t>
      </w:r>
      <w:r>
        <w:rPr>
          <w:b w:val="0"/>
          <w:i w:val="0"/>
        </w:rPr>
      </w:r>
    </w:p>
    <w:p>
      <w:pPr>
        <w:spacing w:after="0" w:line="240" w:lineRule="auto"/>
        <w:jc w:val="both"/>
        <w:sectPr>
          <w:pgSz w:w="12240" w:h="15840"/>
          <w:pgMar w:header="740" w:footer="1274" w:top="1280" w:bottom="1460" w:left="1400" w:right="1260"/>
        </w:sectPr>
      </w:pPr>
    </w:p>
    <w:p>
      <w:pPr>
        <w:spacing w:line="240" w:lineRule="auto" w:before="6"/>
        <w:rPr>
          <w:rFonts w:ascii="Times New Roman" w:hAnsi="Times New Roman" w:cs="Times New Roman" w:eastAsia="Times New Roman" w:hint="default"/>
          <w:b/>
          <w:bCs/>
          <w:i/>
          <w:sz w:val="16"/>
          <w:szCs w:val="16"/>
        </w:rPr>
      </w:pPr>
    </w:p>
    <w:p>
      <w:pPr>
        <w:pStyle w:val="ListParagraph"/>
        <w:numPr>
          <w:ilvl w:val="0"/>
          <w:numId w:val="46"/>
        </w:numPr>
        <w:tabs>
          <w:tab w:pos="998" w:val="left" w:leader="none"/>
        </w:tabs>
        <w:spacing w:line="240" w:lineRule="auto" w:before="69" w:after="0"/>
        <w:ind w:left="160" w:right="252" w:firstLine="566"/>
        <w:jc w:val="both"/>
        <w:rPr>
          <w:rFonts w:ascii="Times New Roman" w:hAnsi="Times New Roman" w:cs="Times New Roman" w:eastAsia="Times New Roman" w:hint="default"/>
          <w:sz w:val="24"/>
          <w:szCs w:val="24"/>
        </w:rPr>
      </w:pPr>
      <w:r>
        <w:rPr>
          <w:rFonts w:ascii="Times New Roman" w:hAnsi="Times New Roman"/>
          <w:b/>
          <w:sz w:val="24"/>
        </w:rPr>
        <w:t>Управа за комуналне делатности, енергетику и саобраћај </w:t>
      </w:r>
      <w:r>
        <w:rPr>
          <w:rFonts w:ascii="Times New Roman" w:hAnsi="Times New Roman"/>
          <w:sz w:val="24"/>
        </w:rPr>
        <w:t>- </w:t>
      </w:r>
      <w:r>
        <w:rPr>
          <w:rFonts w:ascii="Times New Roman" w:hAnsi="Times New Roman"/>
          <w:sz w:val="24"/>
        </w:rPr>
        <w:t>Исказан је расход у износу од 2.490 хиљада динара, који се односи на индиректног корисника ЈП Дирекција.</w:t>
      </w:r>
    </w:p>
    <w:p>
      <w:pPr>
        <w:pStyle w:val="BodyText"/>
        <w:spacing w:line="240" w:lineRule="auto"/>
        <w:ind w:right="264" w:firstLine="566"/>
        <w:jc w:val="both"/>
      </w:pPr>
      <w:r>
        <w:rPr>
          <w:rFonts w:ascii="Times New Roman" w:hAnsi="Times New Roman" w:cs="Times New Roman" w:eastAsia="Times New Roman" w:hint="default"/>
          <w:b/>
          <w:bCs/>
        </w:rPr>
        <w:t>4</w:t>
      </w:r>
      <w:r>
        <w:rPr>
          <w:rFonts w:ascii="Times New Roman" w:hAnsi="Times New Roman" w:cs="Times New Roman" w:eastAsia="Times New Roman" w:hint="default"/>
          <w:b/>
          <w:bCs/>
        </w:rPr>
        <w:t>а) ЈП Дирекција </w:t>
      </w:r>
      <w:r>
        <w:rPr/>
        <w:t>– Исказан је расход у износу од 2.490 хиљада динара, из буџета града, и то за: остале порезе у износу од 1.071 хиљаде динара, обавезне таксе у износу</w:t>
      </w:r>
      <w:r>
        <w:rPr>
          <w:spacing w:val="38"/>
        </w:rPr>
        <w:t> </w:t>
      </w:r>
      <w:r>
        <w:rPr/>
        <w:t>од</w:t>
      </w:r>
    </w:p>
    <w:p>
      <w:pPr>
        <w:pStyle w:val="BodyText"/>
        <w:spacing w:line="240" w:lineRule="auto"/>
        <w:ind w:right="253"/>
        <w:jc w:val="left"/>
      </w:pPr>
      <w:r>
        <w:rPr/>
        <w:t>1.283 хиљаде динара и новчане казне и пенале у износу од 136 хиљада</w:t>
      </w:r>
      <w:r>
        <w:rPr>
          <w:spacing w:val="-25"/>
        </w:rPr>
        <w:t> </w:t>
      </w:r>
      <w:r>
        <w:rPr/>
        <w:t>динара.</w:t>
      </w:r>
    </w:p>
    <w:p>
      <w:pPr>
        <w:pStyle w:val="BodyText"/>
        <w:spacing w:line="240" w:lineRule="auto"/>
        <w:ind w:left="726" w:right="253"/>
        <w:jc w:val="left"/>
      </w:pPr>
      <w:r>
        <w:rPr/>
        <w:t>На основу ревизије узорковане документације нису утврђене</w:t>
      </w:r>
      <w:r>
        <w:rPr>
          <w:spacing w:val="-19"/>
        </w:rPr>
        <w:t> </w:t>
      </w:r>
      <w:r>
        <w:rPr/>
        <w:t>неправилности.</w:t>
      </w:r>
    </w:p>
    <w:p>
      <w:pPr>
        <w:spacing w:line="240" w:lineRule="auto" w:before="5"/>
        <w:rPr>
          <w:rFonts w:ascii="Times New Roman" w:hAnsi="Times New Roman" w:cs="Times New Roman" w:eastAsia="Times New Roman" w:hint="default"/>
          <w:sz w:val="24"/>
          <w:szCs w:val="24"/>
        </w:rPr>
      </w:pPr>
    </w:p>
    <w:p>
      <w:pPr>
        <w:pStyle w:val="Heading1"/>
        <w:numPr>
          <w:ilvl w:val="3"/>
          <w:numId w:val="47"/>
        </w:numPr>
        <w:tabs>
          <w:tab w:pos="1121" w:val="left" w:leader="none"/>
        </w:tabs>
        <w:spacing w:line="274" w:lineRule="exact" w:before="0" w:after="0"/>
        <w:ind w:left="1120" w:right="0" w:hanging="960"/>
        <w:jc w:val="left"/>
        <w:rPr>
          <w:b w:val="0"/>
          <w:bCs w:val="0"/>
        </w:rPr>
      </w:pPr>
      <w:bookmarkStart w:name="_bookmark33" w:id="58"/>
      <w:bookmarkEnd w:id="58"/>
      <w:r>
        <w:rPr>
          <w:b w:val="0"/>
        </w:rPr>
      </w:r>
      <w:bookmarkStart w:name="_bookmark33" w:id="59"/>
      <w:bookmarkEnd w:id="59"/>
      <w:r>
        <w:rPr/>
        <w:t>Новчане</w:t>
      </w:r>
      <w:r>
        <w:rPr/>
        <w:t> казне и пенали по решењу судова, група</w:t>
      </w:r>
      <w:r>
        <w:rPr>
          <w:spacing w:val="-9"/>
        </w:rPr>
        <w:t> </w:t>
      </w:r>
      <w:r>
        <w:rPr/>
        <w:t>483000</w:t>
      </w:r>
      <w:r>
        <w:rPr>
          <w:b w:val="0"/>
        </w:rPr>
      </w:r>
    </w:p>
    <w:p>
      <w:pPr>
        <w:pStyle w:val="BodyText"/>
        <w:spacing w:line="240" w:lineRule="auto"/>
        <w:ind w:right="262" w:firstLine="566"/>
        <w:jc w:val="both"/>
      </w:pPr>
      <w:r>
        <w:rPr/>
        <w:t>Група 483000 – Новчане казне и пенали по решењу судова садржи аналитички конто на коме се евидентирају новчане казне и пенали по решењу</w:t>
      </w:r>
      <w:r>
        <w:rPr>
          <w:spacing w:val="-29"/>
        </w:rPr>
        <w:t> </w:t>
      </w:r>
      <w:r>
        <w:rPr/>
        <w:t>судова.</w:t>
      </w:r>
    </w:p>
    <w:p>
      <w:pPr>
        <w:spacing w:before="2" w:after="6"/>
        <w:ind w:left="0" w:right="552" w:firstLine="0"/>
        <w:jc w:val="right"/>
        <w:rPr>
          <w:rFonts w:ascii="Times New Roman" w:hAnsi="Times New Roman" w:cs="Times New Roman" w:eastAsia="Times New Roman" w:hint="default"/>
          <w:sz w:val="16"/>
          <w:szCs w:val="16"/>
        </w:rPr>
      </w:pPr>
      <w:r>
        <w:rPr>
          <w:rFonts w:ascii="Times New Roman" w:hAnsi="Times New Roman"/>
          <w:sz w:val="16"/>
        </w:rPr>
        <w:t>(</w:t>
      </w:r>
      <w:r>
        <w:rPr>
          <w:rFonts w:ascii="Times New Roman" w:hAnsi="Times New Roman"/>
          <w:sz w:val="16"/>
        </w:rPr>
        <w:t>у хиљадама</w:t>
      </w:r>
      <w:r>
        <w:rPr>
          <w:rFonts w:ascii="Times New Roman" w:hAnsi="Times New Roman"/>
          <w:spacing w:val="-6"/>
          <w:sz w:val="16"/>
        </w:rPr>
        <w:t> </w:t>
      </w:r>
      <w:r>
        <w:rPr>
          <w:rFonts w:ascii="Times New Roman" w:hAnsi="Times New Roman"/>
          <w:sz w:val="16"/>
        </w:rPr>
        <w:t>динара</w:t>
      </w:r>
      <w:r>
        <w:rPr>
          <w:rFonts w:ascii="Times New Roman" w:hAnsi="Times New Roman"/>
          <w:sz w:val="16"/>
        </w:rPr>
        <w:t>)</w:t>
      </w:r>
    </w:p>
    <w:tbl>
      <w:tblPr>
        <w:tblW w:w="0" w:type="auto"/>
        <w:jc w:val="left"/>
        <w:tblInd w:w="141" w:type="dxa"/>
        <w:tblLayout w:type="fixed"/>
        <w:tblCellMar>
          <w:top w:w="0" w:type="dxa"/>
          <w:left w:w="0" w:type="dxa"/>
          <w:bottom w:w="0" w:type="dxa"/>
          <w:right w:w="0" w:type="dxa"/>
        </w:tblCellMar>
        <w:tblLook w:val="01E0"/>
      </w:tblPr>
      <w:tblGrid>
        <w:gridCol w:w="876"/>
        <w:gridCol w:w="2542"/>
        <w:gridCol w:w="960"/>
        <w:gridCol w:w="1351"/>
        <w:gridCol w:w="1045"/>
        <w:gridCol w:w="936"/>
        <w:gridCol w:w="848"/>
        <w:gridCol w:w="845"/>
      </w:tblGrid>
      <w:tr>
        <w:trPr>
          <w:trHeight w:val="504"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261" w:right="178" w:hanging="72"/>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4"/>
              <w:ind w:left="463"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8"/>
                <w:sz w:val="18"/>
              </w:rPr>
              <w:t> </w:t>
            </w:r>
            <w:r>
              <w:rPr>
                <w:rFonts w:ascii="Times New Roman" w:hAnsi="Times New Roman"/>
                <w:b/>
                <w:sz w:val="18"/>
              </w:rPr>
              <w:t>корисник</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4"/>
              <w:ind w:right="103"/>
              <w:jc w:val="right"/>
              <w:rPr>
                <w:rFonts w:ascii="Times New Roman" w:hAnsi="Times New Roman" w:cs="Times New Roman" w:eastAsia="Times New Roman" w:hint="default"/>
                <w:sz w:val="18"/>
                <w:szCs w:val="18"/>
              </w:rPr>
            </w:pPr>
            <w:r>
              <w:rPr>
                <w:rFonts w:ascii="Times New Roman" w:hAnsi="Times New Roman"/>
                <w:b/>
                <w:spacing w:val="-1"/>
                <w:sz w:val="18"/>
              </w:rPr>
              <w:t>Ребаланс</w:t>
            </w:r>
            <w:r>
              <w:rPr>
                <w:rFonts w:ascii="Times New Roman" w:hAns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03" w:right="93" w:firstLine="88"/>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реалокацијом</w:t>
            </w:r>
            <w:r>
              <w:rPr>
                <w:rFonts w:ascii="Times New Roman" w:hAnsi="Times New Roman"/>
                <w:sz w:val="18"/>
              </w:rPr>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03" w:right="93"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15" w:right="104"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02" w:right="110"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02" w:right="107"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49"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403" w:right="0"/>
              <w:jc w:val="left"/>
              <w:rPr>
                <w:rFonts w:ascii="Times New Roman" w:hAnsi="Times New Roman" w:cs="Times New Roman" w:eastAsia="Times New Roman" w:hint="default"/>
                <w:sz w:val="12"/>
                <w:szCs w:val="12"/>
              </w:rPr>
            </w:pPr>
            <w:r>
              <w:rPr>
                <w:rFonts w:ascii="Times New Roman"/>
                <w:sz w:val="12"/>
              </w:rPr>
              <w:t>1</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2"/>
              <w:jc w:val="center"/>
              <w:rPr>
                <w:rFonts w:ascii="Times New Roman" w:hAnsi="Times New Roman" w:cs="Times New Roman" w:eastAsia="Times New Roman" w:hint="default"/>
                <w:sz w:val="12"/>
                <w:szCs w:val="12"/>
              </w:rPr>
            </w:pPr>
            <w:r>
              <w:rPr>
                <w:rFonts w:ascii="Times New Roman"/>
                <w:sz w:val="12"/>
              </w:rPr>
              <w:t>2</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4</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6</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2" w:right="0"/>
              <w:jc w:val="center"/>
              <w:rPr>
                <w:rFonts w:ascii="Times New Roman" w:hAnsi="Times New Roman" w:cs="Times New Roman" w:eastAsia="Times New Roman" w:hint="default"/>
                <w:sz w:val="12"/>
                <w:szCs w:val="12"/>
              </w:rPr>
            </w:pPr>
            <w:r>
              <w:rPr>
                <w:rFonts w:ascii="Times New Roman"/>
                <w:sz w:val="12"/>
              </w:rPr>
              <w:t>8</w:t>
            </w:r>
          </w:p>
        </w:tc>
      </w:tr>
      <w:tr>
        <w:trPr>
          <w:trHeight w:val="264"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386" w:right="0"/>
              <w:jc w:val="left"/>
              <w:rPr>
                <w:rFonts w:ascii="Times New Roman" w:hAnsi="Times New Roman" w:cs="Times New Roman" w:eastAsia="Times New Roman" w:hint="default"/>
                <w:sz w:val="18"/>
                <w:szCs w:val="18"/>
              </w:rPr>
            </w:pPr>
            <w:r>
              <w:rPr>
                <w:rFonts w:ascii="Times New Roman"/>
                <w:sz w:val="18"/>
              </w:rPr>
              <w:t>1</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03" w:right="0"/>
              <w:jc w:val="left"/>
              <w:rPr>
                <w:rFonts w:ascii="Times New Roman" w:hAnsi="Times New Roman" w:cs="Times New Roman" w:eastAsia="Times New Roman" w:hint="default"/>
                <w:sz w:val="18"/>
                <w:szCs w:val="18"/>
              </w:rPr>
            </w:pPr>
            <w:r>
              <w:rPr>
                <w:rFonts w:ascii="Times New Roman" w:hAnsi="Times New Roman"/>
                <w:sz w:val="18"/>
              </w:rPr>
              <w:t>Градско јавно</w:t>
            </w:r>
            <w:r>
              <w:rPr>
                <w:rFonts w:ascii="Times New Roman" w:hAnsi="Times New Roman"/>
                <w:spacing w:val="-8"/>
                <w:sz w:val="18"/>
              </w:rPr>
              <w:t> </w:t>
            </w:r>
            <w:r>
              <w:rPr>
                <w:rFonts w:ascii="Times New Roman" w:hAnsi="Times New Roman"/>
                <w:sz w:val="18"/>
              </w:rPr>
              <w:t>правобранил</w:t>
            </w:r>
            <w:r>
              <w:rPr>
                <w:rFonts w:ascii="Times New Roman" w:hAnsi="Times New Roman"/>
                <w:sz w:val="18"/>
              </w:rPr>
              <w:t>.</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1"/>
              <w:jc w:val="right"/>
              <w:rPr>
                <w:rFonts w:ascii="Times New Roman" w:hAnsi="Times New Roman" w:cs="Times New Roman" w:eastAsia="Times New Roman" w:hint="default"/>
                <w:sz w:val="18"/>
                <w:szCs w:val="18"/>
              </w:rPr>
            </w:pPr>
            <w:r>
              <w:rPr>
                <w:rFonts w:ascii="Times New Roman"/>
                <w:spacing w:val="-1"/>
                <w:sz w:val="18"/>
              </w:rPr>
              <w:t>108.000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pacing w:val="-1"/>
                <w:sz w:val="18"/>
              </w:rPr>
              <w:t>108.000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pacing w:val="-1"/>
                <w:sz w:val="18"/>
              </w:rPr>
              <w:t>96.761</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pacing w:val="-1"/>
                <w:sz w:val="18"/>
              </w:rPr>
              <w:t>89.248</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82,64</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7"/>
              <w:jc w:val="right"/>
              <w:rPr>
                <w:rFonts w:ascii="Times New Roman" w:hAnsi="Times New Roman" w:cs="Times New Roman" w:eastAsia="Times New Roman" w:hint="default"/>
                <w:sz w:val="18"/>
                <w:szCs w:val="18"/>
              </w:rPr>
            </w:pPr>
            <w:r>
              <w:rPr>
                <w:rFonts w:ascii="Times New Roman"/>
                <w:sz w:val="18"/>
              </w:rPr>
              <w:t>92,24</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86" w:right="0"/>
              <w:jc w:val="left"/>
              <w:rPr>
                <w:rFonts w:ascii="Times New Roman" w:hAnsi="Times New Roman" w:cs="Times New Roman" w:eastAsia="Times New Roman" w:hint="default"/>
                <w:sz w:val="18"/>
                <w:szCs w:val="18"/>
              </w:rPr>
            </w:pPr>
            <w:r>
              <w:rPr>
                <w:rFonts w:ascii="Times New Roman"/>
                <w:sz w:val="18"/>
              </w:rPr>
              <w:t>2</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5"/>
                <w:sz w:val="18"/>
              </w:rPr>
              <w:t> </w:t>
            </w:r>
            <w:r>
              <w:rPr>
                <w:rFonts w:ascii="Times New Roman" w:hAnsi="Times New Roman"/>
                <w:sz w:val="18"/>
              </w:rPr>
              <w:t>образовање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15.400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14.400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12.208</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22.494</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pacing w:val="-1"/>
                <w:sz w:val="18"/>
              </w:rPr>
              <w:t>156,21</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pacing w:val="-1"/>
                <w:sz w:val="18"/>
              </w:rPr>
              <w:t>184,26</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hAnsi="Times New Roman"/>
                <w:sz w:val="18"/>
              </w:rPr>
              <w:t>2а</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ПУ</w:t>
            </w:r>
            <w:r>
              <w:rPr>
                <w:rFonts w:ascii="Times New Roman" w:hAnsi="Times New Roman"/>
                <w:spacing w:val="-5"/>
                <w:sz w:val="18"/>
              </w:rPr>
              <w:t> </w:t>
            </w:r>
            <w:r>
              <w:rPr>
                <w:rFonts w:ascii="Times New Roman" w:hAnsi="Times New Roman"/>
                <w:sz w:val="18"/>
              </w:rPr>
              <w:t>Пчелица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12.000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11.000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11.076</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22.407</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203,70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202,30</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hAnsi="Times New Roman"/>
                <w:sz w:val="18"/>
              </w:rPr>
              <w:t>2б</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Дечији</w:t>
            </w:r>
            <w:r>
              <w:rPr>
                <w:rFonts w:ascii="Times New Roman" w:hAnsi="Times New Roman"/>
                <w:spacing w:val="-5"/>
                <w:sz w:val="18"/>
              </w:rPr>
              <w:t> </w:t>
            </w:r>
            <w:r>
              <w:rPr>
                <w:rFonts w:ascii="Times New Roman" w:hAnsi="Times New Roman"/>
                <w:sz w:val="18"/>
              </w:rPr>
              <w:t>центар</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3.400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3.400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1.132</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87</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2,56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7,69</w:t>
            </w:r>
          </w:p>
        </w:tc>
      </w:tr>
      <w:tr>
        <w:trPr>
          <w:trHeight w:val="23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left="386" w:right="0"/>
              <w:jc w:val="left"/>
              <w:rPr>
                <w:rFonts w:ascii="Times New Roman" w:hAnsi="Times New Roman" w:cs="Times New Roman" w:eastAsia="Times New Roman" w:hint="default"/>
                <w:sz w:val="18"/>
                <w:szCs w:val="18"/>
              </w:rPr>
            </w:pPr>
            <w:r>
              <w:rPr>
                <w:rFonts w:ascii="Times New Roman"/>
                <w:sz w:val="18"/>
              </w:rPr>
              <w:t>3</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омладину и</w:t>
            </w:r>
            <w:r>
              <w:rPr>
                <w:rFonts w:ascii="Times New Roman" w:hAnsi="Times New Roman"/>
                <w:spacing w:val="-8"/>
                <w:sz w:val="18"/>
              </w:rPr>
              <w:t> </w:t>
            </w:r>
            <w:r>
              <w:rPr>
                <w:rFonts w:ascii="Times New Roman" w:hAnsi="Times New Roman"/>
                <w:sz w:val="18"/>
              </w:rPr>
              <w:t>спорт</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right="100"/>
              <w:jc w:val="right"/>
              <w:rPr>
                <w:rFonts w:ascii="Times New Roman" w:hAnsi="Times New Roman" w:cs="Times New Roman" w:eastAsia="Times New Roman" w:hint="default"/>
                <w:sz w:val="18"/>
                <w:szCs w:val="18"/>
              </w:rPr>
            </w:pPr>
            <w:r>
              <w:rPr>
                <w:rFonts w:ascii="Times New Roman"/>
                <w:sz w:val="18"/>
              </w:rPr>
              <w:t>2.560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right="100"/>
              <w:jc w:val="right"/>
              <w:rPr>
                <w:rFonts w:ascii="Times New Roman" w:hAnsi="Times New Roman" w:cs="Times New Roman" w:eastAsia="Times New Roman" w:hint="default"/>
                <w:sz w:val="18"/>
                <w:szCs w:val="18"/>
              </w:rPr>
            </w:pPr>
            <w:r>
              <w:rPr>
                <w:rFonts w:ascii="Times New Roman"/>
                <w:sz w:val="18"/>
              </w:rPr>
              <w:t>2.560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right="100"/>
              <w:jc w:val="right"/>
              <w:rPr>
                <w:rFonts w:ascii="Times New Roman" w:hAnsi="Times New Roman" w:cs="Times New Roman" w:eastAsia="Times New Roman" w:hint="default"/>
                <w:sz w:val="18"/>
                <w:szCs w:val="18"/>
              </w:rPr>
            </w:pPr>
            <w:r>
              <w:rPr>
                <w:rFonts w:ascii="Times New Roman"/>
                <w:sz w:val="18"/>
              </w:rPr>
              <w:t>2.480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right="100"/>
              <w:jc w:val="right"/>
              <w:rPr>
                <w:rFonts w:ascii="Times New Roman" w:hAnsi="Times New Roman" w:cs="Times New Roman" w:eastAsia="Times New Roman" w:hint="default"/>
                <w:sz w:val="18"/>
                <w:szCs w:val="18"/>
              </w:rPr>
            </w:pPr>
            <w:r>
              <w:rPr>
                <w:rFonts w:ascii="Times New Roman"/>
                <w:sz w:val="18"/>
              </w:rPr>
              <w:t>1.143</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right="100"/>
              <w:jc w:val="right"/>
              <w:rPr>
                <w:rFonts w:ascii="Times New Roman" w:hAnsi="Times New Roman" w:cs="Times New Roman" w:eastAsia="Times New Roman" w:hint="default"/>
                <w:sz w:val="18"/>
                <w:szCs w:val="18"/>
              </w:rPr>
            </w:pPr>
            <w:r>
              <w:rPr>
                <w:rFonts w:ascii="Times New Roman"/>
                <w:sz w:val="18"/>
              </w:rPr>
              <w:t>44,65</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right="97"/>
              <w:jc w:val="right"/>
              <w:rPr>
                <w:rFonts w:ascii="Times New Roman" w:hAnsi="Times New Roman" w:cs="Times New Roman" w:eastAsia="Times New Roman" w:hint="default"/>
                <w:sz w:val="18"/>
                <w:szCs w:val="18"/>
              </w:rPr>
            </w:pPr>
            <w:r>
              <w:rPr>
                <w:rFonts w:ascii="Times New Roman"/>
                <w:sz w:val="18"/>
              </w:rPr>
              <w:t>46,09</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hAnsi="Times New Roman"/>
                <w:sz w:val="18"/>
              </w:rPr>
              <w:t>3а</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СЦ</w:t>
            </w:r>
            <w:r>
              <w:rPr>
                <w:rFonts w:ascii="Times New Roman" w:hAnsi="Times New Roman"/>
                <w:spacing w:val="-1"/>
                <w:sz w:val="18"/>
              </w:rPr>
              <w:t> </w:t>
            </w:r>
            <w:r>
              <w:rPr>
                <w:rFonts w:ascii="Times New Roman" w:hAnsi="Times New Roman"/>
                <w:sz w:val="18"/>
              </w:rPr>
              <w:t>Чаир</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2.560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2.560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2.480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1.143</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44,65</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7"/>
              <w:jc w:val="right"/>
              <w:rPr>
                <w:rFonts w:ascii="Times New Roman" w:hAnsi="Times New Roman" w:cs="Times New Roman" w:eastAsia="Times New Roman" w:hint="default"/>
                <w:sz w:val="18"/>
                <w:szCs w:val="18"/>
              </w:rPr>
            </w:pPr>
            <w:r>
              <w:rPr>
                <w:rFonts w:ascii="Times New Roman"/>
                <w:sz w:val="18"/>
              </w:rPr>
              <w:t>46,09</w:t>
            </w:r>
          </w:p>
        </w:tc>
      </w:tr>
      <w:tr>
        <w:trPr>
          <w:trHeight w:val="26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386" w:right="0"/>
              <w:jc w:val="left"/>
              <w:rPr>
                <w:rFonts w:ascii="Times New Roman" w:hAnsi="Times New Roman" w:cs="Times New Roman" w:eastAsia="Times New Roman" w:hint="default"/>
                <w:sz w:val="18"/>
                <w:szCs w:val="18"/>
              </w:rPr>
            </w:pPr>
            <w:r>
              <w:rPr>
                <w:rFonts w:ascii="Times New Roman"/>
                <w:sz w:val="18"/>
              </w:rPr>
              <w:t>4</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6"/>
                <w:sz w:val="18"/>
              </w:rPr>
              <w:t> </w:t>
            </w:r>
            <w:r>
              <w:rPr>
                <w:rFonts w:ascii="Times New Roman" w:hAnsi="Times New Roman"/>
                <w:sz w:val="18"/>
              </w:rPr>
              <w:t>културу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pacing w:val="-1"/>
                <w:sz w:val="18"/>
              </w:rPr>
              <w:t>10.502</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pacing w:val="-1"/>
                <w:sz w:val="18"/>
              </w:rPr>
              <w:t>10.502</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7.853</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2.325</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22,14</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7"/>
              <w:jc w:val="right"/>
              <w:rPr>
                <w:rFonts w:ascii="Times New Roman" w:hAnsi="Times New Roman" w:cs="Times New Roman" w:eastAsia="Times New Roman" w:hint="default"/>
                <w:sz w:val="18"/>
                <w:szCs w:val="18"/>
              </w:rPr>
            </w:pPr>
            <w:r>
              <w:rPr>
                <w:rFonts w:ascii="Times New Roman"/>
                <w:sz w:val="18"/>
              </w:rPr>
              <w:t>29,61</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hAnsi="Times New Roman"/>
                <w:sz w:val="18"/>
              </w:rPr>
              <w:t>4а</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ГСЛУ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511</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511</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530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91</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17,81</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7"/>
              <w:jc w:val="right"/>
              <w:rPr>
                <w:rFonts w:ascii="Times New Roman" w:hAnsi="Times New Roman" w:cs="Times New Roman" w:eastAsia="Times New Roman" w:hint="default"/>
                <w:sz w:val="18"/>
                <w:szCs w:val="18"/>
              </w:rPr>
            </w:pPr>
            <w:r>
              <w:rPr>
                <w:rFonts w:ascii="Times New Roman"/>
                <w:sz w:val="18"/>
              </w:rPr>
              <w:t>17,17</w:t>
            </w:r>
          </w:p>
        </w:tc>
      </w:tr>
      <w:tr>
        <w:trPr>
          <w:trHeight w:val="264"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9"/>
              <w:jc w:val="right"/>
              <w:rPr>
                <w:rFonts w:ascii="Times New Roman" w:hAnsi="Times New Roman" w:cs="Times New Roman" w:eastAsia="Times New Roman" w:hint="default"/>
                <w:sz w:val="18"/>
                <w:szCs w:val="18"/>
              </w:rPr>
            </w:pPr>
            <w:r>
              <w:rPr>
                <w:rFonts w:ascii="Times New Roman" w:hAnsi="Times New Roman"/>
                <w:sz w:val="18"/>
              </w:rPr>
              <w:t>4б</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03" w:right="0"/>
              <w:jc w:val="left"/>
              <w:rPr>
                <w:rFonts w:ascii="Times New Roman" w:hAnsi="Times New Roman" w:cs="Times New Roman" w:eastAsia="Times New Roman" w:hint="default"/>
                <w:sz w:val="18"/>
                <w:szCs w:val="18"/>
              </w:rPr>
            </w:pPr>
            <w:r>
              <w:rPr>
                <w:rFonts w:ascii="Times New Roman" w:hAnsi="Times New Roman"/>
                <w:sz w:val="18"/>
              </w:rPr>
              <w:t>Народна</w:t>
            </w:r>
            <w:r>
              <w:rPr>
                <w:rFonts w:ascii="Times New Roman" w:hAnsi="Times New Roman"/>
                <w:spacing w:val="-7"/>
                <w:sz w:val="18"/>
              </w:rPr>
              <w:t> </w:t>
            </w:r>
            <w:r>
              <w:rPr>
                <w:rFonts w:ascii="Times New Roman" w:hAnsi="Times New Roman"/>
                <w:sz w:val="18"/>
              </w:rPr>
              <w:t>библиотека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8"/>
                <w:szCs w:val="18"/>
              </w:rPr>
            </w:pPr>
            <w:r>
              <w:rPr>
                <w:rFonts w:ascii="Times New Roman"/>
                <w:sz w:val="18"/>
              </w:rPr>
              <w:t>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8"/>
                <w:szCs w:val="18"/>
              </w:rPr>
            </w:pPr>
            <w:r>
              <w:rPr>
                <w:rFonts w:ascii="Times New Roman"/>
                <w:sz w:val="18"/>
              </w:rPr>
              <w:t>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1.481</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8"/>
              <w:jc w:val="right"/>
              <w:rPr>
                <w:rFonts w:ascii="Times New Roman" w:hAnsi="Times New Roman" w:cs="Times New Roman" w:eastAsia="Times New Roman" w:hint="default"/>
                <w:sz w:val="18"/>
                <w:szCs w:val="18"/>
              </w:rPr>
            </w:pPr>
            <w:r>
              <w:rPr>
                <w:rFonts w:ascii="Times New Roman"/>
                <w:sz w:val="18"/>
              </w:rPr>
              <w:t>314</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pacing w:val="-1"/>
                <w:sz w:val="18"/>
              </w:rPr>
              <w:t>0,00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7"/>
              <w:jc w:val="right"/>
              <w:rPr>
                <w:rFonts w:ascii="Times New Roman" w:hAnsi="Times New Roman" w:cs="Times New Roman" w:eastAsia="Times New Roman" w:hint="default"/>
                <w:sz w:val="18"/>
                <w:szCs w:val="18"/>
              </w:rPr>
            </w:pPr>
            <w:r>
              <w:rPr>
                <w:rFonts w:ascii="Times New Roman"/>
                <w:sz w:val="18"/>
              </w:rPr>
              <w:t>21,20</w:t>
            </w:r>
          </w:p>
        </w:tc>
      </w:tr>
      <w:tr>
        <w:trPr>
          <w:trHeight w:val="26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right="99"/>
              <w:jc w:val="right"/>
              <w:rPr>
                <w:rFonts w:ascii="Times New Roman" w:hAnsi="Times New Roman" w:cs="Times New Roman" w:eastAsia="Times New Roman" w:hint="default"/>
                <w:sz w:val="18"/>
                <w:szCs w:val="18"/>
              </w:rPr>
            </w:pPr>
            <w:r>
              <w:rPr>
                <w:rFonts w:ascii="Times New Roman" w:hAnsi="Times New Roman"/>
                <w:sz w:val="18"/>
              </w:rPr>
              <w:t>4в</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left="103" w:right="0"/>
              <w:jc w:val="left"/>
              <w:rPr>
                <w:rFonts w:ascii="Times New Roman" w:hAnsi="Times New Roman" w:cs="Times New Roman" w:eastAsia="Times New Roman" w:hint="default"/>
                <w:sz w:val="18"/>
                <w:szCs w:val="18"/>
              </w:rPr>
            </w:pPr>
            <w:r>
              <w:rPr>
                <w:rFonts w:ascii="Times New Roman" w:hAnsi="Times New Roman"/>
                <w:sz w:val="18"/>
              </w:rPr>
              <w:t>Народни</w:t>
            </w:r>
            <w:r>
              <w:rPr>
                <w:rFonts w:ascii="Times New Roman" w:hAnsi="Times New Roman"/>
                <w:spacing w:val="-5"/>
                <w:sz w:val="18"/>
              </w:rPr>
              <w:t> </w:t>
            </w:r>
            <w:r>
              <w:rPr>
                <w:rFonts w:ascii="Times New Roman" w:hAnsi="Times New Roman"/>
                <w:sz w:val="18"/>
              </w:rPr>
              <w:t>музеј</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right="100"/>
              <w:jc w:val="right"/>
              <w:rPr>
                <w:rFonts w:ascii="Times New Roman" w:hAnsi="Times New Roman" w:cs="Times New Roman" w:eastAsia="Times New Roman" w:hint="default"/>
                <w:sz w:val="18"/>
                <w:szCs w:val="18"/>
              </w:rPr>
            </w:pPr>
            <w:r>
              <w:rPr>
                <w:rFonts w:ascii="Times New Roman"/>
                <w:sz w:val="18"/>
              </w:rPr>
              <w:t>1.300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right="100"/>
              <w:jc w:val="right"/>
              <w:rPr>
                <w:rFonts w:ascii="Times New Roman" w:hAnsi="Times New Roman" w:cs="Times New Roman" w:eastAsia="Times New Roman" w:hint="default"/>
                <w:sz w:val="18"/>
                <w:szCs w:val="18"/>
              </w:rPr>
            </w:pPr>
            <w:r>
              <w:rPr>
                <w:rFonts w:ascii="Times New Roman"/>
                <w:sz w:val="18"/>
              </w:rPr>
              <w:t>1.300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right="100"/>
              <w:jc w:val="right"/>
              <w:rPr>
                <w:rFonts w:ascii="Times New Roman" w:hAnsi="Times New Roman" w:cs="Times New Roman" w:eastAsia="Times New Roman" w:hint="default"/>
                <w:sz w:val="18"/>
                <w:szCs w:val="18"/>
              </w:rPr>
            </w:pPr>
            <w:r>
              <w:rPr>
                <w:rFonts w:ascii="Times New Roman"/>
                <w:sz w:val="18"/>
              </w:rPr>
              <w:t>1.463</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right="98"/>
              <w:jc w:val="right"/>
              <w:rPr>
                <w:rFonts w:ascii="Times New Roman" w:hAnsi="Times New Roman" w:cs="Times New Roman" w:eastAsia="Times New Roman" w:hint="default"/>
                <w:sz w:val="18"/>
                <w:szCs w:val="18"/>
              </w:rPr>
            </w:pPr>
            <w:r>
              <w:rPr>
                <w:rFonts w:ascii="Times New Roman"/>
                <w:sz w:val="18"/>
              </w:rPr>
              <w:t>26</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right="100"/>
              <w:jc w:val="right"/>
              <w:rPr>
                <w:rFonts w:ascii="Times New Roman" w:hAnsi="Times New Roman" w:cs="Times New Roman" w:eastAsia="Times New Roman" w:hint="default"/>
                <w:sz w:val="18"/>
                <w:szCs w:val="18"/>
              </w:rPr>
            </w:pPr>
            <w:r>
              <w:rPr>
                <w:rFonts w:ascii="Times New Roman"/>
                <w:spacing w:val="-1"/>
                <w:sz w:val="18"/>
              </w:rPr>
              <w:t>2,00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right="98"/>
              <w:jc w:val="right"/>
              <w:rPr>
                <w:rFonts w:ascii="Times New Roman" w:hAnsi="Times New Roman" w:cs="Times New Roman" w:eastAsia="Times New Roman" w:hint="default"/>
                <w:sz w:val="18"/>
                <w:szCs w:val="18"/>
              </w:rPr>
            </w:pPr>
            <w:r>
              <w:rPr>
                <w:rFonts w:ascii="Times New Roman"/>
                <w:spacing w:val="-1"/>
                <w:sz w:val="18"/>
              </w:rPr>
              <w:t>1,78</w:t>
            </w:r>
          </w:p>
        </w:tc>
      </w:tr>
      <w:tr>
        <w:trPr>
          <w:trHeight w:val="264"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8"/>
              <w:jc w:val="right"/>
              <w:rPr>
                <w:rFonts w:ascii="Times New Roman" w:hAnsi="Times New Roman" w:cs="Times New Roman" w:eastAsia="Times New Roman" w:hint="default"/>
                <w:sz w:val="18"/>
                <w:szCs w:val="18"/>
              </w:rPr>
            </w:pPr>
            <w:r>
              <w:rPr>
                <w:rFonts w:ascii="Times New Roman" w:hAnsi="Times New Roman"/>
                <w:sz w:val="18"/>
              </w:rPr>
              <w:t>4г</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03" w:right="0"/>
              <w:jc w:val="left"/>
              <w:rPr>
                <w:rFonts w:ascii="Times New Roman" w:hAnsi="Times New Roman" w:cs="Times New Roman" w:eastAsia="Times New Roman" w:hint="default"/>
                <w:sz w:val="18"/>
                <w:szCs w:val="18"/>
              </w:rPr>
            </w:pPr>
            <w:r>
              <w:rPr>
                <w:rFonts w:ascii="Times New Roman" w:hAnsi="Times New Roman"/>
                <w:sz w:val="18"/>
              </w:rPr>
              <w:t>Народно</w:t>
            </w:r>
            <w:r>
              <w:rPr>
                <w:rFonts w:ascii="Times New Roman" w:hAnsi="Times New Roman"/>
                <w:spacing w:val="-4"/>
                <w:sz w:val="18"/>
              </w:rPr>
              <w:t> </w:t>
            </w:r>
            <w:r>
              <w:rPr>
                <w:rFonts w:ascii="Times New Roman" w:hAnsi="Times New Roman"/>
                <w:sz w:val="18"/>
              </w:rPr>
              <w:t>позориште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3.420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3.420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2.516</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8"/>
              <w:jc w:val="right"/>
              <w:rPr>
                <w:rFonts w:ascii="Times New Roman" w:hAnsi="Times New Roman" w:cs="Times New Roman" w:eastAsia="Times New Roman" w:hint="default"/>
                <w:sz w:val="18"/>
                <w:szCs w:val="18"/>
              </w:rPr>
            </w:pPr>
            <w:r>
              <w:rPr>
                <w:rFonts w:ascii="Times New Roman"/>
                <w:sz w:val="18"/>
              </w:rPr>
              <w:t>630</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18,42</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7"/>
              <w:jc w:val="right"/>
              <w:rPr>
                <w:rFonts w:ascii="Times New Roman" w:hAnsi="Times New Roman" w:cs="Times New Roman" w:eastAsia="Times New Roman" w:hint="default"/>
                <w:sz w:val="18"/>
                <w:szCs w:val="18"/>
              </w:rPr>
            </w:pPr>
            <w:r>
              <w:rPr>
                <w:rFonts w:ascii="Times New Roman"/>
                <w:sz w:val="18"/>
              </w:rPr>
              <w:t>25,04</w:t>
            </w:r>
          </w:p>
        </w:tc>
      </w:tr>
      <w:tr>
        <w:trPr>
          <w:trHeight w:val="26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9"/>
              <w:jc w:val="right"/>
              <w:rPr>
                <w:rFonts w:ascii="Times New Roman" w:hAnsi="Times New Roman" w:cs="Times New Roman" w:eastAsia="Times New Roman" w:hint="default"/>
                <w:sz w:val="18"/>
                <w:szCs w:val="18"/>
              </w:rPr>
            </w:pPr>
            <w:r>
              <w:rPr>
                <w:rFonts w:ascii="Times New Roman" w:hAnsi="Times New Roman"/>
                <w:sz w:val="18"/>
              </w:rPr>
              <w:t>4д</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03" w:right="0"/>
              <w:jc w:val="left"/>
              <w:rPr>
                <w:rFonts w:ascii="Times New Roman" w:hAnsi="Times New Roman" w:cs="Times New Roman" w:eastAsia="Times New Roman" w:hint="default"/>
                <w:sz w:val="18"/>
                <w:szCs w:val="18"/>
              </w:rPr>
            </w:pPr>
            <w:r>
              <w:rPr>
                <w:rFonts w:ascii="Times New Roman" w:hAnsi="Times New Roman"/>
                <w:sz w:val="18"/>
              </w:rPr>
              <w:t>Нишки културни</w:t>
            </w:r>
            <w:r>
              <w:rPr>
                <w:rFonts w:ascii="Times New Roman" w:hAnsi="Times New Roman"/>
                <w:spacing w:val="-11"/>
                <w:sz w:val="18"/>
              </w:rPr>
              <w:t> </w:t>
            </w:r>
            <w:r>
              <w:rPr>
                <w:rFonts w:ascii="Times New Roman" w:hAnsi="Times New Roman"/>
                <w:sz w:val="18"/>
              </w:rPr>
              <w:t>центар</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2.000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2.000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1.447</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8"/>
              <w:jc w:val="right"/>
              <w:rPr>
                <w:rFonts w:ascii="Times New Roman" w:hAnsi="Times New Roman" w:cs="Times New Roman" w:eastAsia="Times New Roman" w:hint="default"/>
                <w:sz w:val="18"/>
                <w:szCs w:val="18"/>
              </w:rPr>
            </w:pPr>
            <w:r>
              <w:rPr>
                <w:rFonts w:ascii="Times New Roman"/>
                <w:sz w:val="18"/>
              </w:rPr>
              <w:t>848</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42,40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7"/>
              <w:jc w:val="right"/>
              <w:rPr>
                <w:rFonts w:ascii="Times New Roman" w:hAnsi="Times New Roman" w:cs="Times New Roman" w:eastAsia="Times New Roman" w:hint="default"/>
                <w:sz w:val="18"/>
                <w:szCs w:val="18"/>
              </w:rPr>
            </w:pPr>
            <w:r>
              <w:rPr>
                <w:rFonts w:ascii="Times New Roman"/>
                <w:sz w:val="18"/>
              </w:rPr>
              <w:t>58,60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5</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ком.</w:t>
            </w:r>
            <w:r>
              <w:rPr>
                <w:rFonts w:ascii="Times New Roman" w:hAnsi="Times New Roman"/>
                <w:spacing w:val="-10"/>
                <w:sz w:val="18"/>
              </w:rPr>
              <w:t> </w:t>
            </w:r>
            <w:r>
              <w:rPr>
                <w:rFonts w:ascii="Times New Roman" w:hAnsi="Times New Roman"/>
                <w:sz w:val="18"/>
              </w:rPr>
              <w:t>делатн.</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14.500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14.500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12.783</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13.085</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90,39</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102,53</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hAnsi="Times New Roman"/>
                <w:sz w:val="18"/>
              </w:rPr>
              <w:t>5а</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ЈП</w:t>
            </w:r>
            <w:r>
              <w:rPr>
                <w:rFonts w:ascii="Times New Roman" w:hAnsi="Times New Roman"/>
                <w:spacing w:val="-6"/>
                <w:sz w:val="18"/>
              </w:rPr>
              <w:t> </w:t>
            </w:r>
            <w:r>
              <w:rPr>
                <w:rFonts w:ascii="Times New Roman" w:hAnsi="Times New Roman"/>
                <w:sz w:val="18"/>
              </w:rPr>
              <w:t>Дирекција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14.500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14.500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12.783</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12.193</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84,09</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6"/>
              <w:jc w:val="right"/>
              <w:rPr>
                <w:rFonts w:ascii="Times New Roman" w:hAnsi="Times New Roman" w:cs="Times New Roman" w:eastAsia="Times New Roman" w:hint="default"/>
                <w:sz w:val="18"/>
                <w:szCs w:val="18"/>
              </w:rPr>
            </w:pPr>
            <w:r>
              <w:rPr>
                <w:rFonts w:ascii="Times New Roman"/>
                <w:sz w:val="18"/>
              </w:rPr>
              <w:t>95,38</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86" w:right="0"/>
              <w:jc w:val="left"/>
              <w:rPr>
                <w:rFonts w:ascii="Times New Roman" w:hAnsi="Times New Roman" w:cs="Times New Roman" w:eastAsia="Times New Roman" w:hint="default"/>
                <w:sz w:val="18"/>
                <w:szCs w:val="18"/>
              </w:rPr>
            </w:pPr>
            <w:r>
              <w:rPr>
                <w:rFonts w:ascii="Times New Roman"/>
                <w:sz w:val="18"/>
              </w:rPr>
              <w:t>6</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6"/>
                <w:sz w:val="18"/>
              </w:rPr>
              <w:t> </w:t>
            </w:r>
            <w:r>
              <w:rPr>
                <w:rFonts w:ascii="Times New Roman" w:hAnsi="Times New Roman"/>
                <w:sz w:val="18"/>
              </w:rPr>
              <w:t>имовину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8.638</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0,00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pacing w:val="-1"/>
                <w:sz w:val="18"/>
              </w:rPr>
              <w:t>0,00</w:t>
            </w:r>
          </w:p>
        </w:tc>
      </w:tr>
      <w:tr>
        <w:trPr>
          <w:trHeight w:val="264"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386" w:right="0"/>
              <w:jc w:val="left"/>
              <w:rPr>
                <w:rFonts w:ascii="Times New Roman" w:hAnsi="Times New Roman" w:cs="Times New Roman" w:eastAsia="Times New Roman" w:hint="default"/>
                <w:sz w:val="18"/>
                <w:szCs w:val="18"/>
              </w:rPr>
            </w:pPr>
            <w:r>
              <w:rPr>
                <w:rFonts w:ascii="Times New Roman"/>
                <w:sz w:val="18"/>
              </w:rPr>
              <w:t>7</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03" w:right="0"/>
              <w:jc w:val="left"/>
              <w:rPr>
                <w:rFonts w:ascii="Times New Roman" w:hAnsi="Times New Roman" w:cs="Times New Roman" w:eastAsia="Times New Roman" w:hint="default"/>
                <w:sz w:val="18"/>
                <w:szCs w:val="18"/>
              </w:rPr>
            </w:pPr>
            <w:r>
              <w:rPr>
                <w:rFonts w:ascii="Times New Roman" w:hAnsi="Times New Roman"/>
                <w:sz w:val="18"/>
              </w:rPr>
              <w:t>Служба за одржацање и</w:t>
            </w:r>
            <w:r>
              <w:rPr>
                <w:rFonts w:ascii="Times New Roman" w:hAnsi="Times New Roman"/>
                <w:spacing w:val="-4"/>
                <w:sz w:val="18"/>
              </w:rPr>
              <w:t> </w:t>
            </w:r>
            <w:r>
              <w:rPr>
                <w:rFonts w:ascii="Times New Roman" w:hAnsi="Times New Roman"/>
                <w:sz w:val="18"/>
              </w:rPr>
              <w:t>ИКТ</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8"/>
                <w:szCs w:val="18"/>
              </w:rPr>
            </w:pPr>
            <w:r>
              <w:rPr>
                <w:rFonts w:ascii="Times New Roman"/>
                <w:sz w:val="18"/>
              </w:rPr>
              <w:t>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8"/>
                <w:szCs w:val="18"/>
              </w:rPr>
            </w:pPr>
            <w:r>
              <w:rPr>
                <w:rFonts w:ascii="Times New Roman"/>
                <w:sz w:val="18"/>
              </w:rPr>
              <w:t>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8"/>
                <w:szCs w:val="18"/>
              </w:rPr>
            </w:pPr>
            <w:r>
              <w:rPr>
                <w:rFonts w:ascii="Times New Roman"/>
                <w:sz w:val="18"/>
              </w:rPr>
              <w:t>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1.681</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pacing w:val="-1"/>
                <w:sz w:val="18"/>
              </w:rPr>
              <w:t>0,00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8"/>
              <w:jc w:val="right"/>
              <w:rPr>
                <w:rFonts w:ascii="Times New Roman" w:hAnsi="Times New Roman" w:cs="Times New Roman" w:eastAsia="Times New Roman" w:hint="default"/>
                <w:sz w:val="18"/>
                <w:szCs w:val="18"/>
              </w:rPr>
            </w:pPr>
            <w:r>
              <w:rPr>
                <w:rFonts w:ascii="Times New Roman"/>
                <w:spacing w:val="-1"/>
                <w:sz w:val="18"/>
              </w:rPr>
              <w:t>0,00</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8</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Градоначелник</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64</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0,00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0,00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9</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4"/>
                <w:sz w:val="18"/>
              </w:rPr>
              <w:t> </w:t>
            </w:r>
            <w:r>
              <w:rPr>
                <w:rFonts w:ascii="Times New Roman" w:hAnsi="Times New Roman"/>
                <w:sz w:val="18"/>
              </w:rPr>
              <w:t>привреду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2.499</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0,00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0,00</w:t>
            </w:r>
          </w:p>
        </w:tc>
      </w:tr>
      <w:tr>
        <w:trPr>
          <w:trHeight w:val="218" w:hRule="exact"/>
        </w:trPr>
        <w:tc>
          <w:tcPr>
            <w:tcW w:w="3418"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719" w:right="0"/>
              <w:jc w:val="left"/>
              <w:rPr>
                <w:rFonts w:ascii="Times New Roman" w:hAnsi="Times New Roman" w:cs="Times New Roman" w:eastAsia="Times New Roman" w:hint="default"/>
                <w:sz w:val="18"/>
                <w:szCs w:val="18"/>
              </w:rPr>
            </w:pPr>
            <w:r>
              <w:rPr>
                <w:rFonts w:ascii="Times New Roman" w:hAnsi="Times New Roman"/>
                <w:b/>
                <w:sz w:val="18"/>
              </w:rPr>
              <w:t>Укупно корисници</w:t>
            </w:r>
            <w:r>
              <w:rPr>
                <w:rFonts w:ascii="Times New Roman" w:hAnsi="Times New Roman"/>
                <w:b/>
                <w:spacing w:val="-2"/>
                <w:sz w:val="18"/>
              </w:rPr>
              <w:t> </w:t>
            </w:r>
            <w:r>
              <w:rPr>
                <w:rFonts w:ascii="Times New Roman" w:hAnsi="Times New Roman"/>
                <w:b/>
                <w:sz w:val="18"/>
              </w:rPr>
              <w:t>(1</w:t>
            </w:r>
            <w:r>
              <w:rPr>
                <w:rFonts w:ascii="Times New Roman" w:hAnsi="Times New Roman"/>
                <w:b/>
                <w:sz w:val="18"/>
              </w:rPr>
              <w:t>-9)</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pacing w:val="-1"/>
                <w:sz w:val="18"/>
              </w:rPr>
              <w:t>150.962</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149.962</w:t>
            </w:r>
            <w:r>
              <w:rPr>
                <w:rFonts w:ascii="Times New Roman"/>
                <w:spacing w:val="-1"/>
                <w:sz w:val="18"/>
              </w:rPr>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pacing w:val="-1"/>
                <w:sz w:val="18"/>
              </w:rPr>
              <w:t>132.085</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141.177</w:t>
            </w:r>
            <w:r>
              <w:rPr>
                <w:rFonts w:ascii="Times New Roman"/>
                <w:spacing w:val="-1"/>
                <w:sz w:val="18"/>
              </w:rPr>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94,16</w:t>
            </w:r>
            <w:r>
              <w:rPr>
                <w:rFonts w:asci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98"/>
              <w:jc w:val="right"/>
              <w:rPr>
                <w:rFonts w:ascii="Times New Roman" w:hAnsi="Times New Roman" w:cs="Times New Roman" w:eastAsia="Times New Roman" w:hint="default"/>
                <w:sz w:val="18"/>
                <w:szCs w:val="18"/>
              </w:rPr>
            </w:pPr>
            <w:r>
              <w:rPr>
                <w:rFonts w:ascii="Times New Roman"/>
                <w:b/>
                <w:spacing w:val="-1"/>
                <w:sz w:val="18"/>
              </w:rPr>
              <w:t>106,90</w:t>
            </w:r>
            <w:r>
              <w:rPr>
                <w:rFonts w:ascii="Times New Roman"/>
                <w:spacing w:val="-1"/>
                <w:sz w:val="18"/>
              </w:rPr>
            </w:r>
          </w:p>
        </w:tc>
      </w:tr>
      <w:tr>
        <w:trPr>
          <w:trHeight w:val="264" w:hRule="exact"/>
        </w:trPr>
        <w:tc>
          <w:tcPr>
            <w:tcW w:w="3418"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left="595" w:right="0"/>
              <w:jc w:val="left"/>
              <w:rPr>
                <w:rFonts w:ascii="Times New Roman" w:hAnsi="Times New Roman" w:cs="Times New Roman" w:eastAsia="Times New Roman" w:hint="default"/>
                <w:sz w:val="18"/>
                <w:szCs w:val="18"/>
              </w:rPr>
            </w:pPr>
            <w:r>
              <w:rPr>
                <w:rFonts w:ascii="Times New Roman" w:hAnsi="Times New Roman"/>
                <w:b/>
                <w:sz w:val="18"/>
              </w:rPr>
              <w:t>Укупно Град </w:t>
            </w:r>
            <w:r>
              <w:rPr>
                <w:rFonts w:ascii="Times New Roman" w:hAnsi="Times New Roman"/>
                <w:b/>
                <w:sz w:val="18"/>
              </w:rPr>
              <w:t>- </w:t>
            </w:r>
            <w:r>
              <w:rPr>
                <w:rFonts w:ascii="Times New Roman" w:hAnsi="Times New Roman"/>
                <w:b/>
                <w:sz w:val="18"/>
              </w:rPr>
              <w:t>група</w:t>
            </w:r>
            <w:r>
              <w:rPr>
                <w:rFonts w:ascii="Times New Roman" w:hAnsi="Times New Roman"/>
                <w:b/>
                <w:spacing w:val="-7"/>
                <w:sz w:val="18"/>
              </w:rPr>
              <w:t> </w:t>
            </w:r>
            <w:r>
              <w:rPr>
                <w:rFonts w:ascii="Times New Roman" w:hAnsi="Times New Roman"/>
                <w:b/>
                <w:sz w:val="18"/>
              </w:rPr>
              <w:t>483000</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1"/>
              <w:jc w:val="right"/>
              <w:rPr>
                <w:rFonts w:ascii="Times New Roman" w:hAnsi="Times New Roman" w:cs="Times New Roman" w:eastAsia="Times New Roman" w:hint="default"/>
                <w:sz w:val="18"/>
                <w:szCs w:val="18"/>
              </w:rPr>
            </w:pPr>
            <w:r>
              <w:rPr>
                <w:rFonts w:ascii="Times New Roman"/>
                <w:b/>
                <w:spacing w:val="-1"/>
                <w:sz w:val="18"/>
              </w:rPr>
              <w:t>151.162</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0"/>
              <w:jc w:val="right"/>
              <w:rPr>
                <w:rFonts w:ascii="Times New Roman" w:hAnsi="Times New Roman" w:cs="Times New Roman" w:eastAsia="Times New Roman" w:hint="default"/>
                <w:sz w:val="18"/>
                <w:szCs w:val="18"/>
              </w:rPr>
            </w:pPr>
            <w:r>
              <w:rPr>
                <w:rFonts w:ascii="Times New Roman"/>
                <w:b/>
                <w:spacing w:val="-1"/>
                <w:sz w:val="18"/>
              </w:rPr>
              <w:t>150.162</w:t>
            </w:r>
            <w:r>
              <w:rPr>
                <w:rFonts w:ascii="Times New Roman"/>
                <w:spacing w:val="-1"/>
                <w:sz w:val="18"/>
              </w:rPr>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1"/>
              <w:jc w:val="right"/>
              <w:rPr>
                <w:rFonts w:ascii="Times New Roman" w:hAnsi="Times New Roman" w:cs="Times New Roman" w:eastAsia="Times New Roman" w:hint="default"/>
                <w:sz w:val="18"/>
                <w:szCs w:val="18"/>
              </w:rPr>
            </w:pPr>
            <w:r>
              <w:rPr>
                <w:rFonts w:ascii="Times New Roman"/>
                <w:b/>
                <w:spacing w:val="-1"/>
                <w:sz w:val="18"/>
              </w:rPr>
              <w:t>132.095</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0"/>
              <w:jc w:val="right"/>
              <w:rPr>
                <w:rFonts w:ascii="Times New Roman" w:hAnsi="Times New Roman" w:cs="Times New Roman" w:eastAsia="Times New Roman" w:hint="default"/>
                <w:sz w:val="18"/>
                <w:szCs w:val="18"/>
              </w:rPr>
            </w:pPr>
            <w:r>
              <w:rPr>
                <w:rFonts w:ascii="Times New Roman"/>
                <w:b/>
                <w:spacing w:val="-1"/>
                <w:sz w:val="18"/>
              </w:rPr>
              <w:t>141.187</w:t>
            </w:r>
            <w:r>
              <w:rPr>
                <w:rFonts w:ascii="Times New Roman"/>
                <w:spacing w:val="-1"/>
                <w:sz w:val="18"/>
              </w:rPr>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0"/>
              <w:jc w:val="right"/>
              <w:rPr>
                <w:rFonts w:ascii="Times New Roman" w:hAnsi="Times New Roman" w:cs="Times New Roman" w:eastAsia="Times New Roman" w:hint="default"/>
                <w:sz w:val="18"/>
                <w:szCs w:val="18"/>
              </w:rPr>
            </w:pPr>
            <w:r>
              <w:rPr>
                <w:rFonts w:ascii="Times New Roman"/>
                <w:b/>
                <w:sz w:val="18"/>
              </w:rPr>
              <w:t>94,04</w:t>
            </w:r>
            <w:r>
              <w:rPr>
                <w:rFonts w:asci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98"/>
              <w:jc w:val="right"/>
              <w:rPr>
                <w:rFonts w:ascii="Times New Roman" w:hAnsi="Times New Roman" w:cs="Times New Roman" w:eastAsia="Times New Roman" w:hint="default"/>
                <w:sz w:val="18"/>
                <w:szCs w:val="18"/>
              </w:rPr>
            </w:pPr>
            <w:r>
              <w:rPr>
                <w:rFonts w:ascii="Times New Roman"/>
                <w:b/>
                <w:spacing w:val="-1"/>
                <w:sz w:val="18"/>
              </w:rPr>
              <w:t>106,90</w:t>
            </w:r>
            <w:r>
              <w:rPr>
                <w:rFonts w:ascii="Times New Roman"/>
                <w:spacing w:val="-1"/>
                <w:sz w:val="18"/>
              </w:rPr>
            </w:r>
          </w:p>
        </w:tc>
      </w:tr>
    </w:tbl>
    <w:p>
      <w:pPr>
        <w:spacing w:line="240" w:lineRule="auto" w:before="5"/>
        <w:rPr>
          <w:rFonts w:ascii="Times New Roman" w:hAnsi="Times New Roman" w:cs="Times New Roman" w:eastAsia="Times New Roman" w:hint="default"/>
          <w:sz w:val="5"/>
          <w:szCs w:val="5"/>
        </w:rPr>
      </w:pPr>
    </w:p>
    <w:p>
      <w:pPr>
        <w:pStyle w:val="BodyText"/>
        <w:spacing w:line="240" w:lineRule="auto" w:before="69"/>
        <w:ind w:right="257" w:firstLine="566"/>
        <w:jc w:val="both"/>
      </w:pPr>
      <w:r>
        <w:rPr/>
        <w:t>Исказано је извршење у износу од 132.095 хиљада динара и то из средстава буџета  у износу од 117.494 хиљаде динара и из осталих извора у износу од 14.601 хиљаде динара.</w:t>
      </w:r>
    </w:p>
    <w:p>
      <w:pPr>
        <w:pStyle w:val="BodyText"/>
        <w:spacing w:line="240" w:lineRule="auto"/>
        <w:ind w:right="252" w:firstLine="566"/>
        <w:jc w:val="both"/>
        <w:rPr>
          <w:rFonts w:ascii="Times New Roman" w:hAnsi="Times New Roman" w:cs="Times New Roman" w:eastAsia="Times New Roman" w:hint="default"/>
        </w:rPr>
      </w:pPr>
      <w:r>
        <w:rPr>
          <w:rFonts w:ascii="Times New Roman" w:hAnsi="Times New Roman"/>
          <w:b/>
        </w:rPr>
        <w:t>На основу ревизије узорковане документације утврђено је </w:t>
      </w:r>
      <w:r>
        <w:rPr/>
        <w:t>да су расходи за новчане казне и пенале извршени у укупном износу од 141.187 хиљада динара. Кашњење у исплати уговорених обавеза увећава расходе по основу камата и судских трошкова те се на тај начин не поступа са пажњом доброг</w:t>
      </w:r>
      <w:r>
        <w:rPr>
          <w:spacing w:val="-13"/>
        </w:rPr>
        <w:t> </w:t>
      </w:r>
      <w:r>
        <w:rPr/>
        <w:t>домаћина</w:t>
      </w:r>
      <w:r>
        <w:rPr>
          <w:rFonts w:ascii="Times New Roman" w:hAnsi="Times New Roman"/>
        </w:rPr>
        <w:t>.</w:t>
      </w:r>
    </w:p>
    <w:p>
      <w:pPr>
        <w:pStyle w:val="Heading2"/>
        <w:spacing w:line="240" w:lineRule="auto"/>
        <w:ind w:right="260"/>
        <w:jc w:val="both"/>
        <w:rPr>
          <w:b w:val="0"/>
          <w:bCs w:val="0"/>
          <w:i w:val="0"/>
        </w:rPr>
      </w:pPr>
      <w:r>
        <w:rPr>
          <w:i/>
        </w:rPr>
        <w:t>Препоручује се одговорним лицима да послове обављају законито, поштујући принципе економичности, ефективности и</w:t>
      </w:r>
      <w:r>
        <w:rPr>
          <w:i/>
          <w:spacing w:val="-22"/>
        </w:rPr>
        <w:t> </w:t>
      </w:r>
      <w:r>
        <w:rPr>
          <w:i/>
        </w:rPr>
        <w:t>ефикасности.</w:t>
      </w:r>
      <w:r>
        <w:rPr>
          <w:b w:val="0"/>
          <w:i w:val="0"/>
        </w:rPr>
      </w:r>
    </w:p>
    <w:p>
      <w:pPr>
        <w:pStyle w:val="ListParagraph"/>
        <w:numPr>
          <w:ilvl w:val="4"/>
          <w:numId w:val="47"/>
        </w:numPr>
        <w:tabs>
          <w:tab w:pos="1013" w:val="left" w:leader="none"/>
        </w:tabs>
        <w:spacing w:line="240" w:lineRule="auto" w:before="132" w:after="0"/>
        <w:ind w:left="160" w:right="257" w:firstLine="566"/>
        <w:jc w:val="both"/>
        <w:rPr>
          <w:rFonts w:ascii="Times New Roman" w:hAnsi="Times New Roman" w:cs="Times New Roman" w:eastAsia="Times New Roman" w:hint="default"/>
          <w:sz w:val="24"/>
          <w:szCs w:val="24"/>
        </w:rPr>
      </w:pPr>
      <w:r>
        <w:rPr>
          <w:rFonts w:ascii="Times New Roman" w:hAnsi="Times New Roman"/>
          <w:b/>
          <w:sz w:val="24"/>
        </w:rPr>
        <w:t>Градско јавно правобранилаштво </w:t>
      </w:r>
      <w:r>
        <w:rPr>
          <w:rFonts w:ascii="Times New Roman" w:hAnsi="Times New Roman"/>
          <w:b/>
          <w:sz w:val="24"/>
        </w:rPr>
        <w:t>- </w:t>
      </w:r>
      <w:r>
        <w:rPr>
          <w:rFonts w:ascii="Times New Roman" w:hAnsi="Times New Roman"/>
          <w:sz w:val="24"/>
        </w:rPr>
        <w:t>Исказан је расход у износу од 96.761 хиљаде динара и то из средстава буџета</w:t>
      </w:r>
      <w:r>
        <w:rPr>
          <w:rFonts w:ascii="Times New Roman" w:hAnsi="Times New Roman"/>
          <w:spacing w:val="-17"/>
          <w:sz w:val="24"/>
        </w:rPr>
        <w:t> </w:t>
      </w:r>
      <w:r>
        <w:rPr>
          <w:rFonts w:ascii="Times New Roman" w:hAnsi="Times New Roman"/>
          <w:sz w:val="24"/>
        </w:rPr>
        <w:t>града.</w:t>
      </w:r>
    </w:p>
    <w:p>
      <w:pPr>
        <w:pStyle w:val="BodyText"/>
        <w:spacing w:line="240" w:lineRule="auto"/>
        <w:ind w:right="254" w:firstLine="566"/>
        <w:jc w:val="both"/>
      </w:pPr>
      <w:r>
        <w:rPr/>
        <w:t>Ревидиран је износ од 17.527 хиљада динара, који се односи на принудно наплаћена средстава са рачуна извршења буџета града Ниша</w:t>
      </w:r>
      <w:r>
        <w:rPr>
          <w:rFonts w:ascii="Times New Roman" w:hAnsi="Times New Roman"/>
        </w:rPr>
        <w:t>, </w:t>
      </w:r>
      <w:r>
        <w:rPr/>
        <w:t>за следеће расходе и издатке: неплаћени  допринос  за  пензијско  и  инвалидско  осигурање  у  износу  од  106  </w:t>
      </w:r>
      <w:r>
        <w:rPr>
          <w:spacing w:val="7"/>
        </w:rPr>
        <w:t> </w:t>
      </w:r>
      <w:r>
        <w:rPr/>
        <w:t>хиљада</w:t>
      </w:r>
    </w:p>
    <w:p>
      <w:pPr>
        <w:spacing w:after="0" w:line="240" w:lineRule="auto"/>
        <w:jc w:val="both"/>
        <w:sectPr>
          <w:pgSz w:w="12240" w:h="15840"/>
          <w:pgMar w:header="740" w:footer="1274" w:top="1280" w:bottom="1460" w:left="1400" w:right="1180"/>
        </w:sectPr>
      </w:pPr>
    </w:p>
    <w:p>
      <w:pPr>
        <w:pStyle w:val="BodyText"/>
        <w:spacing w:line="240" w:lineRule="auto" w:before="122"/>
        <w:ind w:right="174"/>
        <w:jc w:val="both"/>
      </w:pPr>
      <w:r>
        <w:rPr/>
        <w:t>динара, неплаћене рачуне за текуће поправке и одржавање у износу од 208 хиљада динара, субвенције приватним предузећима у износу од 1.510 хиљада динара, неплаћене таксе у износу од шест хиљада динара, накнаду за ујед паса у износу од 3.052 хиљаде динара, изузето земљиште у износу од 2.631 хиљаде динара, трошкове камате у износу  од  2.641  хиљаде динара,  трошкове принудне наплате и  остале трошкове  у износу    </w:t>
      </w:r>
      <w:r>
        <w:rPr>
          <w:spacing w:val="34"/>
        </w:rPr>
        <w:t> </w:t>
      </w:r>
      <w:r>
        <w:rPr/>
        <w:t>од</w:t>
      </w:r>
    </w:p>
    <w:p>
      <w:pPr>
        <w:pStyle w:val="BodyText"/>
        <w:spacing w:line="240" w:lineRule="auto"/>
        <w:ind w:right="0"/>
        <w:jc w:val="both"/>
      </w:pPr>
      <w:r>
        <w:rPr/>
        <w:t>7.373 хиљаде</w:t>
      </w:r>
      <w:r>
        <w:rPr>
          <w:spacing w:val="-3"/>
        </w:rPr>
        <w:t> </w:t>
      </w:r>
      <w:r>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3"/>
        </w:rPr>
        <w:t> </w:t>
      </w:r>
      <w:r>
        <w:rPr/>
        <w:t>је:</w:t>
      </w:r>
      <w:r>
        <w:rPr>
          <w:b w:val="0"/>
        </w:rPr>
      </w:r>
    </w:p>
    <w:p>
      <w:pPr>
        <w:pStyle w:val="ListParagraph"/>
        <w:numPr>
          <w:ilvl w:val="0"/>
          <w:numId w:val="9"/>
        </w:numPr>
        <w:tabs>
          <w:tab w:pos="303"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Расходи за новчане казне и пенале по решењу судова се односе на спорове који се воде против директних корисника средстава буџета Града, те организациона класификација није поштована, јер су планирани и извршени расходи код Градског јавног правобранилаштва, што је супротно члану 29. Закона о буџетском</w:t>
      </w:r>
      <w:r>
        <w:rPr>
          <w:rFonts w:ascii="Times New Roman" w:hAnsi="Times New Roman"/>
          <w:spacing w:val="-27"/>
          <w:sz w:val="24"/>
        </w:rPr>
        <w:t> </w:t>
      </w:r>
      <w:r>
        <w:rPr>
          <w:rFonts w:ascii="Times New Roman" w:hAnsi="Times New Roman"/>
          <w:sz w:val="24"/>
        </w:rPr>
        <w:t>систему.</w:t>
      </w:r>
    </w:p>
    <w:p>
      <w:pPr>
        <w:pStyle w:val="ListParagraph"/>
        <w:numPr>
          <w:ilvl w:val="0"/>
          <w:numId w:val="9"/>
        </w:numPr>
        <w:tabs>
          <w:tab w:pos="303" w:val="left" w:leader="none"/>
        </w:tabs>
        <w:spacing w:line="292" w:lineRule="exact" w:before="2"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Расходи су неправилно евидентирани у износу од 7.513 хиљада динара на групи</w:t>
      </w:r>
      <w:r>
        <w:rPr>
          <w:rFonts w:ascii="Times New Roman" w:hAnsi="Times New Roman"/>
          <w:spacing w:val="41"/>
          <w:sz w:val="24"/>
        </w:rPr>
        <w:t> </w:t>
      </w:r>
      <w:r>
        <w:rPr>
          <w:rFonts w:ascii="Times New Roman" w:hAnsi="Times New Roman"/>
          <w:sz w:val="24"/>
        </w:rPr>
        <w:t>483000</w:t>
      </w:r>
    </w:p>
    <w:p>
      <w:pPr>
        <w:pStyle w:val="ListParagraph"/>
        <w:numPr>
          <w:ilvl w:val="0"/>
          <w:numId w:val="48"/>
        </w:numPr>
        <w:tabs>
          <w:tab w:pos="406"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новчане казне и пенали по решењу судова, уместо на: групи 412000 – социјални доприноси на терет послодавца у износу од 106 хиљада динара; групи 425000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текуће поправке и одржавање у износу од 208 хиљада динара; групи 454000 – субвенције приватним предузећима у износу од 1.510 хиљада динара; групи 482000 – порези, обавезне таксе, казне и пенали у износу од шест хиљада динара; групи 485000 – накнада штете за повреду или штету нанету од стране државних органа у износу од 3.052 хиљаде динара и групи 541000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земљиште у износу од 2.631 хиљаде динара, што је супротно члану 9. Уредбе о буџетском рачуноводству и Правилнику о стандардном класификационом оквиру и контном плану за буџетски систем</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У Билансу стања нефинансијска имовина и капитал мање су исказани за износ од </w:t>
      </w:r>
      <w:r>
        <w:rPr>
          <w:rFonts w:ascii="Times New Roman" w:hAnsi="Times New Roman" w:cs="Times New Roman" w:eastAsia="Times New Roman" w:hint="default"/>
          <w:sz w:val="24"/>
          <w:szCs w:val="24"/>
        </w:rPr>
        <w:t>2.631 </w:t>
      </w:r>
      <w:r>
        <w:rPr>
          <w:rFonts w:ascii="Times New Roman" w:hAnsi="Times New Roman" w:cs="Times New Roman" w:eastAsia="Times New Roman" w:hint="default"/>
          <w:sz w:val="24"/>
          <w:szCs w:val="24"/>
        </w:rPr>
        <w:t>хиљаде</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динара</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Расходи за новчане казне и пенале по решењу судова нису рачуноводствено евидентирани преко групе 245000 – обавезе за остале расходе,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систем.</w:t>
      </w:r>
    </w:p>
    <w:p>
      <w:pPr>
        <w:pStyle w:val="Heading2"/>
        <w:spacing w:line="240" w:lineRule="auto"/>
        <w:ind w:right="177"/>
        <w:jc w:val="both"/>
        <w:rPr>
          <w:rFonts w:ascii="Times New Roman" w:hAnsi="Times New Roman" w:cs="Times New Roman" w:eastAsia="Times New Roman" w:hint="default"/>
          <w:b w:val="0"/>
          <w:bCs w:val="0"/>
          <w:i w:val="0"/>
        </w:rPr>
      </w:pPr>
      <w:r>
        <w:rPr>
          <w:i/>
        </w:rPr>
        <w:t>Препоручује се одговорним лицима да примењују јединствену буџетску клсификацију и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3"/>
        </w:rPr>
        <w:t> </w:t>
      </w:r>
      <w:r>
        <w:rPr>
          <w:i/>
        </w:rPr>
        <w:t>систем</w:t>
      </w:r>
      <w:r>
        <w:rPr>
          <w:rFonts w:ascii="Times New Roman" w:hAnsi="Times New Roman"/>
          <w:i/>
        </w:rPr>
        <w:t>.</w:t>
      </w:r>
      <w:r>
        <w:rPr>
          <w:rFonts w:ascii="Times New Roman" w:hAnsi="Times New Roman"/>
          <w:b w:val="0"/>
          <w:i w:val="0"/>
        </w:rPr>
      </w:r>
    </w:p>
    <w:p>
      <w:pPr>
        <w:pStyle w:val="ListParagraph"/>
        <w:numPr>
          <w:ilvl w:val="4"/>
          <w:numId w:val="47"/>
        </w:numPr>
        <w:tabs>
          <w:tab w:pos="1003" w:val="left" w:leader="none"/>
        </w:tabs>
        <w:spacing w:line="240" w:lineRule="auto" w:before="134" w:after="0"/>
        <w:ind w:left="160" w:right="172"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 за образовање </w:t>
      </w:r>
      <w:r>
        <w:rPr>
          <w:rFonts w:ascii="Times New Roman" w:hAnsi="Times New Roman" w:cs="Times New Roman" w:eastAsia="Times New Roman" w:hint="default"/>
          <w:b/>
          <w:bCs/>
          <w:sz w:val="24"/>
          <w:szCs w:val="24"/>
        </w:rPr>
        <w:t>- </w:t>
      </w:r>
      <w:r>
        <w:rPr>
          <w:rFonts w:ascii="Times New Roman" w:hAnsi="Times New Roman" w:cs="Times New Roman" w:eastAsia="Times New Roman" w:hint="default"/>
          <w:sz w:val="24"/>
          <w:szCs w:val="24"/>
        </w:rPr>
        <w:t>Исказан је расход у износу од 12.208 хиљада динара и то: из средстава буџета града у износу од 388 хиљада динара и из осталих извора у износу од 11.820 хиљада динара. Исказан расход се односи на следеће индиректне буџетске кориснике: ПУ „Пчелица“ у износу од 11.076 хиљада динара и Дечији центар у износу од 1.132 хиљаде</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динара.</w:t>
      </w:r>
    </w:p>
    <w:p>
      <w:pPr>
        <w:pStyle w:val="BodyText"/>
        <w:spacing w:line="240" w:lineRule="auto"/>
        <w:ind w:right="178" w:firstLine="566"/>
        <w:jc w:val="both"/>
        <w:rPr>
          <w:rFonts w:ascii="Times New Roman" w:hAnsi="Times New Roman" w:cs="Times New Roman" w:eastAsia="Times New Roman" w:hint="default"/>
        </w:rPr>
      </w:pPr>
      <w:r>
        <w:rPr>
          <w:rFonts w:ascii="Times New Roman" w:hAnsi="Times New Roman"/>
          <w:b/>
        </w:rPr>
        <w:t>2</w:t>
      </w:r>
      <w:r>
        <w:rPr>
          <w:rFonts w:ascii="Times New Roman" w:hAnsi="Times New Roman"/>
          <w:b/>
        </w:rPr>
        <w:t>а) ПУ Пчелица </w:t>
      </w:r>
      <w:r>
        <w:rPr>
          <w:rFonts w:ascii="Times New Roman" w:hAnsi="Times New Roman"/>
          <w:b/>
        </w:rPr>
        <w:t>- </w:t>
      </w:r>
      <w:r>
        <w:rPr/>
        <w:t>Исказано је извршење у укупном износу од 11.076 хиљада динара из осталих</w:t>
      </w:r>
      <w:r>
        <w:rPr>
          <w:spacing w:val="-7"/>
        </w:rPr>
        <w:t> </w:t>
      </w:r>
      <w:r>
        <w:rPr/>
        <w:t>извора</w:t>
      </w:r>
      <w:r>
        <w:rPr>
          <w:rFonts w:ascii="Times New Roman" w:hAnsi="Times New Roman"/>
        </w:rPr>
        <w:t>.</w:t>
      </w:r>
    </w:p>
    <w:p>
      <w:pPr>
        <w:pStyle w:val="Heading1"/>
        <w:spacing w:line="275" w:lineRule="exact" w:before="2"/>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1"/>
        </w:rPr>
        <w:t> </w:t>
      </w:r>
      <w:r>
        <w:rPr/>
        <w:t>је</w:t>
      </w:r>
      <w:r>
        <w:rPr>
          <w:rFonts w:ascii="Times New Roman" w:hAnsi="Times New Roman"/>
        </w:rPr>
        <w:t>:</w:t>
      </w:r>
      <w:r>
        <w:rPr>
          <w:rFonts w:ascii="Times New Roman" w:hAnsi="Times New Roman"/>
          <w:b w:val="0"/>
        </w:rPr>
      </w:r>
    </w:p>
    <w:p>
      <w:pPr>
        <w:pStyle w:val="ListParagraph"/>
        <w:numPr>
          <w:ilvl w:val="0"/>
          <w:numId w:val="9"/>
        </w:numPr>
        <w:tabs>
          <w:tab w:pos="341" w:val="left" w:leader="none"/>
        </w:tabs>
        <w:spacing w:line="240" w:lineRule="auto" w:before="0"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Финансијским планом предвиђен је износ од </w:t>
      </w:r>
      <w:r>
        <w:rPr>
          <w:rFonts w:ascii="Times New Roman" w:hAnsi="Times New Roman"/>
          <w:sz w:val="24"/>
        </w:rPr>
        <w:t>11.0</w:t>
      </w:r>
      <w:r>
        <w:rPr>
          <w:rFonts w:ascii="Times New Roman" w:hAnsi="Times New Roman"/>
          <w:sz w:val="24"/>
        </w:rPr>
        <w:t>00 хиљада динара за апропријацију </w:t>
      </w:r>
      <w:r>
        <w:rPr>
          <w:rFonts w:ascii="Times New Roman" w:hAnsi="Times New Roman"/>
          <w:sz w:val="24"/>
        </w:rPr>
        <w:t>483000 - </w:t>
      </w:r>
      <w:r>
        <w:rPr>
          <w:rFonts w:ascii="Times New Roman" w:hAnsi="Times New Roman"/>
          <w:sz w:val="24"/>
        </w:rPr>
        <w:t>новчане казне и пенали по решењу судова, а извршен је износ од </w:t>
      </w:r>
      <w:r>
        <w:rPr>
          <w:rFonts w:ascii="Times New Roman" w:hAnsi="Times New Roman"/>
          <w:sz w:val="24"/>
        </w:rPr>
        <w:t>11.076 </w:t>
      </w:r>
      <w:r>
        <w:rPr>
          <w:rFonts w:ascii="Times New Roman" w:hAnsi="Times New Roman"/>
          <w:sz w:val="24"/>
        </w:rPr>
        <w:t>хиљада динара тако да је извршен расход у износу који је за 76 хиљада динара већи од износа одобреног апропријацијом, што је супротно члану 54. Закона о буџетском</w:t>
      </w:r>
      <w:r>
        <w:rPr>
          <w:rFonts w:ascii="Times New Roman" w:hAnsi="Times New Roman"/>
          <w:spacing w:val="-25"/>
          <w:sz w:val="24"/>
        </w:rPr>
        <w:t> </w:t>
      </w:r>
      <w:r>
        <w:rPr>
          <w:rFonts w:ascii="Times New Roman" w:hAnsi="Times New Roman"/>
          <w:sz w:val="24"/>
        </w:rPr>
        <w:t>систему.</w:t>
      </w:r>
    </w:p>
    <w:p>
      <w:pPr>
        <w:pStyle w:val="ListParagraph"/>
        <w:numPr>
          <w:ilvl w:val="0"/>
          <w:numId w:val="9"/>
        </w:numPr>
        <w:tabs>
          <w:tab w:pos="341" w:val="left" w:leader="none"/>
        </w:tabs>
        <w:spacing w:line="274" w:lineRule="exact" w:before="24"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је евидентиран расход у износу од </w:t>
      </w:r>
      <w:r>
        <w:rPr>
          <w:rFonts w:ascii="Times New Roman" w:hAnsi="Times New Roman" w:cs="Times New Roman" w:eastAsia="Times New Roman" w:hint="default"/>
          <w:sz w:val="24"/>
          <w:szCs w:val="24"/>
        </w:rPr>
        <w:t>345 </w:t>
      </w:r>
      <w:r>
        <w:rPr>
          <w:rFonts w:ascii="Times New Roman" w:hAnsi="Times New Roman" w:cs="Times New Roman" w:eastAsia="Times New Roman" w:hint="default"/>
          <w:sz w:val="24"/>
          <w:szCs w:val="24"/>
        </w:rPr>
        <w:t>хиљада динара на групи 483000</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новчане казне и пенали по решењу судова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уместо на групи 416000 – јубиларне  </w:t>
      </w:r>
      <w:r>
        <w:rPr>
          <w:rFonts w:ascii="Times New Roman" w:hAnsi="Times New Roman" w:cs="Times New Roman" w:eastAsia="Times New Roman" w:hint="default"/>
          <w:spacing w:val="38"/>
          <w:sz w:val="24"/>
          <w:szCs w:val="24"/>
        </w:rPr>
        <w:t> </w:t>
      </w:r>
      <w:r>
        <w:rPr>
          <w:rFonts w:ascii="Times New Roman" w:hAnsi="Times New Roman" w:cs="Times New Roman" w:eastAsia="Times New Roman" w:hint="default"/>
          <w:sz w:val="24"/>
          <w:szCs w:val="24"/>
        </w:rPr>
        <w:t>награде,</w:t>
      </w:r>
    </w:p>
    <w:p>
      <w:pPr>
        <w:spacing w:after="0" w:line="274" w:lineRule="exact"/>
        <w:jc w:val="both"/>
        <w:rPr>
          <w:rFonts w:ascii="Times New Roman" w:hAnsi="Times New Roman" w:cs="Times New Roman" w:eastAsia="Times New Roman" w:hint="default"/>
          <w:sz w:val="24"/>
          <w:szCs w:val="24"/>
        </w:rPr>
        <w:sectPr>
          <w:footerReference w:type="default" r:id="rId76"/>
          <w:pgSz w:w="12240" w:h="15840"/>
          <w:pgMar w:footer="1274" w:header="740" w:top="1280" w:bottom="1460" w:left="1400" w:right="1260"/>
          <w:pgNumType w:start="180"/>
        </w:sectPr>
      </w:pPr>
    </w:p>
    <w:p>
      <w:pPr>
        <w:pStyle w:val="BodyText"/>
        <w:spacing w:line="240" w:lineRule="auto" w:before="122"/>
        <w:ind w:right="180"/>
        <w:jc w:val="both"/>
      </w:pPr>
      <w:r>
        <w:rPr/>
        <w:t>што је супротно члану 9. Уредбе о буџетском рачуноводству и Правилнику о стандардном класификационом оквиру и контном плану за буџетски</w:t>
      </w:r>
      <w:r>
        <w:rPr>
          <w:spacing w:val="-31"/>
        </w:rPr>
        <w:t> </w:t>
      </w:r>
      <w:r>
        <w:rPr/>
        <w:t>систем.</w:t>
      </w:r>
    </w:p>
    <w:p>
      <w:pPr>
        <w:pStyle w:val="ListParagraph"/>
        <w:numPr>
          <w:ilvl w:val="0"/>
          <w:numId w:val="9"/>
        </w:numPr>
        <w:tabs>
          <w:tab w:pos="341" w:val="left" w:leader="none"/>
        </w:tabs>
        <w:spacing w:line="292" w:lineRule="exact" w:before="2" w:after="0"/>
        <w:ind w:left="340" w:right="0" w:hanging="180"/>
        <w:jc w:val="both"/>
        <w:rPr>
          <w:rFonts w:ascii="Times New Roman" w:hAnsi="Times New Roman" w:cs="Times New Roman" w:eastAsia="Times New Roman" w:hint="default"/>
          <w:sz w:val="24"/>
          <w:szCs w:val="24"/>
        </w:rPr>
      </w:pPr>
      <w:r>
        <w:rPr>
          <w:rFonts w:ascii="Times New Roman" w:hAnsi="Times New Roman"/>
          <w:sz w:val="24"/>
        </w:rPr>
        <w:t>ПУ не евидентира обавезе за новчане казне и пенале по решењу судова на групи</w:t>
      </w:r>
      <w:r>
        <w:rPr>
          <w:rFonts w:ascii="Times New Roman" w:hAnsi="Times New Roman"/>
          <w:spacing w:val="-27"/>
          <w:sz w:val="24"/>
        </w:rPr>
        <w:t> </w:t>
      </w:r>
      <w:r>
        <w:rPr>
          <w:rFonts w:ascii="Times New Roman" w:hAnsi="Times New Roman"/>
          <w:sz w:val="24"/>
        </w:rPr>
        <w:t>245000</w:t>
      </w:r>
    </w:p>
    <w:p>
      <w:pPr>
        <w:pStyle w:val="ListParagraph"/>
        <w:numPr>
          <w:ilvl w:val="0"/>
          <w:numId w:val="48"/>
        </w:numPr>
        <w:tabs>
          <w:tab w:pos="346" w:val="left" w:leader="none"/>
        </w:tabs>
        <w:spacing w:line="240" w:lineRule="auto" w:before="0"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обавезе за остале расходе, што је супротно члану 9. Уредбе о буџетском рачуноводству Правилнику о стандардном класификационом оквиру и контном плану за буџетски систем.</w:t>
      </w:r>
    </w:p>
    <w:p>
      <w:pPr>
        <w:pStyle w:val="ListParagraph"/>
        <w:numPr>
          <w:ilvl w:val="0"/>
          <w:numId w:val="9"/>
        </w:numPr>
        <w:tabs>
          <w:tab w:pos="341"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обрасцу 5 – Извештај о извршењу буџета исказан је расход у износу од 11.076  хиљада динара на име новчаних казни и пенала по решењу судова у колони 11 – износ извршених расхода и издатака из осталих извора, док су плаћања вршена и из средстава буџета града, што је супротно Правилнику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буџетских</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фондова.</w:t>
      </w:r>
    </w:p>
    <w:p>
      <w:pPr>
        <w:pStyle w:val="Heading2"/>
        <w:spacing w:line="240" w:lineRule="auto"/>
        <w:ind w:right="176"/>
        <w:jc w:val="both"/>
        <w:rPr>
          <w:b w:val="0"/>
          <w:bCs w:val="0"/>
          <w:i w:val="0"/>
        </w:rPr>
      </w:pPr>
      <w:r>
        <w:rPr>
          <w:i/>
        </w:rPr>
        <w:t>Препоручује се одговорним лицима да обезбеде правилну примену одредби Уредбе о буџетском систему и Правилника о стандардном класификационом оквиру и контном плану за буџетски систем и Правилника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буџетских</w:t>
      </w:r>
      <w:r>
        <w:rPr>
          <w:i/>
          <w:spacing w:val="-12"/>
        </w:rPr>
        <w:t> </w:t>
      </w:r>
      <w:r>
        <w:rPr>
          <w:i/>
        </w:rPr>
        <w:t>фондова.</w:t>
      </w:r>
      <w:r>
        <w:rPr>
          <w:b w:val="0"/>
          <w:i w:val="0"/>
        </w:rPr>
      </w:r>
    </w:p>
    <w:p>
      <w:pPr>
        <w:pStyle w:val="BodyText"/>
        <w:spacing w:line="240" w:lineRule="auto"/>
        <w:ind w:right="182" w:firstLine="566"/>
        <w:jc w:val="both"/>
      </w:pPr>
      <w:r>
        <w:rPr>
          <w:rFonts w:ascii="Times New Roman" w:hAnsi="Times New Roman"/>
          <w:b/>
        </w:rPr>
        <w:t>2</w:t>
      </w:r>
      <w:r>
        <w:rPr>
          <w:rFonts w:ascii="Times New Roman" w:hAnsi="Times New Roman"/>
          <w:b/>
        </w:rPr>
        <w:t>б)Дечији центар </w:t>
      </w:r>
      <w:r>
        <w:rPr>
          <w:rFonts w:ascii="Times New Roman" w:hAnsi="Times New Roman"/>
          <w:b/>
        </w:rPr>
        <w:t>- </w:t>
      </w:r>
      <w:r>
        <w:rPr/>
        <w:t>Исказан је износ од 1.132 хиљаде динара, од којих 388 хиљада динара из буџетских средстава, а 744 хиљаде динара из осталих</w:t>
      </w:r>
      <w:r>
        <w:rPr>
          <w:spacing w:val="-24"/>
        </w:rPr>
        <w:t> </w:t>
      </w:r>
      <w:r>
        <w:rPr/>
        <w:t>извора.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је на овој групи евидентиран износ од 1.045 хиљада динара и то за: ПДВ и таксе у износу од 207 хиљада динара уместо на групи 482000 – порези, обавезне таксе и казне, за накнаде омладинској задрузи и председнику управног одбора у износу од </w:t>
      </w:r>
      <w:r>
        <w:rPr>
          <w:rFonts w:ascii="Times New Roman" w:hAnsi="Times New Roman" w:cs="Times New Roman" w:eastAsia="Times New Roman" w:hint="default"/>
          <w:sz w:val="24"/>
          <w:szCs w:val="24"/>
        </w:rPr>
        <w:t>417 </w:t>
      </w:r>
      <w:r>
        <w:rPr>
          <w:rFonts w:ascii="Times New Roman" w:hAnsi="Times New Roman" w:cs="Times New Roman" w:eastAsia="Times New Roman" w:hint="default"/>
          <w:sz w:val="24"/>
          <w:szCs w:val="24"/>
        </w:rPr>
        <w:t>хиљада динара уместо на групи </w:t>
      </w:r>
      <w:r>
        <w:rPr>
          <w:rFonts w:ascii="Times New Roman" w:hAnsi="Times New Roman" w:cs="Times New Roman" w:eastAsia="Times New Roman" w:hint="default"/>
          <w:sz w:val="24"/>
          <w:szCs w:val="24"/>
        </w:rPr>
        <w:t>423000- </w:t>
      </w:r>
      <w:r>
        <w:rPr>
          <w:rFonts w:ascii="Times New Roman" w:hAnsi="Times New Roman" w:cs="Times New Roman" w:eastAsia="Times New Roman" w:hint="default"/>
          <w:sz w:val="24"/>
          <w:szCs w:val="24"/>
        </w:rPr>
        <w:t>услуге по уговору, плате запослених у износу од 421 хиљаде динара уместо на групи 411000 – плате, додаци и накнаде,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26"/>
          <w:sz w:val="24"/>
          <w:szCs w:val="24"/>
        </w:rPr>
        <w:t> </w:t>
      </w:r>
      <w:r>
        <w:rPr>
          <w:rFonts w:ascii="Times New Roman" w:hAnsi="Times New Roman" w:cs="Times New Roman" w:eastAsia="Times New Roman" w:hint="default"/>
          <w:sz w:val="24"/>
          <w:szCs w:val="24"/>
        </w:rPr>
        <w:t>систем.</w:t>
      </w:r>
    </w:p>
    <w:p>
      <w:pPr>
        <w:pStyle w:val="ListParagraph"/>
        <w:numPr>
          <w:ilvl w:val="0"/>
          <w:numId w:val="9"/>
        </w:numPr>
        <w:tabs>
          <w:tab w:pos="303" w:val="left" w:leader="none"/>
        </w:tabs>
        <w:spacing w:line="240" w:lineRule="auto" w:before="2" w:after="0"/>
        <w:ind w:left="160" w:right="18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Расходи за новчане казне и пенале по решењу судова нису рачуноводствено евидентирани преко групе 245000 – обавезе за остале расходе,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систем.</w:t>
      </w:r>
    </w:p>
    <w:p>
      <w:pPr>
        <w:pStyle w:val="Heading2"/>
        <w:spacing w:line="240" w:lineRule="auto"/>
        <w:ind w:right="181"/>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ListParagraph"/>
        <w:numPr>
          <w:ilvl w:val="4"/>
          <w:numId w:val="47"/>
        </w:numPr>
        <w:tabs>
          <w:tab w:pos="1032" w:val="left" w:leader="none"/>
        </w:tabs>
        <w:spacing w:line="240" w:lineRule="auto" w:before="134" w:after="0"/>
        <w:ind w:left="160" w:right="178" w:firstLine="566"/>
        <w:jc w:val="both"/>
        <w:rPr>
          <w:rFonts w:ascii="Times New Roman" w:hAnsi="Times New Roman" w:cs="Times New Roman" w:eastAsia="Times New Roman" w:hint="default"/>
          <w:sz w:val="24"/>
          <w:szCs w:val="24"/>
        </w:rPr>
      </w:pPr>
      <w:r>
        <w:rPr>
          <w:rFonts w:ascii="Times New Roman" w:hAnsi="Times New Roman"/>
          <w:b/>
          <w:sz w:val="24"/>
        </w:rPr>
        <w:t>Управа за омладину и спорт </w:t>
      </w:r>
      <w:r>
        <w:rPr>
          <w:rFonts w:ascii="Times New Roman" w:hAnsi="Times New Roman"/>
          <w:b/>
          <w:sz w:val="24"/>
        </w:rPr>
        <w:t>- </w:t>
      </w:r>
      <w:r>
        <w:rPr>
          <w:rFonts w:ascii="Times New Roman" w:hAnsi="Times New Roman"/>
          <w:sz w:val="24"/>
        </w:rPr>
        <w:t>Исказан је расход у износу од 2.480 хиљада динара и то: из средстава буџета града у износу од 2.358 хиљада динара и из осталих извора у износу од 122 хиљаде динара. Исказани расход се у целости односи на индиректног буџетског корисника СЦ</w:t>
      </w:r>
      <w:r>
        <w:rPr>
          <w:rFonts w:ascii="Times New Roman" w:hAnsi="Times New Roman"/>
          <w:spacing w:val="-15"/>
          <w:sz w:val="24"/>
        </w:rPr>
        <w:t> </w:t>
      </w:r>
      <w:r>
        <w:rPr>
          <w:rFonts w:ascii="Times New Roman" w:hAnsi="Times New Roman"/>
          <w:sz w:val="24"/>
        </w:rPr>
        <w:t>Чаир.</w:t>
      </w:r>
    </w:p>
    <w:p>
      <w:pPr>
        <w:pStyle w:val="BodyText"/>
        <w:spacing w:line="240" w:lineRule="auto"/>
        <w:ind w:right="180" w:firstLine="566"/>
        <w:jc w:val="both"/>
      </w:pPr>
      <w:r>
        <w:rPr>
          <w:rFonts w:ascii="Times New Roman" w:hAnsi="Times New Roman"/>
          <w:b/>
        </w:rPr>
        <w:t>3а) СЦ Чаир </w:t>
      </w:r>
      <w:r>
        <w:rPr>
          <w:rFonts w:ascii="Times New Roman" w:hAnsi="Times New Roman"/>
          <w:b/>
        </w:rPr>
        <w:t>- </w:t>
      </w:r>
      <w:r>
        <w:rPr/>
        <w:t>Исказан је расход у износу од 2.480 хиљада динара од којих 2.358 хиљада динара из буџетских</w:t>
      </w:r>
      <w:r>
        <w:rPr>
          <w:spacing w:val="-17"/>
        </w:rPr>
        <w:t> </w:t>
      </w:r>
      <w:r>
        <w:rPr/>
        <w:t>средстава.</w:t>
      </w:r>
    </w:p>
    <w:p>
      <w:pPr>
        <w:pStyle w:val="Heading1"/>
        <w:spacing w:line="275" w:lineRule="exact"/>
        <w:ind w:right="141"/>
        <w:jc w:val="left"/>
        <w:rPr>
          <w:b w:val="0"/>
          <w:bCs w:val="0"/>
        </w:rPr>
      </w:pPr>
      <w:r>
        <w:rPr/>
        <w:t>На основу ревизије узорковане документације утврђено</w:t>
      </w:r>
      <w:r>
        <w:rPr>
          <w:spacing w:val="-13"/>
        </w:rPr>
        <w:t> </w:t>
      </w:r>
      <w:r>
        <w:rPr/>
        <w:t>је:</w:t>
      </w:r>
      <w:r>
        <w:rPr>
          <w:b w:val="0"/>
        </w:rPr>
      </w:r>
    </w:p>
    <w:p>
      <w:pPr>
        <w:pStyle w:val="ListParagraph"/>
        <w:numPr>
          <w:ilvl w:val="0"/>
          <w:numId w:val="9"/>
        </w:numPr>
        <w:tabs>
          <w:tab w:pos="303" w:val="left" w:leader="none"/>
        </w:tabs>
        <w:spacing w:line="240" w:lineRule="auto" w:before="0"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Неправилно су на овој групи евидентирани расходи у укупном износу од 1.337 хиљада динара и то за: плате у износу од 1.134 хиљаде динара уместо на групи 411000 </w:t>
      </w:r>
      <w:r>
        <w:rPr>
          <w:rFonts w:ascii="Times New Roman" w:hAnsi="Times New Roman"/>
          <w:sz w:val="24"/>
        </w:rPr>
        <w:t>- </w:t>
      </w:r>
      <w:r>
        <w:rPr>
          <w:rFonts w:ascii="Times New Roman" w:hAnsi="Times New Roman"/>
          <w:sz w:val="24"/>
        </w:rPr>
        <w:t>плате, додаци и накнаде запослених и социјалне доприносе на терет послодавца у износу од 203 хиљаде динара уместо на групи </w:t>
      </w:r>
      <w:r>
        <w:rPr>
          <w:rFonts w:ascii="Times New Roman" w:hAnsi="Times New Roman"/>
          <w:sz w:val="24"/>
        </w:rPr>
        <w:t>412000 - </w:t>
      </w:r>
      <w:r>
        <w:rPr>
          <w:rFonts w:ascii="Times New Roman" w:hAnsi="Times New Roman"/>
          <w:sz w:val="24"/>
        </w:rPr>
        <w:t>социјални доприноси на терет послодавца,  </w:t>
      </w:r>
      <w:r>
        <w:rPr>
          <w:rFonts w:ascii="Times New Roman" w:hAnsi="Times New Roman"/>
          <w:spacing w:val="10"/>
          <w:sz w:val="24"/>
        </w:rPr>
        <w:t> </w:t>
      </w:r>
      <w:r>
        <w:rPr>
          <w:rFonts w:ascii="Times New Roman" w:hAnsi="Times New Roman"/>
          <w:sz w:val="24"/>
        </w:rPr>
        <w:t>што</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85"/>
        <w:jc w:val="both"/>
      </w:pPr>
      <w:r>
        <w:rPr/>
        <w:t>је супротно члану 9. Уредбе о буџетском рачуноводству и Правилнику о стандардном класификаицоном оквиру и контном плану за буџетски</w:t>
      </w:r>
      <w:r>
        <w:rPr>
          <w:spacing w:val="-31"/>
        </w:rPr>
        <w:t> </w:t>
      </w:r>
      <w:r>
        <w:rPr/>
        <w:t>систем.</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Расходи за новчане казне и пенале по решењу судова нису рачуноводствено евидентирани преко групе 245000 – обавезе за остале расходе,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систем.</w:t>
      </w:r>
    </w:p>
    <w:p>
      <w:pPr>
        <w:pStyle w:val="Heading2"/>
        <w:spacing w:line="240" w:lineRule="auto"/>
        <w:ind w:right="172"/>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ListParagraph"/>
        <w:numPr>
          <w:ilvl w:val="4"/>
          <w:numId w:val="47"/>
        </w:numPr>
        <w:tabs>
          <w:tab w:pos="993" w:val="left" w:leader="none"/>
        </w:tabs>
        <w:spacing w:line="240" w:lineRule="auto" w:before="132" w:after="0"/>
        <w:ind w:left="160" w:right="174" w:firstLine="566"/>
        <w:jc w:val="both"/>
        <w:rPr>
          <w:rFonts w:ascii="Times New Roman" w:hAnsi="Times New Roman" w:cs="Times New Roman" w:eastAsia="Times New Roman" w:hint="default"/>
          <w:sz w:val="24"/>
          <w:szCs w:val="24"/>
        </w:rPr>
      </w:pPr>
      <w:r>
        <w:rPr>
          <w:rFonts w:ascii="Times New Roman" w:hAnsi="Times New Roman"/>
          <w:b/>
          <w:sz w:val="24"/>
        </w:rPr>
        <w:t>Управа за културу </w:t>
      </w:r>
      <w:r>
        <w:rPr>
          <w:rFonts w:ascii="Times New Roman" w:hAnsi="Times New Roman"/>
          <w:sz w:val="24"/>
        </w:rPr>
        <w:t>- </w:t>
      </w:r>
      <w:r>
        <w:rPr>
          <w:rFonts w:ascii="Times New Roman" w:hAnsi="Times New Roman"/>
          <w:sz w:val="24"/>
        </w:rPr>
        <w:t>Исказан је расход у износу од 7.853 хиљаде динара и то: из средстава буџета града у износу од 5.204 хиљаде динара и из осталих извора у износу од 2.649 хиљада динара. Исказани расход се односи на следеће индиректне кориснике</w:t>
      </w:r>
      <w:r>
        <w:rPr>
          <w:rFonts w:ascii="Times New Roman" w:hAnsi="Times New Roman"/>
          <w:sz w:val="24"/>
        </w:rPr>
        <w:t>, </w:t>
      </w:r>
      <w:r>
        <w:rPr>
          <w:rFonts w:ascii="Times New Roman" w:hAnsi="Times New Roman"/>
          <w:sz w:val="24"/>
        </w:rPr>
        <w:t>и то: Галерију савремене ликовне уметности у износу од 530 хиљада динара, Народну библиотеку Стеван Сремац у износу од 1.481 хиљаде динара</w:t>
      </w:r>
      <w:r>
        <w:rPr>
          <w:rFonts w:ascii="Times New Roman" w:hAnsi="Times New Roman"/>
          <w:sz w:val="24"/>
        </w:rPr>
        <w:t>, </w:t>
      </w:r>
      <w:r>
        <w:rPr>
          <w:rFonts w:ascii="Times New Roman" w:hAnsi="Times New Roman"/>
          <w:sz w:val="24"/>
        </w:rPr>
        <w:t>Народни музеј у износу  </w:t>
      </w:r>
      <w:r>
        <w:rPr>
          <w:rFonts w:ascii="Times New Roman" w:hAnsi="Times New Roman"/>
          <w:spacing w:val="2"/>
          <w:sz w:val="24"/>
        </w:rPr>
        <w:t> </w:t>
      </w:r>
      <w:r>
        <w:rPr>
          <w:rFonts w:ascii="Times New Roman" w:hAnsi="Times New Roman"/>
          <w:sz w:val="24"/>
        </w:rPr>
        <w:t>од</w:t>
      </w:r>
    </w:p>
    <w:p>
      <w:pPr>
        <w:pStyle w:val="BodyText"/>
        <w:spacing w:line="240" w:lineRule="auto"/>
        <w:ind w:right="177"/>
        <w:jc w:val="both"/>
      </w:pPr>
      <w:r>
        <w:rPr/>
        <w:t>1.463 хиљаде динара, Народно позориште у износу од 2.516 хиљада динара, Нишки културни центар у износу од 1.447 хиљада динара,  Завод за заштиту споменика културе  у износу од 27 хиљада динара и Позориште лутака у износу од 389 хиљада</w:t>
      </w:r>
      <w:r>
        <w:rPr>
          <w:spacing w:val="-27"/>
        </w:rPr>
        <w:t> </w:t>
      </w:r>
      <w:r>
        <w:rPr/>
        <w:t>динара.</w:t>
      </w:r>
    </w:p>
    <w:p>
      <w:pPr>
        <w:spacing w:before="0"/>
        <w:ind w:left="160" w:right="180" w:firstLine="566"/>
        <w:jc w:val="both"/>
        <w:rPr>
          <w:rFonts w:ascii="Times New Roman" w:hAnsi="Times New Roman" w:cs="Times New Roman" w:eastAsia="Times New Roman" w:hint="default"/>
          <w:sz w:val="24"/>
          <w:szCs w:val="24"/>
        </w:rPr>
      </w:pPr>
      <w:r>
        <w:rPr>
          <w:rFonts w:ascii="Times New Roman" w:hAnsi="Times New Roman"/>
          <w:b/>
          <w:sz w:val="24"/>
        </w:rPr>
        <w:t>4</w:t>
      </w:r>
      <w:r>
        <w:rPr>
          <w:rFonts w:ascii="Times New Roman" w:hAnsi="Times New Roman"/>
          <w:b/>
          <w:sz w:val="24"/>
        </w:rPr>
        <w:t>а) Галерија савремене ликовне уметности </w:t>
      </w:r>
      <w:r>
        <w:rPr>
          <w:rFonts w:ascii="Times New Roman" w:hAnsi="Times New Roman"/>
          <w:b/>
          <w:sz w:val="24"/>
        </w:rPr>
        <w:t>- </w:t>
      </w:r>
      <w:r>
        <w:rPr>
          <w:rFonts w:ascii="Times New Roman" w:hAnsi="Times New Roman"/>
          <w:sz w:val="24"/>
        </w:rPr>
        <w:t>Исказан је расход у износу од 530 хиљада</w:t>
      </w:r>
      <w:r>
        <w:rPr>
          <w:rFonts w:ascii="Times New Roman" w:hAnsi="Times New Roman"/>
          <w:spacing w:val="-3"/>
          <w:sz w:val="24"/>
        </w:rPr>
        <w:t> </w:t>
      </w:r>
      <w:r>
        <w:rPr>
          <w:rFonts w:ascii="Times New Roman" w:hAnsi="Times New Roman"/>
          <w:sz w:val="24"/>
        </w:rPr>
        <w:t>динара</w:t>
      </w:r>
      <w:r>
        <w:rPr>
          <w:rFonts w:ascii="Times New Roman" w:hAnsi="Times New Roman"/>
          <w:sz w:val="24"/>
        </w:rPr>
        <w:t>.</w:t>
      </w:r>
    </w:p>
    <w:p>
      <w:pPr>
        <w:pStyle w:val="Heading1"/>
        <w:spacing w:line="275" w:lineRule="exact"/>
        <w:ind w:right="141"/>
        <w:jc w:val="left"/>
        <w:rPr>
          <w:b w:val="0"/>
          <w:bCs w:val="0"/>
        </w:rPr>
      </w:pPr>
      <w:r>
        <w:rPr/>
        <w:t>На основу ревизије узорковане документације утврђено</w:t>
      </w:r>
      <w:r>
        <w:rPr>
          <w:spacing w:val="-13"/>
        </w:rPr>
        <w:t> </w:t>
      </w:r>
      <w:r>
        <w:rPr/>
        <w:t>је:</w:t>
      </w:r>
      <w:r>
        <w:rPr>
          <w:b w:val="0"/>
        </w:rPr>
      </w:r>
    </w:p>
    <w:p>
      <w:pPr>
        <w:pStyle w:val="ListParagraph"/>
        <w:numPr>
          <w:ilvl w:val="0"/>
          <w:numId w:val="9"/>
        </w:numPr>
        <w:tabs>
          <w:tab w:pos="363"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Финансијским планом предвиђен је износ од 430 хиљада динара за апропријацију </w:t>
      </w:r>
      <w:r>
        <w:rPr>
          <w:rFonts w:ascii="Times New Roman" w:hAnsi="Times New Roman"/>
          <w:sz w:val="24"/>
        </w:rPr>
        <w:t>483000 - </w:t>
      </w:r>
      <w:r>
        <w:rPr>
          <w:rFonts w:ascii="Times New Roman" w:hAnsi="Times New Roman"/>
          <w:sz w:val="24"/>
        </w:rPr>
        <w:t>новчане казне и пенали по решењу судова, а извршен је износ од 530 хиљада динара. На тај начин извршен је расход у износу који је за 100 хиљада динара већи од одобреног буџетом (из осталих извора), што је супротно члану 54. Закона о буџетском систему.</w:t>
      </w:r>
    </w:p>
    <w:p>
      <w:pPr>
        <w:pStyle w:val="ListParagraph"/>
        <w:numPr>
          <w:ilvl w:val="0"/>
          <w:numId w:val="9"/>
        </w:numPr>
        <w:tabs>
          <w:tab w:pos="303" w:val="left" w:leader="none"/>
        </w:tabs>
        <w:spacing w:line="240" w:lineRule="auto" w:before="2" w:after="0"/>
        <w:ind w:left="160" w:right="17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су на овој групи евидентирани расходи по основу јубиларних награда у износу од </w:t>
      </w:r>
      <w:r>
        <w:rPr>
          <w:rFonts w:ascii="Times New Roman" w:hAnsi="Times New Roman" w:cs="Times New Roman" w:eastAsia="Times New Roman" w:hint="default"/>
          <w:sz w:val="24"/>
          <w:szCs w:val="24"/>
        </w:rPr>
        <w:t>439 </w:t>
      </w:r>
      <w:r>
        <w:rPr>
          <w:rFonts w:ascii="Times New Roman" w:hAnsi="Times New Roman" w:cs="Times New Roman" w:eastAsia="Times New Roman" w:hint="default"/>
          <w:sz w:val="24"/>
          <w:szCs w:val="24"/>
        </w:rPr>
        <w:t>хиљада динара уместо на групи </w:t>
      </w:r>
      <w:r>
        <w:rPr>
          <w:rFonts w:ascii="Times New Roman" w:hAnsi="Times New Roman" w:cs="Times New Roman" w:eastAsia="Times New Roman" w:hint="default"/>
          <w:sz w:val="24"/>
          <w:szCs w:val="24"/>
        </w:rPr>
        <w:t>416000 </w:t>
      </w:r>
      <w:r>
        <w:rPr>
          <w:rFonts w:ascii="Times New Roman" w:hAnsi="Times New Roman" w:cs="Times New Roman" w:eastAsia="Times New Roman" w:hint="default"/>
          <w:sz w:val="24"/>
          <w:szCs w:val="24"/>
        </w:rPr>
        <w:t>– награде запосленима и остали посебни расходи, што је супротно члану 9. Уредбе о буџетском рачуноводству и Правилнику о стандардном класификационом оквиру и контном плану за буџетски систем.</w:t>
      </w:r>
    </w:p>
    <w:p>
      <w:pPr>
        <w:pStyle w:val="ListParagraph"/>
        <w:numPr>
          <w:ilvl w:val="0"/>
          <w:numId w:val="9"/>
        </w:numPr>
        <w:tabs>
          <w:tab w:pos="303" w:val="left" w:leader="none"/>
        </w:tabs>
        <w:spacing w:line="240" w:lineRule="auto" w:before="2" w:after="0"/>
        <w:ind w:left="160" w:right="18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Расходи за новчане казне и пенале по решењу судова нису рачуноводствено евидентирани преко групе 245000 – обавезе за остале расходе,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систем.</w:t>
      </w:r>
    </w:p>
    <w:p>
      <w:pPr>
        <w:pStyle w:val="Heading2"/>
        <w:spacing w:line="240" w:lineRule="auto"/>
        <w:ind w:right="175"/>
        <w:jc w:val="both"/>
        <w:rPr>
          <w:b w:val="0"/>
          <w:bCs w:val="0"/>
          <w:i w:val="0"/>
        </w:rPr>
      </w:pPr>
      <w:r>
        <w:rPr>
          <w:i/>
        </w:rPr>
        <w:t>Препоручује се одговорним лицима да расходе извршавају до износа одобрене апропријације буџетом за ту намену у тој години и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8"/>
        </w:rPr>
        <w:t> </w:t>
      </w:r>
      <w:r>
        <w:rPr>
          <w:i/>
        </w:rPr>
        <w:t>систем.</w:t>
      </w:r>
      <w:r>
        <w:rPr>
          <w:b w:val="0"/>
          <w:i w:val="0"/>
        </w:rPr>
      </w:r>
    </w:p>
    <w:p>
      <w:pPr>
        <w:spacing w:line="271" w:lineRule="exact" w:before="0"/>
        <w:ind w:left="726" w:right="141" w:firstLine="0"/>
        <w:jc w:val="left"/>
        <w:rPr>
          <w:rFonts w:ascii="Times New Roman" w:hAnsi="Times New Roman" w:cs="Times New Roman" w:eastAsia="Times New Roman" w:hint="default"/>
          <w:sz w:val="24"/>
          <w:szCs w:val="24"/>
        </w:rPr>
      </w:pPr>
      <w:r>
        <w:rPr>
          <w:rFonts w:ascii="Times New Roman" w:hAnsi="Times New Roman"/>
          <w:b/>
          <w:sz w:val="24"/>
        </w:rPr>
        <w:t>4</w:t>
      </w:r>
      <w:r>
        <w:rPr>
          <w:rFonts w:ascii="Times New Roman" w:hAnsi="Times New Roman"/>
          <w:b/>
          <w:sz w:val="24"/>
        </w:rPr>
        <w:t>б) Народна библиотека </w:t>
      </w:r>
      <w:r>
        <w:rPr>
          <w:rFonts w:ascii="Times New Roman" w:hAnsi="Times New Roman"/>
          <w:sz w:val="24"/>
        </w:rPr>
        <w:t>- </w:t>
      </w:r>
      <w:r>
        <w:rPr>
          <w:rFonts w:ascii="Times New Roman" w:hAnsi="Times New Roman"/>
          <w:sz w:val="24"/>
        </w:rPr>
        <w:t>Исказан је расход у износу од 1.481 хиљаде</w:t>
      </w:r>
      <w:r>
        <w:rPr>
          <w:rFonts w:ascii="Times New Roman" w:hAnsi="Times New Roman"/>
          <w:spacing w:val="-21"/>
          <w:sz w:val="24"/>
        </w:rPr>
        <w:t> </w:t>
      </w:r>
      <w:r>
        <w:rPr>
          <w:rFonts w:ascii="Times New Roman" w:hAnsi="Times New Roman"/>
          <w:sz w:val="24"/>
        </w:rPr>
        <w:t>динара.</w:t>
      </w:r>
    </w:p>
    <w:p>
      <w:pPr>
        <w:pStyle w:val="BodyText"/>
        <w:spacing w:line="240" w:lineRule="auto"/>
        <w:ind w:right="176" w:firstLine="566"/>
        <w:jc w:val="both"/>
        <w:rPr>
          <w:rFonts w:ascii="Times New Roman" w:hAnsi="Times New Roman" w:cs="Times New Roman" w:eastAsia="Times New Roman" w:hint="default"/>
        </w:rPr>
      </w:pPr>
      <w:r>
        <w:rPr>
          <w:rFonts w:ascii="Times New Roman" w:hAnsi="Times New Roman"/>
          <w:b/>
        </w:rPr>
        <w:t>На основу ревизије узорковане документације утврђено је </w:t>
      </w:r>
      <w:r>
        <w:rPr/>
        <w:t>да је неправилно евидентиран на овој групи износ од 1.167 хиљада динара за јубиларне награде, уместо на групи 416000</w:t>
      </w:r>
      <w:r>
        <w:rPr>
          <w:rFonts w:ascii="Times New Roman" w:hAnsi="Times New Roman"/>
        </w:rPr>
        <w:t>-</w:t>
      </w:r>
      <w:r>
        <w:rPr/>
        <w:t>награде запосленима и остали посебни расходи, што је супротно члану 9. Уредбе о буџетском рачуноводству и Правилнику о стандардном класификационом оквиру и контном плану за буџетски</w:t>
      </w:r>
      <w:r>
        <w:rPr>
          <w:spacing w:val="-16"/>
        </w:rPr>
        <w:t> </w:t>
      </w:r>
      <w:r>
        <w:rPr/>
        <w:t>систем</w:t>
      </w:r>
      <w:r>
        <w:rPr>
          <w:rFonts w:ascii="Times New Roman" w:hAnsi="Times New Roman"/>
        </w:rPr>
        <w:t>.</w:t>
      </w:r>
    </w:p>
    <w:p>
      <w:pPr>
        <w:spacing w:after="0" w:line="240" w:lineRule="auto"/>
        <w:jc w:val="both"/>
        <w:rPr>
          <w:rFonts w:ascii="Times New Roman" w:hAnsi="Times New Roman" w:cs="Times New Roman" w:eastAsia="Times New Roman" w:hint="default"/>
        </w:rPr>
        <w:sectPr>
          <w:pgSz w:w="12240" w:h="15840"/>
          <w:pgMar w:header="740" w:footer="1274" w:top="1280" w:bottom="1460" w:left="1400" w:right="1260"/>
        </w:sectPr>
      </w:pPr>
    </w:p>
    <w:p>
      <w:pPr>
        <w:pStyle w:val="Heading2"/>
        <w:spacing w:line="237" w:lineRule="auto" w:before="129"/>
        <w:ind w:right="181"/>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систему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b w:val="0"/>
          <w:i w:val="0"/>
        </w:rPr>
        <w:t>.</w:t>
      </w:r>
    </w:p>
    <w:p>
      <w:pPr>
        <w:spacing w:before="0"/>
        <w:ind w:left="726" w:right="141" w:firstLine="0"/>
        <w:jc w:val="left"/>
        <w:rPr>
          <w:rFonts w:ascii="Times New Roman" w:hAnsi="Times New Roman" w:cs="Times New Roman" w:eastAsia="Times New Roman" w:hint="default"/>
          <w:sz w:val="24"/>
          <w:szCs w:val="24"/>
        </w:rPr>
      </w:pPr>
      <w:r>
        <w:rPr>
          <w:rFonts w:ascii="Times New Roman" w:hAnsi="Times New Roman"/>
          <w:b/>
          <w:sz w:val="24"/>
        </w:rPr>
        <w:t>4</w:t>
      </w:r>
      <w:r>
        <w:rPr>
          <w:rFonts w:ascii="Times New Roman" w:hAnsi="Times New Roman"/>
          <w:b/>
          <w:sz w:val="24"/>
        </w:rPr>
        <w:t>в)Народни музеј </w:t>
      </w:r>
      <w:r>
        <w:rPr>
          <w:rFonts w:ascii="Times New Roman" w:hAnsi="Times New Roman"/>
          <w:b/>
          <w:sz w:val="24"/>
        </w:rPr>
        <w:t>- </w:t>
      </w:r>
      <w:r>
        <w:rPr>
          <w:rFonts w:ascii="Times New Roman" w:hAnsi="Times New Roman"/>
          <w:sz w:val="24"/>
        </w:rPr>
        <w:t>Исказан је расход у износу од 1.463 хиљаде</w:t>
      </w:r>
      <w:r>
        <w:rPr>
          <w:rFonts w:ascii="Times New Roman" w:hAnsi="Times New Roman"/>
          <w:spacing w:val="-22"/>
          <w:sz w:val="24"/>
        </w:rPr>
        <w:t> </w:t>
      </w:r>
      <w:r>
        <w:rPr>
          <w:rFonts w:ascii="Times New Roman" w:hAnsi="Times New Roman"/>
          <w:sz w:val="24"/>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Финансијским планом предвиђен је износ од 1.300 хиљада динара за апропријацију </w:t>
      </w:r>
      <w:r>
        <w:rPr>
          <w:rFonts w:ascii="Times New Roman" w:hAnsi="Times New Roman"/>
          <w:sz w:val="24"/>
        </w:rPr>
        <w:t>483000 - </w:t>
      </w:r>
      <w:r>
        <w:rPr>
          <w:rFonts w:ascii="Times New Roman" w:hAnsi="Times New Roman"/>
          <w:sz w:val="24"/>
        </w:rPr>
        <w:t>новчане казне и пенали по решењу судова, а извршен је износ од 1.463 хиљаде динара. На тај начин извршен је расход у износу који је за 163 хиљаде динара већи од одобреног буџетом, што је супротно члану 54. Закона о буџетском</w:t>
      </w:r>
      <w:r>
        <w:rPr>
          <w:rFonts w:ascii="Times New Roman" w:hAnsi="Times New Roman"/>
          <w:spacing w:val="-25"/>
          <w:sz w:val="24"/>
        </w:rPr>
        <w:t> </w:t>
      </w:r>
      <w:r>
        <w:rPr>
          <w:rFonts w:ascii="Times New Roman" w:hAnsi="Times New Roman"/>
          <w:sz w:val="24"/>
        </w:rPr>
        <w:t>систему.</w:t>
      </w:r>
    </w:p>
    <w:p>
      <w:pPr>
        <w:pStyle w:val="ListParagraph"/>
        <w:numPr>
          <w:ilvl w:val="0"/>
          <w:numId w:val="9"/>
        </w:numPr>
        <w:tabs>
          <w:tab w:pos="303" w:val="left" w:leader="none"/>
        </w:tabs>
        <w:spacing w:line="240" w:lineRule="auto" w:before="2"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Неправилно је евидентиран на овој групи износ од 1.437 хиљада динара, уместо на групи 416000</w:t>
      </w:r>
      <w:r>
        <w:rPr>
          <w:rFonts w:ascii="Times New Roman" w:hAnsi="Times New Roman"/>
          <w:sz w:val="24"/>
        </w:rPr>
        <w:t>-</w:t>
      </w:r>
      <w:r>
        <w:rPr>
          <w:rFonts w:ascii="Times New Roman" w:hAnsi="Times New Roman"/>
          <w:sz w:val="24"/>
        </w:rPr>
        <w:t>награде запосленима и остали посебни расходи у износу од 945 хиљада динара и 425000</w:t>
      </w:r>
      <w:r>
        <w:rPr>
          <w:rFonts w:ascii="Times New Roman" w:hAnsi="Times New Roman"/>
          <w:sz w:val="24"/>
        </w:rPr>
        <w:t>-</w:t>
      </w:r>
      <w:r>
        <w:rPr>
          <w:rFonts w:ascii="Times New Roman" w:hAnsi="Times New Roman"/>
          <w:sz w:val="24"/>
        </w:rPr>
        <w:t>текуће поправке и одржавање у износу од 492 хиљаде динара,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spacing w:val="-31"/>
          <w:sz w:val="24"/>
        </w:rPr>
        <w:t> </w:t>
      </w:r>
      <w:r>
        <w:rPr>
          <w:rFonts w:ascii="Times New Roman" w:hAnsi="Times New Roman"/>
          <w:sz w:val="24"/>
        </w:rPr>
        <w:t>систем.</w:t>
      </w:r>
    </w:p>
    <w:p>
      <w:pPr>
        <w:pStyle w:val="Heading2"/>
        <w:spacing w:line="240" w:lineRule="auto"/>
        <w:ind w:right="175"/>
        <w:jc w:val="both"/>
        <w:rPr>
          <w:b w:val="0"/>
          <w:bCs w:val="0"/>
          <w:i w:val="0"/>
        </w:rPr>
      </w:pPr>
      <w:r>
        <w:rPr>
          <w:i/>
        </w:rPr>
        <w:t>Препоручује се одговорним лицима да расходе извршавају до износа одобрене апропријације буџетом за ту намену у тој години и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4"/>
        </w:rPr>
        <w:t> </w:t>
      </w:r>
      <w:r>
        <w:rPr>
          <w:i/>
        </w:rPr>
        <w:t>систем.</w:t>
      </w:r>
      <w:r>
        <w:rPr>
          <w:b w:val="0"/>
          <w:i w:val="0"/>
        </w:rPr>
      </w:r>
    </w:p>
    <w:p>
      <w:pPr>
        <w:spacing w:line="271" w:lineRule="exact" w:before="0"/>
        <w:ind w:left="726" w:right="141" w:firstLine="0"/>
        <w:jc w:val="left"/>
        <w:rPr>
          <w:rFonts w:ascii="Times New Roman" w:hAnsi="Times New Roman" w:cs="Times New Roman" w:eastAsia="Times New Roman" w:hint="default"/>
          <w:sz w:val="24"/>
          <w:szCs w:val="24"/>
        </w:rPr>
      </w:pPr>
      <w:r>
        <w:rPr>
          <w:rFonts w:ascii="Times New Roman" w:hAnsi="Times New Roman"/>
          <w:b/>
          <w:sz w:val="24"/>
        </w:rPr>
        <w:t>4</w:t>
      </w:r>
      <w:r>
        <w:rPr>
          <w:rFonts w:ascii="Times New Roman" w:hAnsi="Times New Roman"/>
          <w:b/>
          <w:sz w:val="24"/>
        </w:rPr>
        <w:t>г) Народно позориште </w:t>
      </w:r>
      <w:r>
        <w:rPr>
          <w:rFonts w:ascii="Times New Roman" w:hAnsi="Times New Roman"/>
          <w:b/>
          <w:sz w:val="24"/>
        </w:rPr>
        <w:t>- </w:t>
      </w:r>
      <w:r>
        <w:rPr>
          <w:rFonts w:ascii="Times New Roman" w:hAnsi="Times New Roman"/>
          <w:sz w:val="24"/>
        </w:rPr>
        <w:t>Исказан је расход у износу од 2.516 хиљада</w:t>
      </w:r>
      <w:r>
        <w:rPr>
          <w:rFonts w:ascii="Times New Roman" w:hAnsi="Times New Roman"/>
          <w:spacing w:val="-12"/>
          <w:sz w:val="24"/>
        </w:rPr>
        <w:t> </w:t>
      </w:r>
      <w:r>
        <w:rPr>
          <w:rFonts w:ascii="Times New Roman" w:hAnsi="Times New Roman"/>
          <w:sz w:val="24"/>
        </w:rPr>
        <w:t>динара</w:t>
      </w:r>
      <w:r>
        <w:rPr>
          <w:rFonts w:ascii="Times New Roman" w:hAnsi="Times New Roman"/>
          <w:sz w:val="24"/>
        </w:rPr>
        <w:t>.</w:t>
      </w:r>
    </w:p>
    <w:p>
      <w:pPr>
        <w:pStyle w:val="Heading1"/>
        <w:spacing w:line="240" w:lineRule="auto" w:before="0"/>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1"/>
        </w:rPr>
        <w:t> </w:t>
      </w:r>
      <w:r>
        <w:rPr/>
        <w:t>је</w:t>
      </w:r>
      <w:r>
        <w:rPr>
          <w:rFonts w:ascii="Times New Roman" w:hAnsi="Times New Roman"/>
          <w:b w:val="0"/>
        </w:rPr>
        <w:t>:</w:t>
      </w:r>
    </w:p>
    <w:p>
      <w:pPr>
        <w:pStyle w:val="ListParagraph"/>
        <w:numPr>
          <w:ilvl w:val="0"/>
          <w:numId w:val="9"/>
        </w:numPr>
        <w:tabs>
          <w:tab w:pos="303" w:val="left" w:leader="none"/>
        </w:tabs>
        <w:spacing w:line="240" w:lineRule="auto" w:before="2" w:after="0"/>
        <w:ind w:left="160" w:right="17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је евидентиран на овој групи износ од 1.886 хиљада динара, уместо на групи 416000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награде запосленима и остали посебни расходи у износу од 608 хиљада динара и 511000 – зграде и грађевински објекти у износу од 1.278 хиљада динара, што је супротно члану 9. Уредбе о буџетском рачуноводству и Правилнику о стандардном класификационом оквиру и контном плану за буџетски систем. У Билансу стања нефинансијска имовина и капитал мање су исказани за износ од </w:t>
      </w:r>
      <w:r>
        <w:rPr>
          <w:rFonts w:ascii="Times New Roman" w:hAnsi="Times New Roman" w:cs="Times New Roman" w:eastAsia="Times New Roman" w:hint="default"/>
          <w:sz w:val="24"/>
          <w:szCs w:val="24"/>
        </w:rPr>
        <w:t>1.278 </w:t>
      </w:r>
      <w:r>
        <w:rPr>
          <w:rFonts w:ascii="Times New Roman" w:hAnsi="Times New Roman" w:cs="Times New Roman" w:eastAsia="Times New Roman" w:hint="default"/>
          <w:sz w:val="24"/>
          <w:szCs w:val="24"/>
        </w:rPr>
        <w:t>хиљада</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динара</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Расходи за новчане казне и пенале по решењу судова нису рачуноводствено евидентирани преко групе 245000 – обавезе за остале расходе,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систем.</w:t>
      </w:r>
    </w:p>
    <w:p>
      <w:pPr>
        <w:pStyle w:val="Heading2"/>
        <w:spacing w:line="240" w:lineRule="auto"/>
        <w:ind w:right="176"/>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spacing w:line="271" w:lineRule="exact" w:before="0"/>
        <w:ind w:left="726" w:right="141" w:firstLine="0"/>
        <w:jc w:val="left"/>
        <w:rPr>
          <w:rFonts w:ascii="Times New Roman" w:hAnsi="Times New Roman" w:cs="Times New Roman" w:eastAsia="Times New Roman" w:hint="default"/>
          <w:sz w:val="24"/>
          <w:szCs w:val="24"/>
        </w:rPr>
      </w:pPr>
      <w:r>
        <w:rPr>
          <w:rFonts w:ascii="Times New Roman" w:hAnsi="Times New Roman"/>
          <w:b/>
          <w:sz w:val="24"/>
        </w:rPr>
        <w:t>4</w:t>
      </w:r>
      <w:r>
        <w:rPr>
          <w:rFonts w:ascii="Times New Roman" w:hAnsi="Times New Roman"/>
          <w:b/>
          <w:sz w:val="24"/>
        </w:rPr>
        <w:t>д) Нишки културни центар </w:t>
      </w:r>
      <w:r>
        <w:rPr>
          <w:rFonts w:ascii="Times New Roman" w:hAnsi="Times New Roman"/>
          <w:b/>
          <w:sz w:val="24"/>
        </w:rPr>
        <w:t>- </w:t>
      </w:r>
      <w:r>
        <w:rPr>
          <w:rFonts w:ascii="Times New Roman" w:hAnsi="Times New Roman"/>
          <w:sz w:val="24"/>
        </w:rPr>
        <w:t>Исказан је расход у износу од 1.447 хиљада</w:t>
      </w:r>
      <w:r>
        <w:rPr>
          <w:rFonts w:ascii="Times New Roman" w:hAnsi="Times New Roman"/>
          <w:spacing w:val="-18"/>
          <w:sz w:val="24"/>
        </w:rPr>
        <w:t> </w:t>
      </w:r>
      <w:r>
        <w:rPr>
          <w:rFonts w:ascii="Times New Roman" w:hAnsi="Times New Roman"/>
          <w:sz w:val="24"/>
        </w:rPr>
        <w:t>динара</w:t>
      </w:r>
      <w:r>
        <w:rPr>
          <w:rFonts w:ascii="Times New Roman" w:hAnsi="Times New Roman"/>
          <w:sz w:val="24"/>
        </w:rPr>
        <w:t>.</w:t>
      </w:r>
    </w:p>
    <w:p>
      <w:pPr>
        <w:pStyle w:val="Heading1"/>
        <w:spacing w:line="240" w:lineRule="auto" w:before="0"/>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1"/>
        </w:rPr>
        <w:t> </w:t>
      </w:r>
      <w:r>
        <w:rPr/>
        <w:t>је</w:t>
      </w:r>
      <w:r>
        <w:rPr>
          <w:rFonts w:ascii="Times New Roman" w:hAnsi="Times New Roman"/>
          <w:b w:val="0"/>
        </w:rPr>
        <w:t>:</w:t>
      </w:r>
    </w:p>
    <w:p>
      <w:pPr>
        <w:pStyle w:val="ListParagraph"/>
        <w:numPr>
          <w:ilvl w:val="0"/>
          <w:numId w:val="9"/>
        </w:numPr>
        <w:tabs>
          <w:tab w:pos="341"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је евидентиран износ од 599 хиљада динара на групи 483000, уместо на: групи 421000 – стални трошкови у износу од 23 хиљаде динара; групи 423000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услуге  по уговору у износу од 329 хиљада динара и групи 424000 – специјализоване услуге у износу од 247 хиљада динара,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систем</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Расходи за новчане казне и пенале по решењу судова нису рачуноводствено евидентирани преко групе 245000 – обавезе за остале расходе,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систем.</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Heading2"/>
        <w:spacing w:line="240" w:lineRule="auto" w:before="126"/>
        <w:ind w:right="176"/>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ListParagraph"/>
        <w:numPr>
          <w:ilvl w:val="4"/>
          <w:numId w:val="47"/>
        </w:numPr>
        <w:tabs>
          <w:tab w:pos="1013" w:val="left" w:leader="none"/>
        </w:tabs>
        <w:spacing w:line="240" w:lineRule="auto" w:before="132" w:after="0"/>
        <w:ind w:left="160" w:right="175" w:firstLine="566"/>
        <w:jc w:val="both"/>
        <w:rPr>
          <w:rFonts w:ascii="Times New Roman" w:hAnsi="Times New Roman" w:cs="Times New Roman" w:eastAsia="Times New Roman" w:hint="default"/>
          <w:sz w:val="24"/>
          <w:szCs w:val="24"/>
        </w:rPr>
      </w:pPr>
      <w:r>
        <w:rPr>
          <w:rFonts w:ascii="Times New Roman" w:hAnsi="Times New Roman"/>
          <w:b/>
          <w:sz w:val="24"/>
        </w:rPr>
        <w:t>Управа за комуналне делатности, енергетику и саобраћај </w:t>
      </w:r>
      <w:r>
        <w:rPr>
          <w:rFonts w:ascii="Times New Roman" w:hAnsi="Times New Roman"/>
          <w:b/>
          <w:sz w:val="24"/>
        </w:rPr>
        <w:t>- </w:t>
      </w:r>
      <w:r>
        <w:rPr>
          <w:rFonts w:ascii="Times New Roman" w:hAnsi="Times New Roman"/>
          <w:sz w:val="24"/>
        </w:rPr>
        <w:t>Исказан је расход у износу од 12.783 хиљаде динара из средстава буџета града, а односи се на индиректног буџетског корисника ЈП</w:t>
      </w:r>
      <w:r>
        <w:rPr>
          <w:rFonts w:ascii="Times New Roman" w:hAnsi="Times New Roman"/>
          <w:spacing w:val="-9"/>
          <w:sz w:val="24"/>
        </w:rPr>
        <w:t> </w:t>
      </w:r>
      <w:r>
        <w:rPr>
          <w:rFonts w:ascii="Times New Roman" w:hAnsi="Times New Roman"/>
          <w:sz w:val="24"/>
        </w:rPr>
        <w:t>Дирекција</w:t>
      </w:r>
      <w:r>
        <w:rPr>
          <w:rFonts w:ascii="Times New Roman" w:hAnsi="Times New Roman"/>
          <w:sz w:val="24"/>
        </w:rPr>
        <w:t>.</w:t>
      </w:r>
    </w:p>
    <w:p>
      <w:pPr>
        <w:spacing w:before="0"/>
        <w:ind w:left="726" w:right="141" w:firstLine="0"/>
        <w:jc w:val="left"/>
        <w:rPr>
          <w:rFonts w:ascii="Times New Roman" w:hAnsi="Times New Roman" w:cs="Times New Roman" w:eastAsia="Times New Roman" w:hint="default"/>
          <w:sz w:val="24"/>
          <w:szCs w:val="24"/>
        </w:rPr>
      </w:pPr>
      <w:r>
        <w:rPr>
          <w:rFonts w:ascii="Times New Roman" w:hAnsi="Times New Roman"/>
          <w:b/>
          <w:sz w:val="24"/>
        </w:rPr>
        <w:t>5</w:t>
      </w:r>
      <w:r>
        <w:rPr>
          <w:rFonts w:ascii="Times New Roman" w:hAnsi="Times New Roman"/>
          <w:b/>
          <w:sz w:val="24"/>
        </w:rPr>
        <w:t>а) ЈП Дирекција </w:t>
      </w:r>
      <w:r>
        <w:rPr>
          <w:rFonts w:ascii="Times New Roman" w:hAnsi="Times New Roman"/>
          <w:b/>
          <w:sz w:val="24"/>
        </w:rPr>
        <w:t>- </w:t>
      </w:r>
      <w:r>
        <w:rPr>
          <w:rFonts w:ascii="Times New Roman" w:hAnsi="Times New Roman"/>
          <w:sz w:val="24"/>
        </w:rPr>
        <w:t>Исказан је расход у износу од </w:t>
      </w:r>
      <w:r>
        <w:rPr>
          <w:rFonts w:ascii="Times New Roman" w:hAnsi="Times New Roman"/>
          <w:sz w:val="24"/>
        </w:rPr>
        <w:t>12.783 </w:t>
      </w:r>
      <w:r>
        <w:rPr>
          <w:rFonts w:ascii="Times New Roman" w:hAnsi="Times New Roman"/>
          <w:sz w:val="24"/>
        </w:rPr>
        <w:t>хиљаде</w:t>
      </w:r>
      <w:r>
        <w:rPr>
          <w:rFonts w:ascii="Times New Roman" w:hAnsi="Times New Roman"/>
          <w:spacing w:val="-16"/>
          <w:sz w:val="24"/>
        </w:rPr>
        <w:t> </w:t>
      </w:r>
      <w:r>
        <w:rPr>
          <w:rFonts w:ascii="Times New Roman" w:hAnsi="Times New Roman"/>
          <w:sz w:val="24"/>
        </w:rPr>
        <w:t>динара</w:t>
      </w:r>
      <w:r>
        <w:rPr>
          <w:rFonts w:ascii="Times New Roman" w:hAnsi="Times New Roman"/>
          <w:sz w:val="24"/>
        </w:rPr>
        <w:t>.</w:t>
      </w:r>
    </w:p>
    <w:p>
      <w:pPr>
        <w:pStyle w:val="BodyText"/>
        <w:spacing w:line="240" w:lineRule="auto"/>
        <w:ind w:right="175" w:firstLine="566"/>
        <w:jc w:val="both"/>
        <w:rPr>
          <w:rFonts w:ascii="Times New Roman" w:hAnsi="Times New Roman" w:cs="Times New Roman" w:eastAsia="Times New Roman" w:hint="default"/>
        </w:rPr>
      </w:pPr>
      <w:r>
        <w:rPr>
          <w:rFonts w:ascii="Times New Roman" w:hAnsi="Times New Roman" w:cs="Times New Roman" w:eastAsia="Times New Roman" w:hint="default"/>
          <w:b/>
          <w:bCs/>
        </w:rPr>
        <w:t>На основу ревизије узорковане документације утврђено је </w:t>
      </w:r>
      <w:r>
        <w:rPr/>
        <w:t>да је неправилно евидентиран износ од 7.981 хиљаде динара на групи 483000 – новчане казне и пенали по решењу судова, уместо на: групи 411000 – плате додаци и накнаде запослених у износу од 286 хиљада динара; групи 414000 </w:t>
      </w:r>
      <w:r>
        <w:rPr>
          <w:rFonts w:ascii="Times New Roman" w:hAnsi="Times New Roman" w:cs="Times New Roman" w:eastAsia="Times New Roman" w:hint="default"/>
        </w:rPr>
        <w:t>- </w:t>
      </w:r>
      <w:r>
        <w:rPr/>
        <w:t>социјална давања запосленима у износу од 556 хиљада динара; групи 416000 – награде запосленима и остали посебни расходи у износу од 2.630 хиљада динара; групи 422000 – трошкови путовања у износу од две хиљаде динара; групи 423000 – услуге по уговору у износу од 445 хиљада динара; групи 482000 – порези, обавезне таксе, казне и пенали у износу од 649 хиљада динара; групи 485000 – накнаде штете за повреде или штету нанету од стране државних органа у износу од 54 хиљаде динара и групи 541000 </w:t>
      </w:r>
      <w:r>
        <w:rPr>
          <w:rFonts w:ascii="Times New Roman" w:hAnsi="Times New Roman" w:cs="Times New Roman" w:eastAsia="Times New Roman" w:hint="default"/>
        </w:rPr>
        <w:t>- </w:t>
      </w:r>
      <w:r>
        <w:rPr/>
        <w:t>земљиште у износу од 1.823 хиљаде динара, што је супротно члану 9. Уредбе о буџетском рачуноводству и Правилнику о стандардном класификационом оквиру и контном плану за буџетски</w:t>
      </w:r>
      <w:r>
        <w:rPr>
          <w:spacing w:val="-24"/>
        </w:rPr>
        <w:t> </w:t>
      </w:r>
      <w:r>
        <w:rPr/>
        <w:t>систем</w:t>
      </w:r>
      <w:r>
        <w:rPr>
          <w:rFonts w:ascii="Times New Roman" w:hAnsi="Times New Roman" w:cs="Times New Roman" w:eastAsia="Times New Roman" w:hint="default"/>
        </w:rPr>
        <w:t>.</w:t>
      </w:r>
    </w:p>
    <w:p>
      <w:pPr>
        <w:pStyle w:val="Heading2"/>
        <w:spacing w:line="240" w:lineRule="auto"/>
        <w:ind w:right="176"/>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i/>
        </w:rPr>
        <w:t>.</w:t>
      </w:r>
      <w:r>
        <w:rPr>
          <w:rFonts w:ascii="Times New Roman" w:hAnsi="Times New Roman"/>
          <w:b w:val="0"/>
          <w:i w:val="0"/>
        </w:rPr>
      </w:r>
    </w:p>
    <w:p>
      <w:pPr>
        <w:spacing w:line="240" w:lineRule="auto" w:before="0"/>
        <w:rPr>
          <w:rFonts w:ascii="Times New Roman" w:hAnsi="Times New Roman" w:cs="Times New Roman" w:eastAsia="Times New Roman" w:hint="default"/>
          <w:b/>
          <w:bCs/>
          <w:i/>
          <w:sz w:val="24"/>
          <w:szCs w:val="24"/>
        </w:rPr>
      </w:pPr>
    </w:p>
    <w:p>
      <w:pPr>
        <w:pStyle w:val="Heading1"/>
        <w:numPr>
          <w:ilvl w:val="3"/>
          <w:numId w:val="49"/>
        </w:numPr>
        <w:tabs>
          <w:tab w:pos="1001" w:val="left" w:leader="none"/>
        </w:tabs>
        <w:spacing w:line="240" w:lineRule="auto" w:before="0" w:after="0"/>
        <w:ind w:left="1000" w:right="647" w:hanging="840"/>
        <w:jc w:val="left"/>
        <w:rPr>
          <w:b w:val="0"/>
          <w:bCs w:val="0"/>
        </w:rPr>
      </w:pPr>
      <w:bookmarkStart w:name="_bookmark34" w:id="60"/>
      <w:bookmarkEnd w:id="60"/>
      <w:r>
        <w:rPr>
          <w:b w:val="0"/>
        </w:rPr>
      </w:r>
      <w:bookmarkStart w:name="_bookmark34" w:id="61"/>
      <w:bookmarkEnd w:id="61"/>
      <w:r>
        <w:rPr/>
        <w:t>На</w:t>
      </w:r>
      <w:r>
        <w:rPr/>
        <w:t>кнада штете за повреде или штету нанету од стране државних органа</w:t>
      </w:r>
      <w:r>
        <w:rPr>
          <w:rFonts w:ascii="Times New Roman" w:hAnsi="Times New Roman"/>
        </w:rPr>
        <w:t>, </w:t>
      </w:r>
      <w:bookmarkStart w:name="_bookmark35" w:id="62"/>
      <w:bookmarkEnd w:id="62"/>
      <w:r>
        <w:rPr>
          <w:rFonts w:ascii="Times New Roman" w:hAnsi="Times New Roman"/>
        </w:rPr>
      </w:r>
      <w:r>
        <w:rPr/>
        <w:t>група</w:t>
      </w:r>
      <w:r>
        <w:rPr>
          <w:spacing w:val="-2"/>
        </w:rPr>
        <w:t> </w:t>
      </w:r>
      <w:r>
        <w:rPr/>
        <w:t>485000</w:t>
      </w:r>
      <w:r>
        <w:rPr>
          <w:b w:val="0"/>
        </w:rPr>
      </w:r>
    </w:p>
    <w:p>
      <w:pPr>
        <w:pStyle w:val="BodyText"/>
        <w:tabs>
          <w:tab w:pos="7839" w:val="left" w:leader="none"/>
        </w:tabs>
        <w:spacing w:line="240" w:lineRule="auto" w:after="8"/>
        <w:ind w:right="178" w:firstLine="566"/>
        <w:jc w:val="both"/>
        <w:rPr>
          <w:rFonts w:ascii="Times New Roman" w:hAnsi="Times New Roman" w:cs="Times New Roman" w:eastAsia="Times New Roman" w:hint="default"/>
          <w:sz w:val="16"/>
          <w:szCs w:val="16"/>
        </w:rPr>
      </w:pPr>
      <w:r>
        <w:rPr/>
        <w:t>Група 48</w:t>
      </w:r>
      <w:r>
        <w:rPr>
          <w:rFonts w:ascii="Times New Roman" w:hAnsi="Times New Roman" w:cs="Times New Roman" w:eastAsia="Times New Roman" w:hint="default"/>
        </w:rPr>
        <w:t>5000 </w:t>
      </w:r>
      <w:r>
        <w:rPr/>
        <w:t>– Накнада штете за повреде или штету нанету од стране државних органа садржи субаналитички конто накнада штете за повреде или штету нанету од стране </w:t>
      </w:r>
      <w:r>
        <w:rPr>
          <w:spacing w:val="3"/>
        </w:rPr>
        <w:t> </w:t>
      </w:r>
      <w:r>
        <w:rPr/>
        <w:t>државних </w:t>
      </w:r>
      <w:r>
        <w:rPr>
          <w:spacing w:val="9"/>
        </w:rPr>
        <w:t> </w:t>
      </w:r>
      <w:r>
        <w:rPr/>
        <w:t>органа</w:t>
      </w:r>
      <w:r>
        <w:rPr>
          <w:rFonts w:ascii="Times New Roman" w:hAnsi="Times New Roman" w:cs="Times New Roman" w:eastAsia="Times New Roman" w:hint="default"/>
        </w:rPr>
        <w:t>.</w:t>
        <w:tab/>
      </w:r>
      <w:r>
        <w:rPr>
          <w:rFonts w:ascii="Times New Roman" w:hAnsi="Times New Roman" w:cs="Times New Roman" w:eastAsia="Times New Roman" w:hint="default"/>
          <w:sz w:val="16"/>
          <w:szCs w:val="16"/>
        </w:rPr>
        <w:t>(</w:t>
      </w:r>
      <w:r>
        <w:rPr>
          <w:sz w:val="16"/>
          <w:szCs w:val="16"/>
        </w:rPr>
        <w:t>у хиљадама</w:t>
      </w:r>
      <w:r>
        <w:rPr>
          <w:spacing w:val="-4"/>
          <w:sz w:val="16"/>
          <w:szCs w:val="16"/>
        </w:rPr>
        <w:t> </w:t>
      </w:r>
      <w:r>
        <w:rPr>
          <w:sz w:val="16"/>
          <w:szCs w:val="16"/>
        </w:rPr>
        <w:t>динара</w:t>
      </w:r>
      <w:r>
        <w:rPr>
          <w:rFonts w:ascii="Times New Roman" w:hAnsi="Times New Roman" w:cs="Times New Roman" w:eastAsia="Times New Roman" w:hint="default"/>
          <w:sz w:val="16"/>
          <w:szCs w:val="16"/>
        </w:rPr>
        <w:t>)</w:t>
      </w:r>
    </w:p>
    <w:tbl>
      <w:tblPr>
        <w:tblW w:w="0" w:type="auto"/>
        <w:jc w:val="left"/>
        <w:tblInd w:w="141" w:type="dxa"/>
        <w:tblLayout w:type="fixed"/>
        <w:tblCellMar>
          <w:top w:w="0" w:type="dxa"/>
          <w:left w:w="0" w:type="dxa"/>
          <w:bottom w:w="0" w:type="dxa"/>
          <w:right w:w="0" w:type="dxa"/>
        </w:tblCellMar>
        <w:tblLook w:val="01E0"/>
      </w:tblPr>
      <w:tblGrid>
        <w:gridCol w:w="876"/>
        <w:gridCol w:w="2401"/>
        <w:gridCol w:w="960"/>
        <w:gridCol w:w="1351"/>
        <w:gridCol w:w="1047"/>
        <w:gridCol w:w="936"/>
        <w:gridCol w:w="845"/>
        <w:gridCol w:w="847"/>
      </w:tblGrid>
      <w:tr>
        <w:trPr>
          <w:trHeight w:val="535"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5"/>
              <w:ind w:left="261" w:right="178" w:hanging="72"/>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8"/>
              <w:ind w:left="393"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8"/>
                <w:sz w:val="18"/>
              </w:rPr>
              <w:t> </w:t>
            </w:r>
            <w:r>
              <w:rPr>
                <w:rFonts w:ascii="Times New Roman" w:hAnsi="Times New Roman"/>
                <w:b/>
                <w:sz w:val="18"/>
              </w:rPr>
              <w:t>корисник</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8"/>
              <w:ind w:right="103"/>
              <w:jc w:val="right"/>
              <w:rPr>
                <w:rFonts w:ascii="Times New Roman" w:hAnsi="Times New Roman" w:cs="Times New Roman" w:eastAsia="Times New Roman" w:hint="default"/>
                <w:sz w:val="18"/>
                <w:szCs w:val="18"/>
              </w:rPr>
            </w:pPr>
            <w:r>
              <w:rPr>
                <w:rFonts w:ascii="Times New Roman" w:hAnsi="Times New Roman"/>
                <w:b/>
                <w:spacing w:val="-1"/>
                <w:sz w:val="18"/>
              </w:rPr>
              <w:t>Ребаланс</w:t>
            </w:r>
            <w:r>
              <w:rPr>
                <w:rFonts w:ascii="Times New Roman" w:hAns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5"/>
              <w:ind w:left="103" w:right="93" w:firstLine="88"/>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реалокацијом</w:t>
            </w:r>
            <w:r>
              <w:rPr>
                <w:rFonts w:ascii="Times New Roman" w:hAns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5"/>
              <w:ind w:left="103" w:right="95"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5"/>
              <w:ind w:left="112" w:right="107"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5"/>
              <w:ind w:left="299" w:right="110"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5"/>
              <w:ind w:left="302" w:right="109"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49"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403" w:right="0"/>
              <w:jc w:val="left"/>
              <w:rPr>
                <w:rFonts w:ascii="Times New Roman" w:hAnsi="Times New Roman" w:cs="Times New Roman" w:eastAsia="Times New Roman" w:hint="default"/>
                <w:sz w:val="12"/>
                <w:szCs w:val="12"/>
              </w:rPr>
            </w:pPr>
            <w:r>
              <w:rPr>
                <w:rFonts w:ascii="Times New Roman"/>
                <w:sz w:val="12"/>
              </w:rPr>
              <w:t>1</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1"/>
              <w:jc w:val="center"/>
              <w:rPr>
                <w:rFonts w:ascii="Times New Roman" w:hAnsi="Times New Roman" w:cs="Times New Roman" w:eastAsia="Times New Roman" w:hint="default"/>
                <w:sz w:val="12"/>
                <w:szCs w:val="12"/>
              </w:rPr>
            </w:pPr>
            <w:r>
              <w:rPr>
                <w:rFonts w:ascii="Times New Roman"/>
                <w:sz w:val="12"/>
              </w:rPr>
              <w:t>2</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2"/>
              <w:jc w:val="center"/>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
              <w:jc w:val="center"/>
              <w:rPr>
                <w:rFonts w:ascii="Times New Roman" w:hAnsi="Times New Roman" w:cs="Times New Roman" w:eastAsia="Times New Roman" w:hint="default"/>
                <w:sz w:val="12"/>
                <w:szCs w:val="12"/>
              </w:rPr>
            </w:pPr>
            <w:r>
              <w:rPr>
                <w:rFonts w:ascii="Times New Roman"/>
                <w:sz w:val="12"/>
              </w:rPr>
              <w:t>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7</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8</w:t>
            </w:r>
          </w:p>
        </w:tc>
      </w:tr>
      <w:tr>
        <w:trPr>
          <w:trHeight w:val="264"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386" w:right="0"/>
              <w:jc w:val="left"/>
              <w:rPr>
                <w:rFonts w:ascii="Times New Roman" w:hAnsi="Times New Roman" w:cs="Times New Roman" w:eastAsia="Times New Roman" w:hint="default"/>
                <w:sz w:val="18"/>
                <w:szCs w:val="18"/>
              </w:rPr>
            </w:pPr>
            <w:r>
              <w:rPr>
                <w:rFonts w:ascii="Times New Roman"/>
                <w:sz w:val="18"/>
              </w:rPr>
              <w:t>1</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ком.</w:t>
            </w:r>
            <w:r>
              <w:rPr>
                <w:rFonts w:ascii="Times New Roman" w:hAnsi="Times New Roman"/>
                <w:spacing w:val="-10"/>
                <w:sz w:val="18"/>
              </w:rPr>
              <w:t> </w:t>
            </w:r>
            <w:r>
              <w:rPr>
                <w:rFonts w:ascii="Times New Roman" w:hAnsi="Times New Roman"/>
                <w:sz w:val="18"/>
              </w:rPr>
              <w:t>делатн.</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5.000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5.000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1"/>
              <w:jc w:val="right"/>
              <w:rPr>
                <w:rFonts w:ascii="Times New Roman" w:hAnsi="Times New Roman" w:cs="Times New Roman" w:eastAsia="Times New Roman" w:hint="default"/>
                <w:sz w:val="18"/>
                <w:szCs w:val="18"/>
              </w:rPr>
            </w:pPr>
            <w:r>
              <w:rPr>
                <w:rFonts w:ascii="Times New Roman"/>
                <w:sz w:val="18"/>
              </w:rPr>
              <w:t>579</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1"/>
              <w:jc w:val="right"/>
              <w:rPr>
                <w:rFonts w:ascii="Times New Roman" w:hAnsi="Times New Roman" w:cs="Times New Roman" w:eastAsia="Times New Roman" w:hint="default"/>
                <w:sz w:val="18"/>
                <w:szCs w:val="18"/>
              </w:rPr>
            </w:pPr>
            <w:r>
              <w:rPr>
                <w:rFonts w:ascii="Times New Roman"/>
                <w:sz w:val="18"/>
              </w:rPr>
              <w:t>633</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12,66</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pacing w:val="-1"/>
                <w:sz w:val="18"/>
              </w:rPr>
              <w:t>109,33</w:t>
            </w:r>
          </w:p>
        </w:tc>
      </w:tr>
      <w:tr>
        <w:trPr>
          <w:trHeight w:val="217"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99"/>
              <w:jc w:val="right"/>
              <w:rPr>
                <w:rFonts w:ascii="Times New Roman" w:hAnsi="Times New Roman" w:cs="Times New Roman" w:eastAsia="Times New Roman" w:hint="default"/>
                <w:sz w:val="18"/>
                <w:szCs w:val="18"/>
              </w:rPr>
            </w:pPr>
            <w:r>
              <w:rPr>
                <w:rFonts w:ascii="Times New Roman" w:hAnsi="Times New Roman"/>
                <w:sz w:val="18"/>
              </w:rPr>
              <w:t>1а</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03" w:right="0"/>
              <w:jc w:val="left"/>
              <w:rPr>
                <w:rFonts w:ascii="Times New Roman" w:hAnsi="Times New Roman" w:cs="Times New Roman" w:eastAsia="Times New Roman" w:hint="default"/>
                <w:sz w:val="18"/>
                <w:szCs w:val="18"/>
              </w:rPr>
            </w:pPr>
            <w:r>
              <w:rPr>
                <w:rFonts w:ascii="Times New Roman" w:hAnsi="Times New Roman"/>
                <w:sz w:val="18"/>
              </w:rPr>
              <w:t>ЈП</w:t>
            </w:r>
            <w:r>
              <w:rPr>
                <w:rFonts w:ascii="Times New Roman" w:hAnsi="Times New Roman"/>
                <w:spacing w:val="-6"/>
                <w:sz w:val="18"/>
              </w:rPr>
              <w:t> </w:t>
            </w:r>
            <w:r>
              <w:rPr>
                <w:rFonts w:ascii="Times New Roman" w:hAnsi="Times New Roman"/>
                <w:sz w:val="18"/>
              </w:rPr>
              <w:t>Дирекција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4"/>
              <w:jc w:val="right"/>
              <w:rPr>
                <w:rFonts w:ascii="Times New Roman" w:hAnsi="Times New Roman" w:cs="Times New Roman" w:eastAsia="Times New Roman" w:hint="default"/>
                <w:sz w:val="18"/>
                <w:szCs w:val="18"/>
              </w:rPr>
            </w:pPr>
            <w:r>
              <w:rPr>
                <w:rFonts w:ascii="Times New Roman"/>
                <w:sz w:val="18"/>
              </w:rPr>
              <w:t>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1"/>
              <w:jc w:val="right"/>
              <w:rPr>
                <w:rFonts w:ascii="Times New Roman" w:hAnsi="Times New Roman" w:cs="Times New Roman" w:eastAsia="Times New Roman" w:hint="default"/>
                <w:sz w:val="18"/>
                <w:szCs w:val="18"/>
              </w:rPr>
            </w:pPr>
            <w:r>
              <w:rPr>
                <w:rFonts w:ascii="Times New Roman"/>
                <w:sz w:val="18"/>
              </w:rPr>
              <w:t>54</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pacing w:val="-1"/>
                <w:sz w:val="18"/>
              </w:rPr>
              <w:t>0,00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pacing w:val="-1"/>
                <w:sz w:val="18"/>
              </w:rPr>
              <w:t>0,00</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86" w:right="0"/>
              <w:jc w:val="left"/>
              <w:rPr>
                <w:rFonts w:ascii="Times New Roman" w:hAnsi="Times New Roman" w:cs="Times New Roman" w:eastAsia="Times New Roman" w:hint="default"/>
                <w:sz w:val="18"/>
                <w:szCs w:val="18"/>
              </w:rPr>
            </w:pPr>
            <w:r>
              <w:rPr>
                <w:rFonts w:ascii="Times New Roman"/>
                <w:sz w:val="18"/>
              </w:rPr>
              <w:t>2</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Градско јавно</w:t>
            </w:r>
            <w:r>
              <w:rPr>
                <w:rFonts w:ascii="Times New Roman" w:hAnsi="Times New Roman"/>
                <w:spacing w:val="-8"/>
                <w:sz w:val="18"/>
              </w:rPr>
              <w:t> </w:t>
            </w:r>
            <w:r>
              <w:rPr>
                <w:rFonts w:ascii="Times New Roman" w:hAnsi="Times New Roman"/>
                <w:sz w:val="18"/>
              </w:rPr>
              <w:t>правобранил.</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4"/>
              <w:jc w:val="right"/>
              <w:rPr>
                <w:rFonts w:ascii="Times New Roman" w:hAnsi="Times New Roman" w:cs="Times New Roman" w:eastAsia="Times New Roman" w:hint="default"/>
                <w:sz w:val="18"/>
                <w:szCs w:val="18"/>
              </w:rPr>
            </w:pPr>
            <w:r>
              <w:rPr>
                <w:rFonts w:ascii="Times New Roman"/>
                <w:sz w:val="18"/>
              </w:rPr>
              <w:t>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3052</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0,00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0,00</w:t>
            </w:r>
          </w:p>
        </w:tc>
      </w:tr>
      <w:tr>
        <w:trPr>
          <w:trHeight w:val="216"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671" w:right="0"/>
              <w:jc w:val="left"/>
              <w:rPr>
                <w:rFonts w:ascii="Times New Roman" w:hAnsi="Times New Roman" w:cs="Times New Roman" w:eastAsia="Times New Roman" w:hint="default"/>
                <w:sz w:val="18"/>
                <w:szCs w:val="18"/>
              </w:rPr>
            </w:pPr>
            <w:r>
              <w:rPr>
                <w:rFonts w:ascii="Times New Roman" w:hAnsi="Times New Roman"/>
                <w:b/>
                <w:sz w:val="18"/>
              </w:rPr>
              <w:t>Укупно корисници</w:t>
            </w:r>
            <w:r>
              <w:rPr>
                <w:rFonts w:ascii="Times New Roman" w:hAnsi="Times New Roman"/>
                <w:b/>
                <w:spacing w:val="-3"/>
                <w:sz w:val="18"/>
              </w:rPr>
              <w:t> </w:t>
            </w:r>
            <w:r>
              <w:rPr>
                <w:rFonts w:ascii="Times New Roman" w:hAnsi="Times New Roman"/>
                <w:b/>
                <w:sz w:val="18"/>
              </w:rPr>
              <w:t>(1</w:t>
            </w:r>
            <w:r>
              <w:rPr>
                <w:rFonts w:ascii="Times New Roman" w:hAnsi="Times New Roman"/>
                <w:b/>
                <w:sz w:val="18"/>
              </w:rPr>
              <w:t>-2)</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5.000</w:t>
            </w:r>
            <w:r>
              <w:rPr>
                <w:rFonts w:ascii="Times New Roman"/>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5.000</w:t>
            </w:r>
            <w:r>
              <w:rPr>
                <w:rFonts w:asci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z w:val="18"/>
              </w:rPr>
              <w:t>579</w:t>
            </w:r>
            <w:r>
              <w:rPr>
                <w:rFonts w:asci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2"/>
              <w:jc w:val="right"/>
              <w:rPr>
                <w:rFonts w:ascii="Times New Roman" w:hAnsi="Times New Roman" w:cs="Times New Roman" w:eastAsia="Times New Roman" w:hint="default"/>
                <w:sz w:val="18"/>
                <w:szCs w:val="18"/>
              </w:rPr>
            </w:pPr>
            <w:r>
              <w:rPr>
                <w:rFonts w:ascii="Times New Roman"/>
                <w:b/>
                <w:sz w:val="18"/>
              </w:rPr>
              <w:t>3.685</w:t>
            </w:r>
            <w:r>
              <w:rPr>
                <w:rFonts w:asci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73,70</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636,44</w:t>
            </w:r>
            <w:r>
              <w:rPr>
                <w:rFonts w:ascii="Times New Roman"/>
                <w:spacing w:val="-1"/>
                <w:sz w:val="18"/>
              </w:rPr>
            </w:r>
          </w:p>
        </w:tc>
      </w:tr>
      <w:tr>
        <w:trPr>
          <w:trHeight w:val="266"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left="551" w:right="0"/>
              <w:jc w:val="left"/>
              <w:rPr>
                <w:rFonts w:ascii="Times New Roman" w:hAnsi="Times New Roman" w:cs="Times New Roman" w:eastAsia="Times New Roman" w:hint="default"/>
                <w:sz w:val="18"/>
                <w:szCs w:val="18"/>
              </w:rPr>
            </w:pPr>
            <w:r>
              <w:rPr>
                <w:rFonts w:ascii="Times New Roman" w:hAnsi="Times New Roman"/>
                <w:b/>
                <w:sz w:val="18"/>
              </w:rPr>
              <w:t>Уупно Град </w:t>
            </w:r>
            <w:r>
              <w:rPr>
                <w:rFonts w:ascii="Times New Roman" w:hAnsi="Times New Roman"/>
                <w:b/>
                <w:sz w:val="18"/>
              </w:rPr>
              <w:t>- </w:t>
            </w:r>
            <w:r>
              <w:rPr>
                <w:rFonts w:ascii="Times New Roman" w:hAnsi="Times New Roman"/>
                <w:b/>
                <w:sz w:val="18"/>
              </w:rPr>
              <w:t>група</w:t>
            </w:r>
            <w:r>
              <w:rPr>
                <w:rFonts w:ascii="Times New Roman" w:hAnsi="Times New Roman"/>
                <w:b/>
                <w:spacing w:val="-8"/>
                <w:sz w:val="18"/>
              </w:rPr>
              <w:t> </w:t>
            </w:r>
            <w:r>
              <w:rPr>
                <w:rFonts w:ascii="Times New Roman" w:hAnsi="Times New Roman"/>
                <w:b/>
                <w:sz w:val="18"/>
              </w:rPr>
              <w:t>485000</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0"/>
              <w:jc w:val="right"/>
              <w:rPr>
                <w:rFonts w:ascii="Times New Roman" w:hAnsi="Times New Roman" w:cs="Times New Roman" w:eastAsia="Times New Roman" w:hint="default"/>
                <w:sz w:val="18"/>
                <w:szCs w:val="18"/>
              </w:rPr>
            </w:pPr>
            <w:r>
              <w:rPr>
                <w:rFonts w:ascii="Times New Roman"/>
                <w:b/>
                <w:sz w:val="18"/>
              </w:rPr>
              <w:t>5.000</w:t>
            </w:r>
            <w:r>
              <w:rPr>
                <w:rFonts w:ascii="Times New Roman"/>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0"/>
              <w:jc w:val="right"/>
              <w:rPr>
                <w:rFonts w:ascii="Times New Roman" w:hAnsi="Times New Roman" w:cs="Times New Roman" w:eastAsia="Times New Roman" w:hint="default"/>
                <w:sz w:val="18"/>
                <w:szCs w:val="18"/>
              </w:rPr>
            </w:pPr>
            <w:r>
              <w:rPr>
                <w:rFonts w:ascii="Times New Roman"/>
                <w:b/>
                <w:sz w:val="18"/>
              </w:rPr>
              <w:t>5.000</w:t>
            </w:r>
            <w:r>
              <w:rPr>
                <w:rFonts w:asci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1"/>
              <w:jc w:val="right"/>
              <w:rPr>
                <w:rFonts w:ascii="Times New Roman" w:hAnsi="Times New Roman" w:cs="Times New Roman" w:eastAsia="Times New Roman" w:hint="default"/>
                <w:sz w:val="18"/>
                <w:szCs w:val="18"/>
              </w:rPr>
            </w:pPr>
            <w:r>
              <w:rPr>
                <w:rFonts w:ascii="Times New Roman"/>
                <w:b/>
                <w:sz w:val="18"/>
              </w:rPr>
              <w:t>579</w:t>
            </w:r>
            <w:r>
              <w:rPr>
                <w:rFonts w:asci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2"/>
              <w:jc w:val="right"/>
              <w:rPr>
                <w:rFonts w:ascii="Times New Roman" w:hAnsi="Times New Roman" w:cs="Times New Roman" w:eastAsia="Times New Roman" w:hint="default"/>
                <w:sz w:val="18"/>
                <w:szCs w:val="18"/>
              </w:rPr>
            </w:pPr>
            <w:r>
              <w:rPr>
                <w:rFonts w:ascii="Times New Roman"/>
                <w:b/>
                <w:sz w:val="18"/>
              </w:rPr>
              <w:t>3.685</w:t>
            </w:r>
            <w:r>
              <w:rPr>
                <w:rFonts w:asci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0"/>
              <w:jc w:val="right"/>
              <w:rPr>
                <w:rFonts w:ascii="Times New Roman" w:hAnsi="Times New Roman" w:cs="Times New Roman" w:eastAsia="Times New Roman" w:hint="default"/>
                <w:sz w:val="18"/>
                <w:szCs w:val="18"/>
              </w:rPr>
            </w:pPr>
            <w:r>
              <w:rPr>
                <w:rFonts w:ascii="Times New Roman"/>
                <w:b/>
                <w:sz w:val="18"/>
              </w:rPr>
              <w:t>73,70</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0"/>
              <w:jc w:val="right"/>
              <w:rPr>
                <w:rFonts w:ascii="Times New Roman" w:hAnsi="Times New Roman" w:cs="Times New Roman" w:eastAsia="Times New Roman" w:hint="default"/>
                <w:sz w:val="18"/>
                <w:szCs w:val="18"/>
              </w:rPr>
            </w:pPr>
            <w:r>
              <w:rPr>
                <w:rFonts w:ascii="Times New Roman"/>
                <w:b/>
                <w:spacing w:val="-1"/>
                <w:sz w:val="18"/>
              </w:rPr>
              <w:t>636,44</w:t>
            </w:r>
            <w:r>
              <w:rPr>
                <w:rFonts w:ascii="Times New Roman"/>
                <w:spacing w:val="-1"/>
                <w:sz w:val="18"/>
              </w:rPr>
            </w:r>
          </w:p>
        </w:tc>
      </w:tr>
    </w:tbl>
    <w:p>
      <w:pPr>
        <w:pStyle w:val="BodyText"/>
        <w:spacing w:line="268" w:lineRule="exact"/>
        <w:ind w:left="726" w:right="141"/>
        <w:jc w:val="left"/>
      </w:pPr>
      <w:r>
        <w:rPr/>
        <w:t>Исказано је извршење у износу од </w:t>
      </w:r>
      <w:r>
        <w:rPr>
          <w:rFonts w:ascii="Times New Roman" w:hAnsi="Times New Roman"/>
        </w:rPr>
        <w:t>579 </w:t>
      </w:r>
      <w:r>
        <w:rPr/>
        <w:t>хиљада</w:t>
      </w:r>
      <w:r>
        <w:rPr>
          <w:spacing w:val="-12"/>
        </w:rPr>
        <w:t> </w:t>
      </w:r>
      <w:r>
        <w:rPr/>
        <w:t>динара.</w:t>
      </w:r>
    </w:p>
    <w:p>
      <w:pPr>
        <w:pStyle w:val="ListParagraph"/>
        <w:numPr>
          <w:ilvl w:val="4"/>
          <w:numId w:val="49"/>
        </w:numPr>
        <w:tabs>
          <w:tab w:pos="1013" w:val="left" w:leader="none"/>
        </w:tabs>
        <w:spacing w:line="240" w:lineRule="auto" w:before="137" w:after="0"/>
        <w:ind w:left="160" w:right="173" w:firstLine="566"/>
        <w:jc w:val="both"/>
        <w:rPr>
          <w:rFonts w:ascii="Times New Roman" w:hAnsi="Times New Roman" w:cs="Times New Roman" w:eastAsia="Times New Roman" w:hint="default"/>
          <w:sz w:val="24"/>
          <w:szCs w:val="24"/>
        </w:rPr>
      </w:pPr>
      <w:r>
        <w:rPr>
          <w:rFonts w:ascii="Times New Roman" w:hAnsi="Times New Roman"/>
          <w:b/>
          <w:sz w:val="24"/>
        </w:rPr>
        <w:t>Управа за комуналне делатности, енергетику и саобраћај </w:t>
      </w:r>
      <w:r>
        <w:rPr>
          <w:rFonts w:ascii="Times New Roman" w:hAnsi="Times New Roman"/>
          <w:sz w:val="24"/>
        </w:rPr>
        <w:t>- </w:t>
      </w:r>
      <w:r>
        <w:rPr>
          <w:rFonts w:ascii="Times New Roman" w:hAnsi="Times New Roman"/>
          <w:sz w:val="24"/>
        </w:rPr>
        <w:t>Исказан је расход у износу од </w:t>
      </w:r>
      <w:r>
        <w:rPr>
          <w:rFonts w:ascii="Times New Roman" w:hAnsi="Times New Roman"/>
          <w:sz w:val="24"/>
        </w:rPr>
        <w:t>57</w:t>
      </w:r>
      <w:r>
        <w:rPr>
          <w:rFonts w:ascii="Times New Roman" w:hAnsi="Times New Roman"/>
          <w:sz w:val="24"/>
        </w:rPr>
        <w:t>9 хиљада динара по основу вансудских поравнања за накнаду штет</w:t>
      </w:r>
      <w:r>
        <w:rPr>
          <w:rFonts w:ascii="Times New Roman" w:hAnsi="Times New Roman"/>
          <w:sz w:val="24"/>
        </w:rPr>
        <w:t>e </w:t>
      </w:r>
      <w:r>
        <w:rPr>
          <w:rFonts w:ascii="Times New Roman" w:hAnsi="Times New Roman"/>
          <w:sz w:val="24"/>
        </w:rPr>
        <w:t>од повреда задобијених услед уједа паса</w:t>
      </w:r>
      <w:r>
        <w:rPr>
          <w:rFonts w:ascii="Times New Roman" w:hAnsi="Times New Roman"/>
          <w:spacing w:val="-15"/>
          <w:sz w:val="24"/>
        </w:rPr>
        <w:t> </w:t>
      </w:r>
      <w:r>
        <w:rPr>
          <w:rFonts w:ascii="Times New Roman" w:hAnsi="Times New Roman"/>
          <w:sz w:val="24"/>
        </w:rPr>
        <w:t>луталица.</w:t>
      </w:r>
    </w:p>
    <w:p>
      <w:pPr>
        <w:pStyle w:val="BodyText"/>
        <w:spacing w:line="240" w:lineRule="auto"/>
        <w:ind w:right="173" w:firstLine="566"/>
        <w:jc w:val="both"/>
        <w:rPr>
          <w:rFonts w:ascii="Times New Roman" w:hAnsi="Times New Roman" w:cs="Times New Roman" w:eastAsia="Times New Roman" w:hint="default"/>
        </w:rPr>
      </w:pPr>
      <w:r>
        <w:rPr>
          <w:rFonts w:ascii="Times New Roman" w:hAnsi="Times New Roman"/>
          <w:b/>
        </w:rPr>
        <w:t>На основу ревизије узорковане документације утврђено је </w:t>
      </w:r>
      <w:r>
        <w:rPr/>
        <w:t>да Комисија за мирно решавање спорова на основу приложене документације и степена повреде одређује по слободној процени износ који се опредељује оштећеном лицу, без донетог акта и одређених критеријума, који ће се примењивати за све</w:t>
      </w:r>
      <w:r>
        <w:rPr>
          <w:spacing w:val="-17"/>
        </w:rPr>
        <w:t> </w:t>
      </w:r>
      <w:r>
        <w:rPr/>
        <w:t>оштећене</w:t>
      </w:r>
      <w:r>
        <w:rPr>
          <w:rFonts w:ascii="Times New Roman" w:hAnsi="Times New Roman"/>
        </w:rPr>
        <w:t>.</w:t>
      </w:r>
    </w:p>
    <w:p>
      <w:pPr>
        <w:pStyle w:val="Heading2"/>
        <w:spacing w:line="240" w:lineRule="auto"/>
        <w:ind w:right="179"/>
        <w:jc w:val="both"/>
        <w:rPr>
          <w:b w:val="0"/>
          <w:bCs w:val="0"/>
          <w:i w:val="0"/>
        </w:rPr>
      </w:pPr>
      <w:r>
        <w:rPr>
          <w:i/>
        </w:rPr>
        <w:t>Препоручује се одговорним лицима да интерним актом регулишу крутеријуме за  доношења одлуке о мирном решавању</w:t>
      </w:r>
      <w:r>
        <w:rPr>
          <w:i/>
          <w:spacing w:val="-12"/>
        </w:rPr>
        <w:t> </w:t>
      </w:r>
      <w:r>
        <w:rPr>
          <w:i/>
        </w:rPr>
        <w:t>спорова.</w:t>
      </w:r>
      <w:r>
        <w:rPr>
          <w:b w:val="0"/>
          <w:i w:val="0"/>
        </w:rPr>
      </w:r>
    </w:p>
    <w:p>
      <w:pPr>
        <w:spacing w:after="0" w:line="240" w:lineRule="auto"/>
        <w:jc w:val="both"/>
        <w:sectPr>
          <w:pgSz w:w="12240" w:h="15840"/>
          <w:pgMar w:header="740" w:footer="1274" w:top="1280" w:bottom="1460" w:left="1400" w:right="1260"/>
        </w:sectPr>
      </w:pPr>
    </w:p>
    <w:p>
      <w:pPr>
        <w:pStyle w:val="Heading1"/>
        <w:numPr>
          <w:ilvl w:val="3"/>
          <w:numId w:val="49"/>
        </w:numPr>
        <w:tabs>
          <w:tab w:pos="1121" w:val="left" w:leader="none"/>
        </w:tabs>
        <w:spacing w:line="274" w:lineRule="exact" w:before="126" w:after="0"/>
        <w:ind w:left="1120" w:right="0" w:hanging="900"/>
        <w:jc w:val="left"/>
        <w:rPr>
          <w:b w:val="0"/>
          <w:bCs w:val="0"/>
        </w:rPr>
      </w:pPr>
      <w:bookmarkStart w:name="_bookmark36" w:id="63"/>
      <w:bookmarkEnd w:id="63"/>
      <w:r>
        <w:rPr>
          <w:b w:val="0"/>
        </w:rPr>
      </w:r>
      <w:bookmarkStart w:name="_bookmark36" w:id="64"/>
      <w:bookmarkEnd w:id="64"/>
      <w:r>
        <w:rPr/>
        <w:t>Средс</w:t>
      </w:r>
      <w:r>
        <w:rPr/>
        <w:t>тва резерве, група</w:t>
      </w:r>
      <w:r>
        <w:rPr>
          <w:spacing w:val="-5"/>
        </w:rPr>
        <w:t> </w:t>
      </w:r>
      <w:r>
        <w:rPr/>
        <w:t>499000</w:t>
      </w:r>
      <w:r>
        <w:rPr>
          <w:b w:val="0"/>
        </w:rPr>
      </w:r>
    </w:p>
    <w:p>
      <w:pPr>
        <w:pStyle w:val="BodyText"/>
        <w:tabs>
          <w:tab w:pos="7887" w:val="left" w:leader="none"/>
        </w:tabs>
        <w:spacing w:line="240" w:lineRule="auto" w:after="8"/>
        <w:ind w:left="220" w:right="173" w:firstLine="719"/>
        <w:jc w:val="both"/>
        <w:rPr>
          <w:rFonts w:ascii="Times New Roman" w:hAnsi="Times New Roman" w:cs="Times New Roman" w:eastAsia="Times New Roman" w:hint="default"/>
          <w:sz w:val="16"/>
          <w:szCs w:val="16"/>
        </w:rPr>
      </w:pPr>
      <w:r>
        <w:rPr/>
        <w:t>На групи конта 499000 </w:t>
      </w:r>
      <w:r>
        <w:rPr>
          <w:rFonts w:ascii="Times New Roman" w:hAnsi="Times New Roman"/>
        </w:rPr>
        <w:t>- </w:t>
      </w:r>
      <w:r>
        <w:rPr/>
        <w:t>Средства резерве не спроводе се књижења, већ се у буџету исказују планирана средства која се користе према одлуци о употреби средстава сталне  и</w:t>
      </w:r>
      <w:r>
        <w:rPr>
          <w:spacing w:val="28"/>
        </w:rPr>
        <w:t> </w:t>
      </w:r>
      <w:r>
        <w:rPr/>
        <w:t>текуће</w:t>
      </w:r>
      <w:r>
        <w:rPr>
          <w:spacing w:val="43"/>
        </w:rPr>
        <w:t> </w:t>
      </w:r>
      <w:r>
        <w:rPr/>
        <w:t>резерве.</w:t>
        <w:tab/>
      </w:r>
      <w:r>
        <w:rPr>
          <w:rFonts w:ascii="Times New Roman" w:hAnsi="Times New Roman"/>
          <w:sz w:val="16"/>
        </w:rPr>
        <w:t>(</w:t>
      </w:r>
      <w:r>
        <w:rPr>
          <w:sz w:val="16"/>
        </w:rPr>
        <w:t>у хиљадама</w:t>
      </w:r>
      <w:r>
        <w:rPr>
          <w:spacing w:val="-7"/>
          <w:sz w:val="16"/>
        </w:rPr>
        <w:t> </w:t>
      </w:r>
      <w:r>
        <w:rPr>
          <w:sz w:val="16"/>
        </w:rPr>
        <w:t>динара</w:t>
      </w:r>
      <w:r>
        <w:rPr>
          <w:rFonts w:ascii="Times New Roman" w:hAnsi="Times New Roman"/>
          <w:sz w:val="16"/>
        </w:rPr>
        <w:t>)</w:t>
      </w:r>
    </w:p>
    <w:tbl>
      <w:tblPr>
        <w:tblW w:w="0" w:type="auto"/>
        <w:jc w:val="left"/>
        <w:tblInd w:w="107" w:type="dxa"/>
        <w:tblLayout w:type="fixed"/>
        <w:tblCellMar>
          <w:top w:w="0" w:type="dxa"/>
          <w:left w:w="0" w:type="dxa"/>
          <w:bottom w:w="0" w:type="dxa"/>
          <w:right w:w="0" w:type="dxa"/>
        </w:tblCellMar>
        <w:tblLook w:val="01E0"/>
      </w:tblPr>
      <w:tblGrid>
        <w:gridCol w:w="706"/>
        <w:gridCol w:w="2033"/>
        <w:gridCol w:w="1128"/>
        <w:gridCol w:w="1440"/>
        <w:gridCol w:w="1292"/>
        <w:gridCol w:w="1118"/>
        <w:gridCol w:w="816"/>
        <w:gridCol w:w="814"/>
      </w:tblGrid>
      <w:tr>
        <w:trPr>
          <w:trHeight w:val="422" w:hRule="exact"/>
        </w:trPr>
        <w:tc>
          <w:tcPr>
            <w:tcW w:w="7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63" w:right="94" w:hanging="60"/>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0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left="208"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8"/>
                <w:sz w:val="18"/>
              </w:rPr>
              <w:t> </w:t>
            </w:r>
            <w:r>
              <w:rPr>
                <w:rFonts w:ascii="Times New Roman" w:hAnsi="Times New Roman"/>
                <w:b/>
                <w:sz w:val="18"/>
              </w:rPr>
              <w:t>корисник</w:t>
            </w:r>
            <w:r>
              <w:rPr>
                <w:rFonts w:ascii="Times New Roman" w:hAnsi="Times New Roman"/>
                <w:sz w:val="18"/>
              </w:rPr>
            </w:r>
          </w:p>
        </w:tc>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left="187" w:right="0"/>
              <w:jc w:val="left"/>
              <w:rPr>
                <w:rFonts w:ascii="Times New Roman" w:hAnsi="Times New Roman" w:cs="Times New Roman" w:eastAsia="Times New Roman" w:hint="default"/>
                <w:sz w:val="18"/>
                <w:szCs w:val="18"/>
              </w:rPr>
            </w:pPr>
            <w:r>
              <w:rPr>
                <w:rFonts w:ascii="Times New Roman" w:hAnsi="Times New Roman"/>
                <w:b/>
                <w:sz w:val="18"/>
              </w:rPr>
              <w:t>Ребаланс</w:t>
            </w:r>
            <w:r>
              <w:rPr>
                <w:rFonts w:ascii="Times New Roman" w:hAnsi="Times New Roman"/>
                <w:sz w:val="18"/>
              </w:rPr>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92" w:firstLine="132"/>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реалокацијама</w:t>
            </w:r>
            <w:r>
              <w:rPr>
                <w:rFonts w:ascii="Times New Roman" w:hAnsi="Times New Roman"/>
                <w:sz w:val="18"/>
              </w:rPr>
            </w:r>
          </w:p>
        </w:tc>
        <w:tc>
          <w:tcPr>
            <w:tcW w:w="12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25" w:right="218"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06" w:right="195"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88" w:right="95" w:hanging="185"/>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88" w:right="92" w:hanging="185"/>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49" w:hRule="exact"/>
        </w:trPr>
        <w:tc>
          <w:tcPr>
            <w:tcW w:w="70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0"/>
              <w:jc w:val="center"/>
              <w:rPr>
                <w:rFonts w:ascii="Times New Roman" w:hAnsi="Times New Roman" w:cs="Times New Roman" w:eastAsia="Times New Roman" w:hint="default"/>
                <w:sz w:val="12"/>
                <w:szCs w:val="12"/>
              </w:rPr>
            </w:pPr>
            <w:r>
              <w:rPr>
                <w:rFonts w:ascii="Times New Roman"/>
                <w:sz w:val="12"/>
              </w:rPr>
              <w:t>1</w:t>
            </w:r>
          </w:p>
        </w:tc>
        <w:tc>
          <w:tcPr>
            <w:tcW w:w="2033"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0"/>
              <w:jc w:val="center"/>
              <w:rPr>
                <w:rFonts w:ascii="Times New Roman" w:hAnsi="Times New Roman" w:cs="Times New Roman" w:eastAsia="Times New Roman" w:hint="default"/>
                <w:sz w:val="12"/>
                <w:szCs w:val="12"/>
              </w:rPr>
            </w:pPr>
            <w:r>
              <w:rPr>
                <w:rFonts w:ascii="Times New Roman"/>
                <w:sz w:val="12"/>
              </w:rPr>
              <w:t>2</w:t>
            </w:r>
          </w:p>
        </w:tc>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0"/>
              <w:jc w:val="center"/>
              <w:rPr>
                <w:rFonts w:ascii="Times New Roman" w:hAnsi="Times New Roman" w:cs="Times New Roman" w:eastAsia="Times New Roman" w:hint="default"/>
                <w:sz w:val="12"/>
                <w:szCs w:val="12"/>
              </w:rPr>
            </w:pPr>
            <w:r>
              <w:rPr>
                <w:rFonts w:ascii="Times New Roman"/>
                <w:sz w:val="12"/>
              </w:rPr>
              <w:t>3</w:t>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0"/>
              <w:jc w:val="center"/>
              <w:rPr>
                <w:rFonts w:ascii="Times New Roman" w:hAnsi="Times New Roman" w:cs="Times New Roman" w:eastAsia="Times New Roman" w:hint="default"/>
                <w:sz w:val="12"/>
                <w:szCs w:val="12"/>
              </w:rPr>
            </w:pPr>
            <w:r>
              <w:rPr>
                <w:rFonts w:ascii="Times New Roman"/>
                <w:sz w:val="12"/>
              </w:rPr>
              <w:t>4</w:t>
            </w:r>
          </w:p>
        </w:tc>
        <w:tc>
          <w:tcPr>
            <w:tcW w:w="1292"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2"/>
              <w:jc w:val="center"/>
              <w:rPr>
                <w:rFonts w:ascii="Times New Roman" w:hAnsi="Times New Roman" w:cs="Times New Roman" w:eastAsia="Times New Roman" w:hint="default"/>
                <w:sz w:val="12"/>
                <w:szCs w:val="12"/>
              </w:rPr>
            </w:pPr>
            <w:r>
              <w:rPr>
                <w:rFonts w:ascii="Times New Roman"/>
                <w:sz w:val="12"/>
              </w:rPr>
              <w:t>5</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0"/>
              <w:jc w:val="center"/>
              <w:rPr>
                <w:rFonts w:ascii="Times New Roman" w:hAnsi="Times New Roman" w:cs="Times New Roman" w:eastAsia="Times New Roman" w:hint="default"/>
                <w:sz w:val="12"/>
                <w:szCs w:val="12"/>
              </w:rPr>
            </w:pPr>
            <w:r>
              <w:rPr>
                <w:rFonts w:ascii="Times New Roman"/>
                <w:sz w:val="12"/>
              </w:rPr>
              <w:t>6</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0"/>
              <w:jc w:val="center"/>
              <w:rPr>
                <w:rFonts w:ascii="Times New Roman" w:hAnsi="Times New Roman" w:cs="Times New Roman" w:eastAsia="Times New Roman" w:hint="default"/>
                <w:sz w:val="12"/>
                <w:szCs w:val="12"/>
              </w:rPr>
            </w:pPr>
            <w:r>
              <w:rPr>
                <w:rFonts w:ascii="Times New Roman"/>
                <w:sz w:val="12"/>
              </w:rPr>
              <w:t>7</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0"/>
              <w:jc w:val="center"/>
              <w:rPr>
                <w:rFonts w:ascii="Times New Roman" w:hAnsi="Times New Roman" w:cs="Times New Roman" w:eastAsia="Times New Roman" w:hint="default"/>
                <w:sz w:val="12"/>
                <w:szCs w:val="12"/>
              </w:rPr>
            </w:pPr>
            <w:r>
              <w:rPr>
                <w:rFonts w:ascii="Times New Roman"/>
                <w:sz w:val="12"/>
              </w:rPr>
              <w:t>8</w:t>
            </w:r>
          </w:p>
        </w:tc>
      </w:tr>
      <w:tr>
        <w:trPr>
          <w:trHeight w:val="218" w:hRule="exact"/>
        </w:trPr>
        <w:tc>
          <w:tcPr>
            <w:tcW w:w="70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266" w:right="263"/>
              <w:jc w:val="center"/>
              <w:rPr>
                <w:rFonts w:ascii="Times New Roman" w:hAnsi="Times New Roman" w:cs="Times New Roman" w:eastAsia="Times New Roman" w:hint="default"/>
                <w:sz w:val="18"/>
                <w:szCs w:val="18"/>
              </w:rPr>
            </w:pPr>
            <w:r>
              <w:rPr>
                <w:rFonts w:ascii="Times New Roman"/>
                <w:sz w:val="18"/>
              </w:rPr>
              <w:t>1.</w:t>
            </w:r>
          </w:p>
        </w:tc>
        <w:tc>
          <w:tcPr>
            <w:tcW w:w="20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8"/>
                <w:sz w:val="18"/>
              </w:rPr>
              <w:t> </w:t>
            </w:r>
            <w:r>
              <w:rPr>
                <w:rFonts w:ascii="Times New Roman" w:hAnsi="Times New Roman"/>
                <w:sz w:val="18"/>
              </w:rPr>
              <w:t>финансије</w:t>
            </w:r>
          </w:p>
        </w:tc>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90.000</w:t>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60.782</w:t>
            </w:r>
          </w:p>
        </w:tc>
        <w:tc>
          <w:tcPr>
            <w:tcW w:w="12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4"/>
              <w:jc w:val="right"/>
              <w:rPr>
                <w:rFonts w:ascii="Times New Roman" w:hAnsi="Times New Roman" w:cs="Times New Roman" w:eastAsia="Times New Roman" w:hint="default"/>
                <w:sz w:val="18"/>
                <w:szCs w:val="18"/>
              </w:rPr>
            </w:pPr>
            <w:r>
              <w:rPr>
                <w:rFonts w:ascii="Times New Roman"/>
                <w:sz w:val="18"/>
              </w:rPr>
              <w:t>0</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0</w:t>
            </w:r>
          </w:p>
        </w:tc>
      </w:tr>
      <w:tr>
        <w:trPr>
          <w:trHeight w:val="216" w:hRule="exact"/>
        </w:trPr>
        <w:tc>
          <w:tcPr>
            <w:tcW w:w="2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0"/>
              <w:jc w:val="left"/>
              <w:rPr>
                <w:rFonts w:ascii="Times New Roman" w:hAnsi="Times New Roman" w:cs="Times New Roman" w:eastAsia="Times New Roman" w:hint="default"/>
                <w:sz w:val="18"/>
                <w:szCs w:val="18"/>
              </w:rPr>
            </w:pPr>
            <w:r>
              <w:rPr>
                <w:rFonts w:ascii="Times New Roman" w:hAnsi="Times New Roman" w:cs="Times New Roman" w:eastAsia="Times New Roman" w:hint="default"/>
                <w:b/>
                <w:bCs/>
                <w:sz w:val="18"/>
                <w:szCs w:val="18"/>
              </w:rPr>
              <w:t>Укупно  Град – група</w:t>
            </w:r>
            <w:r>
              <w:rPr>
                <w:rFonts w:ascii="Times New Roman" w:hAnsi="Times New Roman" w:cs="Times New Roman" w:eastAsia="Times New Roman" w:hint="default"/>
                <w:b/>
                <w:bCs/>
                <w:spacing w:val="-6"/>
                <w:sz w:val="18"/>
                <w:szCs w:val="18"/>
              </w:rPr>
              <w:t> </w:t>
            </w:r>
            <w:r>
              <w:rPr>
                <w:rFonts w:ascii="Times New Roman" w:hAnsi="Times New Roman" w:cs="Times New Roman" w:eastAsia="Times New Roman" w:hint="default"/>
                <w:b/>
                <w:bCs/>
                <w:sz w:val="18"/>
                <w:szCs w:val="18"/>
              </w:rPr>
              <w:t>499000</w:t>
            </w:r>
            <w:r>
              <w:rPr>
                <w:rFonts w:ascii="Times New Roman" w:hAnsi="Times New Roman" w:cs="Times New Roman" w:eastAsia="Times New Roman" w:hint="default"/>
                <w:sz w:val="18"/>
                <w:szCs w:val="18"/>
              </w:rPr>
            </w:r>
          </w:p>
        </w:tc>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90.000</w:t>
            </w:r>
            <w:r>
              <w:rPr>
                <w:rFonts w:ascii="Times New Roman"/>
                <w:spacing w:val="-1"/>
                <w:sz w:val="18"/>
              </w:rPr>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60.782</w:t>
            </w:r>
            <w:r>
              <w:rPr>
                <w:rFonts w:ascii="Times New Roman"/>
                <w:spacing w:val="-1"/>
                <w:sz w:val="18"/>
              </w:rPr>
            </w:r>
          </w:p>
        </w:tc>
        <w:tc>
          <w:tcPr>
            <w:tcW w:w="12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4"/>
              <w:jc w:val="right"/>
              <w:rPr>
                <w:rFonts w:ascii="Times New Roman" w:hAnsi="Times New Roman" w:cs="Times New Roman" w:eastAsia="Times New Roman" w:hint="default"/>
                <w:sz w:val="18"/>
                <w:szCs w:val="18"/>
              </w:rPr>
            </w:pPr>
            <w:r>
              <w:rPr>
                <w:rFonts w:ascii="Times New Roman"/>
                <w:b/>
                <w:sz w:val="18"/>
              </w:rPr>
              <w:t>0</w:t>
            </w:r>
            <w:r>
              <w:rPr>
                <w:rFonts w:ascii="Times New Roman"/>
                <w:sz w:val="18"/>
              </w:rPr>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2"/>
              <w:jc w:val="right"/>
              <w:rPr>
                <w:rFonts w:ascii="Times New Roman" w:hAnsi="Times New Roman" w:cs="Times New Roman" w:eastAsia="Times New Roman" w:hint="default"/>
                <w:sz w:val="18"/>
                <w:szCs w:val="18"/>
              </w:rPr>
            </w:pPr>
            <w:r>
              <w:rPr>
                <w:rFonts w:ascii="Times New Roman"/>
                <w:b/>
                <w:sz w:val="18"/>
              </w:rPr>
              <w:t>0</w:t>
            </w:r>
            <w:r>
              <w:rPr>
                <w:rFonts w:ascii="Times New Roman"/>
                <w:sz w:val="18"/>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2"/>
              <w:jc w:val="right"/>
              <w:rPr>
                <w:rFonts w:ascii="Times New Roman" w:hAnsi="Times New Roman" w:cs="Times New Roman" w:eastAsia="Times New Roman" w:hint="default"/>
                <w:sz w:val="18"/>
                <w:szCs w:val="18"/>
              </w:rPr>
            </w:pPr>
            <w:r>
              <w:rPr>
                <w:rFonts w:ascii="Times New Roman"/>
                <w:b/>
                <w:sz w:val="18"/>
              </w:rPr>
              <w:t>0</w:t>
            </w:r>
            <w:r>
              <w:rPr>
                <w:rFonts w:ascii="Times New Roman"/>
                <w:sz w:val="18"/>
              </w:rPr>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z w:val="18"/>
              </w:rPr>
              <w:t>0</w:t>
            </w:r>
            <w:r>
              <w:rPr>
                <w:rFonts w:ascii="Times New Roman"/>
                <w:sz w:val="18"/>
              </w:rPr>
            </w:r>
          </w:p>
        </w:tc>
      </w:tr>
    </w:tbl>
    <w:p>
      <w:pPr>
        <w:pStyle w:val="BodyText"/>
        <w:spacing w:line="240" w:lineRule="auto"/>
        <w:ind w:left="220" w:right="170" w:firstLine="566"/>
        <w:jc w:val="both"/>
      </w:pPr>
      <w:r>
        <w:rPr>
          <w:rFonts w:ascii="Times New Roman" w:hAnsi="Times New Roman"/>
          <w:b/>
        </w:rPr>
        <w:t>Управа за финансије, изворне приходе локалне самоуправе и јавне набавке </w:t>
      </w:r>
      <w:r>
        <w:rPr>
          <w:rFonts w:ascii="Times New Roman" w:hAnsi="Times New Roman"/>
        </w:rPr>
        <w:t>- </w:t>
      </w:r>
      <w:r>
        <w:rPr/>
        <w:t>На овој позицији остала су нераспоређена средства у износу од </w:t>
      </w:r>
      <w:r>
        <w:rPr>
          <w:rFonts w:ascii="Times New Roman" w:hAnsi="Times New Roman"/>
        </w:rPr>
        <w:t>60.782 </w:t>
      </w:r>
      <w:r>
        <w:rPr/>
        <w:t>хиљад</w:t>
      </w:r>
      <w:r>
        <w:rPr>
          <w:rFonts w:ascii="Times New Roman" w:hAnsi="Times New Roman"/>
        </w:rPr>
        <w:t>e </w:t>
      </w:r>
      <w:r>
        <w:rPr/>
        <w:t>динара и то средства текуће буџетске резерве у износу од </w:t>
      </w:r>
      <w:r>
        <w:rPr>
          <w:rFonts w:ascii="Times New Roman" w:hAnsi="Times New Roman"/>
        </w:rPr>
        <w:t>57.782 </w:t>
      </w:r>
      <w:r>
        <w:rPr/>
        <w:t>хиљад</w:t>
      </w:r>
      <w:r>
        <w:rPr>
          <w:rFonts w:ascii="Times New Roman" w:hAnsi="Times New Roman"/>
        </w:rPr>
        <w:t>e </w:t>
      </w:r>
      <w:r>
        <w:rPr/>
        <w:t>динара и средства сталне буџетске резерве у износу од 3.000 хиљада динара. Средства сталне буџетске резерве у 2014. години нису коришћена</w:t>
      </w:r>
      <w:r>
        <w:rPr>
          <w:rFonts w:ascii="Times New Roman" w:hAnsi="Times New Roman"/>
        </w:rPr>
        <w:t>. </w:t>
      </w:r>
      <w:r>
        <w:rPr/>
        <w:t>Средства резерви су ближе објашњена у тачки </w:t>
      </w:r>
      <w:r>
        <w:rPr>
          <w:rFonts w:ascii="Times New Roman" w:hAnsi="Times New Roman"/>
        </w:rPr>
        <w:t>4.3. </w:t>
      </w:r>
      <w:r>
        <w:rPr/>
        <w:t>Остали извештаји завршног рачуна</w:t>
      </w:r>
      <w:r>
        <w:rPr>
          <w:spacing w:val="-15"/>
        </w:rPr>
        <w:t> </w:t>
      </w:r>
      <w:r>
        <w:rPr/>
        <w:t>буџета.</w:t>
      </w:r>
    </w:p>
    <w:p>
      <w:pPr>
        <w:pStyle w:val="BodyText"/>
        <w:spacing w:line="240" w:lineRule="auto"/>
        <w:ind w:left="220" w:right="185" w:firstLine="566"/>
        <w:jc w:val="both"/>
      </w:pPr>
      <w:r>
        <w:rPr/>
        <w:t>Ревизијом је утврђено да узорковане рачуноводствене исправе не садрже неправилности.</w:t>
      </w:r>
    </w:p>
    <w:p>
      <w:pPr>
        <w:spacing w:line="240" w:lineRule="auto" w:before="5"/>
        <w:rPr>
          <w:rFonts w:ascii="Times New Roman" w:hAnsi="Times New Roman" w:cs="Times New Roman" w:eastAsia="Times New Roman" w:hint="default"/>
          <w:sz w:val="24"/>
          <w:szCs w:val="24"/>
        </w:rPr>
      </w:pPr>
    </w:p>
    <w:p>
      <w:pPr>
        <w:pStyle w:val="Heading1"/>
        <w:numPr>
          <w:ilvl w:val="2"/>
          <w:numId w:val="50"/>
        </w:numPr>
        <w:tabs>
          <w:tab w:pos="821" w:val="left" w:leader="none"/>
        </w:tabs>
        <w:spacing w:line="274" w:lineRule="exact" w:before="0" w:after="0"/>
        <w:ind w:left="820" w:right="0" w:hanging="600"/>
        <w:jc w:val="left"/>
        <w:rPr>
          <w:b w:val="0"/>
          <w:bCs w:val="0"/>
        </w:rPr>
      </w:pPr>
      <w:bookmarkStart w:name="_bookmark37" w:id="65"/>
      <w:bookmarkEnd w:id="65"/>
      <w:r>
        <w:rPr>
          <w:b w:val="0"/>
        </w:rPr>
      </w:r>
      <w:bookmarkStart w:name="_bookmark37" w:id="66"/>
      <w:bookmarkEnd w:id="66"/>
      <w:r>
        <w:rPr/>
        <w:t>Изд</w:t>
      </w:r>
      <w:r>
        <w:rPr/>
        <w:t>аци</w:t>
      </w:r>
      <w:r>
        <w:rPr>
          <w:b w:val="0"/>
        </w:rPr>
      </w:r>
    </w:p>
    <w:p>
      <w:pPr>
        <w:pStyle w:val="BodyText"/>
        <w:spacing w:line="240" w:lineRule="auto"/>
        <w:ind w:left="220" w:right="183" w:firstLine="566"/>
        <w:jc w:val="both"/>
      </w:pPr>
      <w:r>
        <w:rPr/>
        <w:t>Издаци се састоје од издатака за нефинансијску имовину и издатака за отплату главнице и набавку финансијске</w:t>
      </w:r>
      <w:r>
        <w:rPr>
          <w:spacing w:val="-14"/>
        </w:rPr>
        <w:t> </w:t>
      </w:r>
      <w:r>
        <w:rPr/>
        <w:t>имовине.</w:t>
      </w:r>
    </w:p>
    <w:p>
      <w:pPr>
        <w:pStyle w:val="BodyText"/>
        <w:spacing w:line="240" w:lineRule="auto"/>
        <w:ind w:left="220" w:right="176" w:firstLine="566"/>
        <w:jc w:val="both"/>
      </w:pPr>
      <w:r>
        <w:rPr/>
        <w:t>Класа 500000 – издаци за нефинансијску имовину садрже: основна средства, залихе, драгоцености, природну имовину и нефинансијску имовину </w:t>
      </w:r>
      <w:r>
        <w:rPr>
          <w:spacing w:val="2"/>
        </w:rPr>
        <w:t>која </w:t>
      </w:r>
      <w:r>
        <w:rPr/>
        <w:t>се финансира из </w:t>
      </w:r>
      <w:r>
        <w:rPr/>
        <w:t>средстава за реализацију националног инвестиционог</w:t>
      </w:r>
      <w:r>
        <w:rPr>
          <w:spacing w:val="-22"/>
        </w:rPr>
        <w:t> </w:t>
      </w:r>
      <w:r>
        <w:rPr/>
        <w:t>плана.</w:t>
      </w:r>
    </w:p>
    <w:p>
      <w:pPr>
        <w:pStyle w:val="BodyText"/>
        <w:spacing w:line="240" w:lineRule="auto"/>
        <w:ind w:left="220" w:right="178" w:firstLine="566"/>
        <w:jc w:val="both"/>
      </w:pPr>
      <w:r>
        <w:rPr/>
        <w:t>Класа 600000 – издаци за отплату главнице и набавку финансијске имовине садрже</w:t>
      </w:r>
      <w:r>
        <w:rPr>
          <w:rFonts w:ascii="Times New Roman" w:hAnsi="Times New Roman" w:cs="Times New Roman" w:eastAsia="Times New Roman" w:hint="default"/>
        </w:rPr>
        <w:t>: </w:t>
      </w:r>
      <w:r>
        <w:rPr/>
        <w:t>отплату главнице и набавку финансијске</w:t>
      </w:r>
      <w:r>
        <w:rPr>
          <w:spacing w:val="-18"/>
        </w:rPr>
        <w:t> </w:t>
      </w:r>
      <w:r>
        <w:rPr/>
        <w:t>имовине.</w:t>
      </w:r>
    </w:p>
    <w:p>
      <w:pPr>
        <w:pStyle w:val="BodyText"/>
        <w:spacing w:line="240" w:lineRule="auto"/>
        <w:ind w:left="220" w:right="184" w:firstLine="566"/>
        <w:jc w:val="both"/>
        <w:rPr>
          <w:rFonts w:ascii="Times New Roman" w:hAnsi="Times New Roman" w:cs="Times New Roman" w:eastAsia="Times New Roman" w:hint="default"/>
        </w:rPr>
      </w:pPr>
      <w:r>
        <w:rPr/>
        <w:t>У наредним табелама тачке 4.1.5. Издаци, према економској класификацији група презентовани су подаци о планираном оквиру издатака, њиховим реалокацијама, исказаном извршењу и налазима ревизије, са припадајућим индексима извршења, за узорковане кориснике буџета</w:t>
      </w:r>
      <w:r>
        <w:rPr>
          <w:spacing w:val="-14"/>
        </w:rPr>
        <w:t> </w:t>
      </w:r>
      <w:r>
        <w:rPr/>
        <w:t>Града</w:t>
      </w:r>
      <w:r>
        <w:rPr>
          <w:rFonts w:ascii="Times New Roman" w:hAnsi="Times New Roman"/>
        </w:rPr>
        <w:t>.</w:t>
      </w:r>
    </w:p>
    <w:p>
      <w:pPr>
        <w:pStyle w:val="BodyText"/>
        <w:spacing w:line="240" w:lineRule="auto"/>
        <w:ind w:left="220" w:right="175" w:firstLine="566"/>
        <w:jc w:val="both"/>
      </w:pPr>
      <w:r>
        <w:rPr>
          <w:rFonts w:ascii="Times New Roman" w:hAnsi="Times New Roman"/>
          <w:b/>
        </w:rPr>
        <w:t>На основу ревизије узорковане документације утврђено је </w:t>
      </w:r>
      <w:r>
        <w:rPr/>
        <w:t>да су директни корисници буџета вршили плаћања изнад висине издатака за тромесечни период,  односно квота, које је одредио начелник Управе за финансије, изворне приходе локалне самоуправе и јавне набавке, што је супротно члану 53. Закона о буџетском систему и Упутству о раду трезора града Ниша (Нпр: директни корисник Управа за финансије, изворне приходе локалне самоуправе и јавне набавке није поштовао квоте за зграде и грађевинске објекте за први, други и четврти квартал; директни корисник Управа за имовину и инспекцијске послове за земљиште за сва четири квартала и</w:t>
      </w:r>
      <w:r>
        <w:rPr>
          <w:spacing w:val="-27"/>
        </w:rPr>
        <w:t> </w:t>
      </w:r>
      <w:r>
        <w:rPr/>
        <w:t>др.).</w:t>
      </w:r>
    </w:p>
    <w:p>
      <w:pPr>
        <w:pStyle w:val="Heading2"/>
        <w:spacing w:line="240" w:lineRule="auto"/>
        <w:ind w:left="220" w:right="179"/>
        <w:jc w:val="both"/>
        <w:rPr>
          <w:b w:val="0"/>
          <w:bCs w:val="0"/>
          <w:i w:val="0"/>
        </w:rPr>
      </w:pPr>
      <w:r>
        <w:rPr>
          <w:i/>
        </w:rPr>
        <w:t>Препоручује се одговорним лицима да издатке извршавају до висине коју је за тромесечни период одредио начелник Управе за финансије, изворне приходе локалне самоуправе и јавне</w:t>
      </w:r>
      <w:r>
        <w:rPr>
          <w:i/>
          <w:spacing w:val="-10"/>
        </w:rPr>
        <w:t> </w:t>
      </w:r>
      <w:r>
        <w:rPr>
          <w:i/>
        </w:rPr>
        <w:t>набавке.</w:t>
      </w:r>
      <w:r>
        <w:rPr>
          <w:b w:val="0"/>
          <w:i w:val="0"/>
        </w:rPr>
      </w:r>
    </w:p>
    <w:p>
      <w:pPr>
        <w:pStyle w:val="Heading1"/>
        <w:spacing w:line="273" w:lineRule="exact" w:before="201"/>
        <w:ind w:left="220" w:right="0"/>
        <w:jc w:val="left"/>
        <w:rPr>
          <w:rFonts w:ascii="Times New Roman" w:hAnsi="Times New Roman" w:cs="Times New Roman" w:eastAsia="Times New Roman" w:hint="default"/>
          <w:b w:val="0"/>
          <w:bCs w:val="0"/>
        </w:rPr>
      </w:pPr>
      <w:bookmarkStart w:name="_bookmark38" w:id="67"/>
      <w:bookmarkEnd w:id="67"/>
      <w:r>
        <w:rPr>
          <w:b w:val="0"/>
        </w:rPr>
      </w:r>
      <w:r>
        <w:rPr>
          <w:rFonts w:ascii="Times New Roman" w:hAnsi="Times New Roman"/>
        </w:rPr>
        <w:t>4.1.5.1  </w:t>
      </w:r>
      <w:r>
        <w:rPr/>
        <w:t>Зграде и грађевински објекти, група</w:t>
      </w:r>
      <w:r>
        <w:rPr>
          <w:spacing w:val="-8"/>
        </w:rPr>
        <w:t> </w:t>
      </w:r>
      <w:r>
        <w:rPr>
          <w:rFonts w:ascii="Times New Roman" w:hAnsi="Times New Roman"/>
        </w:rPr>
        <w:t>511000</w:t>
      </w:r>
      <w:r>
        <w:rPr>
          <w:rFonts w:ascii="Times New Roman" w:hAnsi="Times New Roman"/>
          <w:b w:val="0"/>
        </w:rPr>
      </w:r>
    </w:p>
    <w:p>
      <w:pPr>
        <w:spacing w:line="242" w:lineRule="auto" w:before="0"/>
        <w:ind w:left="220" w:right="0" w:firstLine="719"/>
        <w:jc w:val="left"/>
        <w:rPr>
          <w:rFonts w:ascii="Times New Roman" w:hAnsi="Times New Roman" w:cs="Times New Roman" w:eastAsia="Times New Roman" w:hint="default"/>
          <w:sz w:val="22"/>
          <w:szCs w:val="22"/>
        </w:rPr>
      </w:pPr>
      <w:r>
        <w:rPr>
          <w:rFonts w:ascii="Times New Roman" w:hAnsi="Times New Roman"/>
          <w:sz w:val="22"/>
        </w:rPr>
        <w:t>Група 511000 обухвата синтетичка конта: куповина зграда и објеката, изградња зграда и објеката, капитално одржавање зграда и објеката и пројектно</w:t>
      </w:r>
      <w:r>
        <w:rPr>
          <w:rFonts w:ascii="Times New Roman" w:hAnsi="Times New Roman"/>
          <w:spacing w:val="-9"/>
          <w:sz w:val="22"/>
        </w:rPr>
        <w:t> </w:t>
      </w:r>
      <w:r>
        <w:rPr>
          <w:rFonts w:ascii="Times New Roman" w:hAnsi="Times New Roman"/>
          <w:sz w:val="22"/>
        </w:rPr>
        <w:t>планирање.</w:t>
      </w:r>
    </w:p>
    <w:p>
      <w:pPr>
        <w:spacing w:after="0" w:line="242" w:lineRule="auto"/>
        <w:jc w:val="left"/>
        <w:rPr>
          <w:rFonts w:ascii="Times New Roman" w:hAnsi="Times New Roman" w:cs="Times New Roman" w:eastAsia="Times New Roman" w:hint="default"/>
          <w:sz w:val="22"/>
          <w:szCs w:val="22"/>
        </w:rPr>
        <w:sectPr>
          <w:pgSz w:w="12240" w:h="15840"/>
          <w:pgMar w:header="740" w:footer="1274" w:top="1280" w:bottom="1460" w:left="1340" w:right="1260"/>
        </w:sectPr>
      </w:pPr>
    </w:p>
    <w:p>
      <w:pPr>
        <w:spacing w:line="240" w:lineRule="auto" w:before="1"/>
        <w:rPr>
          <w:rFonts w:ascii="Times New Roman" w:hAnsi="Times New Roman" w:cs="Times New Roman" w:eastAsia="Times New Roman" w:hint="default"/>
          <w:sz w:val="26"/>
          <w:szCs w:val="26"/>
        </w:rPr>
      </w:pPr>
    </w:p>
    <w:p>
      <w:pPr>
        <w:spacing w:before="76" w:after="35"/>
        <w:ind w:left="0" w:right="358" w:firstLine="0"/>
        <w:jc w:val="right"/>
        <w:rPr>
          <w:rFonts w:ascii="Times New Roman" w:hAnsi="Times New Roman" w:cs="Times New Roman" w:eastAsia="Times New Roman" w:hint="default"/>
          <w:sz w:val="18"/>
          <w:szCs w:val="18"/>
        </w:rPr>
      </w:pPr>
      <w:r>
        <w:rPr>
          <w:rFonts w:ascii="Times New Roman" w:hAnsi="Times New Roman"/>
          <w:sz w:val="18"/>
        </w:rPr>
        <w:t>(у хиљадама</w:t>
      </w:r>
      <w:r>
        <w:rPr>
          <w:rFonts w:ascii="Times New Roman" w:hAnsi="Times New Roman"/>
          <w:spacing w:val="-8"/>
          <w:sz w:val="18"/>
        </w:rPr>
        <w:t> </w:t>
      </w:r>
      <w:r>
        <w:rPr>
          <w:rFonts w:ascii="Times New Roman" w:hAnsi="Times New Roman"/>
          <w:sz w:val="18"/>
        </w:rPr>
        <w:t>динара</w:t>
      </w:r>
      <w:r>
        <w:rPr>
          <w:rFonts w:ascii="Times New Roman" w:hAnsi="Times New Roman"/>
          <w:sz w:val="18"/>
        </w:rPr>
        <w:t>)</w:t>
      </w:r>
    </w:p>
    <w:tbl>
      <w:tblPr>
        <w:tblW w:w="0" w:type="auto"/>
        <w:jc w:val="left"/>
        <w:tblInd w:w="141" w:type="dxa"/>
        <w:tblLayout w:type="fixed"/>
        <w:tblCellMar>
          <w:top w:w="0" w:type="dxa"/>
          <w:left w:w="0" w:type="dxa"/>
          <w:bottom w:w="0" w:type="dxa"/>
          <w:right w:w="0" w:type="dxa"/>
        </w:tblCellMar>
        <w:tblLook w:val="01E0"/>
      </w:tblPr>
      <w:tblGrid>
        <w:gridCol w:w="876"/>
        <w:gridCol w:w="2542"/>
        <w:gridCol w:w="960"/>
        <w:gridCol w:w="1440"/>
        <w:gridCol w:w="1047"/>
        <w:gridCol w:w="936"/>
        <w:gridCol w:w="845"/>
        <w:gridCol w:w="847"/>
      </w:tblGrid>
      <w:tr>
        <w:trPr>
          <w:trHeight w:val="50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261" w:right="178" w:hanging="72"/>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6"/>
              <w:ind w:left="463"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8"/>
                <w:sz w:val="18"/>
              </w:rPr>
              <w:t> </w:t>
            </w:r>
            <w:r>
              <w:rPr>
                <w:rFonts w:ascii="Times New Roman" w:hAnsi="Times New Roman"/>
                <w:b/>
                <w:sz w:val="18"/>
              </w:rPr>
              <w:t>корисник</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6"/>
              <w:ind w:right="103"/>
              <w:jc w:val="right"/>
              <w:rPr>
                <w:rFonts w:ascii="Times New Roman" w:hAnsi="Times New Roman" w:cs="Times New Roman" w:eastAsia="Times New Roman" w:hint="default"/>
                <w:sz w:val="18"/>
                <w:szCs w:val="18"/>
              </w:rPr>
            </w:pPr>
            <w:r>
              <w:rPr>
                <w:rFonts w:ascii="Times New Roman" w:hAnsi="Times New Roman"/>
                <w:b/>
                <w:spacing w:val="-1"/>
                <w:sz w:val="18"/>
              </w:rPr>
              <w:t>Ребаланс</w:t>
            </w:r>
            <w:r>
              <w:rPr>
                <w:rFonts w:ascii="Times New Roman" w:hAnsi="Times New Roman"/>
                <w:spacing w:val="-1"/>
                <w:sz w:val="18"/>
              </w:rPr>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03" w:right="92" w:firstLine="132"/>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реалокацијама</w:t>
            </w:r>
            <w:r>
              <w:rPr>
                <w:rFonts w:ascii="Times New Roman" w:hAns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03" w:right="95"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15" w:right="104"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02" w:right="107"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02" w:right="109"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90"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7"/>
              <w:ind w:left="403" w:right="0"/>
              <w:jc w:val="left"/>
              <w:rPr>
                <w:rFonts w:ascii="Times New Roman" w:hAnsi="Times New Roman" w:cs="Times New Roman" w:eastAsia="Times New Roman" w:hint="default"/>
                <w:sz w:val="12"/>
                <w:szCs w:val="12"/>
              </w:rPr>
            </w:pPr>
            <w:r>
              <w:rPr>
                <w:rFonts w:ascii="Times New Roman"/>
                <w:sz w:val="12"/>
              </w:rPr>
              <w:t>1</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7"/>
              <w:ind w:right="2"/>
              <w:jc w:val="center"/>
              <w:rPr>
                <w:rFonts w:ascii="Times New Roman" w:hAnsi="Times New Roman" w:cs="Times New Roman" w:eastAsia="Times New Roman" w:hint="default"/>
                <w:sz w:val="12"/>
                <w:szCs w:val="12"/>
              </w:rPr>
            </w:pPr>
            <w:r>
              <w:rPr>
                <w:rFonts w:ascii="Times New Roman"/>
                <w:sz w:val="12"/>
              </w:rPr>
              <w:t>2</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7"/>
              <w:ind w:right="0"/>
              <w:jc w:val="center"/>
              <w:rPr>
                <w:rFonts w:ascii="Times New Roman" w:hAnsi="Times New Roman" w:cs="Times New Roman" w:eastAsia="Times New Roman" w:hint="default"/>
                <w:sz w:val="12"/>
                <w:szCs w:val="12"/>
              </w:rPr>
            </w:pPr>
            <w:r>
              <w:rPr>
                <w:rFonts w:ascii="Times New Roman"/>
                <w:sz w:val="12"/>
              </w:rPr>
              <w:t>3</w:t>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7"/>
              <w:ind w:right="0"/>
              <w:jc w:val="center"/>
              <w:rPr>
                <w:rFonts w:ascii="Times New Roman" w:hAnsi="Times New Roman" w:cs="Times New Roman" w:eastAsia="Times New Roman" w:hint="default"/>
                <w:sz w:val="12"/>
                <w:szCs w:val="12"/>
              </w:rPr>
            </w:pPr>
            <w:r>
              <w:rPr>
                <w:rFonts w:ascii="Times New Roman"/>
                <w:sz w:val="12"/>
              </w:rPr>
              <w:t>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7"/>
              <w:ind w:right="1"/>
              <w:jc w:val="center"/>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7"/>
              <w:ind w:right="0"/>
              <w:jc w:val="center"/>
              <w:rPr>
                <w:rFonts w:ascii="Times New Roman" w:hAnsi="Times New Roman" w:cs="Times New Roman" w:eastAsia="Times New Roman" w:hint="default"/>
                <w:sz w:val="12"/>
                <w:szCs w:val="12"/>
              </w:rPr>
            </w:pPr>
            <w:r>
              <w:rPr>
                <w:rFonts w:ascii="Times New Roman"/>
                <w:sz w:val="12"/>
              </w:rPr>
              <w:t>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7"/>
              <w:ind w:left="2" w:right="0"/>
              <w:jc w:val="center"/>
              <w:rPr>
                <w:rFonts w:ascii="Calibri" w:hAnsi="Calibri" w:cs="Calibri" w:eastAsia="Calibri" w:hint="default"/>
                <w:sz w:val="12"/>
                <w:szCs w:val="12"/>
              </w:rPr>
            </w:pPr>
            <w:r>
              <w:rPr>
                <w:rFonts w:ascii="Calibri"/>
                <w:sz w:val="12"/>
              </w:rPr>
              <w:t>7</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7"/>
              <w:ind w:right="0"/>
              <w:jc w:val="center"/>
              <w:rPr>
                <w:rFonts w:ascii="Calibri" w:hAnsi="Calibri" w:cs="Calibri" w:eastAsia="Calibri" w:hint="default"/>
                <w:sz w:val="12"/>
                <w:szCs w:val="12"/>
              </w:rPr>
            </w:pPr>
            <w:r>
              <w:rPr>
                <w:rFonts w:ascii="Calibri"/>
                <w:sz w:val="12"/>
              </w:rPr>
              <w:t>8</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86" w:right="0"/>
              <w:jc w:val="left"/>
              <w:rPr>
                <w:rFonts w:ascii="Times New Roman" w:hAnsi="Times New Roman" w:cs="Times New Roman" w:eastAsia="Times New Roman" w:hint="default"/>
                <w:sz w:val="18"/>
                <w:szCs w:val="18"/>
              </w:rPr>
            </w:pPr>
            <w:r>
              <w:rPr>
                <w:rFonts w:ascii="Times New Roman"/>
                <w:sz w:val="18"/>
              </w:rPr>
              <w:t>1</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5"/>
                <w:sz w:val="18"/>
              </w:rPr>
              <w:t> </w:t>
            </w:r>
            <w:r>
              <w:rPr>
                <w:rFonts w:ascii="Times New Roman" w:hAnsi="Times New Roman"/>
                <w:sz w:val="18"/>
              </w:rPr>
              <w:t>привреду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pacing w:val="-1"/>
                <w:sz w:val="18"/>
              </w:rPr>
              <w:t>291.300</w:t>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291.300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pacing w:val="-1"/>
                <w:sz w:val="18"/>
              </w:rPr>
              <w:t>28.127</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25.628</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54" w:right="152"/>
              <w:jc w:val="center"/>
              <w:rPr>
                <w:rFonts w:ascii="Times New Roman" w:hAnsi="Times New Roman" w:cs="Times New Roman" w:eastAsia="Times New Roman" w:hint="default"/>
                <w:sz w:val="18"/>
                <w:szCs w:val="18"/>
              </w:rPr>
            </w:pPr>
            <w:r>
              <w:rPr>
                <w:rFonts w:ascii="Times New Roman"/>
                <w:sz w:val="18"/>
              </w:rPr>
              <w:t>8,80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88" w:right="88"/>
              <w:jc w:val="center"/>
              <w:rPr>
                <w:rFonts w:ascii="Times New Roman" w:hAnsi="Times New Roman" w:cs="Times New Roman" w:eastAsia="Times New Roman" w:hint="default"/>
                <w:sz w:val="18"/>
                <w:szCs w:val="18"/>
              </w:rPr>
            </w:pPr>
            <w:r>
              <w:rPr>
                <w:rFonts w:ascii="Times New Roman"/>
                <w:sz w:val="18"/>
              </w:rPr>
              <w:t>91,12</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2</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7"/>
                <w:sz w:val="18"/>
              </w:rPr>
              <w:t> </w:t>
            </w:r>
            <w:r>
              <w:rPr>
                <w:rFonts w:ascii="Times New Roman" w:hAnsi="Times New Roman"/>
                <w:sz w:val="18"/>
              </w:rPr>
              <w:t>пољопривреду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144.025</w:t>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143.390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13.130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18.800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54" w:right="152"/>
              <w:jc w:val="center"/>
              <w:rPr>
                <w:rFonts w:ascii="Times New Roman" w:hAnsi="Times New Roman" w:cs="Times New Roman" w:eastAsia="Times New Roman" w:hint="default"/>
                <w:sz w:val="18"/>
                <w:szCs w:val="18"/>
              </w:rPr>
            </w:pPr>
            <w:r>
              <w:rPr>
                <w:rFonts w:ascii="Times New Roman"/>
                <w:sz w:val="18"/>
              </w:rPr>
              <w:t>13,11</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87" w:right="88"/>
              <w:jc w:val="center"/>
              <w:rPr>
                <w:rFonts w:ascii="Times New Roman" w:hAnsi="Times New Roman" w:cs="Times New Roman" w:eastAsia="Times New Roman" w:hint="default"/>
                <w:sz w:val="18"/>
                <w:szCs w:val="18"/>
              </w:rPr>
            </w:pPr>
            <w:r>
              <w:rPr>
                <w:rFonts w:ascii="Times New Roman"/>
                <w:sz w:val="18"/>
              </w:rPr>
              <w:t>143,18</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3</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8"/>
                <w:sz w:val="18"/>
              </w:rPr>
              <w:t> </w:t>
            </w:r>
            <w:r>
              <w:rPr>
                <w:rFonts w:ascii="Times New Roman" w:hAnsi="Times New Roman"/>
                <w:sz w:val="18"/>
              </w:rPr>
              <w:t>финансије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55.000</w:t>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55.000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24.610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24.610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54" w:right="152"/>
              <w:jc w:val="center"/>
              <w:rPr>
                <w:rFonts w:ascii="Times New Roman" w:hAnsi="Times New Roman" w:cs="Times New Roman" w:eastAsia="Times New Roman" w:hint="default"/>
                <w:sz w:val="18"/>
                <w:szCs w:val="18"/>
              </w:rPr>
            </w:pPr>
            <w:r>
              <w:rPr>
                <w:rFonts w:ascii="Times New Roman"/>
                <w:sz w:val="18"/>
              </w:rPr>
              <w:t>44,75</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87" w:right="88"/>
              <w:jc w:val="center"/>
              <w:rPr>
                <w:rFonts w:ascii="Times New Roman" w:hAnsi="Times New Roman" w:cs="Times New Roman" w:eastAsia="Times New Roman" w:hint="default"/>
                <w:sz w:val="18"/>
                <w:szCs w:val="18"/>
              </w:rPr>
            </w:pPr>
            <w:r>
              <w:rPr>
                <w:rFonts w:ascii="Times New Roman"/>
                <w:sz w:val="18"/>
              </w:rPr>
              <w:t>100,00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4</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Служба за одржавање и</w:t>
            </w:r>
            <w:r>
              <w:rPr>
                <w:rFonts w:ascii="Times New Roman" w:hAnsi="Times New Roman"/>
                <w:spacing w:val="-5"/>
                <w:sz w:val="18"/>
              </w:rPr>
              <w:t> </w:t>
            </w:r>
            <w:r>
              <w:rPr>
                <w:rFonts w:ascii="Times New Roman" w:hAnsi="Times New Roman"/>
                <w:sz w:val="18"/>
              </w:rPr>
              <w:t>ИКТ</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40.567</w:t>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40.567</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18.654</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17.767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54" w:right="152"/>
              <w:jc w:val="center"/>
              <w:rPr>
                <w:rFonts w:ascii="Times New Roman" w:hAnsi="Times New Roman" w:cs="Times New Roman" w:eastAsia="Times New Roman" w:hint="default"/>
                <w:sz w:val="18"/>
                <w:szCs w:val="18"/>
              </w:rPr>
            </w:pPr>
            <w:r>
              <w:rPr>
                <w:rFonts w:ascii="Times New Roman"/>
                <w:sz w:val="18"/>
              </w:rPr>
              <w:t>43,80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88" w:right="88"/>
              <w:jc w:val="center"/>
              <w:rPr>
                <w:rFonts w:ascii="Times New Roman" w:hAnsi="Times New Roman" w:cs="Times New Roman" w:eastAsia="Times New Roman" w:hint="default"/>
                <w:sz w:val="18"/>
                <w:szCs w:val="18"/>
              </w:rPr>
            </w:pPr>
            <w:r>
              <w:rPr>
                <w:rFonts w:ascii="Times New Roman"/>
                <w:sz w:val="18"/>
              </w:rPr>
              <w:t>95,24</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5</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5"/>
                <w:sz w:val="18"/>
              </w:rPr>
              <w:t> </w:t>
            </w:r>
            <w:r>
              <w:rPr>
                <w:rFonts w:ascii="Times New Roman" w:hAnsi="Times New Roman"/>
                <w:sz w:val="18"/>
              </w:rPr>
              <w:t>образовање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5.800</w:t>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5.800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2.807</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2.807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54" w:right="152"/>
              <w:jc w:val="center"/>
              <w:rPr>
                <w:rFonts w:ascii="Times New Roman" w:hAnsi="Times New Roman" w:cs="Times New Roman" w:eastAsia="Times New Roman" w:hint="default"/>
                <w:sz w:val="18"/>
                <w:szCs w:val="18"/>
              </w:rPr>
            </w:pPr>
            <w:r>
              <w:rPr>
                <w:rFonts w:ascii="Times New Roman"/>
                <w:sz w:val="18"/>
              </w:rPr>
              <w:t>48,40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87" w:right="88"/>
              <w:jc w:val="center"/>
              <w:rPr>
                <w:rFonts w:ascii="Times New Roman" w:hAnsi="Times New Roman" w:cs="Times New Roman" w:eastAsia="Times New Roman" w:hint="default"/>
                <w:sz w:val="18"/>
                <w:szCs w:val="18"/>
              </w:rPr>
            </w:pPr>
            <w:r>
              <w:rPr>
                <w:rFonts w:ascii="Times New Roman"/>
                <w:sz w:val="18"/>
              </w:rPr>
              <w:t>100,00</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9"/>
              <w:jc w:val="right"/>
              <w:rPr>
                <w:rFonts w:ascii="Times New Roman" w:hAnsi="Times New Roman" w:cs="Times New Roman" w:eastAsia="Times New Roman" w:hint="default"/>
                <w:sz w:val="18"/>
                <w:szCs w:val="18"/>
              </w:rPr>
            </w:pPr>
            <w:r>
              <w:rPr>
                <w:rFonts w:ascii="Times New Roman" w:hAnsi="Times New Roman"/>
                <w:sz w:val="18"/>
              </w:rPr>
              <w:t>5а</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ПУ</w:t>
            </w:r>
            <w:r>
              <w:rPr>
                <w:rFonts w:ascii="Times New Roman" w:hAnsi="Times New Roman"/>
                <w:spacing w:val="-5"/>
                <w:sz w:val="18"/>
              </w:rPr>
              <w:t> </w:t>
            </w:r>
            <w:r>
              <w:rPr>
                <w:rFonts w:ascii="Times New Roman" w:hAnsi="Times New Roman"/>
                <w:sz w:val="18"/>
              </w:rPr>
              <w:t>Пчелица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5.000</w:t>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5.000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2.807</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2.807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54" w:right="152"/>
              <w:jc w:val="center"/>
              <w:rPr>
                <w:rFonts w:ascii="Times New Roman" w:hAnsi="Times New Roman" w:cs="Times New Roman" w:eastAsia="Times New Roman" w:hint="default"/>
                <w:sz w:val="18"/>
                <w:szCs w:val="18"/>
              </w:rPr>
            </w:pPr>
            <w:r>
              <w:rPr>
                <w:rFonts w:ascii="Times New Roman"/>
                <w:sz w:val="18"/>
              </w:rPr>
              <w:t>56,14</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87" w:right="88"/>
              <w:jc w:val="center"/>
              <w:rPr>
                <w:rFonts w:ascii="Times New Roman" w:hAnsi="Times New Roman" w:cs="Times New Roman" w:eastAsia="Times New Roman" w:hint="default"/>
                <w:sz w:val="18"/>
                <w:szCs w:val="18"/>
              </w:rPr>
            </w:pPr>
            <w:r>
              <w:rPr>
                <w:rFonts w:ascii="Times New Roman"/>
                <w:sz w:val="18"/>
              </w:rPr>
              <w:t>100,00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6</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комун</w:t>
            </w:r>
            <w:r>
              <w:rPr>
                <w:rFonts w:ascii="Times New Roman" w:hAnsi="Times New Roman"/>
                <w:sz w:val="18"/>
              </w:rPr>
              <w:t>.</w:t>
            </w:r>
            <w:r>
              <w:rPr>
                <w:rFonts w:ascii="Times New Roman" w:hAnsi="Times New Roman"/>
                <w:spacing w:val="-8"/>
                <w:sz w:val="18"/>
              </w:rPr>
              <w:t> </w:t>
            </w:r>
            <w:r>
              <w:rPr>
                <w:rFonts w:ascii="Times New Roman" w:hAnsi="Times New Roman"/>
                <w:sz w:val="18"/>
              </w:rPr>
              <w:t>делатн</w:t>
            </w:r>
            <w:r>
              <w:rPr>
                <w:rFonts w:ascii="Times New Roman" w:hAnsi="Times New Roman"/>
                <w:sz w:val="18"/>
              </w:rPr>
              <w:t>.</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658.624</w:t>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658.624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331.016</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280.144</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54" w:right="152"/>
              <w:jc w:val="center"/>
              <w:rPr>
                <w:rFonts w:ascii="Times New Roman" w:hAnsi="Times New Roman" w:cs="Times New Roman" w:eastAsia="Times New Roman" w:hint="default"/>
                <w:sz w:val="18"/>
                <w:szCs w:val="18"/>
              </w:rPr>
            </w:pPr>
            <w:r>
              <w:rPr>
                <w:rFonts w:ascii="Times New Roman"/>
                <w:sz w:val="18"/>
              </w:rPr>
              <w:t>43,00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88" w:right="88"/>
              <w:jc w:val="center"/>
              <w:rPr>
                <w:rFonts w:ascii="Times New Roman" w:hAnsi="Times New Roman" w:cs="Times New Roman" w:eastAsia="Times New Roman" w:hint="default"/>
                <w:sz w:val="18"/>
                <w:szCs w:val="18"/>
              </w:rPr>
            </w:pPr>
            <w:r>
              <w:rPr>
                <w:rFonts w:ascii="Times New Roman"/>
                <w:sz w:val="18"/>
              </w:rPr>
              <w:t>85,55</w:t>
            </w:r>
          </w:p>
        </w:tc>
      </w:tr>
      <w:tr>
        <w:trPr>
          <w:trHeight w:val="250"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99"/>
              <w:jc w:val="right"/>
              <w:rPr>
                <w:rFonts w:ascii="Times New Roman" w:hAnsi="Times New Roman" w:cs="Times New Roman" w:eastAsia="Times New Roman" w:hint="default"/>
                <w:sz w:val="18"/>
                <w:szCs w:val="18"/>
              </w:rPr>
            </w:pPr>
            <w:r>
              <w:rPr>
                <w:rFonts w:ascii="Times New Roman" w:hAnsi="Times New Roman"/>
                <w:sz w:val="18"/>
              </w:rPr>
              <w:t>6а</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left="103" w:right="0"/>
              <w:jc w:val="left"/>
              <w:rPr>
                <w:rFonts w:ascii="Times New Roman" w:hAnsi="Times New Roman" w:cs="Times New Roman" w:eastAsia="Times New Roman" w:hint="default"/>
                <w:sz w:val="18"/>
                <w:szCs w:val="18"/>
              </w:rPr>
            </w:pPr>
            <w:r>
              <w:rPr>
                <w:rFonts w:ascii="Times New Roman" w:hAnsi="Times New Roman"/>
                <w:sz w:val="18"/>
              </w:rPr>
              <w:t>ЈП</w:t>
            </w:r>
            <w:r>
              <w:rPr>
                <w:rFonts w:ascii="Times New Roman" w:hAnsi="Times New Roman"/>
                <w:spacing w:val="-6"/>
                <w:sz w:val="18"/>
              </w:rPr>
              <w:t> </w:t>
            </w:r>
            <w:r>
              <w:rPr>
                <w:rFonts w:ascii="Times New Roman" w:hAnsi="Times New Roman"/>
                <w:sz w:val="18"/>
              </w:rPr>
              <w:t>Дирекција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101"/>
              <w:jc w:val="right"/>
              <w:rPr>
                <w:rFonts w:ascii="Times New Roman" w:hAnsi="Times New Roman" w:cs="Times New Roman" w:eastAsia="Times New Roman" w:hint="default"/>
                <w:sz w:val="18"/>
                <w:szCs w:val="18"/>
              </w:rPr>
            </w:pPr>
            <w:r>
              <w:rPr>
                <w:rFonts w:ascii="Times New Roman"/>
                <w:spacing w:val="-1"/>
                <w:sz w:val="18"/>
              </w:rPr>
              <w:t>655.624</w:t>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100"/>
              <w:jc w:val="right"/>
              <w:rPr>
                <w:rFonts w:ascii="Times New Roman" w:hAnsi="Times New Roman" w:cs="Times New Roman" w:eastAsia="Times New Roman" w:hint="default"/>
                <w:sz w:val="18"/>
                <w:szCs w:val="18"/>
              </w:rPr>
            </w:pPr>
            <w:r>
              <w:rPr>
                <w:rFonts w:ascii="Times New Roman"/>
                <w:spacing w:val="-1"/>
                <w:sz w:val="18"/>
              </w:rPr>
              <w:t>650.641</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103"/>
              <w:jc w:val="right"/>
              <w:rPr>
                <w:rFonts w:ascii="Times New Roman" w:hAnsi="Times New Roman" w:cs="Times New Roman" w:eastAsia="Times New Roman" w:hint="default"/>
                <w:sz w:val="18"/>
                <w:szCs w:val="18"/>
              </w:rPr>
            </w:pPr>
            <w:r>
              <w:rPr>
                <w:rFonts w:ascii="Times New Roman"/>
                <w:spacing w:val="-1"/>
                <w:sz w:val="18"/>
              </w:rPr>
              <w:t>330.801</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100"/>
              <w:jc w:val="right"/>
              <w:rPr>
                <w:rFonts w:ascii="Times New Roman" w:hAnsi="Times New Roman" w:cs="Times New Roman" w:eastAsia="Times New Roman" w:hint="default"/>
                <w:sz w:val="18"/>
                <w:szCs w:val="18"/>
              </w:rPr>
            </w:pPr>
            <w:r>
              <w:rPr>
                <w:rFonts w:ascii="Times New Roman"/>
                <w:spacing w:val="-1"/>
                <w:sz w:val="18"/>
              </w:rPr>
              <w:t>279.929</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left="154" w:right="152"/>
              <w:jc w:val="center"/>
              <w:rPr>
                <w:rFonts w:ascii="Times New Roman" w:hAnsi="Times New Roman" w:cs="Times New Roman" w:eastAsia="Times New Roman" w:hint="default"/>
                <w:sz w:val="18"/>
                <w:szCs w:val="18"/>
              </w:rPr>
            </w:pPr>
            <w:r>
              <w:rPr>
                <w:rFonts w:ascii="Times New Roman"/>
                <w:sz w:val="18"/>
              </w:rPr>
              <w:t>43,49</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left="88" w:right="88"/>
              <w:jc w:val="center"/>
              <w:rPr>
                <w:rFonts w:ascii="Times New Roman" w:hAnsi="Times New Roman" w:cs="Times New Roman" w:eastAsia="Times New Roman" w:hint="default"/>
                <w:sz w:val="18"/>
                <w:szCs w:val="18"/>
              </w:rPr>
            </w:pPr>
            <w:r>
              <w:rPr>
                <w:rFonts w:ascii="Times New Roman"/>
                <w:sz w:val="18"/>
              </w:rPr>
              <w:t>85,54</w:t>
            </w:r>
          </w:p>
        </w:tc>
      </w:tr>
      <w:tr>
        <w:trPr>
          <w:trHeight w:val="253"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left="386" w:right="0"/>
              <w:jc w:val="left"/>
              <w:rPr>
                <w:rFonts w:ascii="Times New Roman" w:hAnsi="Times New Roman" w:cs="Times New Roman" w:eastAsia="Times New Roman" w:hint="default"/>
                <w:sz w:val="18"/>
                <w:szCs w:val="18"/>
              </w:rPr>
            </w:pPr>
            <w:r>
              <w:rPr>
                <w:rFonts w:ascii="Times New Roman"/>
                <w:sz w:val="18"/>
              </w:rPr>
              <w:t>7</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6"/>
                <w:sz w:val="18"/>
              </w:rPr>
              <w:t> </w:t>
            </w:r>
            <w:r>
              <w:rPr>
                <w:rFonts w:ascii="Times New Roman" w:hAnsi="Times New Roman"/>
                <w:sz w:val="18"/>
              </w:rPr>
              <w:t>културу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100"/>
              <w:jc w:val="right"/>
              <w:rPr>
                <w:rFonts w:ascii="Times New Roman" w:hAnsi="Times New Roman" w:cs="Times New Roman" w:eastAsia="Times New Roman" w:hint="default"/>
                <w:sz w:val="18"/>
                <w:szCs w:val="18"/>
              </w:rPr>
            </w:pPr>
            <w:r>
              <w:rPr>
                <w:rFonts w:ascii="Times New Roman"/>
                <w:spacing w:val="-1"/>
                <w:sz w:val="18"/>
              </w:rPr>
              <w:t>11.772</w:t>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100"/>
              <w:jc w:val="right"/>
              <w:rPr>
                <w:rFonts w:ascii="Times New Roman" w:hAnsi="Times New Roman" w:cs="Times New Roman" w:eastAsia="Times New Roman" w:hint="default"/>
                <w:sz w:val="18"/>
                <w:szCs w:val="18"/>
              </w:rPr>
            </w:pPr>
            <w:r>
              <w:rPr>
                <w:rFonts w:ascii="Times New Roman"/>
                <w:spacing w:val="-1"/>
                <w:sz w:val="18"/>
              </w:rPr>
              <w:t>11.772</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102"/>
              <w:jc w:val="right"/>
              <w:rPr>
                <w:rFonts w:ascii="Times New Roman" w:hAnsi="Times New Roman" w:cs="Times New Roman" w:eastAsia="Times New Roman" w:hint="default"/>
                <w:sz w:val="18"/>
                <w:szCs w:val="18"/>
              </w:rPr>
            </w:pPr>
            <w:r>
              <w:rPr>
                <w:rFonts w:ascii="Times New Roman"/>
                <w:sz w:val="18"/>
              </w:rPr>
              <w:t>2.424</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100"/>
              <w:jc w:val="right"/>
              <w:rPr>
                <w:rFonts w:ascii="Times New Roman" w:hAnsi="Times New Roman" w:cs="Times New Roman" w:eastAsia="Times New Roman" w:hint="default"/>
                <w:sz w:val="18"/>
                <w:szCs w:val="18"/>
              </w:rPr>
            </w:pPr>
            <w:r>
              <w:rPr>
                <w:rFonts w:ascii="Times New Roman"/>
                <w:spacing w:val="-1"/>
                <w:sz w:val="18"/>
              </w:rPr>
              <w:t>70.296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left="154" w:right="154"/>
              <w:jc w:val="center"/>
              <w:rPr>
                <w:rFonts w:ascii="Times New Roman" w:hAnsi="Times New Roman" w:cs="Times New Roman" w:eastAsia="Times New Roman" w:hint="default"/>
                <w:sz w:val="18"/>
                <w:szCs w:val="18"/>
              </w:rPr>
            </w:pPr>
            <w:r>
              <w:rPr>
                <w:rFonts w:ascii="Times New Roman"/>
                <w:sz w:val="18"/>
              </w:rPr>
              <w:t>597,15</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left="88" w:right="88"/>
              <w:jc w:val="center"/>
              <w:rPr>
                <w:rFonts w:ascii="Times New Roman" w:hAnsi="Times New Roman" w:cs="Times New Roman" w:eastAsia="Times New Roman" w:hint="default"/>
                <w:sz w:val="18"/>
                <w:szCs w:val="18"/>
              </w:rPr>
            </w:pPr>
            <w:r>
              <w:rPr>
                <w:rFonts w:ascii="Times New Roman"/>
                <w:sz w:val="18"/>
              </w:rPr>
              <w:t>2.900,00</w:t>
            </w:r>
          </w:p>
        </w:tc>
      </w:tr>
      <w:tr>
        <w:trPr>
          <w:trHeight w:val="250"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99"/>
              <w:jc w:val="right"/>
              <w:rPr>
                <w:rFonts w:ascii="Times New Roman" w:hAnsi="Times New Roman" w:cs="Times New Roman" w:eastAsia="Times New Roman" w:hint="default"/>
                <w:sz w:val="18"/>
                <w:szCs w:val="18"/>
              </w:rPr>
            </w:pPr>
            <w:r>
              <w:rPr>
                <w:rFonts w:ascii="Times New Roman" w:hAnsi="Times New Roman"/>
                <w:sz w:val="18"/>
              </w:rPr>
              <w:t>7а</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left="103" w:right="0"/>
              <w:jc w:val="left"/>
              <w:rPr>
                <w:rFonts w:ascii="Times New Roman" w:hAnsi="Times New Roman" w:cs="Times New Roman" w:eastAsia="Times New Roman" w:hint="default"/>
                <w:sz w:val="18"/>
                <w:szCs w:val="18"/>
              </w:rPr>
            </w:pPr>
            <w:r>
              <w:rPr>
                <w:rFonts w:ascii="Times New Roman" w:hAnsi="Times New Roman"/>
                <w:sz w:val="18"/>
              </w:rPr>
              <w:t>Завод за заштиту</w:t>
            </w:r>
            <w:r>
              <w:rPr>
                <w:rFonts w:ascii="Times New Roman" w:hAnsi="Times New Roman"/>
                <w:spacing w:val="-11"/>
                <w:sz w:val="18"/>
              </w:rPr>
              <w:t> </w:t>
            </w:r>
            <w:r>
              <w:rPr>
                <w:rFonts w:ascii="Times New Roman" w:hAnsi="Times New Roman"/>
                <w:sz w:val="18"/>
              </w:rPr>
              <w:t>споменика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102"/>
              <w:jc w:val="right"/>
              <w:rPr>
                <w:rFonts w:ascii="Times New Roman" w:hAnsi="Times New Roman" w:cs="Times New Roman" w:eastAsia="Times New Roman" w:hint="default"/>
                <w:sz w:val="18"/>
                <w:szCs w:val="18"/>
              </w:rPr>
            </w:pPr>
            <w:r>
              <w:rPr>
                <w:rFonts w:ascii="Times New Roman"/>
                <w:sz w:val="18"/>
              </w:rPr>
              <w:t>0</w:t>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102"/>
              <w:jc w:val="right"/>
              <w:rPr>
                <w:rFonts w:ascii="Times New Roman" w:hAnsi="Times New Roman" w:cs="Times New Roman" w:eastAsia="Times New Roman" w:hint="default"/>
                <w:sz w:val="18"/>
                <w:szCs w:val="18"/>
              </w:rPr>
            </w:pPr>
            <w:r>
              <w:rPr>
                <w:rFonts w:ascii="Times New Roman"/>
                <w:sz w:val="18"/>
              </w:rPr>
              <w:t>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104"/>
              <w:jc w:val="right"/>
              <w:rPr>
                <w:rFonts w:ascii="Times New Roman" w:hAnsi="Times New Roman" w:cs="Times New Roman" w:eastAsia="Times New Roman" w:hint="default"/>
                <w:sz w:val="18"/>
                <w:szCs w:val="18"/>
              </w:rPr>
            </w:pPr>
            <w:r>
              <w:rPr>
                <w:rFonts w:ascii="Times New Roman"/>
                <w:sz w:val="18"/>
              </w:rPr>
              <w:t>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100"/>
              <w:jc w:val="right"/>
              <w:rPr>
                <w:rFonts w:ascii="Times New Roman" w:hAnsi="Times New Roman" w:cs="Times New Roman" w:eastAsia="Times New Roman" w:hint="default"/>
                <w:sz w:val="18"/>
                <w:szCs w:val="18"/>
              </w:rPr>
            </w:pPr>
            <w:r>
              <w:rPr>
                <w:rFonts w:ascii="Times New Roman"/>
                <w:spacing w:val="-1"/>
                <w:sz w:val="18"/>
              </w:rPr>
              <w:t>66.594</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left="154" w:right="152"/>
              <w:jc w:val="center"/>
              <w:rPr>
                <w:rFonts w:ascii="Times New Roman" w:hAnsi="Times New Roman" w:cs="Times New Roman" w:eastAsia="Times New Roman" w:hint="default"/>
                <w:sz w:val="18"/>
                <w:szCs w:val="18"/>
              </w:rPr>
            </w:pPr>
            <w:r>
              <w:rPr>
                <w:rFonts w:ascii="Times New Roman"/>
                <w:sz w:val="18"/>
              </w:rPr>
              <w:t>0,00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left="88" w:right="88"/>
              <w:jc w:val="center"/>
              <w:rPr>
                <w:rFonts w:ascii="Times New Roman" w:hAnsi="Times New Roman" w:cs="Times New Roman" w:eastAsia="Times New Roman" w:hint="default"/>
                <w:sz w:val="18"/>
                <w:szCs w:val="18"/>
              </w:rPr>
            </w:pPr>
            <w:r>
              <w:rPr>
                <w:rFonts w:ascii="Times New Roman"/>
                <w:sz w:val="18"/>
              </w:rPr>
              <w:t>0,00</w:t>
            </w:r>
          </w:p>
        </w:tc>
      </w:tr>
      <w:tr>
        <w:trPr>
          <w:trHeight w:val="250"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99"/>
              <w:jc w:val="right"/>
              <w:rPr>
                <w:rFonts w:ascii="Times New Roman" w:hAnsi="Times New Roman" w:cs="Times New Roman" w:eastAsia="Times New Roman" w:hint="default"/>
                <w:sz w:val="18"/>
                <w:szCs w:val="18"/>
              </w:rPr>
            </w:pPr>
            <w:r>
              <w:rPr>
                <w:rFonts w:ascii="Times New Roman" w:hAnsi="Times New Roman"/>
                <w:sz w:val="18"/>
              </w:rPr>
              <w:t>7б</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103" w:right="0"/>
              <w:jc w:val="left"/>
              <w:rPr>
                <w:rFonts w:ascii="Times New Roman" w:hAnsi="Times New Roman" w:cs="Times New Roman" w:eastAsia="Times New Roman" w:hint="default"/>
                <w:sz w:val="18"/>
                <w:szCs w:val="18"/>
              </w:rPr>
            </w:pPr>
            <w:r>
              <w:rPr>
                <w:rFonts w:ascii="Times New Roman" w:hAnsi="Times New Roman"/>
                <w:sz w:val="18"/>
              </w:rPr>
              <w:t>Народно</w:t>
            </w:r>
            <w:r>
              <w:rPr>
                <w:rFonts w:ascii="Times New Roman" w:hAnsi="Times New Roman"/>
                <w:spacing w:val="-4"/>
                <w:sz w:val="18"/>
              </w:rPr>
              <w:t> </w:t>
            </w:r>
            <w:r>
              <w:rPr>
                <w:rFonts w:ascii="Times New Roman" w:hAnsi="Times New Roman"/>
                <w:sz w:val="18"/>
              </w:rPr>
              <w:t>позориште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100"/>
              <w:jc w:val="right"/>
              <w:rPr>
                <w:rFonts w:ascii="Times New Roman" w:hAnsi="Times New Roman" w:cs="Times New Roman" w:eastAsia="Times New Roman" w:hint="default"/>
                <w:sz w:val="18"/>
                <w:szCs w:val="18"/>
              </w:rPr>
            </w:pPr>
            <w:r>
              <w:rPr>
                <w:rFonts w:ascii="Times New Roman"/>
                <w:sz w:val="18"/>
              </w:rPr>
              <w:t>2.157</w:t>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100"/>
              <w:jc w:val="right"/>
              <w:rPr>
                <w:rFonts w:ascii="Times New Roman" w:hAnsi="Times New Roman" w:cs="Times New Roman" w:eastAsia="Times New Roman" w:hint="default"/>
                <w:sz w:val="18"/>
                <w:szCs w:val="18"/>
              </w:rPr>
            </w:pPr>
            <w:r>
              <w:rPr>
                <w:rFonts w:ascii="Times New Roman"/>
                <w:sz w:val="18"/>
              </w:rPr>
              <w:t>2.157</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102"/>
              <w:jc w:val="right"/>
              <w:rPr>
                <w:rFonts w:ascii="Times New Roman" w:hAnsi="Times New Roman" w:cs="Times New Roman" w:eastAsia="Times New Roman" w:hint="default"/>
                <w:sz w:val="18"/>
                <w:szCs w:val="18"/>
              </w:rPr>
            </w:pPr>
            <w:r>
              <w:rPr>
                <w:rFonts w:ascii="Times New Roman"/>
                <w:sz w:val="18"/>
              </w:rPr>
              <w:t>1.730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100"/>
              <w:jc w:val="right"/>
              <w:rPr>
                <w:rFonts w:ascii="Times New Roman" w:hAnsi="Times New Roman" w:cs="Times New Roman" w:eastAsia="Times New Roman" w:hint="default"/>
                <w:sz w:val="18"/>
                <w:szCs w:val="18"/>
              </w:rPr>
            </w:pPr>
            <w:r>
              <w:rPr>
                <w:rFonts w:ascii="Times New Roman"/>
                <w:sz w:val="18"/>
              </w:rPr>
              <w:t>3.008</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left="154" w:right="154"/>
              <w:jc w:val="center"/>
              <w:rPr>
                <w:rFonts w:ascii="Times New Roman" w:hAnsi="Times New Roman" w:cs="Times New Roman" w:eastAsia="Times New Roman" w:hint="default"/>
                <w:sz w:val="18"/>
                <w:szCs w:val="18"/>
              </w:rPr>
            </w:pPr>
            <w:r>
              <w:rPr>
                <w:rFonts w:ascii="Times New Roman"/>
                <w:sz w:val="18"/>
              </w:rPr>
              <w:t>139,45</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left="87" w:right="88"/>
              <w:jc w:val="center"/>
              <w:rPr>
                <w:rFonts w:ascii="Times New Roman" w:hAnsi="Times New Roman" w:cs="Times New Roman" w:eastAsia="Times New Roman" w:hint="default"/>
                <w:sz w:val="18"/>
                <w:szCs w:val="18"/>
              </w:rPr>
            </w:pPr>
            <w:r>
              <w:rPr>
                <w:rFonts w:ascii="Times New Roman"/>
                <w:sz w:val="18"/>
              </w:rPr>
              <w:t>173,87</w:t>
            </w:r>
          </w:p>
        </w:tc>
      </w:tr>
      <w:tr>
        <w:trPr>
          <w:trHeight w:val="250" w:hRule="exact"/>
        </w:trPr>
        <w:tc>
          <w:tcPr>
            <w:tcW w:w="3418"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719" w:right="0"/>
              <w:jc w:val="left"/>
              <w:rPr>
                <w:rFonts w:ascii="Times New Roman" w:hAnsi="Times New Roman" w:cs="Times New Roman" w:eastAsia="Times New Roman" w:hint="default"/>
                <w:sz w:val="18"/>
                <w:szCs w:val="18"/>
              </w:rPr>
            </w:pPr>
            <w:r>
              <w:rPr>
                <w:rFonts w:ascii="Times New Roman" w:hAnsi="Times New Roman"/>
                <w:b/>
                <w:sz w:val="18"/>
              </w:rPr>
              <w:t>Укупно корисници</w:t>
            </w:r>
            <w:r>
              <w:rPr>
                <w:rFonts w:ascii="Times New Roman" w:hAnsi="Times New Roman"/>
                <w:b/>
                <w:spacing w:val="-3"/>
                <w:sz w:val="18"/>
              </w:rPr>
              <w:t> </w:t>
            </w:r>
            <w:r>
              <w:rPr>
                <w:rFonts w:ascii="Times New Roman" w:hAnsi="Times New Roman"/>
                <w:b/>
                <w:sz w:val="18"/>
              </w:rPr>
              <w:t>(1</w:t>
            </w:r>
            <w:r>
              <w:rPr>
                <w:rFonts w:ascii="Times New Roman" w:hAnsi="Times New Roman"/>
                <w:b/>
                <w:sz w:val="18"/>
              </w:rPr>
              <w:t>-7)</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8"/>
                <w:szCs w:val="18"/>
              </w:rPr>
            </w:pPr>
            <w:r>
              <w:rPr>
                <w:rFonts w:ascii="Times New Roman"/>
                <w:b/>
                <w:spacing w:val="-1"/>
                <w:sz w:val="18"/>
              </w:rPr>
              <w:t>1.207.088</w:t>
            </w:r>
            <w:r>
              <w:rPr>
                <w:rFonts w:ascii="Times New Roman"/>
                <w:sz w:val="18"/>
              </w:rPr>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8"/>
                <w:szCs w:val="18"/>
              </w:rPr>
            </w:pPr>
            <w:r>
              <w:rPr>
                <w:rFonts w:ascii="Times New Roman"/>
                <w:b/>
                <w:spacing w:val="-1"/>
                <w:sz w:val="18"/>
              </w:rPr>
              <w:t>1.206.453</w:t>
            </w:r>
            <w:r>
              <w:rPr>
                <w:rFonts w:asci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3"/>
              <w:jc w:val="right"/>
              <w:rPr>
                <w:rFonts w:ascii="Times New Roman" w:hAnsi="Times New Roman" w:cs="Times New Roman" w:eastAsia="Times New Roman" w:hint="default"/>
                <w:sz w:val="18"/>
                <w:szCs w:val="18"/>
              </w:rPr>
            </w:pPr>
            <w:r>
              <w:rPr>
                <w:rFonts w:ascii="Times New Roman"/>
                <w:b/>
                <w:spacing w:val="-1"/>
                <w:sz w:val="18"/>
              </w:rPr>
              <w:t>420.768</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8"/>
                <w:szCs w:val="18"/>
              </w:rPr>
            </w:pPr>
            <w:r>
              <w:rPr>
                <w:rFonts w:ascii="Times New Roman"/>
                <w:b/>
                <w:spacing w:val="-1"/>
                <w:sz w:val="18"/>
              </w:rPr>
              <w:t>440.052</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54" w:right="151"/>
              <w:jc w:val="center"/>
              <w:rPr>
                <w:rFonts w:ascii="Times New Roman" w:hAnsi="Times New Roman" w:cs="Times New Roman" w:eastAsia="Times New Roman" w:hint="default"/>
                <w:sz w:val="18"/>
                <w:szCs w:val="18"/>
              </w:rPr>
            </w:pPr>
            <w:r>
              <w:rPr>
                <w:rFonts w:ascii="Times New Roman"/>
                <w:b/>
                <w:sz w:val="18"/>
              </w:rPr>
              <w:t>36,47</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88" w:right="88"/>
              <w:jc w:val="center"/>
              <w:rPr>
                <w:rFonts w:ascii="Times New Roman" w:hAnsi="Times New Roman" w:cs="Times New Roman" w:eastAsia="Times New Roman" w:hint="default"/>
                <w:sz w:val="18"/>
                <w:szCs w:val="18"/>
              </w:rPr>
            </w:pPr>
            <w:r>
              <w:rPr>
                <w:rFonts w:ascii="Times New Roman"/>
                <w:b/>
                <w:sz w:val="18"/>
              </w:rPr>
              <w:t>104,58</w:t>
            </w:r>
            <w:r>
              <w:rPr>
                <w:rFonts w:ascii="Times New Roman"/>
                <w:sz w:val="18"/>
              </w:rPr>
            </w:r>
          </w:p>
        </w:tc>
      </w:tr>
      <w:tr>
        <w:trPr>
          <w:trHeight w:val="250" w:hRule="exact"/>
        </w:trPr>
        <w:tc>
          <w:tcPr>
            <w:tcW w:w="3418"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556" w:right="0"/>
              <w:jc w:val="left"/>
              <w:rPr>
                <w:rFonts w:ascii="Times New Roman" w:hAnsi="Times New Roman" w:cs="Times New Roman" w:eastAsia="Times New Roman" w:hint="default"/>
                <w:sz w:val="18"/>
                <w:szCs w:val="18"/>
              </w:rPr>
            </w:pPr>
            <w:r>
              <w:rPr>
                <w:rFonts w:ascii="Times New Roman" w:hAnsi="Times New Roman" w:cs="Times New Roman" w:eastAsia="Times New Roman" w:hint="default"/>
                <w:b/>
                <w:bCs/>
                <w:sz w:val="18"/>
                <w:szCs w:val="18"/>
              </w:rPr>
              <w:t>Укупно Град – група</w:t>
            </w:r>
            <w:r>
              <w:rPr>
                <w:rFonts w:ascii="Times New Roman" w:hAnsi="Times New Roman" w:cs="Times New Roman" w:eastAsia="Times New Roman" w:hint="default"/>
                <w:b/>
                <w:bCs/>
                <w:spacing w:val="-5"/>
                <w:sz w:val="18"/>
                <w:szCs w:val="18"/>
              </w:rPr>
              <w:t> </w:t>
            </w:r>
            <w:r>
              <w:rPr>
                <w:rFonts w:ascii="Times New Roman" w:hAnsi="Times New Roman" w:cs="Times New Roman" w:eastAsia="Times New Roman" w:hint="default"/>
                <w:b/>
                <w:bCs/>
                <w:sz w:val="18"/>
                <w:szCs w:val="18"/>
              </w:rPr>
              <w:t>511000</w:t>
            </w:r>
            <w:r>
              <w:rPr>
                <w:rFonts w:ascii="Times New Roman" w:hAnsi="Times New Roman" w:cs="Times New Roman" w:eastAsia="Times New Roman" w:hint="default"/>
                <w:sz w:val="18"/>
                <w:szCs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8"/>
                <w:szCs w:val="18"/>
              </w:rPr>
            </w:pPr>
            <w:r>
              <w:rPr>
                <w:rFonts w:ascii="Times New Roman"/>
                <w:b/>
                <w:spacing w:val="-1"/>
                <w:sz w:val="18"/>
              </w:rPr>
              <w:t>1.396.518</w:t>
            </w:r>
            <w:r>
              <w:rPr>
                <w:rFonts w:ascii="Times New Roman"/>
                <w:spacing w:val="-1"/>
                <w:sz w:val="18"/>
              </w:rPr>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8"/>
                <w:szCs w:val="18"/>
              </w:rPr>
            </w:pPr>
            <w:r>
              <w:rPr>
                <w:rFonts w:ascii="Times New Roman"/>
                <w:b/>
                <w:spacing w:val="-1"/>
                <w:sz w:val="18"/>
              </w:rPr>
              <w:t>1.395.883</w:t>
            </w:r>
            <w:r>
              <w:rPr>
                <w:rFonts w:ascii="Times New Roman"/>
                <w:spacing w:val="-1"/>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3"/>
              <w:jc w:val="right"/>
              <w:rPr>
                <w:rFonts w:ascii="Times New Roman" w:hAnsi="Times New Roman" w:cs="Times New Roman" w:eastAsia="Times New Roman" w:hint="default"/>
                <w:sz w:val="18"/>
                <w:szCs w:val="18"/>
              </w:rPr>
            </w:pPr>
            <w:r>
              <w:rPr>
                <w:rFonts w:ascii="Times New Roman"/>
                <w:b/>
                <w:spacing w:val="-1"/>
                <w:sz w:val="18"/>
              </w:rPr>
              <w:t>426.966</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8"/>
                <w:szCs w:val="18"/>
              </w:rPr>
            </w:pPr>
            <w:r>
              <w:rPr>
                <w:rFonts w:ascii="Times New Roman"/>
                <w:b/>
                <w:spacing w:val="-1"/>
                <w:sz w:val="18"/>
              </w:rPr>
              <w:t>446.250</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54" w:right="152"/>
              <w:jc w:val="center"/>
              <w:rPr>
                <w:rFonts w:ascii="Times New Roman" w:hAnsi="Times New Roman" w:cs="Times New Roman" w:eastAsia="Times New Roman" w:hint="default"/>
                <w:sz w:val="18"/>
                <w:szCs w:val="18"/>
              </w:rPr>
            </w:pPr>
            <w:r>
              <w:rPr>
                <w:rFonts w:ascii="Times New Roman"/>
                <w:b/>
                <w:sz w:val="18"/>
              </w:rPr>
              <w:t>31,97</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87" w:right="88"/>
              <w:jc w:val="center"/>
              <w:rPr>
                <w:rFonts w:ascii="Times New Roman" w:hAnsi="Times New Roman" w:cs="Times New Roman" w:eastAsia="Times New Roman" w:hint="default"/>
                <w:sz w:val="18"/>
                <w:szCs w:val="18"/>
              </w:rPr>
            </w:pPr>
            <w:r>
              <w:rPr>
                <w:rFonts w:ascii="Times New Roman"/>
                <w:b/>
                <w:sz w:val="18"/>
              </w:rPr>
              <w:t>104.52</w:t>
            </w:r>
            <w:r>
              <w:rPr>
                <w:rFonts w:ascii="Times New Roman"/>
                <w:sz w:val="18"/>
              </w:rPr>
            </w:r>
          </w:p>
        </w:tc>
      </w:tr>
    </w:tbl>
    <w:p>
      <w:pPr>
        <w:pStyle w:val="BodyText"/>
        <w:spacing w:line="240" w:lineRule="auto"/>
        <w:ind w:right="355" w:firstLine="566"/>
        <w:jc w:val="both"/>
      </w:pPr>
      <w:r>
        <w:rPr/>
        <w:t>Исказано је извршење у износу од </w:t>
      </w:r>
      <w:r>
        <w:rPr>
          <w:rFonts w:ascii="Times New Roman" w:hAnsi="Times New Roman"/>
        </w:rPr>
        <w:t>426.966 </w:t>
      </w:r>
      <w:r>
        <w:rPr/>
        <w:t>хиљада динара и то</w:t>
      </w:r>
      <w:r>
        <w:rPr>
          <w:rFonts w:ascii="Times New Roman" w:hAnsi="Times New Roman"/>
        </w:rPr>
        <w:t>: </w:t>
      </w:r>
      <w:r>
        <w:rPr/>
        <w:t>из средстава буџета града у износу од </w:t>
      </w:r>
      <w:r>
        <w:rPr>
          <w:rFonts w:ascii="Times New Roman" w:hAnsi="Times New Roman"/>
        </w:rPr>
        <w:t>424.730 </w:t>
      </w:r>
      <w:r>
        <w:rPr/>
        <w:t>хиљада динара, из осталих извора 343 хиљаде динара и из средстава буџета Републике у износу од </w:t>
      </w:r>
      <w:r>
        <w:rPr>
          <w:rFonts w:ascii="Times New Roman" w:hAnsi="Times New Roman"/>
        </w:rPr>
        <w:t>1.893 </w:t>
      </w:r>
      <w:r>
        <w:rPr/>
        <w:t>хиљаде</w:t>
      </w:r>
      <w:r>
        <w:rPr>
          <w:spacing w:val="-16"/>
        </w:rPr>
        <w:t> </w:t>
      </w:r>
      <w:r>
        <w:rPr/>
        <w:t>динара.</w:t>
      </w:r>
    </w:p>
    <w:p>
      <w:pPr>
        <w:pStyle w:val="Heading1"/>
        <w:spacing w:line="275" w:lineRule="exact"/>
        <w:ind w:right="0"/>
        <w:jc w:val="left"/>
        <w:rPr>
          <w:b w:val="0"/>
          <w:bCs w:val="0"/>
        </w:rPr>
      </w:pPr>
      <w:r>
        <w:rPr/>
        <w:t>На основу ревизије узорковане документације утврђено</w:t>
      </w:r>
      <w:r>
        <w:rPr>
          <w:spacing w:val="-17"/>
        </w:rPr>
        <w:t> </w:t>
      </w:r>
      <w:r>
        <w:rPr/>
        <w:t>је:</w:t>
      </w:r>
      <w:r>
        <w:rPr>
          <w:b w:val="0"/>
        </w:rPr>
      </w:r>
    </w:p>
    <w:p>
      <w:pPr>
        <w:pStyle w:val="ListParagraph"/>
        <w:numPr>
          <w:ilvl w:val="0"/>
          <w:numId w:val="9"/>
        </w:numPr>
        <w:tabs>
          <w:tab w:pos="303" w:val="left" w:leader="none"/>
        </w:tabs>
        <w:spacing w:line="240" w:lineRule="auto" w:before="0" w:after="0"/>
        <w:ind w:left="160" w:right="352" w:firstLine="0"/>
        <w:jc w:val="both"/>
        <w:rPr>
          <w:rFonts w:ascii="Times New Roman" w:hAnsi="Times New Roman" w:cs="Times New Roman" w:eastAsia="Times New Roman" w:hint="default"/>
          <w:sz w:val="24"/>
          <w:szCs w:val="24"/>
        </w:rPr>
      </w:pPr>
      <w:r>
        <w:rPr>
          <w:rFonts w:ascii="Times New Roman" w:hAnsi="Times New Roman"/>
          <w:spacing w:val="-4"/>
          <w:sz w:val="24"/>
        </w:rPr>
        <w:t>Град </w:t>
      </w:r>
      <w:r>
        <w:rPr>
          <w:rFonts w:ascii="Times New Roman" w:hAnsi="Times New Roman"/>
          <w:sz w:val="24"/>
        </w:rPr>
        <w:t>Ниш је промене на нефинансијској имовини евидентирао на класи 0 и класи 3 на </w:t>
      </w:r>
      <w:r>
        <w:rPr>
          <w:rFonts w:ascii="Times New Roman" w:hAnsi="Times New Roman"/>
          <w:sz w:val="24"/>
        </w:rPr>
        <w:t>крају текуће године, што је последица неуспостављених евиденција и/или нетачног и неажурног евидентирања пословних промена и догађаја </w:t>
      </w:r>
      <w:r>
        <w:rPr>
          <w:rFonts w:ascii="Times New Roman" w:hAnsi="Times New Roman"/>
          <w:spacing w:val="-3"/>
          <w:sz w:val="24"/>
        </w:rPr>
        <w:t>који </w:t>
      </w:r>
      <w:r>
        <w:rPr>
          <w:rFonts w:ascii="Times New Roman" w:hAnsi="Times New Roman"/>
          <w:sz w:val="24"/>
        </w:rPr>
        <w:t>такође повећава ризик </w:t>
      </w:r>
      <w:r>
        <w:rPr>
          <w:rFonts w:ascii="Times New Roman" w:hAnsi="Times New Roman"/>
          <w:spacing w:val="-5"/>
          <w:sz w:val="24"/>
        </w:rPr>
        <w:t>од </w:t>
      </w:r>
      <w:r>
        <w:rPr>
          <w:rFonts w:ascii="Times New Roman" w:hAnsi="Times New Roman"/>
          <w:spacing w:val="-5"/>
          <w:sz w:val="24"/>
        </w:rPr>
      </w:r>
      <w:r>
        <w:rPr>
          <w:rFonts w:ascii="Times New Roman" w:hAnsi="Times New Roman"/>
          <w:sz w:val="24"/>
        </w:rPr>
        <w:t>нетачног исказивања пословних промена, што је у супротности са чланом 9. </w:t>
      </w:r>
      <w:r>
        <w:rPr>
          <w:rFonts w:ascii="Times New Roman" w:hAnsi="Times New Roman"/>
          <w:spacing w:val="-5"/>
          <w:sz w:val="24"/>
        </w:rPr>
        <w:t>Уредбе </w:t>
      </w:r>
      <w:r>
        <w:rPr>
          <w:rFonts w:ascii="Times New Roman" w:hAnsi="Times New Roman"/>
          <w:sz w:val="24"/>
        </w:rPr>
        <w:t>о </w:t>
      </w:r>
      <w:r>
        <w:rPr>
          <w:rFonts w:ascii="Times New Roman" w:hAnsi="Times New Roman"/>
          <w:sz w:val="24"/>
        </w:rPr>
      </w:r>
      <w:r>
        <w:rPr>
          <w:rFonts w:ascii="Times New Roman" w:hAnsi="Times New Roman"/>
          <w:spacing w:val="-4"/>
          <w:sz w:val="24"/>
        </w:rPr>
        <w:t>буџетском </w:t>
      </w:r>
      <w:r>
        <w:rPr>
          <w:rFonts w:ascii="Times New Roman" w:hAnsi="Times New Roman"/>
          <w:spacing w:val="-3"/>
          <w:sz w:val="24"/>
        </w:rPr>
        <w:t>рачуноводству </w:t>
      </w:r>
      <w:r>
        <w:rPr>
          <w:rFonts w:ascii="Times New Roman" w:hAnsi="Times New Roman"/>
          <w:sz w:val="24"/>
        </w:rPr>
        <w:t>и Правилником о стандардном класификационом оквиру и </w:t>
      </w:r>
      <w:r>
        <w:rPr>
          <w:rFonts w:ascii="Times New Roman" w:hAnsi="Times New Roman"/>
          <w:sz w:val="24"/>
        </w:rPr>
      </w:r>
      <w:r>
        <w:rPr>
          <w:rFonts w:ascii="Times New Roman" w:hAnsi="Times New Roman"/>
          <w:spacing w:val="-3"/>
          <w:sz w:val="24"/>
        </w:rPr>
        <w:t>контном </w:t>
      </w:r>
      <w:r>
        <w:rPr>
          <w:rFonts w:ascii="Times New Roman" w:hAnsi="Times New Roman"/>
          <w:sz w:val="24"/>
        </w:rPr>
        <w:t>плану за буџетски</w:t>
      </w:r>
      <w:r>
        <w:rPr>
          <w:rFonts w:ascii="Times New Roman" w:hAnsi="Times New Roman"/>
          <w:spacing w:val="-11"/>
          <w:sz w:val="24"/>
        </w:rPr>
        <w:t> </w:t>
      </w:r>
      <w:r>
        <w:rPr>
          <w:rFonts w:ascii="Times New Roman" w:hAnsi="Times New Roman"/>
          <w:sz w:val="24"/>
        </w:rPr>
        <w:t>систем.</w:t>
      </w:r>
    </w:p>
    <w:p>
      <w:pPr>
        <w:pStyle w:val="ListParagraph"/>
        <w:numPr>
          <w:ilvl w:val="0"/>
          <w:numId w:val="9"/>
        </w:numPr>
        <w:tabs>
          <w:tab w:pos="303" w:val="left" w:leader="none"/>
        </w:tabs>
        <w:spacing w:line="240" w:lineRule="auto" w:before="2" w:after="0"/>
        <w:ind w:left="160" w:right="350" w:firstLine="0"/>
        <w:jc w:val="both"/>
        <w:rPr>
          <w:rFonts w:ascii="Times New Roman" w:hAnsi="Times New Roman" w:cs="Times New Roman" w:eastAsia="Times New Roman" w:hint="default"/>
          <w:sz w:val="24"/>
          <w:szCs w:val="24"/>
        </w:rPr>
      </w:pPr>
      <w:r>
        <w:rPr>
          <w:rFonts w:ascii="Times New Roman" w:hAnsi="Times New Roman"/>
          <w:sz w:val="24"/>
        </w:rPr>
        <w:t>Планирани су и извршени издаци за непокретности у јавној својини града Ниша у оквиру главе 3.10 </w:t>
      </w:r>
      <w:r>
        <w:rPr>
          <w:rFonts w:ascii="Times New Roman" w:hAnsi="Times New Roman"/>
          <w:b/>
          <w:sz w:val="24"/>
        </w:rPr>
        <w:t>- </w:t>
      </w:r>
      <w:r>
        <w:rPr>
          <w:rFonts w:ascii="Times New Roman" w:hAnsi="Times New Roman"/>
          <w:sz w:val="24"/>
        </w:rPr>
        <w:t>Управ</w:t>
      </w:r>
      <w:r>
        <w:rPr>
          <w:rFonts w:ascii="Times New Roman" w:hAnsi="Times New Roman"/>
          <w:sz w:val="24"/>
        </w:rPr>
        <w:t>a </w:t>
      </w:r>
      <w:r>
        <w:rPr>
          <w:rFonts w:ascii="Times New Roman" w:hAnsi="Times New Roman"/>
          <w:sz w:val="24"/>
        </w:rPr>
        <w:t>за привреду, одрживи развој и заштиту животне средине у износу од </w:t>
      </w:r>
      <w:r>
        <w:rPr>
          <w:rFonts w:ascii="Times New Roman" w:hAnsi="Times New Roman"/>
          <w:sz w:val="24"/>
        </w:rPr>
        <w:t>28.127 </w:t>
      </w:r>
      <w:r>
        <w:rPr>
          <w:rFonts w:ascii="Times New Roman" w:hAnsi="Times New Roman"/>
          <w:sz w:val="24"/>
        </w:rPr>
        <w:t>хиљада динара</w:t>
      </w:r>
      <w:r>
        <w:rPr>
          <w:rFonts w:ascii="Times New Roman" w:hAnsi="Times New Roman"/>
          <w:sz w:val="24"/>
        </w:rPr>
        <w:t>; </w:t>
      </w:r>
      <w:r>
        <w:rPr>
          <w:rFonts w:ascii="Times New Roman" w:hAnsi="Times New Roman"/>
          <w:sz w:val="24"/>
        </w:rPr>
        <w:t>у оквиру главе 3.11 </w:t>
      </w:r>
      <w:r>
        <w:rPr>
          <w:rFonts w:ascii="Times New Roman" w:hAnsi="Times New Roman"/>
          <w:b/>
          <w:sz w:val="24"/>
        </w:rPr>
        <w:t>- </w:t>
      </w:r>
      <w:r>
        <w:rPr>
          <w:rFonts w:ascii="Times New Roman" w:hAnsi="Times New Roman"/>
          <w:sz w:val="24"/>
        </w:rPr>
        <w:t>Управа за пољопривреду и развој села у износу од </w:t>
      </w:r>
      <w:r>
        <w:rPr>
          <w:rFonts w:ascii="Times New Roman" w:hAnsi="Times New Roman"/>
          <w:sz w:val="24"/>
        </w:rPr>
        <w:t>4.760 </w:t>
      </w:r>
      <w:r>
        <w:rPr>
          <w:rFonts w:ascii="Times New Roman" w:hAnsi="Times New Roman"/>
          <w:sz w:val="24"/>
        </w:rPr>
        <w:t>хиљада динара</w:t>
      </w:r>
      <w:r>
        <w:rPr>
          <w:rFonts w:ascii="Times New Roman" w:hAnsi="Times New Roman"/>
          <w:sz w:val="24"/>
        </w:rPr>
        <w:t>; </w:t>
      </w:r>
      <w:r>
        <w:rPr>
          <w:rFonts w:ascii="Times New Roman" w:hAnsi="Times New Roman"/>
          <w:sz w:val="24"/>
        </w:rPr>
        <w:t>у оквиру главе </w:t>
      </w:r>
      <w:r>
        <w:rPr>
          <w:rFonts w:ascii="Times New Roman" w:hAnsi="Times New Roman"/>
          <w:sz w:val="24"/>
        </w:rPr>
        <w:t>3.2 </w:t>
      </w:r>
      <w:r>
        <w:rPr>
          <w:rFonts w:ascii="Times New Roman" w:hAnsi="Times New Roman"/>
          <w:b/>
          <w:sz w:val="24"/>
        </w:rPr>
        <w:t>- </w:t>
      </w:r>
      <w:r>
        <w:rPr>
          <w:rFonts w:ascii="Times New Roman" w:hAnsi="Times New Roman"/>
          <w:sz w:val="24"/>
        </w:rPr>
        <w:t>Управ</w:t>
      </w:r>
      <w:r>
        <w:rPr>
          <w:rFonts w:ascii="Times New Roman" w:hAnsi="Times New Roman"/>
          <w:sz w:val="24"/>
        </w:rPr>
        <w:t>a </w:t>
      </w:r>
      <w:r>
        <w:rPr>
          <w:rFonts w:ascii="Times New Roman" w:hAnsi="Times New Roman"/>
          <w:sz w:val="24"/>
        </w:rPr>
        <w:t>за финансије, изворне приходе локалне самоуправе и јавне набавке у износу од </w:t>
      </w:r>
      <w:r>
        <w:rPr>
          <w:rFonts w:ascii="Times New Roman" w:hAnsi="Times New Roman"/>
          <w:sz w:val="24"/>
        </w:rPr>
        <w:t>22.237 </w:t>
      </w:r>
      <w:r>
        <w:rPr>
          <w:rFonts w:ascii="Times New Roman" w:hAnsi="Times New Roman"/>
          <w:sz w:val="24"/>
        </w:rPr>
        <w:t>хиљада динара</w:t>
      </w:r>
      <w:r>
        <w:rPr>
          <w:rFonts w:ascii="Times New Roman" w:hAnsi="Times New Roman"/>
          <w:sz w:val="24"/>
        </w:rPr>
        <w:t>; </w:t>
      </w:r>
      <w:r>
        <w:rPr>
          <w:rFonts w:ascii="Times New Roman" w:hAnsi="Times New Roman"/>
          <w:sz w:val="24"/>
        </w:rPr>
        <w:t>у оквиру главе </w:t>
      </w:r>
      <w:r>
        <w:rPr>
          <w:rFonts w:ascii="Times New Roman" w:hAnsi="Times New Roman"/>
          <w:sz w:val="24"/>
        </w:rPr>
        <w:t>3.7 </w:t>
      </w:r>
      <w:r>
        <w:rPr>
          <w:rFonts w:ascii="Times New Roman" w:hAnsi="Times New Roman"/>
          <w:b/>
          <w:sz w:val="24"/>
        </w:rPr>
        <w:t>- </w:t>
      </w:r>
      <w:r>
        <w:rPr>
          <w:rFonts w:ascii="Times New Roman" w:hAnsi="Times New Roman"/>
          <w:sz w:val="24"/>
        </w:rPr>
        <w:t>Управа за комуналне делатности</w:t>
      </w:r>
      <w:r>
        <w:rPr>
          <w:rFonts w:ascii="Times New Roman" w:hAnsi="Times New Roman"/>
          <w:sz w:val="24"/>
        </w:rPr>
        <w:t>, </w:t>
      </w:r>
      <w:r>
        <w:rPr>
          <w:rFonts w:ascii="Times New Roman" w:hAnsi="Times New Roman"/>
          <w:sz w:val="24"/>
        </w:rPr>
        <w:t>енергетику и саобраћај у износу од 215 хиљада динара</w:t>
      </w:r>
      <w:r>
        <w:rPr>
          <w:rFonts w:ascii="Times New Roman" w:hAnsi="Times New Roman"/>
          <w:sz w:val="24"/>
        </w:rPr>
        <w:t>; </w:t>
      </w:r>
      <w:r>
        <w:rPr>
          <w:rFonts w:ascii="Times New Roman" w:hAnsi="Times New Roman"/>
          <w:sz w:val="24"/>
        </w:rPr>
        <w:t>у оквиру главе 3.</w:t>
      </w:r>
      <w:r>
        <w:rPr>
          <w:rFonts w:ascii="Times New Roman" w:hAnsi="Times New Roman"/>
          <w:sz w:val="24"/>
        </w:rPr>
        <w:t>12 </w:t>
      </w:r>
      <w:r>
        <w:rPr>
          <w:rFonts w:ascii="Times New Roman" w:hAnsi="Times New Roman"/>
          <w:b/>
          <w:sz w:val="24"/>
        </w:rPr>
        <w:t>- </w:t>
      </w:r>
      <w:r>
        <w:rPr>
          <w:rFonts w:ascii="Times New Roman" w:hAnsi="Times New Roman"/>
          <w:sz w:val="24"/>
        </w:rPr>
        <w:t>Служба за одржавање и информатичко комуникационе технологије у износу од </w:t>
      </w:r>
      <w:r>
        <w:rPr>
          <w:rFonts w:ascii="Times New Roman" w:hAnsi="Times New Roman"/>
          <w:sz w:val="24"/>
        </w:rPr>
        <w:t>12.302 </w:t>
      </w:r>
      <w:r>
        <w:rPr>
          <w:rFonts w:ascii="Times New Roman" w:hAnsi="Times New Roman"/>
          <w:sz w:val="24"/>
        </w:rPr>
        <w:t>хиљаде динара, уместо у оквиру главе</w:t>
      </w:r>
      <w:r>
        <w:rPr>
          <w:rFonts w:ascii="Times New Roman" w:hAnsi="Times New Roman"/>
          <w:spacing w:val="24"/>
          <w:sz w:val="24"/>
        </w:rPr>
        <w:t> </w:t>
      </w:r>
      <w:r>
        <w:rPr>
          <w:rFonts w:ascii="Times New Roman" w:hAnsi="Times New Roman"/>
          <w:sz w:val="24"/>
        </w:rPr>
        <w:t>3.9</w:t>
      </w:r>
    </w:p>
    <w:p>
      <w:pPr>
        <w:pStyle w:val="ListParagraph"/>
        <w:numPr>
          <w:ilvl w:val="0"/>
          <w:numId w:val="48"/>
        </w:numPr>
        <w:tabs>
          <w:tab w:pos="355" w:val="left" w:leader="none"/>
        </w:tabs>
        <w:spacing w:line="240" w:lineRule="auto" w:before="0" w:after="0"/>
        <w:ind w:left="160" w:right="355" w:firstLine="0"/>
        <w:jc w:val="both"/>
        <w:rPr>
          <w:rFonts w:ascii="Times New Roman" w:hAnsi="Times New Roman" w:cs="Times New Roman" w:eastAsia="Times New Roman" w:hint="default"/>
          <w:sz w:val="24"/>
          <w:szCs w:val="24"/>
        </w:rPr>
      </w:pPr>
      <w:r>
        <w:rPr>
          <w:rFonts w:ascii="Times New Roman" w:hAnsi="Times New Roman"/>
          <w:sz w:val="24"/>
        </w:rPr>
        <w:t>Управа за имовину и инспекцијске послове, којој је чланом 14. Одлуке о организацији градских управа града Ниша и чланом 11. Одлуке о прибављању, располагању и управљању стварима у јавној својини града Ниша, прописано да непокретним стварима у јавној својини Града управља управа надлежна за имовину града Ниша, на који начин је поступљено супротно члану 29. Закона о буџетском систему, члану 14. Одлуке о организацији градских управа града Ниша и члану 11. Одлуке о прибављању, располагању и управљању стварима у јавној својини града</w:t>
      </w:r>
      <w:r>
        <w:rPr>
          <w:rFonts w:ascii="Times New Roman" w:hAnsi="Times New Roman"/>
          <w:spacing w:val="-13"/>
          <w:sz w:val="24"/>
        </w:rPr>
        <w:t> </w:t>
      </w:r>
      <w:r>
        <w:rPr>
          <w:rFonts w:ascii="Times New Roman" w:hAnsi="Times New Roman"/>
          <w:sz w:val="24"/>
        </w:rPr>
        <w:t>Ниша.</w:t>
      </w:r>
    </w:p>
    <w:p>
      <w:pPr>
        <w:pStyle w:val="Heading2"/>
        <w:spacing w:line="240" w:lineRule="auto"/>
        <w:ind w:right="353"/>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 систем и да примењују јединствену буџетску класификацију.</w:t>
      </w:r>
      <w:r>
        <w:rPr>
          <w:b w:val="0"/>
          <w:i w:val="0"/>
        </w:rPr>
      </w:r>
    </w:p>
    <w:p>
      <w:pPr>
        <w:spacing w:after="0" w:line="240" w:lineRule="auto"/>
        <w:jc w:val="both"/>
        <w:sectPr>
          <w:pgSz w:w="12240" w:h="15840"/>
          <w:pgMar w:header="740" w:footer="1274" w:top="1280" w:bottom="1460" w:left="1400" w:right="1080"/>
        </w:sectPr>
      </w:pPr>
    </w:p>
    <w:p>
      <w:pPr>
        <w:pStyle w:val="ListParagraph"/>
        <w:numPr>
          <w:ilvl w:val="3"/>
          <w:numId w:val="50"/>
        </w:numPr>
        <w:tabs>
          <w:tab w:pos="1013" w:val="left" w:leader="none"/>
        </w:tabs>
        <w:spacing w:line="240" w:lineRule="auto" w:before="122" w:after="0"/>
        <w:ind w:left="160" w:right="173" w:firstLine="566"/>
        <w:jc w:val="both"/>
        <w:rPr>
          <w:rFonts w:ascii="Times New Roman" w:hAnsi="Times New Roman" w:cs="Times New Roman" w:eastAsia="Times New Roman" w:hint="default"/>
          <w:sz w:val="24"/>
          <w:szCs w:val="24"/>
        </w:rPr>
      </w:pPr>
      <w:r>
        <w:rPr>
          <w:rFonts w:ascii="Times New Roman" w:hAnsi="Times New Roman"/>
          <w:b/>
          <w:sz w:val="24"/>
        </w:rPr>
        <w:t>Управа за привреду, одрживи развој и заштиту животне средине </w:t>
      </w:r>
      <w:r>
        <w:rPr>
          <w:rFonts w:ascii="Times New Roman" w:hAnsi="Times New Roman"/>
          <w:b/>
          <w:sz w:val="24"/>
        </w:rPr>
        <w:t>- </w:t>
      </w:r>
      <w:r>
        <w:rPr>
          <w:rFonts w:ascii="Times New Roman" w:hAnsi="Times New Roman"/>
          <w:sz w:val="24"/>
        </w:rPr>
        <w:t>Исказан је издатак у износу од 28.127 хиљада динара из средстава буџета града, који се у целости односи на директног буџетског</w:t>
      </w:r>
      <w:r>
        <w:rPr>
          <w:rFonts w:ascii="Times New Roman" w:hAnsi="Times New Roman"/>
          <w:spacing w:val="-11"/>
          <w:sz w:val="24"/>
        </w:rPr>
        <w:t> </w:t>
      </w:r>
      <w:r>
        <w:rPr>
          <w:rFonts w:ascii="Times New Roman" w:hAnsi="Times New Roman"/>
          <w:sz w:val="24"/>
        </w:rPr>
        <w:t>корисника.</w:t>
      </w:r>
    </w:p>
    <w:p>
      <w:pPr>
        <w:pStyle w:val="BodyText"/>
        <w:spacing w:line="240" w:lineRule="auto"/>
        <w:ind w:right="177" w:firstLine="566"/>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Објекти за потребе образовања, субаналитички конто </w:t>
      </w:r>
      <w:r>
        <w:rPr>
          <w:rFonts w:ascii="Times New Roman" w:hAnsi="Times New Roman"/>
          <w:u w:val="single" w:color="000000"/>
        </w:rPr>
        <w:t>511223 </w:t>
      </w:r>
      <w:r>
        <w:rPr>
          <w:rFonts w:ascii="Times New Roman" w:hAnsi="Times New Roman"/>
        </w:rPr>
        <w:t>- </w:t>
      </w:r>
      <w:r>
        <w:rPr/>
        <w:t>Исказани су издаци  у износу од 1.358 хиљада</w:t>
      </w:r>
      <w:r>
        <w:rPr>
          <w:spacing w:val="-9"/>
        </w:rPr>
        <w:t> </w:t>
      </w:r>
      <w:r>
        <w:rPr/>
        <w:t>динара</w:t>
      </w:r>
      <w:r>
        <w:rPr>
          <w:rFonts w:ascii="Times New Roman" w:hAnsi="Times New Roman"/>
        </w:rPr>
        <w:t>.</w:t>
      </w:r>
    </w:p>
    <w:p>
      <w:pPr>
        <w:pStyle w:val="BodyText"/>
        <w:spacing w:line="240" w:lineRule="auto"/>
        <w:ind w:right="174" w:firstLine="566"/>
        <w:jc w:val="both"/>
      </w:pPr>
      <w:r>
        <w:rPr>
          <w:rFonts w:ascii="Times New Roman" w:hAnsi="Times New Roman" w:cs="Times New Roman" w:eastAsia="Times New Roman" w:hint="default"/>
          <w:b/>
          <w:bCs/>
        </w:rPr>
        <w:t>На основу ревизије узорковане документације утврђено је </w:t>
      </w:r>
      <w:r>
        <w:rPr/>
        <w:t>да је неправилно је евидентиран износ од 181 хиљаде динара за трошкове принудне наплате на групи конта </w:t>
      </w:r>
      <w:r>
        <w:rPr>
          <w:rFonts w:ascii="Times New Roman" w:hAnsi="Times New Roman" w:cs="Times New Roman" w:eastAsia="Times New Roman" w:hint="default"/>
        </w:rPr>
        <w:t>511000 </w:t>
      </w:r>
      <w:r>
        <w:rPr/>
        <w:t>– зграде и грађевински објекти</w:t>
      </w:r>
      <w:r>
        <w:rPr>
          <w:rFonts w:ascii="Times New Roman" w:hAnsi="Times New Roman" w:cs="Times New Roman" w:eastAsia="Times New Roman" w:hint="default"/>
        </w:rPr>
        <w:t>, </w:t>
      </w:r>
      <w:r>
        <w:rPr/>
        <w:t>уместо на групи 483000 – новчане казне и пенали по решењу судова, што је супротно члану 9. Уредбе о буџетском рачуноводству и Правилнику о стандардном класификационом оквиру и контном плану за буџетски систем. У Билансу стања више су исказани нефинансијска имовина и капитал у истом износу.</w:t>
      </w:r>
    </w:p>
    <w:p>
      <w:pPr>
        <w:pStyle w:val="Heading2"/>
        <w:spacing w:line="240" w:lineRule="auto"/>
        <w:ind w:right="180"/>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i/>
        </w:rPr>
        <w:t>.</w:t>
      </w:r>
      <w:r>
        <w:rPr>
          <w:rFonts w:ascii="Times New Roman" w:hAnsi="Times New Roman"/>
          <w:b w:val="0"/>
          <w:i w:val="0"/>
        </w:rPr>
      </w:r>
    </w:p>
    <w:p>
      <w:pPr>
        <w:pStyle w:val="BodyText"/>
        <w:spacing w:line="240" w:lineRule="auto"/>
        <w:ind w:right="174" w:firstLine="566"/>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Аутопутеви, путеви, мостови, надвожњаци и тунели, субаналитички конто </w:t>
      </w:r>
      <w:r>
        <w:rPr>
          <w:rFonts w:ascii="Times New Roman" w:hAnsi="Times New Roman"/>
          <w:u w:val="single" w:color="000000"/>
        </w:rPr>
        <w:t>511231 </w:t>
      </w:r>
      <w:r>
        <w:rPr>
          <w:rFonts w:ascii="Times New Roman" w:hAnsi="Times New Roman"/>
        </w:rPr>
        <w:t>- </w:t>
      </w:r>
      <w:r>
        <w:rPr>
          <w:rFonts w:ascii="Times New Roman" w:hAnsi="Times New Roman"/>
        </w:rPr>
      </w:r>
      <w:r>
        <w:rPr/>
        <w:t>Исказани су издаци у износу од 11.566 хиљада</w:t>
      </w:r>
      <w:r>
        <w:rPr>
          <w:spacing w:val="-14"/>
        </w:rPr>
        <w:t> </w:t>
      </w:r>
      <w:r>
        <w:rPr/>
        <w:t>динара</w:t>
      </w:r>
      <w:r>
        <w:rPr>
          <w:rFonts w:ascii="Times New Roman" w:hAnsi="Times New Roman"/>
        </w:rPr>
        <w:t>.</w:t>
      </w:r>
    </w:p>
    <w:p>
      <w:pPr>
        <w:pStyle w:val="Heading1"/>
        <w:spacing w:line="275" w:lineRule="exact"/>
        <w:ind w:right="141"/>
        <w:jc w:val="left"/>
        <w:rPr>
          <w:b w:val="0"/>
          <w:bCs w:val="0"/>
        </w:rPr>
      </w:pPr>
      <w:r>
        <w:rPr/>
        <w:t>На основу ревизије узорковане документације утврђено</w:t>
      </w:r>
      <w:r>
        <w:rPr>
          <w:spacing w:val="-13"/>
        </w:rPr>
        <w:t> </w:t>
      </w:r>
      <w:r>
        <w:rPr/>
        <w:t>је:</w:t>
      </w:r>
      <w:r>
        <w:rPr>
          <w:b w:val="0"/>
        </w:rPr>
      </w:r>
    </w:p>
    <w:p>
      <w:pPr>
        <w:pStyle w:val="ListParagraph"/>
        <w:numPr>
          <w:ilvl w:val="0"/>
          <w:numId w:val="9"/>
        </w:numPr>
        <w:tabs>
          <w:tab w:pos="303"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Извођач радова „МД ГИТ“ доо Ниш није завршио радове у року од 20 календарских дана рачунајући од дана увођења у посао </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према грађевинском дневнику извођач је уведен је у посао 05.07.2012. године</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 већ са закашњењем од 905 календарских дана, што је супротно члану 4. Уговора о извођењу додатних радова на изградњи Булевара Сомборска број </w:t>
      </w:r>
      <w:r>
        <w:rPr>
          <w:rFonts w:ascii="Times New Roman" w:hAnsi="Times New Roman" w:cs="Times New Roman" w:eastAsia="Times New Roman" w:hint="default"/>
          <w:sz w:val="24"/>
          <w:szCs w:val="24"/>
        </w:rPr>
        <w:t>1692/2012-01 </w:t>
      </w:r>
      <w:r>
        <w:rPr>
          <w:rFonts w:ascii="Times New Roman" w:hAnsi="Times New Roman" w:cs="Times New Roman" w:eastAsia="Times New Roman" w:hint="default"/>
          <w:sz w:val="24"/>
          <w:szCs w:val="24"/>
        </w:rPr>
        <w:t>од 13.06.2012. године. Према усменом образложењу до кашњења је дошло због нерешених имовинско правних односа на делу кружног тока и радова археолога на делу црквеног дворишта и нису сачињени анекси уговора </w:t>
      </w:r>
      <w:r>
        <w:rPr>
          <w:rFonts w:ascii="Times New Roman" w:hAnsi="Times New Roman" w:cs="Times New Roman" w:eastAsia="Times New Roman" w:hint="default"/>
          <w:spacing w:val="4"/>
          <w:sz w:val="24"/>
          <w:szCs w:val="24"/>
        </w:rPr>
        <w:t>за </w:t>
      </w:r>
      <w:r>
        <w:rPr>
          <w:rFonts w:ascii="Times New Roman" w:hAnsi="Times New Roman" w:cs="Times New Roman" w:eastAsia="Times New Roman" w:hint="default"/>
          <w:spacing w:val="4"/>
          <w:sz w:val="24"/>
          <w:szCs w:val="24"/>
        </w:rPr>
      </w:r>
      <w:r>
        <w:rPr>
          <w:rFonts w:ascii="Times New Roman" w:hAnsi="Times New Roman" w:cs="Times New Roman" w:eastAsia="Times New Roman" w:hint="default"/>
          <w:sz w:val="24"/>
          <w:szCs w:val="24"/>
        </w:rPr>
        <w:t>продужење рока, тако да је уговор закључен и радови започети а да услови за то нису </w:t>
      </w:r>
      <w:r>
        <w:rPr>
          <w:rFonts w:ascii="Times New Roman" w:hAnsi="Times New Roman" w:cs="Times New Roman" w:eastAsia="Times New Roman" w:hint="default"/>
          <w:sz w:val="24"/>
          <w:szCs w:val="24"/>
        </w:rPr>
        <w:t>били</w:t>
      </w:r>
      <w:r>
        <w:rPr>
          <w:rFonts w:ascii="Times New Roman" w:hAnsi="Times New Roman" w:cs="Times New Roman" w:eastAsia="Times New Roman" w:hint="default"/>
          <w:spacing w:val="-4"/>
          <w:sz w:val="24"/>
          <w:szCs w:val="24"/>
        </w:rPr>
        <w:t> </w:t>
      </w:r>
      <w:r>
        <w:rPr>
          <w:rFonts w:ascii="Times New Roman" w:hAnsi="Times New Roman" w:cs="Times New Roman" w:eastAsia="Times New Roman" w:hint="default"/>
          <w:sz w:val="24"/>
          <w:szCs w:val="24"/>
        </w:rPr>
        <w:t>обезбеђени.</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Инвеститор није узео средство обезбеђења за добро извршење посла као и за отклањање недостатака у гарантном року од извођача радова „МД ГИТ“ доо Ниш како је то уговорено чланом 11. Уговора о извођењу додатних радова на изградњи Булевара Сомборска број 1692/2012</w:t>
      </w:r>
      <w:r>
        <w:rPr>
          <w:rFonts w:ascii="Times New Roman" w:hAnsi="Times New Roman" w:cs="Times New Roman" w:eastAsia="Times New Roman" w:hint="default"/>
          <w:sz w:val="24"/>
          <w:szCs w:val="24"/>
        </w:rPr>
        <w:t>-01 </w:t>
      </w:r>
      <w:r>
        <w:rPr>
          <w:rFonts w:ascii="Times New Roman" w:hAnsi="Times New Roman" w:cs="Times New Roman" w:eastAsia="Times New Roman" w:hint="default"/>
          <w:sz w:val="24"/>
          <w:szCs w:val="24"/>
        </w:rPr>
        <w:t>од 13.06.2012.</w:t>
      </w:r>
      <w:r>
        <w:rPr>
          <w:rFonts w:ascii="Times New Roman" w:hAnsi="Times New Roman" w:cs="Times New Roman" w:eastAsia="Times New Roman" w:hint="default"/>
          <w:spacing w:val="-4"/>
          <w:sz w:val="24"/>
          <w:szCs w:val="24"/>
        </w:rPr>
        <w:t> </w:t>
      </w:r>
      <w:r>
        <w:rPr>
          <w:rFonts w:ascii="Times New Roman" w:hAnsi="Times New Roman" w:cs="Times New Roman" w:eastAsia="Times New Roman" w:hint="default"/>
          <w:sz w:val="24"/>
          <w:szCs w:val="24"/>
        </w:rPr>
        <w:t>године.</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Поједине стране грађевинског дневника по Уговору о извођењу додатних радова на изградњи Булевара Сомборска број 1692/2012</w:t>
      </w:r>
      <w:r>
        <w:rPr>
          <w:rFonts w:ascii="Times New Roman" w:hAnsi="Times New Roman"/>
          <w:sz w:val="24"/>
        </w:rPr>
        <w:t>-01 </w:t>
      </w:r>
      <w:r>
        <w:rPr>
          <w:rFonts w:ascii="Times New Roman" w:hAnsi="Times New Roman"/>
          <w:sz w:val="24"/>
        </w:rPr>
        <w:t>од 13.06.2012. године</w:t>
      </w:r>
      <w:r>
        <w:rPr>
          <w:rFonts w:ascii="Times New Roman" w:hAnsi="Times New Roman"/>
          <w:sz w:val="24"/>
        </w:rPr>
        <w:t>, </w:t>
      </w:r>
      <w:r>
        <w:rPr>
          <w:rFonts w:ascii="Times New Roman" w:hAnsi="Times New Roman"/>
          <w:sz w:val="24"/>
        </w:rPr>
        <w:t>не садрже потпис и печат надзорног органа, тако да грађевински дневник није попуњен у складу са </w:t>
      </w:r>
      <w:r>
        <w:rPr>
          <w:rFonts w:ascii="Times New Roman" w:hAnsi="Times New Roman"/>
          <w:spacing w:val="2"/>
          <w:sz w:val="24"/>
        </w:rPr>
        <w:t> </w:t>
      </w:r>
      <w:r>
        <w:rPr>
          <w:rFonts w:ascii="Times New Roman" w:hAnsi="Times New Roman"/>
          <w:sz w:val="24"/>
        </w:rPr>
        <w:t>чланом</w:t>
      </w:r>
    </w:p>
    <w:p>
      <w:pPr>
        <w:pStyle w:val="BodyText"/>
        <w:spacing w:line="240" w:lineRule="auto"/>
        <w:ind w:right="175"/>
        <w:jc w:val="both"/>
      </w:pPr>
      <w:r>
        <w:rPr>
          <w:rFonts w:ascii="Times New Roman" w:hAnsi="Times New Roman"/>
        </w:rPr>
        <w:t>6. </w:t>
      </w:r>
      <w:r>
        <w:rPr/>
        <w:t>и 8. Правилника о садржини и начину вођења стручног надзора и члану 3. и 11</w:t>
      </w:r>
      <w:r>
        <w:rPr>
          <w:rFonts w:ascii="Times New Roman" w:hAnsi="Times New Roman"/>
        </w:rPr>
        <w:t>. </w:t>
      </w:r>
      <w:r>
        <w:rPr/>
        <w:t>Правилника о садржини и начину вођења књиге инспекције и грађевинског</w:t>
      </w:r>
      <w:r>
        <w:rPr>
          <w:spacing w:val="-27"/>
        </w:rPr>
        <w:t> </w:t>
      </w:r>
      <w:r>
        <w:rPr/>
        <w:t>дневника.</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Радови на изградњи Булевара Сомборска су завршени 23.12.2014. године, а примопредаја изведених радова није извршена у року од 15 дана након завршетка радова, што је супротно члану 17. Уговора о извођењу додатних радова на изградњи Булевара Сомборска број </w:t>
      </w:r>
      <w:r>
        <w:rPr>
          <w:rFonts w:ascii="Times New Roman" w:hAnsi="Times New Roman" w:cs="Times New Roman" w:eastAsia="Times New Roman" w:hint="default"/>
          <w:sz w:val="24"/>
          <w:szCs w:val="24"/>
        </w:rPr>
        <w:t>1692/2012-</w:t>
      </w:r>
      <w:r>
        <w:rPr>
          <w:rFonts w:ascii="Times New Roman" w:hAnsi="Times New Roman" w:cs="Times New Roman" w:eastAsia="Times New Roman" w:hint="default"/>
          <w:sz w:val="24"/>
          <w:szCs w:val="24"/>
        </w:rPr>
        <w:t>01 од 13.06.2012. године закљученог са „МД ГИТ“ доо</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Ниш</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је евидентиран износ од 2.318 хиљада динара за трошкове принудне наплате на групи 511000 – зграде и грађевински објекти уместо на групи 483000 – новчане казне и пенали по решењу судова, што је супротно члану 9. Уредбе о буџетском рачуноводству и Правилнику о стандардном класификационом оквиру и контном плану за буџетски систем</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У Билансу стања више су исказани нефинансијска имовина и  капитал у истом</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износу.</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Heading2"/>
        <w:spacing w:line="240" w:lineRule="auto" w:before="126"/>
        <w:ind w:right="173"/>
        <w:jc w:val="both"/>
        <w:rPr>
          <w:rFonts w:ascii="Times New Roman" w:hAnsi="Times New Roman" w:cs="Times New Roman" w:eastAsia="Times New Roman" w:hint="default"/>
          <w:b w:val="0"/>
          <w:bCs w:val="0"/>
          <w:i w:val="0"/>
        </w:rPr>
      </w:pPr>
      <w:r>
        <w:rPr>
          <w:i/>
        </w:rPr>
        <w:t>Препоручује се одговорним лицима да</w:t>
      </w:r>
      <w:r>
        <w:rPr>
          <w:rFonts w:ascii="Times New Roman" w:hAnsi="Times New Roman"/>
          <w:i/>
        </w:rPr>
        <w:t>: </w:t>
      </w:r>
      <w:r>
        <w:rPr>
          <w:i/>
        </w:rPr>
        <w:t>уговор закључе након обезбеђених свих потребних услова за извођење радова, доследно примењују одредбе закључених уговора и обезбеде правилну примену одредби Уредбе о буџетском рачуноводству</w:t>
      </w:r>
      <w:r>
        <w:rPr>
          <w:rFonts w:ascii="Times New Roman" w:hAnsi="Times New Roman"/>
          <w:i/>
        </w:rPr>
        <w:t>,  </w:t>
      </w:r>
      <w:r>
        <w:rPr>
          <w:i/>
        </w:rPr>
        <w:t>Правилника о стандардном класификационом оквиру и контном плану за буџетски систем</w:t>
      </w:r>
      <w:r>
        <w:rPr>
          <w:rFonts w:ascii="Times New Roman" w:hAnsi="Times New Roman"/>
          <w:i/>
        </w:rPr>
        <w:t>, </w:t>
      </w:r>
      <w:r>
        <w:rPr>
          <w:i/>
        </w:rPr>
        <w:t>Правилника о садржини и начину вођења стручног надзора и Правилника о садржини и начину вођења књиге инспекције и грађевинског</w:t>
      </w:r>
      <w:r>
        <w:rPr>
          <w:i/>
          <w:spacing w:val="-15"/>
        </w:rPr>
        <w:t> </w:t>
      </w:r>
      <w:r>
        <w:rPr>
          <w:i/>
        </w:rPr>
        <w:t>дневника</w:t>
      </w:r>
      <w:r>
        <w:rPr>
          <w:rFonts w:ascii="Times New Roman" w:hAnsi="Times New Roman"/>
          <w:i/>
        </w:rPr>
        <w:t>.</w:t>
      </w:r>
      <w:r>
        <w:rPr>
          <w:rFonts w:ascii="Times New Roman" w:hAnsi="Times New Roman"/>
          <w:b w:val="0"/>
          <w:i w:val="0"/>
        </w:rPr>
      </w:r>
    </w:p>
    <w:p>
      <w:pPr>
        <w:pStyle w:val="BodyText"/>
        <w:spacing w:line="240" w:lineRule="auto"/>
        <w:ind w:right="174" w:firstLine="566"/>
        <w:jc w:val="both"/>
        <w:rPr>
          <w:rFonts w:ascii="Times New Roman" w:hAnsi="Times New Roman" w:cs="Times New Roman" w:eastAsia="Times New Roman" w:hint="default"/>
        </w:rPr>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Установе културе, субаналитички конто </w:t>
      </w:r>
      <w:r>
        <w:rPr>
          <w:rFonts w:ascii="Times New Roman" w:hAnsi="Times New Roman" w:cs="Times New Roman" w:eastAsia="Times New Roman" w:hint="default"/>
          <w:u w:val="single" w:color="000000"/>
        </w:rPr>
        <w:t>511294 </w:t>
      </w:r>
      <w:r>
        <w:rPr>
          <w:rFonts w:ascii="Times New Roman" w:hAnsi="Times New Roman" w:cs="Times New Roman" w:eastAsia="Times New Roman" w:hint="default"/>
        </w:rPr>
      </w:r>
      <w:r>
        <w:rPr>
          <w:rFonts w:ascii="Times New Roman" w:hAnsi="Times New Roman" w:cs="Times New Roman" w:eastAsia="Times New Roman" w:hint="default"/>
          <w:b/>
          <w:bCs/>
        </w:rPr>
        <w:t>- </w:t>
      </w:r>
      <w:r>
        <w:rPr/>
        <w:t>Исказани су издаци у износу од </w:t>
      </w:r>
      <w:r>
        <w:rPr>
          <w:rFonts w:ascii="Times New Roman" w:hAnsi="Times New Roman" w:cs="Times New Roman" w:eastAsia="Times New Roman" w:hint="default"/>
        </w:rPr>
        <w:t>12.764 </w:t>
      </w:r>
      <w:r>
        <w:rPr/>
        <w:t>хиљаде динара по основу Уговора о извођењу додатних радова број 2875/2013</w:t>
      </w:r>
      <w:r>
        <w:rPr>
          <w:rFonts w:ascii="Times New Roman" w:hAnsi="Times New Roman" w:cs="Times New Roman" w:eastAsia="Times New Roman" w:hint="default"/>
        </w:rPr>
        <w:t>-01, </w:t>
      </w:r>
      <w:r>
        <w:rPr/>
        <w:t>на реконструкцији и доградњи постојећег пословног објекта „Зграда старог официрског дома“ у мултифункционални центар (област Националног инвестиционог плана) закљученог дана 12.08.2013. године, између Републике Србије – Министарстава регионалног развоја и локалне самоуправе Београд (наручилац), града Ниша (корисник) и извођача ГП „Банковић“ доо Црна Трава (извођач</w:t>
      </w:r>
      <w:r>
        <w:rPr>
          <w:spacing w:val="-13"/>
        </w:rPr>
        <w:t> </w:t>
      </w:r>
      <w:r>
        <w:rPr/>
        <w:t>радова)</w:t>
      </w:r>
      <w:r>
        <w:rPr>
          <w:rFonts w:ascii="Times New Roman" w:hAnsi="Times New Roman" w:cs="Times New Roman" w:eastAsia="Times New Roman" w:hint="default"/>
        </w:rPr>
        <w:t>.</w:t>
      </w:r>
    </w:p>
    <w:p>
      <w:pPr>
        <w:pStyle w:val="Heading1"/>
        <w:spacing w:line="275" w:lineRule="exact"/>
        <w:ind w:right="141"/>
        <w:jc w:val="left"/>
        <w:rPr>
          <w:b w:val="0"/>
          <w:bCs w:val="0"/>
        </w:rPr>
      </w:pPr>
      <w:r>
        <w:rPr/>
        <w:t>На основу ревизије узорковане документације утврђено</w:t>
      </w:r>
      <w:r>
        <w:rPr>
          <w:spacing w:val="-12"/>
        </w:rPr>
        <w:t> </w:t>
      </w:r>
      <w:r>
        <w:rPr/>
        <w:t>је:</w:t>
      </w:r>
      <w:r>
        <w:rPr>
          <w:b w:val="0"/>
        </w:rPr>
      </w:r>
    </w:p>
    <w:p>
      <w:pPr>
        <w:pStyle w:val="ListParagraph"/>
        <w:numPr>
          <w:ilvl w:val="0"/>
          <w:numId w:val="9"/>
        </w:numPr>
        <w:tabs>
          <w:tab w:pos="303"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Извођач радова ГП „Банковић“ доо Црна Трава није завршио додатне радове на реконструкцији и доградњи постојећег пословног објекта „Зграда старог официрског дома“ у мултифункционални центар, у року од 80 календарских дана рачунајући од дана увођења у посао </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извођач радова је према грађевинском дневнику уведен је у посао </w:t>
      </w:r>
      <w:r>
        <w:rPr>
          <w:rFonts w:ascii="Times New Roman" w:hAnsi="Times New Roman" w:cs="Times New Roman" w:eastAsia="Times New Roman" w:hint="default"/>
          <w:sz w:val="24"/>
          <w:szCs w:val="24"/>
        </w:rPr>
        <w:t>21.08.</w:t>
      </w:r>
      <w:r>
        <w:rPr>
          <w:rFonts w:ascii="Times New Roman" w:hAnsi="Times New Roman" w:cs="Times New Roman" w:eastAsia="Times New Roman" w:hint="default"/>
          <w:sz w:val="24"/>
          <w:szCs w:val="24"/>
        </w:rPr>
        <w:t>2013. године), што је супротно члану 4. Уговора о извођењу додатних радова број </w:t>
      </w:r>
      <w:r>
        <w:rPr>
          <w:rFonts w:ascii="Times New Roman" w:hAnsi="Times New Roman" w:cs="Times New Roman" w:eastAsia="Times New Roman" w:hint="default"/>
          <w:sz w:val="24"/>
          <w:szCs w:val="24"/>
        </w:rPr>
        <w:t>2875/2013-</w:t>
      </w:r>
      <w:r>
        <w:rPr>
          <w:rFonts w:ascii="Times New Roman" w:hAnsi="Times New Roman" w:cs="Times New Roman" w:eastAsia="Times New Roman" w:hint="default"/>
          <w:sz w:val="24"/>
          <w:szCs w:val="24"/>
        </w:rPr>
        <w:t>01, закљученог дана 12.08.2013. године и није сачињен анекс уговора за продужење рока, што је супротно члану 5. наведеног</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уговора.</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Извођач радова ГП „Банковић“ доо Црна Трава је на реконструкцији и доградњи постојећег пословног објекта „Зграда старог официрског дома“ у мултифункционални центар извео: вишак радова у износу од 8.883 хиљаде динара, мањак радова у износу од 4.856 хиљада динара и непредвиђене радове у износу од 5.706 хиљада динара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Градоначелник града Ниша је дао сагласност за вишак и мањак радова и иста је прослеђена Министарству</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наручиоцу. Изведени непредвиђени радови на реконструкцији и доградњи постојећег пословног објекта „Зграда старог официрског дома“ у мултифункционални центар у износу од 5.706 хиљада динара, набављени су без спроведеног поступка јавне</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набавке</w:t>
      </w:r>
      <w:r>
        <w:rPr>
          <w:rFonts w:ascii="Times New Roman" w:hAnsi="Times New Roman" w:cs="Times New Roman" w:eastAsia="Times New Roman" w:hint="default"/>
          <w:sz w:val="24"/>
          <w:szCs w:val="24"/>
        </w:rPr>
        <w:t>.</w:t>
      </w:r>
    </w:p>
    <w:p>
      <w:pPr>
        <w:pStyle w:val="Heading2"/>
        <w:spacing w:line="240" w:lineRule="auto"/>
        <w:ind w:right="172"/>
        <w:jc w:val="both"/>
        <w:rPr>
          <w:rFonts w:ascii="Times New Roman" w:hAnsi="Times New Roman" w:cs="Times New Roman" w:eastAsia="Times New Roman" w:hint="default"/>
          <w:b w:val="0"/>
          <w:bCs w:val="0"/>
          <w:i w:val="0"/>
        </w:rPr>
      </w:pPr>
      <w:r>
        <w:rPr>
          <w:i/>
        </w:rPr>
        <w:t>Препоручује се одговорним лицима да доследно примењују одредбе закључених уговора</w:t>
      </w:r>
      <w:r>
        <w:rPr>
          <w:rFonts w:ascii="Times New Roman" w:hAnsi="Times New Roman"/>
          <w:i/>
        </w:rPr>
        <w:t>.</w:t>
      </w:r>
      <w:r>
        <w:rPr>
          <w:rFonts w:ascii="Times New Roman" w:hAnsi="Times New Roman"/>
          <w:b w:val="0"/>
          <w:i w:val="0"/>
        </w:rPr>
      </w:r>
    </w:p>
    <w:p>
      <w:pPr>
        <w:pStyle w:val="ListParagraph"/>
        <w:numPr>
          <w:ilvl w:val="3"/>
          <w:numId w:val="50"/>
        </w:numPr>
        <w:tabs>
          <w:tab w:pos="1013" w:val="left" w:leader="none"/>
        </w:tabs>
        <w:spacing w:line="240" w:lineRule="auto" w:before="132" w:after="0"/>
        <w:ind w:left="160" w:right="180" w:firstLine="566"/>
        <w:jc w:val="both"/>
        <w:rPr>
          <w:rFonts w:ascii="Times New Roman" w:hAnsi="Times New Roman" w:cs="Times New Roman" w:eastAsia="Times New Roman" w:hint="default"/>
          <w:sz w:val="24"/>
          <w:szCs w:val="24"/>
        </w:rPr>
      </w:pPr>
      <w:r>
        <w:rPr>
          <w:rFonts w:ascii="Times New Roman" w:hAnsi="Times New Roman"/>
          <w:b/>
          <w:sz w:val="24"/>
        </w:rPr>
        <w:t>Управа за пољопривреду и развој села </w:t>
      </w:r>
      <w:r>
        <w:rPr>
          <w:rFonts w:ascii="Times New Roman" w:hAnsi="Times New Roman"/>
          <w:b/>
          <w:sz w:val="24"/>
        </w:rPr>
        <w:t>- </w:t>
      </w:r>
      <w:r>
        <w:rPr>
          <w:rFonts w:ascii="Times New Roman" w:hAnsi="Times New Roman"/>
          <w:sz w:val="24"/>
        </w:rPr>
        <w:t>Исказан је издатак у износу од 13.130 хиљада динара из средстава буџета града, који се у целости односе на директног буџетског</w:t>
      </w:r>
      <w:r>
        <w:rPr>
          <w:rFonts w:ascii="Times New Roman" w:hAnsi="Times New Roman"/>
          <w:spacing w:val="-7"/>
          <w:sz w:val="24"/>
        </w:rPr>
        <w:t> </w:t>
      </w:r>
      <w:r>
        <w:rPr>
          <w:rFonts w:ascii="Times New Roman" w:hAnsi="Times New Roman"/>
          <w:sz w:val="24"/>
        </w:rPr>
        <w:t>корисника.</w:t>
      </w:r>
    </w:p>
    <w:p>
      <w:pPr>
        <w:pStyle w:val="BodyText"/>
        <w:spacing w:line="240" w:lineRule="auto"/>
        <w:ind w:right="175"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Канализација, субаналитички конто </w:t>
      </w:r>
      <w:r>
        <w:rPr>
          <w:rFonts w:ascii="Times New Roman" w:hAnsi="Times New Roman" w:cs="Times New Roman" w:eastAsia="Times New Roman" w:hint="default"/>
          <w:u w:val="single" w:color="000000"/>
        </w:rPr>
        <w:t>511242 </w:t>
      </w:r>
      <w:r>
        <w:rPr>
          <w:rFonts w:ascii="Times New Roman" w:hAnsi="Times New Roman" w:cs="Times New Roman" w:eastAsia="Times New Roman" w:hint="default"/>
        </w:rPr>
      </w:r>
      <w:r>
        <w:rPr>
          <w:rFonts w:ascii="Times New Roman" w:hAnsi="Times New Roman" w:cs="Times New Roman" w:eastAsia="Times New Roman" w:hint="default"/>
          <w:b/>
          <w:bCs/>
        </w:rPr>
        <w:t>- </w:t>
      </w:r>
      <w:r>
        <w:rPr/>
        <w:t>Исказани су издаци у износу од 4.760 хиљада динара и то на основу Уговора о изградњи Колектора за употребљене воде – Поповачки колектор, </w:t>
      </w:r>
      <w:r>
        <w:rPr>
          <w:rFonts w:ascii="Times New Roman" w:hAnsi="Times New Roman" w:cs="Times New Roman" w:eastAsia="Times New Roman" w:hint="default"/>
        </w:rPr>
        <w:t>II </w:t>
      </w:r>
      <w:r>
        <w:rPr/>
        <w:t>деоница кроз насеље Поповац РШ 17 </w:t>
      </w:r>
      <w:r>
        <w:rPr>
          <w:rFonts w:ascii="Times New Roman" w:hAnsi="Times New Roman" w:cs="Times New Roman" w:eastAsia="Times New Roman" w:hint="default"/>
        </w:rPr>
        <w:t>- </w:t>
      </w:r>
      <w:r>
        <w:rPr/>
        <w:t>РШ 29, број 10</w:t>
      </w:r>
      <w:r>
        <w:rPr>
          <w:rFonts w:ascii="Times New Roman" w:hAnsi="Times New Roman" w:cs="Times New Roman" w:eastAsia="Times New Roman" w:hint="default"/>
        </w:rPr>
        <w:t>-803/2014 </w:t>
      </w:r>
      <w:r>
        <w:rPr/>
        <w:t>од 20.05.2014. године, закљученог са ЈКП „</w:t>
      </w:r>
      <w:r>
        <w:rPr>
          <w:rFonts w:ascii="Times New Roman" w:hAnsi="Times New Roman" w:cs="Times New Roman" w:eastAsia="Times New Roman" w:hint="default"/>
        </w:rPr>
        <w:t>Naissus</w:t>
      </w:r>
      <w:r>
        <w:rPr/>
        <w:t>“ Ниш. Вредност уговорених радова износи 13.438 хиљада динара без ПДВ, односно 16.125 хиљада динара са</w:t>
      </w:r>
      <w:r>
        <w:rPr>
          <w:spacing w:val="-22"/>
        </w:rPr>
        <w:t> </w:t>
      </w:r>
      <w:r>
        <w:rPr/>
        <w:t>ПДВ.</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Грађевински дневник по Уговору о изградњи Колектора за употребљене воде – Поповачки колектор, </w:t>
      </w:r>
      <w:r>
        <w:rPr>
          <w:rFonts w:ascii="Times New Roman" w:hAnsi="Times New Roman" w:cs="Times New Roman" w:eastAsia="Times New Roman" w:hint="default"/>
          <w:sz w:val="24"/>
          <w:szCs w:val="24"/>
        </w:rPr>
        <w:t>II </w:t>
      </w:r>
      <w:r>
        <w:rPr>
          <w:rFonts w:ascii="Times New Roman" w:hAnsi="Times New Roman" w:cs="Times New Roman" w:eastAsia="Times New Roman" w:hint="default"/>
          <w:sz w:val="24"/>
          <w:szCs w:val="24"/>
        </w:rPr>
        <w:t>деоница кроз насеље Поповац број 10</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803/2014 од 20.05.2014. године закљученом са ЈКП „</w:t>
      </w:r>
      <w:r>
        <w:rPr>
          <w:rFonts w:ascii="Times New Roman" w:hAnsi="Times New Roman" w:cs="Times New Roman" w:eastAsia="Times New Roman" w:hint="default"/>
          <w:sz w:val="24"/>
          <w:szCs w:val="24"/>
        </w:rPr>
        <w:t>Naissus</w:t>
      </w:r>
      <w:r>
        <w:rPr>
          <w:rFonts w:ascii="Times New Roman" w:hAnsi="Times New Roman" w:cs="Times New Roman" w:eastAsia="Times New Roman" w:hint="default"/>
          <w:sz w:val="24"/>
          <w:szCs w:val="24"/>
        </w:rPr>
        <w:t>“ Ниш, није оверен печатом од стране извођача радова,</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што</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је</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супротно</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члану</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3.</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и</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11.</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Правилника</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о</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садржини</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и</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начину</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вођења</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књиге</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83"/>
        <w:jc w:val="both"/>
      </w:pPr>
      <w:r>
        <w:rPr/>
        <w:t>инспекције и грађевинског дневника и члану 8. Правилника о садржини и начину вођења стручног</w:t>
      </w:r>
      <w:r>
        <w:rPr>
          <w:spacing w:val="-6"/>
        </w:rPr>
        <w:t> </w:t>
      </w:r>
      <w:r>
        <w:rPr/>
        <w:t>надзора.</w:t>
      </w:r>
    </w:p>
    <w:p>
      <w:pPr>
        <w:pStyle w:val="ListParagraph"/>
        <w:numPr>
          <w:ilvl w:val="0"/>
          <w:numId w:val="9"/>
        </w:numPr>
        <w:tabs>
          <w:tab w:pos="303"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грађевинском дневнику од 05.08.2014. године по Уговору о изградњи Колектора за употребљене воде – Поповачки колектор, </w:t>
      </w:r>
      <w:r>
        <w:rPr>
          <w:rFonts w:ascii="Times New Roman" w:hAnsi="Times New Roman" w:cs="Times New Roman" w:eastAsia="Times New Roman" w:hint="default"/>
          <w:sz w:val="24"/>
          <w:szCs w:val="24"/>
        </w:rPr>
        <w:t>II </w:t>
      </w:r>
      <w:r>
        <w:rPr>
          <w:rFonts w:ascii="Times New Roman" w:hAnsi="Times New Roman" w:cs="Times New Roman" w:eastAsia="Times New Roman" w:hint="default"/>
          <w:sz w:val="24"/>
          <w:szCs w:val="24"/>
        </w:rPr>
        <w:t>деоница кроз насеље Поповац број 10</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803/2014 од 20.05.2014. године закљученом са ЈКП „</w:t>
      </w:r>
      <w:r>
        <w:rPr>
          <w:rFonts w:ascii="Times New Roman" w:hAnsi="Times New Roman" w:cs="Times New Roman" w:eastAsia="Times New Roman" w:hint="default"/>
          <w:sz w:val="24"/>
          <w:szCs w:val="24"/>
        </w:rPr>
        <w:t>Naissus</w:t>
      </w:r>
      <w:r>
        <w:rPr>
          <w:rFonts w:ascii="Times New Roman" w:hAnsi="Times New Roman" w:cs="Times New Roman" w:eastAsia="Times New Roman" w:hint="default"/>
          <w:sz w:val="24"/>
          <w:szCs w:val="24"/>
        </w:rPr>
        <w:t>“ Ниш констатован је завршетак радова, али је и наведено да „ров није комплетно затрпан“ и да је видно обележен знаковима и траком, што је супротно члану 11. Уговора број  10</w:t>
      </w:r>
      <w:r>
        <w:rPr>
          <w:rFonts w:ascii="Times New Roman" w:hAnsi="Times New Roman" w:cs="Times New Roman" w:eastAsia="Times New Roman" w:hint="default"/>
          <w:sz w:val="24"/>
          <w:szCs w:val="24"/>
        </w:rPr>
        <w:t>-803/2014, </w:t>
      </w:r>
      <w:r>
        <w:rPr>
          <w:rFonts w:ascii="Times New Roman" w:hAnsi="Times New Roman" w:cs="Times New Roman" w:eastAsia="Times New Roman" w:hint="default"/>
          <w:sz w:val="24"/>
          <w:szCs w:val="24"/>
        </w:rPr>
        <w:t>којим је уговорено да је извођач дужан да изведене радове преда инвеститору као технички исправан и функционалан</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објекат.</w:t>
      </w:r>
    </w:p>
    <w:p>
      <w:pPr>
        <w:pStyle w:val="Heading2"/>
        <w:spacing w:line="240" w:lineRule="auto"/>
        <w:ind w:right="174"/>
        <w:jc w:val="both"/>
        <w:rPr>
          <w:b w:val="0"/>
          <w:bCs w:val="0"/>
          <w:i w:val="0"/>
        </w:rPr>
      </w:pPr>
      <w:r>
        <w:rPr>
          <w:i/>
        </w:rPr>
        <w:t>Препоручује се одговорним лицима да обезбеде правилну примену одредби Правилника о садржини и начину вођења књиге инспекције и грађевинског дневника и Правилника о садржини и начину вођења стручног надзора и да доследно примењују одредбе закључених</w:t>
      </w:r>
      <w:r>
        <w:rPr>
          <w:i/>
          <w:spacing w:val="-7"/>
        </w:rPr>
        <w:t> </w:t>
      </w:r>
      <w:r>
        <w:rPr>
          <w:i/>
        </w:rPr>
        <w:t>уговора.</w:t>
      </w:r>
      <w:r>
        <w:rPr>
          <w:b w:val="0"/>
          <w:i w:val="0"/>
        </w:rPr>
      </w:r>
    </w:p>
    <w:p>
      <w:pPr>
        <w:pStyle w:val="BodyText"/>
        <w:spacing w:line="240" w:lineRule="auto"/>
        <w:ind w:right="170" w:firstLine="566"/>
        <w:jc w:val="both"/>
      </w:pPr>
      <w:r>
        <w:rPr>
          <w:rFonts w:ascii="Times New Roman" w:hAnsi="Times New Roman"/>
        </w:rPr>
      </w:r>
      <w:r>
        <w:rPr>
          <w:rFonts w:ascii="Times New Roman" w:hAnsi="Times New Roman"/>
          <w:spacing w:val="-60"/>
          <w:u w:val="single" w:color="000000"/>
        </w:rPr>
        <w:t> </w:t>
      </w:r>
      <w:r>
        <w:rPr>
          <w:u w:val="single" w:color="000000"/>
        </w:rPr>
        <w:t>Капитално одржавање брана, субаналитички конто </w:t>
      </w:r>
      <w:r>
        <w:rPr>
          <w:rFonts w:ascii="Times New Roman" w:hAnsi="Times New Roman"/>
          <w:u w:val="single" w:color="000000"/>
        </w:rPr>
        <w:t>511344 </w:t>
      </w:r>
      <w:r>
        <w:rPr>
          <w:rFonts w:ascii="Times New Roman" w:hAnsi="Times New Roman"/>
        </w:rPr>
      </w:r>
      <w:r>
        <w:rPr>
          <w:rFonts w:ascii="Times New Roman" w:hAnsi="Times New Roman"/>
          <w:b/>
        </w:rPr>
        <w:t>- </w:t>
      </w:r>
      <w:r>
        <w:rPr/>
        <w:t>Исказани су издаци у износу од 3.890 хиљада динара, од којих је узоркован издатак у износу од 3.362 хиљаде динара за извођење радова за спровођењу одбране од поплава на територији града Ниша за воде </w:t>
      </w:r>
      <w:r>
        <w:rPr>
          <w:rFonts w:ascii="Times New Roman" w:hAnsi="Times New Roman"/>
        </w:rPr>
        <w:t>II </w:t>
      </w:r>
      <w:r>
        <w:rPr/>
        <w:t>реда за 2014.</w:t>
      </w:r>
      <w:r>
        <w:rPr>
          <w:spacing w:val="-8"/>
        </w:rPr>
        <w:t> </w:t>
      </w:r>
      <w:r>
        <w:rPr/>
        <w:t>годину.</w:t>
      </w:r>
    </w:p>
    <w:p>
      <w:pPr>
        <w:pStyle w:val="BodyText"/>
        <w:spacing w:line="240" w:lineRule="auto"/>
        <w:ind w:right="174" w:firstLine="566"/>
        <w:jc w:val="both"/>
      </w:pPr>
      <w:r>
        <w:rPr>
          <w:rFonts w:ascii="Times New Roman" w:hAnsi="Times New Roman" w:cs="Times New Roman" w:eastAsia="Times New Roman" w:hint="default"/>
          <w:b/>
          <w:bCs/>
        </w:rPr>
        <w:t>На основу ревизије узорковане документације утврђено је </w:t>
      </w:r>
      <w:r>
        <w:rPr/>
        <w:t>да су неправилно евидентирани радови на спровођењу одбране од поплава на територији града Ниша у износу од </w:t>
      </w:r>
      <w:r>
        <w:rPr>
          <w:rFonts w:ascii="Times New Roman" w:hAnsi="Times New Roman" w:cs="Times New Roman" w:eastAsia="Times New Roman" w:hint="default"/>
        </w:rPr>
        <w:t>3.362 </w:t>
      </w:r>
      <w:r>
        <w:rPr/>
        <w:t>хиљаде динара на групи 511000 – зграде и грађевински објекти, уместо на групи 425000 – текуће поправке и одржавање, што је супротно члану 9. Уредбе о буџетском рачуноводству и Правилнику о стандардном класификационом оквиру и контном плану за буџетски систем. У Билансу стања више су исказани нефинансијска имовина и капитал у истом</w:t>
      </w:r>
      <w:r>
        <w:rPr>
          <w:spacing w:val="-21"/>
        </w:rPr>
        <w:t> </w:t>
      </w:r>
      <w:r>
        <w:rPr/>
        <w:t>износу.</w:t>
      </w:r>
    </w:p>
    <w:p>
      <w:pPr>
        <w:pStyle w:val="Heading2"/>
        <w:spacing w:line="240" w:lineRule="auto"/>
        <w:ind w:right="172"/>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i/>
        </w:rPr>
        <w:t>.</w:t>
      </w:r>
      <w:r>
        <w:rPr>
          <w:rFonts w:ascii="Times New Roman" w:hAnsi="Times New Roman"/>
          <w:b w:val="0"/>
          <w:i w:val="0"/>
        </w:rPr>
      </w:r>
    </w:p>
    <w:p>
      <w:pPr>
        <w:pStyle w:val="BodyText"/>
        <w:spacing w:line="240" w:lineRule="auto"/>
        <w:ind w:right="168" w:firstLine="566"/>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Пројектна документација, субаналитички конто </w:t>
      </w:r>
      <w:r>
        <w:rPr>
          <w:rFonts w:ascii="Times New Roman" w:hAnsi="Times New Roman"/>
          <w:u w:val="single" w:color="000000"/>
        </w:rPr>
        <w:t>511451 </w:t>
      </w:r>
      <w:r>
        <w:rPr>
          <w:rFonts w:ascii="Times New Roman" w:hAnsi="Times New Roman"/>
        </w:rPr>
      </w:r>
      <w:r>
        <w:rPr>
          <w:rFonts w:ascii="Times New Roman" w:hAnsi="Times New Roman"/>
          <w:b/>
        </w:rPr>
        <w:t>- </w:t>
      </w:r>
      <w:r>
        <w:rPr/>
        <w:t>Исказани су издаци у износу од 4.695 хиљада</w:t>
      </w:r>
      <w:r>
        <w:rPr>
          <w:spacing w:val="-6"/>
        </w:rPr>
        <w:t> </w:t>
      </w:r>
      <w:r>
        <w:rPr/>
        <w:t>динара</w:t>
      </w:r>
      <w:r>
        <w:rPr>
          <w:rFonts w:ascii="Times New Roman" w:hAnsi="Times New Roman"/>
        </w:rPr>
        <w:t>.</w:t>
      </w:r>
    </w:p>
    <w:p>
      <w:pPr>
        <w:pStyle w:val="Heading1"/>
        <w:spacing w:line="275" w:lineRule="exact"/>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1"/>
        </w:rPr>
        <w:t> </w:t>
      </w:r>
      <w:r>
        <w:rPr/>
        <w:t>је</w:t>
      </w:r>
      <w:r>
        <w:rPr>
          <w:rFonts w:ascii="Times New Roman" w:hAnsi="Times New Roman"/>
        </w:rPr>
        <w:t>:</w:t>
      </w:r>
      <w:r>
        <w:rPr>
          <w:rFonts w:ascii="Times New Roman" w:hAnsi="Times New Roman"/>
          <w:b w:val="0"/>
        </w:rPr>
      </w:r>
    </w:p>
    <w:p>
      <w:pPr>
        <w:pStyle w:val="ListParagraph"/>
        <w:numPr>
          <w:ilvl w:val="0"/>
          <w:numId w:val="9"/>
        </w:numPr>
        <w:tabs>
          <w:tab w:pos="303" w:val="left" w:leader="none"/>
        </w:tabs>
        <w:spacing w:line="240" w:lineRule="auto" w:before="0"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Пружалац услуге ЈКП „</w:t>
      </w:r>
      <w:r>
        <w:rPr>
          <w:rFonts w:ascii="Times New Roman" w:hAnsi="Times New Roman" w:cs="Times New Roman" w:eastAsia="Times New Roman" w:hint="default"/>
          <w:sz w:val="24"/>
          <w:szCs w:val="24"/>
        </w:rPr>
        <w:t>Naissus</w:t>
      </w:r>
      <w:r>
        <w:rPr>
          <w:rFonts w:ascii="Times New Roman" w:hAnsi="Times New Roman" w:cs="Times New Roman" w:eastAsia="Times New Roman" w:hint="default"/>
          <w:sz w:val="24"/>
          <w:szCs w:val="24"/>
        </w:rPr>
        <w:t>“ Ниш</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није завршио услугу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израда техничке документације у року уговореном чланом 7. Уговора о изради техничке документације број 10</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747/2013 од 11.07.2013. године, број 10</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749/2013 од 11.07.2013. године, број 10</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750/2013 од 11.07.2013. године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број 10</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662/2013 од 25.06.2013. године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јер су уговори закључени а услови за пружање уговорене услуге нису били обезбеђени. По свим напред наведеним уговорима уговорено је плаћање 30% уговорене вредности по предаји ситуације са уцртаном трасом за потребе обезбеђења локацијске дозволе, 20% по предаји главног пројекта и закључењу анекса уговора чији ће предмет бити утврђивање  вредности уговореног посла и 50% по добијању позитивног мишљења од стране вршиоца техничке контроле. Пружалац услуге је предао Управи за пољопривреду и развој села ситуације са уцртаном трасом, а дана 11.12.2013. године, је доставио обавештење да нису у могућности да до завршетка Плана генералне регулације градске општине Нишка Бања заврше услугу. По основу писаног појашњења одговорних лица, ПГР није усвојен до  дана вршења</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ревизије.</w:t>
      </w:r>
    </w:p>
    <w:p>
      <w:pPr>
        <w:pStyle w:val="ListParagraph"/>
        <w:numPr>
          <w:ilvl w:val="0"/>
          <w:numId w:val="9"/>
        </w:numPr>
        <w:tabs>
          <w:tab w:pos="303" w:val="left" w:leader="none"/>
        </w:tabs>
        <w:spacing w:line="274" w:lineRule="exact" w:before="24"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Уговорима о изради техничке документације број 10</w:t>
      </w:r>
      <w:r>
        <w:rPr>
          <w:rFonts w:ascii="Times New Roman" w:hAnsi="Times New Roman"/>
          <w:sz w:val="24"/>
        </w:rPr>
        <w:t>-</w:t>
      </w:r>
      <w:r>
        <w:rPr>
          <w:rFonts w:ascii="Times New Roman" w:hAnsi="Times New Roman"/>
          <w:sz w:val="24"/>
        </w:rPr>
        <w:t>747/2013 од 11.07.2013. године, број</w:t>
      </w:r>
      <w:r>
        <w:rPr>
          <w:rFonts w:ascii="Times New Roman" w:hAnsi="Times New Roman"/>
          <w:spacing w:val="20"/>
          <w:sz w:val="24"/>
        </w:rPr>
        <w:t> </w:t>
      </w:r>
      <w:r>
        <w:rPr>
          <w:rFonts w:ascii="Times New Roman" w:hAnsi="Times New Roman"/>
          <w:sz w:val="24"/>
        </w:rPr>
        <w:t>10</w:t>
      </w:r>
      <w:r>
        <w:rPr>
          <w:rFonts w:ascii="Times New Roman" w:hAnsi="Times New Roman"/>
          <w:sz w:val="24"/>
        </w:rPr>
        <w:t>-</w:t>
      </w:r>
      <w:r>
        <w:rPr>
          <w:rFonts w:ascii="Times New Roman" w:hAnsi="Times New Roman"/>
          <w:sz w:val="24"/>
        </w:rPr>
        <w:t>749/2013</w:t>
      </w:r>
      <w:r>
        <w:rPr>
          <w:rFonts w:ascii="Times New Roman" w:hAnsi="Times New Roman"/>
          <w:spacing w:val="19"/>
          <w:sz w:val="24"/>
        </w:rPr>
        <w:t> </w:t>
      </w:r>
      <w:r>
        <w:rPr>
          <w:rFonts w:ascii="Times New Roman" w:hAnsi="Times New Roman"/>
          <w:sz w:val="24"/>
        </w:rPr>
        <w:t>од</w:t>
      </w:r>
      <w:r>
        <w:rPr>
          <w:rFonts w:ascii="Times New Roman" w:hAnsi="Times New Roman"/>
          <w:spacing w:val="19"/>
          <w:sz w:val="24"/>
        </w:rPr>
        <w:t> </w:t>
      </w:r>
      <w:r>
        <w:rPr>
          <w:rFonts w:ascii="Times New Roman" w:hAnsi="Times New Roman"/>
          <w:sz w:val="24"/>
        </w:rPr>
        <w:t>11.07.2013.</w:t>
      </w:r>
      <w:r>
        <w:rPr>
          <w:rFonts w:ascii="Times New Roman" w:hAnsi="Times New Roman"/>
          <w:spacing w:val="19"/>
          <w:sz w:val="24"/>
        </w:rPr>
        <w:t> </w:t>
      </w:r>
      <w:r>
        <w:rPr>
          <w:rFonts w:ascii="Times New Roman" w:hAnsi="Times New Roman"/>
          <w:sz w:val="24"/>
        </w:rPr>
        <w:t>године,</w:t>
      </w:r>
      <w:r>
        <w:rPr>
          <w:rFonts w:ascii="Times New Roman" w:hAnsi="Times New Roman"/>
          <w:spacing w:val="19"/>
          <w:sz w:val="24"/>
        </w:rPr>
        <w:t> </w:t>
      </w:r>
      <w:r>
        <w:rPr>
          <w:rFonts w:ascii="Times New Roman" w:hAnsi="Times New Roman"/>
          <w:sz w:val="24"/>
        </w:rPr>
        <w:t>број</w:t>
      </w:r>
      <w:r>
        <w:rPr>
          <w:rFonts w:ascii="Times New Roman" w:hAnsi="Times New Roman"/>
          <w:spacing w:val="19"/>
          <w:sz w:val="24"/>
        </w:rPr>
        <w:t> </w:t>
      </w:r>
      <w:r>
        <w:rPr>
          <w:rFonts w:ascii="Times New Roman" w:hAnsi="Times New Roman"/>
          <w:sz w:val="24"/>
        </w:rPr>
        <w:t>10</w:t>
      </w:r>
      <w:r>
        <w:rPr>
          <w:rFonts w:ascii="Times New Roman" w:hAnsi="Times New Roman"/>
          <w:sz w:val="24"/>
        </w:rPr>
        <w:t>-</w:t>
      </w:r>
      <w:r>
        <w:rPr>
          <w:rFonts w:ascii="Times New Roman" w:hAnsi="Times New Roman"/>
          <w:sz w:val="24"/>
        </w:rPr>
        <w:t>750/2013</w:t>
      </w:r>
      <w:r>
        <w:rPr>
          <w:rFonts w:ascii="Times New Roman" w:hAnsi="Times New Roman"/>
          <w:spacing w:val="19"/>
          <w:sz w:val="24"/>
        </w:rPr>
        <w:t> </w:t>
      </w:r>
      <w:r>
        <w:rPr>
          <w:rFonts w:ascii="Times New Roman" w:hAnsi="Times New Roman"/>
          <w:sz w:val="24"/>
        </w:rPr>
        <w:t>од</w:t>
      </w:r>
      <w:r>
        <w:rPr>
          <w:rFonts w:ascii="Times New Roman" w:hAnsi="Times New Roman"/>
          <w:spacing w:val="19"/>
          <w:sz w:val="24"/>
        </w:rPr>
        <w:t> </w:t>
      </w:r>
      <w:r>
        <w:rPr>
          <w:rFonts w:ascii="Times New Roman" w:hAnsi="Times New Roman"/>
          <w:sz w:val="24"/>
        </w:rPr>
        <w:t>11.07.2013.</w:t>
      </w:r>
      <w:r>
        <w:rPr>
          <w:rFonts w:ascii="Times New Roman" w:hAnsi="Times New Roman"/>
          <w:spacing w:val="19"/>
          <w:sz w:val="24"/>
        </w:rPr>
        <w:t> </w:t>
      </w:r>
      <w:r>
        <w:rPr>
          <w:rFonts w:ascii="Times New Roman" w:hAnsi="Times New Roman"/>
          <w:sz w:val="24"/>
        </w:rPr>
        <w:t>године</w:t>
      </w:r>
      <w:r>
        <w:rPr>
          <w:rFonts w:ascii="Times New Roman" w:hAnsi="Times New Roman"/>
          <w:sz w:val="24"/>
        </w:rPr>
        <w:t>,</w:t>
      </w:r>
      <w:r>
        <w:rPr>
          <w:rFonts w:ascii="Times New Roman" w:hAnsi="Times New Roman"/>
          <w:spacing w:val="20"/>
          <w:sz w:val="24"/>
        </w:rPr>
        <w:t> </w:t>
      </w:r>
      <w:r>
        <w:rPr>
          <w:rFonts w:ascii="Times New Roman" w:hAnsi="Times New Roman"/>
          <w:sz w:val="24"/>
        </w:rPr>
        <w:t>број</w:t>
      </w:r>
      <w:r>
        <w:rPr>
          <w:rFonts w:ascii="Times New Roman" w:hAnsi="Times New Roman"/>
          <w:spacing w:val="19"/>
          <w:sz w:val="24"/>
        </w:rPr>
        <w:t> </w:t>
      </w:r>
      <w:r>
        <w:rPr>
          <w:rFonts w:ascii="Times New Roman" w:hAnsi="Times New Roman"/>
          <w:sz w:val="24"/>
        </w:rPr>
        <w:t>10</w:t>
      </w:r>
      <w:r>
        <w:rPr>
          <w:rFonts w:ascii="Times New Roman" w:hAnsi="Times New Roman"/>
          <w:sz w:val="24"/>
        </w:rPr>
        <w:t>-</w:t>
      </w:r>
    </w:p>
    <w:p>
      <w:pPr>
        <w:spacing w:after="0" w:line="274" w:lineRule="exact"/>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8"/>
        <w:jc w:val="both"/>
        <w:rPr>
          <w:rFonts w:ascii="Times New Roman" w:hAnsi="Times New Roman" w:cs="Times New Roman" w:eastAsia="Times New Roman" w:hint="default"/>
        </w:rPr>
      </w:pPr>
      <w:r>
        <w:rPr/>
        <w:t>662/2013 од 25.06.2013. године закљученим са ЈКП „</w:t>
      </w:r>
      <w:r>
        <w:rPr>
          <w:rFonts w:ascii="Times New Roman" w:hAnsi="Times New Roman" w:cs="Times New Roman" w:eastAsia="Times New Roman" w:hint="default"/>
        </w:rPr>
        <w:t>Naissus</w:t>
      </w:r>
      <w:r>
        <w:rPr/>
        <w:t>“ Ниш није уговорено средство обезбеђења за испуњење уговорене</w:t>
      </w:r>
      <w:r>
        <w:rPr>
          <w:spacing w:val="-15"/>
        </w:rPr>
        <w:t> </w:t>
      </w:r>
      <w:r>
        <w:rPr/>
        <w:t>обавезе</w:t>
      </w:r>
      <w:r>
        <w:rPr>
          <w:rFonts w:ascii="Times New Roman" w:hAnsi="Times New Roman" w:cs="Times New Roman" w:eastAsia="Times New Roman" w:hint="default"/>
        </w:rPr>
        <w:t>.</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Извршилац услуга „</w:t>
      </w:r>
      <w:r>
        <w:rPr>
          <w:rFonts w:ascii="Times New Roman" w:hAnsi="Times New Roman" w:cs="Times New Roman" w:eastAsia="Times New Roman" w:hint="default"/>
          <w:sz w:val="24"/>
          <w:szCs w:val="24"/>
        </w:rPr>
        <w:t>Fox-Lisica</w:t>
      </w:r>
      <w:r>
        <w:rPr>
          <w:rFonts w:ascii="Times New Roman" w:hAnsi="Times New Roman" w:cs="Times New Roman" w:eastAsia="Times New Roman" w:hint="default"/>
          <w:sz w:val="24"/>
          <w:szCs w:val="24"/>
        </w:rPr>
        <w:t>“ доо Ниш се дана 30.04.2014. године обратио Управи за пољопривреду и развој села захтевом број 10</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664 за продужење рока, на који је Начелник поменуте управе дао сагласност и продужио рок до 05.06.2014. године, иако Уговором о изради техничке документације – елабората није предвиђена могућност продужења уговора, што је супротно члану 3. Уговора број 10</w:t>
      </w:r>
      <w:r>
        <w:rPr>
          <w:rFonts w:ascii="Times New Roman" w:hAnsi="Times New Roman" w:cs="Times New Roman" w:eastAsia="Times New Roman" w:hint="default"/>
          <w:sz w:val="24"/>
          <w:szCs w:val="24"/>
        </w:rPr>
        <w:t>-503/2014 </w:t>
      </w:r>
      <w:r>
        <w:rPr>
          <w:rFonts w:ascii="Times New Roman" w:hAnsi="Times New Roman" w:cs="Times New Roman" w:eastAsia="Times New Roman" w:hint="default"/>
          <w:sz w:val="24"/>
          <w:szCs w:val="24"/>
        </w:rPr>
        <w:t>од 09.04.2014.</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године</w:t>
      </w:r>
      <w:r>
        <w:rPr>
          <w:rFonts w:ascii="Times New Roman" w:hAnsi="Times New Roman" w:cs="Times New Roman" w:eastAsia="Times New Roman" w:hint="default"/>
          <w:sz w:val="24"/>
          <w:szCs w:val="24"/>
        </w:rPr>
        <w:t>.</w:t>
      </w:r>
    </w:p>
    <w:p>
      <w:pPr>
        <w:pStyle w:val="Heading2"/>
        <w:spacing w:line="240" w:lineRule="auto"/>
        <w:ind w:right="175"/>
        <w:jc w:val="both"/>
        <w:rPr>
          <w:b w:val="0"/>
          <w:bCs w:val="0"/>
          <w:i w:val="0"/>
        </w:rPr>
      </w:pPr>
      <w:r>
        <w:rPr>
          <w:i/>
        </w:rPr>
        <w:t>Препоручује се одговорним лицима да уговор закључе након обезбеђених свих потребних услова за пружање услуге, да доследно примењују одредбе закључених уговора и  да уговоре средство обезбеђења за испуњење уговорних</w:t>
      </w:r>
      <w:r>
        <w:rPr>
          <w:i/>
          <w:spacing w:val="-15"/>
        </w:rPr>
        <w:t> </w:t>
      </w:r>
      <w:r>
        <w:rPr>
          <w:i/>
        </w:rPr>
        <w:t>обавеза.</w:t>
      </w:r>
      <w:r>
        <w:rPr>
          <w:b w:val="0"/>
          <w:i w:val="0"/>
        </w:rPr>
      </w:r>
    </w:p>
    <w:p>
      <w:pPr>
        <w:pStyle w:val="ListParagraph"/>
        <w:numPr>
          <w:ilvl w:val="3"/>
          <w:numId w:val="50"/>
        </w:numPr>
        <w:tabs>
          <w:tab w:pos="1013" w:val="left" w:leader="none"/>
        </w:tabs>
        <w:spacing w:line="274" w:lineRule="exact" w:before="137" w:after="0"/>
        <w:ind w:left="1012" w:right="0" w:hanging="286"/>
        <w:jc w:val="left"/>
        <w:rPr>
          <w:rFonts w:ascii="Times New Roman" w:hAnsi="Times New Roman" w:cs="Times New Roman" w:eastAsia="Times New Roman" w:hint="default"/>
          <w:sz w:val="24"/>
          <w:szCs w:val="24"/>
        </w:rPr>
      </w:pPr>
      <w:r>
        <w:rPr>
          <w:rFonts w:ascii="Times New Roman" w:hAnsi="Times New Roman"/>
          <w:b/>
          <w:sz w:val="24"/>
        </w:rPr>
        <w:t>Управа за финансије, изворне приходе локалне самоуправе и јавне набавке</w:t>
      </w:r>
      <w:r>
        <w:rPr>
          <w:rFonts w:ascii="Times New Roman" w:hAnsi="Times New Roman"/>
          <w:b/>
          <w:spacing w:val="-7"/>
          <w:sz w:val="24"/>
        </w:rPr>
        <w:t> </w:t>
      </w:r>
      <w:r>
        <w:rPr>
          <w:rFonts w:ascii="Times New Roman" w:hAnsi="Times New Roman"/>
          <w:b/>
          <w:sz w:val="24"/>
        </w:rPr>
        <w:t>-</w:t>
      </w:r>
      <w:r>
        <w:rPr>
          <w:rFonts w:ascii="Times New Roman" w:hAnsi="Times New Roman"/>
          <w:sz w:val="24"/>
        </w:rPr>
      </w:r>
    </w:p>
    <w:p>
      <w:pPr>
        <w:pStyle w:val="BodyText"/>
        <w:spacing w:line="274" w:lineRule="exact"/>
        <w:ind w:right="0"/>
        <w:jc w:val="both"/>
      </w:pPr>
      <w:r>
        <w:rPr/>
        <w:t>Исказан је издатак у износу од 24.610 хиљада динара из средстава буџета</w:t>
      </w:r>
      <w:r>
        <w:rPr>
          <w:spacing w:val="-28"/>
        </w:rPr>
        <w:t> </w:t>
      </w:r>
      <w:r>
        <w:rPr/>
        <w:t>града.</w:t>
      </w:r>
    </w:p>
    <w:p>
      <w:pPr>
        <w:pStyle w:val="BodyText"/>
        <w:spacing w:line="240" w:lineRule="auto"/>
        <w:ind w:right="175" w:firstLine="566"/>
        <w:jc w:val="both"/>
      </w:pPr>
      <w:r>
        <w:rPr>
          <w:rFonts w:ascii="Times New Roman" w:hAnsi="Times New Roman"/>
        </w:rPr>
      </w:r>
      <w:r>
        <w:rPr>
          <w:rFonts w:ascii="Times New Roman" w:hAnsi="Times New Roman"/>
          <w:spacing w:val="-60"/>
          <w:u w:val="single" w:color="000000"/>
        </w:rPr>
        <w:t> </w:t>
      </w:r>
      <w:r>
        <w:rPr>
          <w:u w:val="single" w:color="000000"/>
        </w:rPr>
        <w:t>Отворени спортски и рекреациони објекти, субаналитички конто </w:t>
      </w:r>
      <w:r>
        <w:rPr>
          <w:rFonts w:ascii="Times New Roman" w:hAnsi="Times New Roman"/>
          <w:u w:val="single" w:color="000000"/>
        </w:rPr>
        <w:t>511293 </w:t>
      </w:r>
      <w:r>
        <w:rPr>
          <w:rFonts w:ascii="Times New Roman" w:hAnsi="Times New Roman"/>
        </w:rPr>
      </w:r>
      <w:r>
        <w:rPr>
          <w:rFonts w:ascii="Times New Roman" w:hAnsi="Times New Roman"/>
          <w:b/>
        </w:rPr>
        <w:t>- </w:t>
      </w:r>
      <w:r>
        <w:rPr/>
        <w:t>Исказани су издаци у износу од 24.610 хиљада динара за реконструкцију и доградњу градског стадиона Чаир у Ниш, од којих су узорковани</w:t>
      </w:r>
      <w:r>
        <w:rPr>
          <w:spacing w:val="-16"/>
        </w:rPr>
        <w:t> </w:t>
      </w:r>
      <w:r>
        <w:rPr/>
        <w:t>издаци:</w:t>
      </w:r>
    </w:p>
    <w:p>
      <w:pPr>
        <w:pStyle w:val="ListParagraph"/>
        <w:numPr>
          <w:ilvl w:val="0"/>
          <w:numId w:val="12"/>
        </w:numPr>
        <w:tabs>
          <w:tab w:pos="365"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износу од 9.724 хиљаде динара по основу испостављене осамнаесте привремене ситуације од 31.01.2014. године на износ од 3.324 хиљаде динара без ПДВ, двадесете привремене ситуације од 09.10.2014. године на износ од 2.840 хиљада динара без ПДВ и двадесетпрве привремене ситуације од 30.12.2014. године на износ од 3.560 хиљада динара без ПДВ. Ситуације су испостављене на основу Уговора број 723/2011</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w:t>
      </w:r>
      <w:r>
        <w:rPr>
          <w:rFonts w:ascii="Times New Roman" w:hAnsi="Times New Roman" w:cs="Times New Roman" w:eastAsia="Times New Roman" w:hint="default"/>
          <w:sz w:val="24"/>
          <w:szCs w:val="24"/>
        </w:rPr>
        <w:t>15.03.2011. </w:t>
      </w:r>
      <w:r>
        <w:rPr>
          <w:rFonts w:ascii="Times New Roman" w:hAnsi="Times New Roman" w:cs="Times New Roman" w:eastAsia="Times New Roman" w:hint="default"/>
          <w:sz w:val="24"/>
          <w:szCs w:val="24"/>
        </w:rPr>
        <w:t>године о извођењу грађевинских, грађевинско</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занатских и радова на инсталацијама за реконструкцију и доградњу градског стадиона Чаир у Нишу  закљученог између града Ниша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кога заступа Градоначелник и „МД ГИТ“ доо Ниш, који изводи уговорене радове заједнички са члановима групе: „Нишпројект</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пројектовање“  доо Ниш, „Левел“ доо Ниш, „Денеза М инжењеринг“ доо Београд и „Елеватор“ доо Ниш и подизвођачи ГД „Косаница“ доо Ниш, „Пословност“ доо Ниш, ЈП „Нишстан“ Ниш и СЗР „Тиминг“ пр Ниш. Вредност уговорених радова износи 948.565 хиљада динара без ПДВ, односно 1.119.306 хиљада динара са</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ПДВ.</w:t>
      </w:r>
    </w:p>
    <w:p>
      <w:pPr>
        <w:pStyle w:val="BodyText"/>
        <w:spacing w:line="240" w:lineRule="auto"/>
        <w:ind w:right="175" w:firstLine="566"/>
        <w:jc w:val="both"/>
      </w:pPr>
      <w:r>
        <w:rPr/>
        <w:t>Дана 08.03.2012. године, спроведен је преговарачки поступак без објављивања јавног позива и закључен Уговор број 642/2012</w:t>
      </w:r>
      <w:r>
        <w:rPr>
          <w:rFonts w:ascii="Times New Roman" w:hAnsi="Times New Roman" w:cs="Times New Roman" w:eastAsia="Times New Roman" w:hint="default"/>
        </w:rPr>
        <w:t>-</w:t>
      </w:r>
      <w:r>
        <w:rPr/>
        <w:t>01 дана 08.03.2012. године, о извођењу додатних грађевинских, грађевинско–занатских и радова на инсталацијама реконструкције и доградње градског стадиона Чаир у Нишу са извођачем радова „МД ГИТ“ доо Ниш</w:t>
      </w:r>
      <w:r>
        <w:rPr>
          <w:rFonts w:ascii="Times New Roman" w:hAnsi="Times New Roman" w:cs="Times New Roman" w:eastAsia="Times New Roman" w:hint="default"/>
        </w:rPr>
        <w:t>, </w:t>
      </w:r>
      <w:r>
        <w:rPr/>
        <w:t>носиоцем заједничке понуде.   Укупна вредност додатних радова </w:t>
      </w:r>
      <w:r>
        <w:rPr>
          <w:spacing w:val="49"/>
        </w:rPr>
        <w:t> </w:t>
      </w:r>
      <w:r>
        <w:rPr/>
        <w:t>износи</w:t>
      </w:r>
    </w:p>
    <w:p>
      <w:pPr>
        <w:pStyle w:val="BodyText"/>
        <w:spacing w:line="240" w:lineRule="auto"/>
        <w:ind w:right="183"/>
        <w:jc w:val="both"/>
        <w:rPr>
          <w:rFonts w:ascii="Times New Roman" w:hAnsi="Times New Roman" w:cs="Times New Roman" w:eastAsia="Times New Roman" w:hint="default"/>
        </w:rPr>
      </w:pPr>
      <w:r>
        <w:rPr/>
        <w:t>152.542 хиљаде динара без ПДВ, односно 179.999 хиљада динара са ПДВ. По овом уговору у 2014. години није вршено</w:t>
      </w:r>
      <w:r>
        <w:rPr>
          <w:spacing w:val="-10"/>
        </w:rPr>
        <w:t> </w:t>
      </w:r>
      <w:r>
        <w:rPr/>
        <w:t>плаћање</w:t>
      </w:r>
      <w:r>
        <w:rPr>
          <w:rFonts w:ascii="Times New Roman" w:hAnsi="Times New Roman"/>
        </w:rPr>
        <w:t>.</w:t>
      </w:r>
    </w:p>
    <w:p>
      <w:pPr>
        <w:pStyle w:val="ListParagraph"/>
        <w:numPr>
          <w:ilvl w:val="0"/>
          <w:numId w:val="12"/>
        </w:numPr>
        <w:tabs>
          <w:tab w:pos="444" w:val="left" w:leader="none"/>
        </w:tabs>
        <w:spacing w:line="240" w:lineRule="auto" w:before="0" w:after="0"/>
        <w:ind w:left="160" w:right="17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износу од 12.513 хиљада динара по испостављеној трећој привременој ситуацији на износ од </w:t>
      </w:r>
      <w:r>
        <w:rPr>
          <w:rFonts w:ascii="Times New Roman" w:hAnsi="Times New Roman" w:cs="Times New Roman" w:eastAsia="Times New Roman" w:hint="default"/>
          <w:sz w:val="24"/>
          <w:szCs w:val="24"/>
        </w:rPr>
        <w:t>12.513 </w:t>
      </w:r>
      <w:r>
        <w:rPr>
          <w:rFonts w:ascii="Times New Roman" w:hAnsi="Times New Roman" w:cs="Times New Roman" w:eastAsia="Times New Roman" w:hint="default"/>
          <w:sz w:val="24"/>
          <w:szCs w:val="24"/>
        </w:rPr>
        <w:t>хиљада динара од 31.01.2014. године, по основу Уговора број 1421/2013</w:t>
      </w:r>
      <w:r>
        <w:rPr>
          <w:rFonts w:ascii="Times New Roman" w:hAnsi="Times New Roman" w:cs="Times New Roman" w:eastAsia="Times New Roman" w:hint="default"/>
          <w:sz w:val="24"/>
          <w:szCs w:val="24"/>
        </w:rPr>
        <w:t>- 01 </w:t>
      </w:r>
      <w:r>
        <w:rPr>
          <w:rFonts w:ascii="Times New Roman" w:hAnsi="Times New Roman" w:cs="Times New Roman" w:eastAsia="Times New Roman" w:hint="default"/>
          <w:sz w:val="24"/>
          <w:szCs w:val="24"/>
        </w:rPr>
        <w:t>од 11.04.2013. године о извођењу додатних грађевинских, грађевинско – занатских и радова на инсталацијама реконструкције и доградње градског стадиона Чаир у Нишу закљученог након спроведеног преговарачког поступка без објављивања јавног позива са извођачем радова, „МД ГИТ“ доо Ниш носиоцем заједничке понуде. Вредност уговорених додатних радова износи 70.090 хиљада динара без ПДВ, односно 84.108 хиљада динара са</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ПДВ.</w:t>
      </w:r>
    </w:p>
    <w:p>
      <w:pPr>
        <w:pStyle w:val="Heading1"/>
        <w:spacing w:line="275" w:lineRule="exact"/>
        <w:ind w:right="141"/>
        <w:jc w:val="left"/>
        <w:rPr>
          <w:rFonts w:ascii="Times New Roman" w:hAnsi="Times New Roman" w:cs="Times New Roman" w:eastAsia="Times New Roman" w:hint="default"/>
          <w:b w:val="0"/>
          <w:bCs w:val="0"/>
        </w:rPr>
      </w:pPr>
      <w:r>
        <w:rPr/>
        <w:t>На основу ревизије узорковане  докуменатације утврђено</w:t>
      </w:r>
      <w:r>
        <w:rPr>
          <w:spacing w:val="-11"/>
        </w:rPr>
        <w:t> </w:t>
      </w:r>
      <w:r>
        <w:rPr/>
        <w:t>је</w:t>
      </w:r>
      <w:r>
        <w:rPr>
          <w:rFonts w:ascii="Times New Roman" w:hAnsi="Times New Roman"/>
        </w:rPr>
        <w:t>:</w:t>
      </w:r>
      <w:r>
        <w:rPr>
          <w:rFonts w:ascii="Times New Roman" w:hAnsi="Times New Roman"/>
          <w:b w:val="0"/>
        </w:rPr>
      </w:r>
    </w:p>
    <w:p>
      <w:pPr>
        <w:pStyle w:val="ListParagraph"/>
        <w:numPr>
          <w:ilvl w:val="0"/>
          <w:numId w:val="9"/>
        </w:numPr>
        <w:tabs>
          <w:tab w:pos="303" w:val="left" w:leader="none"/>
        </w:tabs>
        <w:spacing w:line="274" w:lineRule="exact" w:before="20" w:after="0"/>
        <w:ind w:left="160" w:right="171" w:firstLine="0"/>
        <w:jc w:val="both"/>
        <w:rPr>
          <w:rFonts w:ascii="Times New Roman" w:hAnsi="Times New Roman" w:cs="Times New Roman" w:eastAsia="Times New Roman" w:hint="default"/>
          <w:sz w:val="24"/>
          <w:szCs w:val="24"/>
        </w:rPr>
      </w:pPr>
      <w:r>
        <w:rPr>
          <w:rFonts w:ascii="Times New Roman" w:hAnsi="Times New Roman"/>
          <w:sz w:val="24"/>
        </w:rPr>
        <w:t>Наручилац није извођача грађевинских, грађевинско</w:t>
      </w:r>
      <w:r>
        <w:rPr>
          <w:rFonts w:ascii="Times New Roman" w:hAnsi="Times New Roman"/>
          <w:sz w:val="24"/>
        </w:rPr>
        <w:t>-</w:t>
      </w:r>
      <w:r>
        <w:rPr>
          <w:rFonts w:ascii="Times New Roman" w:hAnsi="Times New Roman"/>
          <w:sz w:val="24"/>
        </w:rPr>
        <w:t>занатских и радова на инсталацијама</w:t>
      </w:r>
      <w:r>
        <w:rPr>
          <w:rFonts w:ascii="Times New Roman" w:hAnsi="Times New Roman"/>
          <w:spacing w:val="37"/>
          <w:sz w:val="24"/>
        </w:rPr>
        <w:t> </w:t>
      </w:r>
      <w:r>
        <w:rPr>
          <w:rFonts w:ascii="Times New Roman" w:hAnsi="Times New Roman"/>
          <w:sz w:val="24"/>
        </w:rPr>
        <w:t>на</w:t>
      </w:r>
      <w:r>
        <w:rPr>
          <w:rFonts w:ascii="Times New Roman" w:hAnsi="Times New Roman"/>
          <w:spacing w:val="36"/>
          <w:sz w:val="24"/>
        </w:rPr>
        <w:t> </w:t>
      </w:r>
      <w:r>
        <w:rPr>
          <w:rFonts w:ascii="Times New Roman" w:hAnsi="Times New Roman"/>
          <w:sz w:val="24"/>
        </w:rPr>
        <w:t>реконструкцији</w:t>
      </w:r>
      <w:r>
        <w:rPr>
          <w:rFonts w:ascii="Times New Roman" w:hAnsi="Times New Roman"/>
          <w:spacing w:val="38"/>
          <w:sz w:val="24"/>
        </w:rPr>
        <w:t> </w:t>
      </w:r>
      <w:r>
        <w:rPr>
          <w:rFonts w:ascii="Times New Roman" w:hAnsi="Times New Roman"/>
          <w:sz w:val="24"/>
        </w:rPr>
        <w:t>и</w:t>
      </w:r>
      <w:r>
        <w:rPr>
          <w:rFonts w:ascii="Times New Roman" w:hAnsi="Times New Roman"/>
          <w:spacing w:val="38"/>
          <w:sz w:val="24"/>
        </w:rPr>
        <w:t> </w:t>
      </w:r>
      <w:r>
        <w:rPr>
          <w:rFonts w:ascii="Times New Roman" w:hAnsi="Times New Roman"/>
          <w:sz w:val="24"/>
        </w:rPr>
        <w:t>доградњи</w:t>
      </w:r>
      <w:r>
        <w:rPr>
          <w:rFonts w:ascii="Times New Roman" w:hAnsi="Times New Roman"/>
          <w:spacing w:val="38"/>
          <w:sz w:val="24"/>
        </w:rPr>
        <w:t> </w:t>
      </w:r>
      <w:r>
        <w:rPr>
          <w:rFonts w:ascii="Times New Roman" w:hAnsi="Times New Roman"/>
          <w:sz w:val="24"/>
        </w:rPr>
        <w:t>градског</w:t>
      </w:r>
      <w:r>
        <w:rPr>
          <w:rFonts w:ascii="Times New Roman" w:hAnsi="Times New Roman"/>
          <w:spacing w:val="37"/>
          <w:sz w:val="24"/>
        </w:rPr>
        <w:t> </w:t>
      </w:r>
      <w:r>
        <w:rPr>
          <w:rFonts w:ascii="Times New Roman" w:hAnsi="Times New Roman"/>
          <w:sz w:val="24"/>
        </w:rPr>
        <w:t>стадиона</w:t>
      </w:r>
      <w:r>
        <w:rPr>
          <w:rFonts w:ascii="Times New Roman" w:hAnsi="Times New Roman"/>
          <w:spacing w:val="36"/>
          <w:sz w:val="24"/>
        </w:rPr>
        <w:t> </w:t>
      </w:r>
      <w:r>
        <w:rPr>
          <w:rFonts w:ascii="Times New Roman" w:hAnsi="Times New Roman"/>
          <w:sz w:val="24"/>
        </w:rPr>
        <w:t>Чаир</w:t>
      </w:r>
      <w:r>
        <w:rPr>
          <w:rFonts w:ascii="Times New Roman" w:hAnsi="Times New Roman"/>
          <w:spacing w:val="39"/>
          <w:sz w:val="24"/>
        </w:rPr>
        <w:t> </w:t>
      </w:r>
      <w:r>
        <w:rPr>
          <w:rFonts w:ascii="Times New Roman" w:hAnsi="Times New Roman"/>
          <w:sz w:val="24"/>
        </w:rPr>
        <w:t>у</w:t>
      </w:r>
      <w:r>
        <w:rPr>
          <w:rFonts w:ascii="Times New Roman" w:hAnsi="Times New Roman"/>
          <w:spacing w:val="34"/>
          <w:sz w:val="24"/>
        </w:rPr>
        <w:t> </w:t>
      </w:r>
      <w:r>
        <w:rPr>
          <w:rFonts w:ascii="Times New Roman" w:hAnsi="Times New Roman"/>
          <w:sz w:val="24"/>
        </w:rPr>
        <w:t>Нишу</w:t>
      </w:r>
      <w:r>
        <w:rPr>
          <w:rFonts w:ascii="Times New Roman" w:hAnsi="Times New Roman"/>
          <w:sz w:val="24"/>
        </w:rPr>
        <w:t>,</w:t>
      </w:r>
      <w:r>
        <w:rPr>
          <w:rFonts w:ascii="Times New Roman" w:hAnsi="Times New Roman"/>
          <w:spacing w:val="42"/>
          <w:sz w:val="24"/>
        </w:rPr>
        <w:t> </w:t>
      </w:r>
      <w:r>
        <w:rPr>
          <w:rFonts w:ascii="Times New Roman" w:hAnsi="Times New Roman"/>
          <w:sz w:val="24"/>
        </w:rPr>
        <w:t>увео</w:t>
      </w:r>
      <w:r>
        <w:rPr>
          <w:rFonts w:ascii="Times New Roman" w:hAnsi="Times New Roman"/>
          <w:spacing w:val="41"/>
          <w:sz w:val="24"/>
        </w:rPr>
        <w:t> </w:t>
      </w:r>
      <w:r>
        <w:rPr>
          <w:rFonts w:ascii="Times New Roman" w:hAnsi="Times New Roman"/>
          <w:sz w:val="24"/>
        </w:rPr>
        <w:t>у</w:t>
      </w:r>
    </w:p>
    <w:p>
      <w:pPr>
        <w:spacing w:after="0" w:line="274" w:lineRule="exact"/>
        <w:jc w:val="both"/>
        <w:rPr>
          <w:rFonts w:ascii="Times New Roman" w:hAnsi="Times New Roman" w:cs="Times New Roman" w:eastAsia="Times New Roman" w:hint="default"/>
          <w:sz w:val="24"/>
          <w:szCs w:val="24"/>
        </w:rPr>
        <w:sectPr>
          <w:footerReference w:type="default" r:id="rId77"/>
          <w:pgSz w:w="12240" w:h="15840"/>
          <w:pgMar w:footer="1274" w:header="740" w:top="1280" w:bottom="1460" w:left="1400" w:right="1260"/>
          <w:pgNumType w:start="190"/>
        </w:sectPr>
      </w:pPr>
    </w:p>
    <w:p>
      <w:pPr>
        <w:pStyle w:val="BodyText"/>
        <w:spacing w:line="240" w:lineRule="auto" w:before="122"/>
        <w:ind w:right="174"/>
        <w:jc w:val="both"/>
      </w:pPr>
      <w:r>
        <w:rPr/>
        <w:t>посао у року од три дана од дана закључења уговора (према грађевинском дневнику извођач радова је уведен у посао 30.03.2011. године)</w:t>
      </w:r>
      <w:r>
        <w:rPr>
          <w:rFonts w:ascii="Times New Roman" w:hAnsi="Times New Roman" w:cs="Times New Roman" w:eastAsia="Times New Roman" w:hint="default"/>
        </w:rPr>
        <w:t>, </w:t>
      </w:r>
      <w:r>
        <w:rPr/>
        <w:t>што није у складу са чланом 5. Уговора број 723/2011</w:t>
      </w:r>
      <w:r>
        <w:rPr>
          <w:rFonts w:ascii="Times New Roman" w:hAnsi="Times New Roman" w:cs="Times New Roman" w:eastAsia="Times New Roman" w:hint="default"/>
        </w:rPr>
        <w:t>-01 </w:t>
      </w:r>
      <w:r>
        <w:rPr/>
        <w:t>од 15.03.2011. године закљученог са „МД ГИТ“ доо Ниш</w:t>
      </w:r>
      <w:r>
        <w:rPr>
          <w:rFonts w:ascii="Times New Roman" w:hAnsi="Times New Roman" w:cs="Times New Roman" w:eastAsia="Times New Roman" w:hint="default"/>
        </w:rPr>
        <w:t>, </w:t>
      </w:r>
      <w:r>
        <w:rPr/>
        <w:t>носиоцем заједничке понуде</w:t>
      </w:r>
      <w:r>
        <w:rPr>
          <w:rFonts w:ascii="Times New Roman" w:hAnsi="Times New Roman" w:cs="Times New Roman" w:eastAsia="Times New Roman" w:hint="default"/>
        </w:rPr>
        <w:t>, </w:t>
      </w:r>
      <w:r>
        <w:rPr/>
        <w:t>који изводи уговорене радове заједнички са члановима групе: „Нишпројект</w:t>
      </w:r>
      <w:r>
        <w:rPr>
          <w:rFonts w:ascii="Times New Roman" w:hAnsi="Times New Roman" w:cs="Times New Roman" w:eastAsia="Times New Roman" w:hint="default"/>
        </w:rPr>
        <w:t>-</w:t>
      </w:r>
      <w:r>
        <w:rPr/>
        <w:t>пројектовање“ доо Ниш, „Левел“ доо Ниш, „Денеза М инжењеринг“ доо </w:t>
      </w:r>
      <w:r>
        <w:rPr>
          <w:spacing w:val="47"/>
        </w:rPr>
        <w:t> </w:t>
      </w:r>
      <w:r>
        <w:rPr/>
        <w:t>Београд </w:t>
      </w:r>
      <w:r>
        <w:rPr>
          <w:spacing w:val="47"/>
        </w:rPr>
        <w:t> </w:t>
      </w:r>
      <w:r>
        <w:rPr/>
        <w:t>и </w:t>
      </w:r>
      <w:r>
        <w:rPr>
          <w:spacing w:val="47"/>
        </w:rPr>
        <w:t> </w:t>
      </w:r>
      <w:r>
        <w:rPr/>
        <w:t>„Елеватор“ </w:t>
      </w:r>
      <w:r>
        <w:rPr>
          <w:spacing w:val="45"/>
        </w:rPr>
        <w:t> </w:t>
      </w:r>
      <w:r>
        <w:rPr/>
        <w:t>доо </w:t>
      </w:r>
      <w:r>
        <w:rPr>
          <w:spacing w:val="47"/>
        </w:rPr>
        <w:t> </w:t>
      </w:r>
      <w:r>
        <w:rPr/>
        <w:t>Ниш </w:t>
      </w:r>
      <w:r>
        <w:rPr>
          <w:spacing w:val="46"/>
        </w:rPr>
        <w:t> </w:t>
      </w:r>
      <w:r>
        <w:rPr/>
        <w:t>и </w:t>
      </w:r>
      <w:r>
        <w:rPr>
          <w:spacing w:val="47"/>
        </w:rPr>
        <w:t> </w:t>
      </w:r>
      <w:r>
        <w:rPr/>
        <w:t>подизвођачима </w:t>
      </w:r>
      <w:r>
        <w:rPr>
          <w:spacing w:val="46"/>
        </w:rPr>
        <w:t> </w:t>
      </w:r>
      <w:r>
        <w:rPr/>
        <w:t>ГД </w:t>
      </w:r>
      <w:r>
        <w:rPr>
          <w:spacing w:val="46"/>
        </w:rPr>
        <w:t> </w:t>
      </w:r>
      <w:r>
        <w:rPr/>
        <w:t>„Косаница“ </w:t>
      </w:r>
      <w:r>
        <w:rPr>
          <w:spacing w:val="45"/>
        </w:rPr>
        <w:t> </w:t>
      </w:r>
      <w:r>
        <w:rPr/>
        <w:t>доо </w:t>
      </w:r>
      <w:r>
        <w:rPr>
          <w:spacing w:val="47"/>
        </w:rPr>
        <w:t> </w:t>
      </w:r>
      <w:r>
        <w:rPr/>
        <w:t>Ниш,</w:t>
      </w:r>
    </w:p>
    <w:p>
      <w:pPr>
        <w:pStyle w:val="BodyText"/>
        <w:spacing w:line="240" w:lineRule="auto"/>
        <w:ind w:right="0"/>
        <w:jc w:val="both"/>
      </w:pPr>
      <w:r>
        <w:rPr/>
        <w:t>„Пословност“ доо Ниш, ЈП „Нишстан“ Ниш и СЗР „Тиминг“ пр</w:t>
      </w:r>
      <w:r>
        <w:rPr>
          <w:spacing w:val="-17"/>
        </w:rPr>
        <w:t> </w:t>
      </w:r>
      <w:r>
        <w:rPr/>
        <w:t>Ниш.</w:t>
      </w:r>
    </w:p>
    <w:p>
      <w:pPr>
        <w:pStyle w:val="ListParagraph"/>
        <w:numPr>
          <w:ilvl w:val="0"/>
          <w:numId w:val="9"/>
        </w:numPr>
        <w:tabs>
          <w:tab w:pos="341"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Извођач грађевинских</w:t>
      </w:r>
      <w:r>
        <w:rPr>
          <w:rFonts w:ascii="Times New Roman" w:hAnsi="Times New Roman"/>
          <w:sz w:val="24"/>
        </w:rPr>
        <w:t>, </w:t>
      </w:r>
      <w:r>
        <w:rPr>
          <w:rFonts w:ascii="Times New Roman" w:hAnsi="Times New Roman"/>
          <w:sz w:val="24"/>
        </w:rPr>
        <w:t>грађевинско</w:t>
      </w:r>
      <w:r>
        <w:rPr>
          <w:rFonts w:ascii="Times New Roman" w:hAnsi="Times New Roman"/>
          <w:sz w:val="24"/>
        </w:rPr>
        <w:t>-</w:t>
      </w:r>
      <w:r>
        <w:rPr>
          <w:rFonts w:ascii="Times New Roman" w:hAnsi="Times New Roman"/>
          <w:sz w:val="24"/>
        </w:rPr>
        <w:t>занатских и радова на инсталацијама на реконструкцији и доградњи градског стадиона Чаир у Нишу није завршио радове у року од 270 календарских дана од дана увођења, а ни до крајњег уговореног рока за завршетак радова</w:t>
      </w:r>
      <w:r>
        <w:rPr>
          <w:rFonts w:ascii="Times New Roman" w:hAnsi="Times New Roman"/>
          <w:sz w:val="24"/>
        </w:rPr>
        <w:t>, </w:t>
      </w:r>
      <w:r>
        <w:rPr>
          <w:rFonts w:ascii="Times New Roman" w:hAnsi="Times New Roman"/>
          <w:sz w:val="24"/>
        </w:rPr>
        <w:t>10.12.2011. године. Такође, није потписан писани споразум уговорних страна о продужењу рока, што је супротно члану 5. Уговора број 723</w:t>
      </w:r>
      <w:r>
        <w:rPr>
          <w:rFonts w:ascii="Times New Roman" w:hAnsi="Times New Roman"/>
          <w:sz w:val="24"/>
        </w:rPr>
        <w:t>/2011-01 </w:t>
      </w:r>
      <w:r>
        <w:rPr>
          <w:rFonts w:ascii="Times New Roman" w:hAnsi="Times New Roman"/>
          <w:sz w:val="24"/>
        </w:rPr>
        <w:t>од </w:t>
      </w:r>
      <w:r>
        <w:rPr>
          <w:rFonts w:ascii="Times New Roman" w:hAnsi="Times New Roman"/>
          <w:sz w:val="24"/>
        </w:rPr>
        <w:t>15.03.2011. </w:t>
      </w:r>
      <w:r>
        <w:rPr>
          <w:rFonts w:ascii="Times New Roman" w:hAnsi="Times New Roman"/>
          <w:sz w:val="24"/>
        </w:rPr>
        <w:t>године</w:t>
      </w:r>
      <w:r>
        <w:rPr>
          <w:rFonts w:ascii="Times New Roman" w:hAnsi="Times New Roman"/>
          <w:sz w:val="24"/>
        </w:rPr>
        <w:t>.</w:t>
      </w:r>
    </w:p>
    <w:p>
      <w:pPr>
        <w:pStyle w:val="ListParagraph"/>
        <w:numPr>
          <w:ilvl w:val="0"/>
          <w:numId w:val="9"/>
        </w:numPr>
        <w:tabs>
          <w:tab w:pos="341"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Извођач додатних грађевинских, грађевинско</w:t>
      </w:r>
      <w:r>
        <w:rPr>
          <w:rFonts w:ascii="Times New Roman" w:hAnsi="Times New Roman"/>
          <w:sz w:val="24"/>
        </w:rPr>
        <w:t>-</w:t>
      </w:r>
      <w:r>
        <w:rPr>
          <w:rFonts w:ascii="Times New Roman" w:hAnsi="Times New Roman"/>
          <w:sz w:val="24"/>
        </w:rPr>
        <w:t>занатских и радова на инсталацијама на реконструкцији и доградњи градског стадиона Чаир у Нишу није завршио додатне радове у року од 60 дана од дана увођења у посао по Уговору број </w:t>
      </w:r>
      <w:r>
        <w:rPr>
          <w:rFonts w:ascii="Times New Roman" w:hAnsi="Times New Roman"/>
          <w:sz w:val="24"/>
        </w:rPr>
        <w:t>642/2012-</w:t>
      </w:r>
      <w:r>
        <w:rPr>
          <w:rFonts w:ascii="Times New Roman" w:hAnsi="Times New Roman"/>
          <w:sz w:val="24"/>
        </w:rPr>
        <w:t>01 дана 08.03.2012. године (према грађевинском дневнику извођач радова је уведен у посао 12.04.2013. године), а ни до крајњег уговореног рока за завршетак радова</w:t>
      </w:r>
      <w:r>
        <w:rPr>
          <w:rFonts w:ascii="Times New Roman" w:hAnsi="Times New Roman"/>
          <w:sz w:val="24"/>
        </w:rPr>
        <w:t>, </w:t>
      </w:r>
      <w:r>
        <w:rPr>
          <w:rFonts w:ascii="Times New Roman" w:hAnsi="Times New Roman"/>
          <w:sz w:val="24"/>
        </w:rPr>
        <w:t>30.09.2012. године.  Такође, није потписан писани споразум уговорних страна о продужењу рока, што је супротно члану 5. Уговора број 642/2012</w:t>
      </w:r>
      <w:r>
        <w:rPr>
          <w:rFonts w:ascii="Times New Roman" w:hAnsi="Times New Roman"/>
          <w:sz w:val="24"/>
        </w:rPr>
        <w:t>-01 </w:t>
      </w:r>
      <w:r>
        <w:rPr>
          <w:rFonts w:ascii="Times New Roman" w:hAnsi="Times New Roman"/>
          <w:sz w:val="24"/>
        </w:rPr>
        <w:t>од 08.03.2012.</w:t>
      </w:r>
      <w:r>
        <w:rPr>
          <w:rFonts w:ascii="Times New Roman" w:hAnsi="Times New Roman"/>
          <w:spacing w:val="-5"/>
          <w:sz w:val="24"/>
        </w:rPr>
        <w:t> </w:t>
      </w:r>
      <w:r>
        <w:rPr>
          <w:rFonts w:ascii="Times New Roman" w:hAnsi="Times New Roman"/>
          <w:sz w:val="24"/>
        </w:rPr>
        <w:t>године</w:t>
      </w:r>
      <w:r>
        <w:rPr>
          <w:rFonts w:ascii="Times New Roman" w:hAnsi="Times New Roman"/>
          <w:sz w:val="24"/>
        </w:rPr>
        <w:t>.</w:t>
      </w:r>
    </w:p>
    <w:p>
      <w:pPr>
        <w:pStyle w:val="ListParagraph"/>
        <w:numPr>
          <w:ilvl w:val="0"/>
          <w:numId w:val="9"/>
        </w:numPr>
        <w:tabs>
          <w:tab w:pos="341"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Увидом у конкурсну документацију за набавку додатних радова на реконструкцији и доградњи градског стадиона Чаир утврдили смо да постоје значајна одступања између предвиђених количина на позицијама у конкурсној документацији и реализованих радова који су изведени и фактурисани у ситуацијама (изведене су веће количине у односу на уговорене). Тако су по двадесетпрвој привременој ситуацији за источну трибину  исказани укупни радови у износу од 292.529 хиљада динара, а по спецификацији радова у конкурсној документацији за источну трибину су предвиђени радови у вредности од 279.908 хиљада</w:t>
      </w:r>
      <w:r>
        <w:rPr>
          <w:rFonts w:ascii="Times New Roman" w:hAnsi="Times New Roman"/>
          <w:spacing w:val="-3"/>
          <w:sz w:val="24"/>
        </w:rPr>
        <w:t> </w:t>
      </w:r>
      <w:r>
        <w:rPr>
          <w:rFonts w:ascii="Times New Roman" w:hAnsi="Times New Roman"/>
          <w:sz w:val="24"/>
        </w:rPr>
        <w:t>динара.</w:t>
      </w:r>
    </w:p>
    <w:p>
      <w:pPr>
        <w:pStyle w:val="ListParagraph"/>
        <w:numPr>
          <w:ilvl w:val="0"/>
          <w:numId w:val="9"/>
        </w:numPr>
        <w:tabs>
          <w:tab w:pos="341"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Грађевински дневник и грађевинска књига по Уговору број 723/2011</w:t>
      </w:r>
      <w:r>
        <w:rPr>
          <w:rFonts w:ascii="Times New Roman" w:hAnsi="Times New Roman"/>
          <w:sz w:val="24"/>
        </w:rPr>
        <w:t>-</w:t>
      </w:r>
      <w:r>
        <w:rPr>
          <w:rFonts w:ascii="Times New Roman" w:hAnsi="Times New Roman"/>
          <w:sz w:val="24"/>
        </w:rPr>
        <w:t>01 од 15.03.2011. године о извођењу грађевинских, грађевинско</w:t>
      </w:r>
      <w:r>
        <w:rPr>
          <w:rFonts w:ascii="Times New Roman" w:hAnsi="Times New Roman"/>
          <w:sz w:val="24"/>
        </w:rPr>
        <w:t>-</w:t>
      </w:r>
      <w:r>
        <w:rPr>
          <w:rFonts w:ascii="Times New Roman" w:hAnsi="Times New Roman"/>
          <w:sz w:val="24"/>
        </w:rPr>
        <w:t>занатских и радова на инсталацијама и Уговору број 642/2012</w:t>
      </w:r>
      <w:r>
        <w:rPr>
          <w:rFonts w:ascii="Times New Roman" w:hAnsi="Times New Roman"/>
          <w:sz w:val="24"/>
        </w:rPr>
        <w:t>-01 </w:t>
      </w:r>
      <w:r>
        <w:rPr>
          <w:rFonts w:ascii="Times New Roman" w:hAnsi="Times New Roman"/>
          <w:sz w:val="24"/>
        </w:rPr>
        <w:t>од 08.03.2012. године о извођењу додатних грађевинских, грађевинско</w:t>
      </w:r>
      <w:r>
        <w:rPr>
          <w:rFonts w:ascii="Times New Roman" w:hAnsi="Times New Roman"/>
          <w:sz w:val="24"/>
        </w:rPr>
        <w:t>-</w:t>
      </w:r>
      <w:r>
        <w:rPr>
          <w:rFonts w:ascii="Times New Roman" w:hAnsi="Times New Roman"/>
          <w:sz w:val="24"/>
        </w:rPr>
        <w:t>занатских и радова на инсталацијама на реконструкцији и доградњи градског стадиона Чаир нису попуњени у складу чланом </w:t>
      </w:r>
      <w:r>
        <w:rPr>
          <w:rFonts w:ascii="Times New Roman" w:hAnsi="Times New Roman"/>
          <w:sz w:val="24"/>
        </w:rPr>
        <w:t>8</w:t>
      </w:r>
      <w:r>
        <w:rPr>
          <w:rFonts w:ascii="Times New Roman" w:hAnsi="Times New Roman"/>
          <w:sz w:val="24"/>
        </w:rPr>
        <w:t>. Правилника о садржини и начину вођења стручног надзора и чланом 3. и 11. Правилника о садржини и начину вођења књиге инспекције и грађевинског</w:t>
      </w:r>
      <w:r>
        <w:rPr>
          <w:rFonts w:ascii="Times New Roman" w:hAnsi="Times New Roman"/>
          <w:spacing w:val="-14"/>
          <w:sz w:val="24"/>
        </w:rPr>
        <w:t> </w:t>
      </w:r>
      <w:r>
        <w:rPr>
          <w:rFonts w:ascii="Times New Roman" w:hAnsi="Times New Roman"/>
          <w:sz w:val="24"/>
        </w:rPr>
        <w:t>дневника.</w:t>
      </w:r>
    </w:p>
    <w:p>
      <w:pPr>
        <w:pStyle w:val="ListParagraph"/>
        <w:numPr>
          <w:ilvl w:val="0"/>
          <w:numId w:val="9"/>
        </w:numPr>
        <w:tabs>
          <w:tab w:pos="341" w:val="left" w:leader="none"/>
        </w:tabs>
        <w:spacing w:line="292" w:lineRule="exact" w:before="2" w:after="0"/>
        <w:ind w:left="340" w:right="0" w:hanging="180"/>
        <w:jc w:val="both"/>
        <w:rPr>
          <w:rFonts w:ascii="Times New Roman" w:hAnsi="Times New Roman" w:cs="Times New Roman" w:eastAsia="Times New Roman" w:hint="default"/>
          <w:sz w:val="24"/>
          <w:szCs w:val="24"/>
        </w:rPr>
      </w:pPr>
      <w:r>
        <w:rPr>
          <w:rFonts w:ascii="Times New Roman" w:hAnsi="Times New Roman"/>
          <w:sz w:val="24"/>
        </w:rPr>
        <w:t>Стадион</w:t>
      </w:r>
      <w:r>
        <w:rPr>
          <w:rFonts w:ascii="Times New Roman" w:hAnsi="Times New Roman"/>
          <w:spacing w:val="30"/>
          <w:sz w:val="24"/>
        </w:rPr>
        <w:t> </w:t>
      </w:r>
      <w:r>
        <w:rPr>
          <w:rFonts w:ascii="Times New Roman" w:hAnsi="Times New Roman"/>
          <w:sz w:val="24"/>
        </w:rPr>
        <w:t>Чаир</w:t>
      </w:r>
      <w:r>
        <w:rPr>
          <w:rFonts w:ascii="Times New Roman" w:hAnsi="Times New Roman"/>
          <w:spacing w:val="29"/>
          <w:sz w:val="24"/>
        </w:rPr>
        <w:t> </w:t>
      </w:r>
      <w:r>
        <w:rPr>
          <w:rFonts w:ascii="Times New Roman" w:hAnsi="Times New Roman"/>
          <w:sz w:val="24"/>
        </w:rPr>
        <w:t>се</w:t>
      </w:r>
      <w:r>
        <w:rPr>
          <w:rFonts w:ascii="Times New Roman" w:hAnsi="Times New Roman"/>
          <w:spacing w:val="29"/>
          <w:sz w:val="24"/>
        </w:rPr>
        <w:t> </w:t>
      </w:r>
      <w:r>
        <w:rPr>
          <w:rFonts w:ascii="Times New Roman" w:hAnsi="Times New Roman"/>
          <w:sz w:val="24"/>
        </w:rPr>
        <w:t>користи,</w:t>
      </w:r>
      <w:r>
        <w:rPr>
          <w:rFonts w:ascii="Times New Roman" w:hAnsi="Times New Roman"/>
          <w:spacing w:val="29"/>
          <w:sz w:val="24"/>
        </w:rPr>
        <w:t> </w:t>
      </w:r>
      <w:r>
        <w:rPr>
          <w:rFonts w:ascii="Times New Roman" w:hAnsi="Times New Roman"/>
          <w:sz w:val="24"/>
        </w:rPr>
        <w:t>а</w:t>
      </w:r>
      <w:r>
        <w:rPr>
          <w:rFonts w:ascii="Times New Roman" w:hAnsi="Times New Roman"/>
          <w:spacing w:val="37"/>
          <w:sz w:val="24"/>
        </w:rPr>
        <w:t> </w:t>
      </w:r>
      <w:r>
        <w:rPr>
          <w:rFonts w:ascii="Times New Roman" w:hAnsi="Times New Roman"/>
          <w:sz w:val="24"/>
        </w:rPr>
        <w:t>употребна</w:t>
      </w:r>
      <w:r>
        <w:rPr>
          <w:rFonts w:ascii="Times New Roman" w:hAnsi="Times New Roman"/>
          <w:spacing w:val="29"/>
          <w:sz w:val="24"/>
        </w:rPr>
        <w:t> </w:t>
      </w:r>
      <w:r>
        <w:rPr>
          <w:rFonts w:ascii="Times New Roman" w:hAnsi="Times New Roman"/>
          <w:sz w:val="24"/>
        </w:rPr>
        <w:t>дозвола</w:t>
      </w:r>
      <w:r>
        <w:rPr>
          <w:rFonts w:ascii="Times New Roman" w:hAnsi="Times New Roman"/>
          <w:spacing w:val="29"/>
          <w:sz w:val="24"/>
        </w:rPr>
        <w:t> </w:t>
      </w:r>
      <w:r>
        <w:rPr>
          <w:rFonts w:ascii="Times New Roman" w:hAnsi="Times New Roman"/>
          <w:sz w:val="24"/>
        </w:rPr>
        <w:t>није</w:t>
      </w:r>
      <w:r>
        <w:rPr>
          <w:rFonts w:ascii="Times New Roman" w:hAnsi="Times New Roman"/>
          <w:spacing w:val="29"/>
          <w:sz w:val="24"/>
        </w:rPr>
        <w:t> </w:t>
      </w:r>
      <w:r>
        <w:rPr>
          <w:rFonts w:ascii="Times New Roman" w:hAnsi="Times New Roman"/>
          <w:sz w:val="24"/>
        </w:rPr>
        <w:t>добијена,</w:t>
      </w:r>
      <w:r>
        <w:rPr>
          <w:rFonts w:ascii="Times New Roman" w:hAnsi="Times New Roman"/>
          <w:spacing w:val="29"/>
          <w:sz w:val="24"/>
        </w:rPr>
        <w:t> </w:t>
      </w:r>
      <w:r>
        <w:rPr>
          <w:rFonts w:ascii="Times New Roman" w:hAnsi="Times New Roman"/>
          <w:sz w:val="24"/>
        </w:rPr>
        <w:t>што</w:t>
      </w:r>
      <w:r>
        <w:rPr>
          <w:rFonts w:ascii="Times New Roman" w:hAnsi="Times New Roman"/>
          <w:spacing w:val="29"/>
          <w:sz w:val="24"/>
        </w:rPr>
        <w:t> </w:t>
      </w:r>
      <w:r>
        <w:rPr>
          <w:rFonts w:ascii="Times New Roman" w:hAnsi="Times New Roman"/>
          <w:sz w:val="24"/>
        </w:rPr>
        <w:t>је</w:t>
      </w:r>
      <w:r>
        <w:rPr>
          <w:rFonts w:ascii="Times New Roman" w:hAnsi="Times New Roman"/>
          <w:spacing w:val="29"/>
          <w:sz w:val="24"/>
        </w:rPr>
        <w:t> </w:t>
      </w:r>
      <w:r>
        <w:rPr>
          <w:rFonts w:ascii="Times New Roman" w:hAnsi="Times New Roman"/>
          <w:sz w:val="24"/>
        </w:rPr>
        <w:t>супротно</w:t>
      </w:r>
      <w:r>
        <w:rPr>
          <w:rFonts w:ascii="Times New Roman" w:hAnsi="Times New Roman"/>
          <w:spacing w:val="29"/>
          <w:sz w:val="24"/>
        </w:rPr>
        <w:t> </w:t>
      </w:r>
      <w:r>
        <w:rPr>
          <w:rFonts w:ascii="Times New Roman" w:hAnsi="Times New Roman"/>
          <w:sz w:val="24"/>
        </w:rPr>
        <w:t>члану</w:t>
      </w:r>
    </w:p>
    <w:p>
      <w:pPr>
        <w:pStyle w:val="BodyText"/>
        <w:spacing w:line="274" w:lineRule="exact"/>
        <w:ind w:right="0"/>
        <w:jc w:val="both"/>
      </w:pPr>
      <w:r>
        <w:rPr/>
        <w:t>158. Закона о планирању и</w:t>
      </w:r>
      <w:r>
        <w:rPr>
          <w:spacing w:val="-11"/>
        </w:rPr>
        <w:t> </w:t>
      </w:r>
      <w:r>
        <w:rPr/>
        <w:t>изградњи.</w:t>
      </w:r>
    </w:p>
    <w:p>
      <w:pPr>
        <w:pStyle w:val="ListParagraph"/>
        <w:numPr>
          <w:ilvl w:val="0"/>
          <w:numId w:val="9"/>
        </w:numPr>
        <w:tabs>
          <w:tab w:pos="341"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Извођач радова није доставио банкарску гаранцију за добро извршење посла у износу од 100.000 хиљада динара, што је супротно члану 12. Уговора број 723/2011</w:t>
      </w:r>
      <w:r>
        <w:rPr>
          <w:rFonts w:ascii="Times New Roman" w:hAnsi="Times New Roman"/>
          <w:sz w:val="24"/>
        </w:rPr>
        <w:t>-01 </w:t>
      </w:r>
      <w:r>
        <w:rPr>
          <w:rFonts w:ascii="Times New Roman" w:hAnsi="Times New Roman"/>
          <w:sz w:val="24"/>
        </w:rPr>
        <w:t>од 15.03.2011. године о извођењу грађевинских, грађевинско</w:t>
      </w:r>
      <w:r>
        <w:rPr>
          <w:rFonts w:ascii="Times New Roman" w:hAnsi="Times New Roman"/>
          <w:sz w:val="24"/>
        </w:rPr>
        <w:t>-</w:t>
      </w:r>
      <w:r>
        <w:rPr>
          <w:rFonts w:ascii="Times New Roman" w:hAnsi="Times New Roman"/>
          <w:sz w:val="24"/>
        </w:rPr>
        <w:t>занатских и радова на инсталацијама на реконструкцији и доградњи градског стадиона</w:t>
      </w:r>
      <w:r>
        <w:rPr>
          <w:rFonts w:ascii="Times New Roman" w:hAnsi="Times New Roman"/>
          <w:spacing w:val="-15"/>
          <w:sz w:val="24"/>
        </w:rPr>
        <w:t> </w:t>
      </w:r>
      <w:r>
        <w:rPr>
          <w:rFonts w:ascii="Times New Roman" w:hAnsi="Times New Roman"/>
          <w:sz w:val="24"/>
        </w:rPr>
        <w:t>Чаир</w:t>
      </w:r>
      <w:r>
        <w:rPr>
          <w:rFonts w:ascii="Times New Roman" w:hAnsi="Times New Roman"/>
          <w:sz w:val="24"/>
        </w:rPr>
        <w:t>.</w:t>
      </w:r>
    </w:p>
    <w:p>
      <w:pPr>
        <w:pStyle w:val="ListParagraph"/>
        <w:numPr>
          <w:ilvl w:val="0"/>
          <w:numId w:val="9"/>
        </w:numPr>
        <w:tabs>
          <w:tab w:pos="341" w:val="left" w:leader="none"/>
        </w:tabs>
        <w:spacing w:line="240" w:lineRule="auto" w:before="0"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Извођач додатних грађевинских, грађевинско</w:t>
      </w:r>
      <w:r>
        <w:rPr>
          <w:rFonts w:ascii="Times New Roman" w:hAnsi="Times New Roman"/>
          <w:sz w:val="24"/>
        </w:rPr>
        <w:t>-</w:t>
      </w:r>
      <w:r>
        <w:rPr>
          <w:rFonts w:ascii="Times New Roman" w:hAnsi="Times New Roman"/>
          <w:sz w:val="24"/>
        </w:rPr>
        <w:t>занатских и радова на инсталацијама на реконструкцији и доградњи градског стадиона Чаир није доставио менице за добро извршење посла у износу од 18.000 хиљада динара, што је супротно члану 10. Уговора број 642/2012</w:t>
      </w:r>
      <w:r>
        <w:rPr>
          <w:rFonts w:ascii="Times New Roman" w:hAnsi="Times New Roman"/>
          <w:sz w:val="24"/>
        </w:rPr>
        <w:t>-01 </w:t>
      </w:r>
      <w:r>
        <w:rPr>
          <w:rFonts w:ascii="Times New Roman" w:hAnsi="Times New Roman"/>
          <w:sz w:val="24"/>
        </w:rPr>
        <w:t>од 08.03.2012.</w:t>
      </w:r>
      <w:r>
        <w:rPr>
          <w:rFonts w:ascii="Times New Roman" w:hAnsi="Times New Roman"/>
          <w:spacing w:val="-1"/>
          <w:sz w:val="24"/>
        </w:rPr>
        <w:t> </w:t>
      </w:r>
      <w:r>
        <w:rPr>
          <w:rFonts w:ascii="Times New Roman" w:hAnsi="Times New Roman"/>
          <w:sz w:val="24"/>
        </w:rPr>
        <w:t>године</w:t>
      </w:r>
      <w:r>
        <w:rPr>
          <w:rFonts w:ascii="Times New Roman" w:hAnsi="Times New Roman"/>
          <w:sz w:val="24"/>
        </w:rPr>
        <w:t>.</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Heading2"/>
        <w:spacing w:line="240" w:lineRule="auto" w:before="126"/>
        <w:ind w:right="173"/>
        <w:jc w:val="both"/>
        <w:rPr>
          <w:b w:val="0"/>
          <w:bCs w:val="0"/>
          <w:i w:val="0"/>
        </w:rPr>
      </w:pPr>
      <w:r>
        <w:rPr>
          <w:i/>
        </w:rPr>
        <w:t>Препоручује се одговорним лицима да обезбеде правилну примену одредби Закона о планирању и изградњи, Правилника о садржини и начину вођења књиге инспекције  и грађевинског дневника и Правилника о садржини и начину вођења стручног надзора и да доследно примењују одредбе закључених</w:t>
      </w:r>
      <w:r>
        <w:rPr>
          <w:i/>
          <w:spacing w:val="-12"/>
        </w:rPr>
        <w:t> </w:t>
      </w:r>
      <w:r>
        <w:rPr>
          <w:i/>
        </w:rPr>
        <w:t>уговора.</w:t>
      </w:r>
      <w:r>
        <w:rPr>
          <w:b w:val="0"/>
          <w:i w:val="0"/>
        </w:rPr>
      </w:r>
    </w:p>
    <w:p>
      <w:pPr>
        <w:pStyle w:val="ListParagraph"/>
        <w:numPr>
          <w:ilvl w:val="3"/>
          <w:numId w:val="50"/>
        </w:numPr>
        <w:tabs>
          <w:tab w:pos="1013" w:val="left" w:leader="none"/>
        </w:tabs>
        <w:spacing w:line="274" w:lineRule="exact" w:before="137" w:after="0"/>
        <w:ind w:left="1012" w:right="0" w:hanging="286"/>
        <w:jc w:val="left"/>
        <w:rPr>
          <w:rFonts w:ascii="Times New Roman" w:hAnsi="Times New Roman" w:cs="Times New Roman" w:eastAsia="Times New Roman" w:hint="default"/>
          <w:sz w:val="24"/>
          <w:szCs w:val="24"/>
        </w:rPr>
      </w:pPr>
      <w:r>
        <w:rPr>
          <w:rFonts w:ascii="Times New Roman" w:hAnsi="Times New Roman"/>
          <w:b/>
          <w:sz w:val="24"/>
        </w:rPr>
        <w:t>Служба   за   одржавање   и   информатичко   комуникационе   технологије </w:t>
      </w:r>
      <w:r>
        <w:rPr>
          <w:rFonts w:ascii="Times New Roman" w:hAnsi="Times New Roman"/>
          <w:b/>
          <w:spacing w:val="41"/>
          <w:sz w:val="24"/>
        </w:rPr>
        <w:t> </w:t>
      </w:r>
      <w:r>
        <w:rPr>
          <w:rFonts w:ascii="Times New Roman" w:hAnsi="Times New Roman"/>
          <w:b/>
          <w:sz w:val="24"/>
        </w:rPr>
        <w:t>-</w:t>
      </w:r>
      <w:r>
        <w:rPr>
          <w:rFonts w:ascii="Times New Roman" w:hAnsi="Times New Roman"/>
          <w:sz w:val="24"/>
        </w:rPr>
      </w:r>
    </w:p>
    <w:p>
      <w:pPr>
        <w:pStyle w:val="BodyText"/>
        <w:spacing w:line="274" w:lineRule="exact"/>
        <w:ind w:right="0"/>
        <w:jc w:val="both"/>
        <w:rPr>
          <w:rFonts w:ascii="Times New Roman" w:hAnsi="Times New Roman" w:cs="Times New Roman" w:eastAsia="Times New Roman" w:hint="default"/>
        </w:rPr>
      </w:pPr>
      <w:r>
        <w:rPr/>
        <w:t>Исказан је издатак у износу од 18.654 хиљаде динара из средстава буџета</w:t>
      </w:r>
      <w:r>
        <w:rPr>
          <w:spacing w:val="-22"/>
        </w:rPr>
        <w:t> </w:t>
      </w:r>
      <w:r>
        <w:rPr/>
        <w:t>града</w:t>
      </w:r>
      <w:r>
        <w:rPr>
          <w:rFonts w:ascii="Times New Roman" w:hAnsi="Times New Roman"/>
        </w:rPr>
        <w:t>.</w:t>
      </w:r>
    </w:p>
    <w:p>
      <w:pPr>
        <w:pStyle w:val="BodyText"/>
        <w:spacing w:line="240" w:lineRule="auto"/>
        <w:ind w:left="726" w:right="141"/>
        <w:jc w:val="left"/>
      </w:pPr>
      <w:r>
        <w:rPr>
          <w:rFonts w:ascii="Times New Roman" w:hAnsi="Times New Roman"/>
        </w:rPr>
      </w:r>
      <w:r>
        <w:rPr>
          <w:rFonts w:ascii="Times New Roman" w:hAnsi="Times New Roman"/>
          <w:spacing w:val="-60"/>
          <w:u w:val="single" w:color="000000"/>
        </w:rPr>
        <w:t> </w:t>
      </w:r>
      <w:r>
        <w:rPr>
          <w:u w:val="single" w:color="000000"/>
        </w:rPr>
        <w:t>Капитално  одржавање  пословних  зграда  и  пословног  простора,   </w:t>
      </w:r>
      <w:r>
        <w:rPr>
          <w:spacing w:val="18"/>
          <w:u w:val="single" w:color="000000"/>
        </w:rPr>
        <w:t> </w:t>
      </w:r>
      <w:r>
        <w:rPr>
          <w:u w:val="single" w:color="000000"/>
        </w:rPr>
        <w:t>субаналитички</w:t>
      </w:r>
      <w:r>
        <w:rPr/>
      </w:r>
    </w:p>
    <w:p>
      <w:pPr>
        <w:pStyle w:val="BodyText"/>
        <w:spacing w:line="240" w:lineRule="auto"/>
        <w:ind w:right="0"/>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конто </w:t>
      </w:r>
      <w:r>
        <w:rPr>
          <w:rFonts w:ascii="Times New Roman" w:hAnsi="Times New Roman"/>
          <w:u w:val="single" w:color="000000"/>
        </w:rPr>
        <w:t>511321 </w:t>
      </w:r>
      <w:r>
        <w:rPr>
          <w:rFonts w:ascii="Times New Roman" w:hAnsi="Times New Roman"/>
        </w:rPr>
      </w:r>
      <w:r>
        <w:rPr>
          <w:rFonts w:ascii="Times New Roman" w:hAnsi="Times New Roman"/>
          <w:b/>
        </w:rPr>
        <w:t>- </w:t>
      </w:r>
      <w:r>
        <w:rPr/>
        <w:t>Исказани су издаци у износу од 18.465 хиљада</w:t>
      </w:r>
      <w:r>
        <w:rPr>
          <w:spacing w:val="-17"/>
        </w:rPr>
        <w:t> </w:t>
      </w:r>
      <w:r>
        <w:rPr/>
        <w:t>динара</w:t>
      </w:r>
      <w:r>
        <w:rPr>
          <w:rFonts w:ascii="Times New Roman" w:hAnsi="Times New Roman"/>
        </w:rPr>
        <w:t>.</w:t>
      </w:r>
    </w:p>
    <w:p>
      <w:pPr>
        <w:pStyle w:val="Heading1"/>
        <w:spacing w:line="274" w:lineRule="exact"/>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2"/>
        </w:rPr>
        <w:t> </w:t>
      </w:r>
      <w:r>
        <w:rPr/>
        <w:t>је</w:t>
      </w:r>
      <w:r>
        <w:rPr>
          <w:rFonts w:ascii="Times New Roman" w:hAnsi="Times New Roman"/>
        </w:rPr>
        <w:t>:</w:t>
      </w:r>
      <w:r>
        <w:rPr>
          <w:rFonts w:ascii="Times New Roman" w:hAnsi="Times New Roman"/>
          <w:b w:val="0"/>
        </w:rPr>
      </w:r>
    </w:p>
    <w:p>
      <w:pPr>
        <w:pStyle w:val="ListParagraph"/>
        <w:numPr>
          <w:ilvl w:val="0"/>
          <w:numId w:val="9"/>
        </w:numPr>
        <w:tabs>
          <w:tab w:pos="303" w:val="left" w:leader="none"/>
        </w:tabs>
        <w:spacing w:line="240" w:lineRule="auto" w:before="0" w:after="0"/>
        <w:ind w:left="160" w:right="172" w:firstLine="0"/>
        <w:jc w:val="both"/>
        <w:rPr>
          <w:rFonts w:ascii="Times New Roman" w:hAnsi="Times New Roman" w:cs="Times New Roman" w:eastAsia="Times New Roman" w:hint="default"/>
          <w:sz w:val="22"/>
          <w:szCs w:val="22"/>
        </w:rPr>
      </w:pPr>
      <w:r>
        <w:rPr>
          <w:rFonts w:ascii="Times New Roman" w:hAnsi="Times New Roman" w:cs="Times New Roman" w:eastAsia="Times New Roman" w:hint="default"/>
          <w:sz w:val="24"/>
          <w:szCs w:val="24"/>
        </w:rPr>
        <w:t>Извршен је издатак за радове на адаптацији подрума у објекту града Ниша у улици Николе Пашића број 24 у већем износу за 146 хиљада динара од уговореног Уговором број 16</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548/2013 од 29.01.2013. године закљученим са ЈП „Нишстан“ Ниш, што је супротно члану 56. и 58. Закона о буџетском систему. Вредност уговорених радова износи 1.749 хиљада динара са ПДВ, а набављени су и плаћени радови у износу од </w:t>
      </w:r>
      <w:r>
        <w:rPr>
          <w:rFonts w:ascii="Times New Roman" w:hAnsi="Times New Roman" w:cs="Times New Roman" w:eastAsia="Times New Roman" w:hint="default"/>
          <w:sz w:val="24"/>
          <w:szCs w:val="24"/>
        </w:rPr>
        <w:t>1.895 </w:t>
      </w:r>
      <w:r>
        <w:rPr>
          <w:rFonts w:ascii="Times New Roman" w:hAnsi="Times New Roman" w:cs="Times New Roman" w:eastAsia="Times New Roman" w:hint="default"/>
          <w:sz w:val="24"/>
          <w:szCs w:val="24"/>
        </w:rPr>
        <w:t>хиљада</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динара</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40" w:lineRule="auto" w:before="0" w:after="0"/>
        <w:ind w:left="160" w:right="177" w:firstLine="0"/>
        <w:jc w:val="both"/>
        <w:rPr>
          <w:rFonts w:ascii="Times New Roman" w:hAnsi="Times New Roman" w:cs="Times New Roman" w:eastAsia="Times New Roman" w:hint="default"/>
          <w:sz w:val="22"/>
          <w:szCs w:val="22"/>
        </w:rPr>
      </w:pPr>
      <w:r>
        <w:rPr>
          <w:rFonts w:ascii="Times New Roman" w:hAnsi="Times New Roman" w:cs="Times New Roman" w:eastAsia="Times New Roman" w:hint="default"/>
          <w:sz w:val="24"/>
          <w:szCs w:val="24"/>
        </w:rPr>
        <w:t>Захтеви за плаћање број 16</w:t>
      </w:r>
      <w:r>
        <w:rPr>
          <w:rFonts w:ascii="Times New Roman" w:hAnsi="Times New Roman" w:cs="Times New Roman" w:eastAsia="Times New Roman" w:hint="default"/>
          <w:sz w:val="24"/>
          <w:szCs w:val="24"/>
        </w:rPr>
        <w:t>-916/2014 </w:t>
      </w:r>
      <w:r>
        <w:rPr>
          <w:rFonts w:ascii="Times New Roman" w:hAnsi="Times New Roman" w:cs="Times New Roman" w:eastAsia="Times New Roman" w:hint="default"/>
          <w:sz w:val="24"/>
          <w:szCs w:val="24"/>
        </w:rPr>
        <w:t>и број 16</w:t>
      </w:r>
      <w:r>
        <w:rPr>
          <w:rFonts w:ascii="Times New Roman" w:hAnsi="Times New Roman" w:cs="Times New Roman" w:eastAsia="Times New Roman" w:hint="default"/>
          <w:sz w:val="24"/>
          <w:szCs w:val="24"/>
        </w:rPr>
        <w:t>-917/2014 </w:t>
      </w:r>
      <w:r>
        <w:rPr>
          <w:rFonts w:ascii="Times New Roman" w:hAnsi="Times New Roman" w:cs="Times New Roman" w:eastAsia="Times New Roman" w:hint="default"/>
          <w:sz w:val="24"/>
          <w:szCs w:val="24"/>
        </w:rPr>
        <w:t>за плаћање ЈП „Нишстан“ Ниш у износу од 1.895 хиљада динара нису потписани од стране лица која су извршила контролу, лица које оверава захтеве и одговорног лица, како је то прописано Упутством о раду трезора града Ниша, што је супротно члану 16. Уредбе о буџетском</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рачуноводству.</w:t>
      </w:r>
    </w:p>
    <w:p>
      <w:pPr>
        <w:pStyle w:val="ListParagraph"/>
        <w:numPr>
          <w:ilvl w:val="0"/>
          <w:numId w:val="9"/>
        </w:numPr>
        <w:tabs>
          <w:tab w:pos="303" w:val="left" w:leader="none"/>
        </w:tabs>
        <w:spacing w:line="240" w:lineRule="auto" w:before="0" w:after="0"/>
        <w:ind w:left="160" w:right="176" w:firstLine="0"/>
        <w:jc w:val="both"/>
        <w:rPr>
          <w:rFonts w:ascii="Times New Roman" w:hAnsi="Times New Roman" w:cs="Times New Roman" w:eastAsia="Times New Roman" w:hint="default"/>
          <w:sz w:val="22"/>
          <w:szCs w:val="22"/>
        </w:rPr>
      </w:pPr>
      <w:r>
        <w:rPr>
          <w:rFonts w:ascii="Times New Roman" w:hAnsi="Times New Roman" w:cs="Times New Roman" w:eastAsia="Times New Roman" w:hint="default"/>
          <w:sz w:val="24"/>
          <w:szCs w:val="24"/>
        </w:rPr>
        <w:t>Наручилац није извођача радова на адаптацији подрума у објекту града Ниша у улици Николе Пашића број 24, ЈП „Нишстан“ Ниш, увео у посао у року од три дана од дана потписивања уговора већ након 9 месеци (дана 04.11.2013. године), што је супротно члану 3. став 3. Уговора о извођењу радова број </w:t>
      </w:r>
      <w:r>
        <w:rPr>
          <w:rFonts w:ascii="Times New Roman" w:hAnsi="Times New Roman" w:cs="Times New Roman" w:eastAsia="Times New Roman" w:hint="default"/>
          <w:sz w:val="24"/>
          <w:szCs w:val="24"/>
        </w:rPr>
        <w:t>16-548/2013 </w:t>
      </w:r>
      <w:r>
        <w:rPr>
          <w:rFonts w:ascii="Times New Roman" w:hAnsi="Times New Roman" w:cs="Times New Roman" w:eastAsia="Times New Roman" w:hint="default"/>
          <w:sz w:val="24"/>
          <w:szCs w:val="24"/>
        </w:rPr>
        <w:t>од 29.01.2013.</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године</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92" w:lineRule="exact" w:before="2"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Наручилац</w:t>
      </w:r>
      <w:r>
        <w:rPr>
          <w:rFonts w:ascii="Times New Roman" w:hAnsi="Times New Roman"/>
          <w:spacing w:val="33"/>
          <w:sz w:val="24"/>
        </w:rPr>
        <w:t> </w:t>
      </w:r>
      <w:r>
        <w:rPr>
          <w:rFonts w:ascii="Times New Roman" w:hAnsi="Times New Roman"/>
          <w:sz w:val="24"/>
        </w:rPr>
        <w:t>није</w:t>
      </w:r>
      <w:r>
        <w:rPr>
          <w:rFonts w:ascii="Times New Roman" w:hAnsi="Times New Roman"/>
          <w:spacing w:val="31"/>
          <w:sz w:val="24"/>
        </w:rPr>
        <w:t> </w:t>
      </w:r>
      <w:r>
        <w:rPr>
          <w:rFonts w:ascii="Times New Roman" w:hAnsi="Times New Roman"/>
          <w:sz w:val="24"/>
        </w:rPr>
        <w:t>извођача</w:t>
      </w:r>
      <w:r>
        <w:rPr>
          <w:rFonts w:ascii="Times New Roman" w:hAnsi="Times New Roman"/>
          <w:spacing w:val="31"/>
          <w:sz w:val="24"/>
        </w:rPr>
        <w:t> </w:t>
      </w:r>
      <w:r>
        <w:rPr>
          <w:rFonts w:ascii="Times New Roman" w:hAnsi="Times New Roman"/>
          <w:sz w:val="24"/>
        </w:rPr>
        <w:t>радова</w:t>
      </w:r>
      <w:r>
        <w:rPr>
          <w:rFonts w:ascii="Times New Roman" w:hAnsi="Times New Roman"/>
          <w:spacing w:val="34"/>
          <w:sz w:val="24"/>
        </w:rPr>
        <w:t> </w:t>
      </w:r>
      <w:r>
        <w:rPr>
          <w:rFonts w:ascii="Times New Roman" w:hAnsi="Times New Roman"/>
          <w:sz w:val="24"/>
        </w:rPr>
        <w:t>на</w:t>
      </w:r>
      <w:r>
        <w:rPr>
          <w:rFonts w:ascii="Times New Roman" w:hAnsi="Times New Roman"/>
          <w:spacing w:val="33"/>
          <w:sz w:val="24"/>
        </w:rPr>
        <w:t> </w:t>
      </w:r>
      <w:r>
        <w:rPr>
          <w:rFonts w:ascii="Times New Roman" w:hAnsi="Times New Roman"/>
          <w:sz w:val="24"/>
        </w:rPr>
        <w:t>адаптацији</w:t>
      </w:r>
      <w:r>
        <w:rPr>
          <w:rFonts w:ascii="Times New Roman" w:hAnsi="Times New Roman"/>
          <w:spacing w:val="33"/>
          <w:sz w:val="24"/>
        </w:rPr>
        <w:t> </w:t>
      </w:r>
      <w:r>
        <w:rPr>
          <w:rFonts w:ascii="Times New Roman" w:hAnsi="Times New Roman"/>
          <w:sz w:val="24"/>
        </w:rPr>
        <w:t>простора</w:t>
      </w:r>
      <w:r>
        <w:rPr>
          <w:rFonts w:ascii="Times New Roman" w:hAnsi="Times New Roman"/>
          <w:spacing w:val="31"/>
          <w:sz w:val="24"/>
        </w:rPr>
        <w:t> </w:t>
      </w:r>
      <w:r>
        <w:rPr>
          <w:rFonts w:ascii="Times New Roman" w:hAnsi="Times New Roman"/>
          <w:sz w:val="24"/>
        </w:rPr>
        <w:t>сале</w:t>
      </w:r>
      <w:r>
        <w:rPr>
          <w:rFonts w:ascii="Times New Roman" w:hAnsi="Times New Roman"/>
          <w:spacing w:val="38"/>
          <w:sz w:val="24"/>
        </w:rPr>
        <w:t> </w:t>
      </w:r>
      <w:r>
        <w:rPr>
          <w:rFonts w:ascii="Times New Roman" w:hAnsi="Times New Roman"/>
          <w:sz w:val="24"/>
        </w:rPr>
        <w:t>у</w:t>
      </w:r>
      <w:r>
        <w:rPr>
          <w:rFonts w:ascii="Times New Roman" w:hAnsi="Times New Roman"/>
          <w:spacing w:val="27"/>
          <w:sz w:val="24"/>
        </w:rPr>
        <w:t> </w:t>
      </w:r>
      <w:r>
        <w:rPr>
          <w:rFonts w:ascii="Times New Roman" w:hAnsi="Times New Roman"/>
          <w:sz w:val="24"/>
        </w:rPr>
        <w:t>објекту</w:t>
      </w:r>
      <w:r>
        <w:rPr>
          <w:rFonts w:ascii="Times New Roman" w:hAnsi="Times New Roman"/>
          <w:spacing w:val="27"/>
          <w:sz w:val="24"/>
        </w:rPr>
        <w:t> </w:t>
      </w:r>
      <w:r>
        <w:rPr>
          <w:rFonts w:ascii="Times New Roman" w:hAnsi="Times New Roman"/>
          <w:sz w:val="24"/>
        </w:rPr>
        <w:t>МК</w:t>
      </w:r>
      <w:r>
        <w:rPr>
          <w:rFonts w:ascii="Times New Roman" w:hAnsi="Times New Roman"/>
          <w:spacing w:val="33"/>
          <w:sz w:val="24"/>
        </w:rPr>
        <w:t> </w:t>
      </w:r>
      <w:r>
        <w:rPr>
          <w:rFonts w:ascii="Times New Roman" w:hAnsi="Times New Roman"/>
          <w:sz w:val="24"/>
        </w:rPr>
        <w:t>Чаир,</w:t>
      </w:r>
      <w:r>
        <w:rPr>
          <w:rFonts w:ascii="Times New Roman" w:hAnsi="Times New Roman"/>
          <w:spacing w:val="39"/>
          <w:sz w:val="24"/>
        </w:rPr>
        <w:t> </w:t>
      </w:r>
      <w:r>
        <w:rPr>
          <w:rFonts w:ascii="Times New Roman" w:hAnsi="Times New Roman"/>
          <w:sz w:val="24"/>
        </w:rPr>
        <w:t>ЈП</w:t>
      </w:r>
    </w:p>
    <w:p>
      <w:pPr>
        <w:pStyle w:val="BodyText"/>
        <w:spacing w:line="240" w:lineRule="auto"/>
        <w:ind w:right="175"/>
        <w:jc w:val="both"/>
        <w:rPr>
          <w:rFonts w:ascii="Times New Roman" w:hAnsi="Times New Roman" w:cs="Times New Roman" w:eastAsia="Times New Roman" w:hint="default"/>
        </w:rPr>
      </w:pPr>
      <w:r>
        <w:rPr/>
        <w:t>„Нишстан“ Ниш</w:t>
      </w:r>
      <w:r>
        <w:rPr>
          <w:rFonts w:ascii="Times New Roman" w:hAnsi="Times New Roman" w:cs="Times New Roman" w:eastAsia="Times New Roman" w:hint="default"/>
        </w:rPr>
        <w:t>, </w:t>
      </w:r>
      <w:r>
        <w:rPr/>
        <w:t>увео у посао у року од три дана од дана потписивања уговора већ након годину и месец дана (дана 04.11.2013. године извођач радова је уведен у посао), што је супротно члану 3. став 3. Уговора о извођењу радова број </w:t>
      </w:r>
      <w:r>
        <w:rPr>
          <w:rFonts w:ascii="Times New Roman" w:hAnsi="Times New Roman" w:cs="Times New Roman" w:eastAsia="Times New Roman" w:hint="default"/>
        </w:rPr>
        <w:t>16-4955/2012 </w:t>
      </w:r>
      <w:r>
        <w:rPr/>
        <w:t>од 28.09.2012. године</w:t>
      </w:r>
      <w:r>
        <w:rPr>
          <w:rFonts w:ascii="Times New Roman" w:hAnsi="Times New Roman" w:cs="Times New Roman" w:eastAsia="Times New Roman" w:hint="default"/>
        </w:rPr>
        <w:t>.</w:t>
      </w:r>
    </w:p>
    <w:p>
      <w:pPr>
        <w:pStyle w:val="BodyText"/>
        <w:spacing w:line="237" w:lineRule="auto" w:before="4"/>
        <w:ind w:right="175"/>
        <w:jc w:val="both"/>
        <w:rPr>
          <w:rFonts w:ascii="Times New Roman" w:hAnsi="Times New Roman" w:cs="Times New Roman" w:eastAsia="Times New Roman" w:hint="default"/>
        </w:rPr>
      </w:pPr>
      <w:r>
        <w:rPr>
          <w:rFonts w:ascii="Symbol" w:hAnsi="Symbol" w:cs="Symbol" w:eastAsia="Symbol" w:hint="default"/>
        </w:rPr>
        <w:t></w:t>
      </w:r>
      <w:r>
        <w:rPr>
          <w:rFonts w:ascii="Times New Roman" w:hAnsi="Times New Roman" w:cs="Times New Roman" w:eastAsia="Times New Roman" w:hint="default"/>
        </w:rPr>
        <w:t> </w:t>
      </w:r>
      <w:r>
        <w:rPr/>
        <w:t>Уговорима број 16</w:t>
      </w:r>
      <w:r>
        <w:rPr>
          <w:rFonts w:ascii="Times New Roman" w:hAnsi="Times New Roman" w:cs="Times New Roman" w:eastAsia="Times New Roman" w:hint="default"/>
        </w:rPr>
        <w:t>-</w:t>
      </w:r>
      <w:r>
        <w:rPr/>
        <w:t>548/2013 од 29.01.2013. године и број </w:t>
      </w:r>
      <w:r>
        <w:rPr>
          <w:rFonts w:ascii="Times New Roman" w:hAnsi="Times New Roman" w:cs="Times New Roman" w:eastAsia="Times New Roman" w:hint="default"/>
        </w:rPr>
        <w:t>16-</w:t>
      </w:r>
      <w:r>
        <w:rPr/>
        <w:t>4955/2012 од 28.09.2012. године закљученим са ЈП „Нишстан“ Ниш није уговорена банкарска гаранција као средство обезбеђења за испуњење уговорене</w:t>
      </w:r>
      <w:r>
        <w:rPr>
          <w:spacing w:val="-15"/>
        </w:rPr>
        <w:t> </w:t>
      </w:r>
      <w:r>
        <w:rPr/>
        <w:t>обавезе</w:t>
      </w:r>
      <w:r>
        <w:rPr>
          <w:rFonts w:ascii="Times New Roman" w:hAnsi="Times New Roman" w:cs="Times New Roman" w:eastAsia="Times New Roman" w:hint="default"/>
        </w:rPr>
        <w:t>.</w:t>
      </w:r>
    </w:p>
    <w:p>
      <w:pPr>
        <w:pStyle w:val="ListParagraph"/>
        <w:numPr>
          <w:ilvl w:val="0"/>
          <w:numId w:val="9"/>
        </w:numPr>
        <w:tabs>
          <w:tab w:pos="303"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Извођач радова „Грађевинар“ доо Лесковац није доставио банкарску гаранцију за отклањање грешака у гарантном року за извођење радова на адаптацији објекта града Ниша у улици Шумадијској број 4, </w:t>
      </w:r>
      <w:r>
        <w:rPr>
          <w:rFonts w:ascii="Times New Roman" w:hAnsi="Times New Roman" w:cs="Times New Roman" w:eastAsia="Times New Roman" w:hint="default"/>
          <w:spacing w:val="-4"/>
          <w:sz w:val="24"/>
          <w:szCs w:val="24"/>
        </w:rPr>
        <w:t>уз </w:t>
      </w:r>
      <w:r>
        <w:rPr>
          <w:rFonts w:ascii="Times New Roman" w:hAnsi="Times New Roman" w:cs="Times New Roman" w:eastAsia="Times New Roman" w:hint="default"/>
          <w:sz w:val="24"/>
          <w:szCs w:val="24"/>
        </w:rPr>
        <w:t>испостављену окончану ситуацију како је то </w:t>
      </w:r>
      <w:r>
        <w:rPr>
          <w:rFonts w:ascii="Times New Roman" w:hAnsi="Times New Roman" w:cs="Times New Roman" w:eastAsia="Times New Roman" w:hint="default"/>
          <w:sz w:val="24"/>
          <w:szCs w:val="24"/>
        </w:rPr>
        <w:t>уговорено чланом 4. Уговора број 16</w:t>
      </w:r>
      <w:r>
        <w:rPr>
          <w:rFonts w:ascii="Times New Roman" w:hAnsi="Times New Roman" w:cs="Times New Roman" w:eastAsia="Times New Roman" w:hint="default"/>
          <w:sz w:val="24"/>
          <w:szCs w:val="24"/>
        </w:rPr>
        <w:t>-542/2014 </w:t>
      </w:r>
      <w:r>
        <w:rPr>
          <w:rFonts w:ascii="Times New Roman" w:hAnsi="Times New Roman" w:cs="Times New Roman" w:eastAsia="Times New Roman" w:hint="default"/>
          <w:sz w:val="24"/>
          <w:szCs w:val="24"/>
        </w:rPr>
        <w:t>од 28.08.2014.</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године</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Ситуацију и грађевински дневник по Уговору број </w:t>
      </w:r>
      <w:r>
        <w:rPr>
          <w:rFonts w:ascii="Times New Roman" w:hAnsi="Times New Roman" w:cs="Times New Roman" w:eastAsia="Times New Roman" w:hint="default"/>
          <w:sz w:val="24"/>
          <w:szCs w:val="24"/>
        </w:rPr>
        <w:t>16-542/2014 </w:t>
      </w:r>
      <w:r>
        <w:rPr>
          <w:rFonts w:ascii="Times New Roman" w:hAnsi="Times New Roman" w:cs="Times New Roman" w:eastAsia="Times New Roman" w:hint="default"/>
          <w:sz w:val="24"/>
          <w:szCs w:val="24"/>
        </w:rPr>
        <w:t>од 28.08.2014. године закљученом са „Грађевинар“ доо Лесковац за извођење радова на адаптацији објекта града Ниша у улици Шумадијској број 4</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је печатом оверило лице које није било одређено решењем за вршење стручног надзора, што је супротно члану 4. и 6. Правилника о садржини и начину вођења стручног</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надзора</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40" w:lineRule="auto" w:before="0" w:after="0"/>
        <w:ind w:left="160" w:right="173" w:firstLine="0"/>
        <w:jc w:val="both"/>
        <w:rPr>
          <w:rFonts w:ascii="Times New Roman" w:hAnsi="Times New Roman" w:cs="Times New Roman" w:eastAsia="Times New Roman" w:hint="default"/>
          <w:sz w:val="22"/>
          <w:szCs w:val="22"/>
        </w:rPr>
      </w:pPr>
      <w:r>
        <w:rPr>
          <w:rFonts w:ascii="Times New Roman" w:hAnsi="Times New Roman" w:cs="Times New Roman" w:eastAsia="Times New Roman" w:hint="default"/>
          <w:sz w:val="24"/>
          <w:szCs w:val="24"/>
        </w:rPr>
        <w:t>Наручилац није извођача радова ГП „Тончев градња“ доо Сурдулица увео у посао у року од три дана од дана потписивања уговора већ након осамнаест дана (према грађевинском дневнику извођач радова је уведен у посао 19.11.2014. године), што је супротно члану 5. Уговора о јавној набавци извођења радова на изградњи централне климатизације објекта града у улици Николе Пашића број 24 у Нишу, број 16</w:t>
      </w:r>
      <w:r>
        <w:rPr>
          <w:rFonts w:ascii="Times New Roman" w:hAnsi="Times New Roman" w:cs="Times New Roman" w:eastAsia="Times New Roman" w:hint="default"/>
          <w:sz w:val="24"/>
          <w:szCs w:val="24"/>
        </w:rPr>
        <w:t>-5755/2014 </w:t>
      </w:r>
      <w:r>
        <w:rPr>
          <w:rFonts w:ascii="Times New Roman" w:hAnsi="Times New Roman" w:cs="Times New Roman" w:eastAsia="Times New Roman" w:hint="default"/>
          <w:sz w:val="24"/>
          <w:szCs w:val="24"/>
        </w:rPr>
        <w:t>од 28.10.2014. године.</w:t>
      </w:r>
    </w:p>
    <w:p>
      <w:pPr>
        <w:spacing w:after="0" w:line="240" w:lineRule="auto"/>
        <w:jc w:val="both"/>
        <w:rPr>
          <w:rFonts w:ascii="Times New Roman" w:hAnsi="Times New Roman" w:cs="Times New Roman" w:eastAsia="Times New Roman" w:hint="default"/>
          <w:sz w:val="22"/>
          <w:szCs w:val="22"/>
        </w:rPr>
        <w:sectPr>
          <w:pgSz w:w="12240" w:h="15840"/>
          <w:pgMar w:header="740" w:footer="1274" w:top="1280" w:bottom="1460" w:left="1400" w:right="1260"/>
        </w:sectPr>
      </w:pPr>
    </w:p>
    <w:p>
      <w:pPr>
        <w:pStyle w:val="ListParagraph"/>
        <w:numPr>
          <w:ilvl w:val="0"/>
          <w:numId w:val="9"/>
        </w:numPr>
        <w:tabs>
          <w:tab w:pos="341" w:val="left" w:leader="none"/>
        </w:tabs>
        <w:spacing w:line="240" w:lineRule="auto" w:before="124"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Банкарска гаранција за отклањање грешака у гарантном року за изведене радове на изградњи централне климатизације објекта града у улици Николе Пашића број 24 у  Нишу коју је доставио ГП „Тончев градња“ доо Сурдулица по Уговору број 16</w:t>
      </w:r>
      <w:r>
        <w:rPr>
          <w:rFonts w:ascii="Times New Roman" w:hAnsi="Times New Roman" w:cs="Times New Roman" w:eastAsia="Times New Roman" w:hint="default"/>
          <w:sz w:val="24"/>
          <w:szCs w:val="24"/>
        </w:rPr>
        <w:t>-5755/2014 </w:t>
      </w:r>
      <w:r>
        <w:rPr>
          <w:rFonts w:ascii="Times New Roman" w:hAnsi="Times New Roman" w:cs="Times New Roman" w:eastAsia="Times New Roman" w:hint="default"/>
          <w:sz w:val="24"/>
          <w:szCs w:val="24"/>
        </w:rPr>
        <w:t>од 28.10.2014. године важи до 30.05.2017. године, односно важи краће од гарантног рока, одређеног чланом 13. и 14. наведеног Уговора, којим је уговорено да гарантни рок за уговорене радове износи 24 месеца од момента извршене примопредаје, документоване записником о извршеној примопредаји радова, а да банкарска гаранција мора важити 5 дана дуже од дана истека гарантног рока. Записник о извршеној примопредаји радова је од 08.06.2015. године.</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је евидентиран износ од 887 хиљада динара за трошкове принудне наплате на групи конта 511000 – зграде и грађевински објекти, уместо на групи 483000 – новчане казне и пенали по решењу судова, што је супротно члану 9. Уредбе о буџетском рачуноводству и Правилнику о стандардном класификационом оквиру и контном плану за буџетски систем. У Билансу стања више су исказани нефинансијска имовина и  капитал у истом</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износу.</w:t>
      </w:r>
    </w:p>
    <w:p>
      <w:pPr>
        <w:pStyle w:val="Heading2"/>
        <w:spacing w:line="240" w:lineRule="auto"/>
        <w:ind w:right="173"/>
        <w:jc w:val="both"/>
        <w:rPr>
          <w:rFonts w:ascii="Times New Roman" w:hAnsi="Times New Roman" w:cs="Times New Roman" w:eastAsia="Times New Roman" w:hint="default"/>
          <w:b w:val="0"/>
          <w:bCs w:val="0"/>
          <w:i w:val="0"/>
        </w:rPr>
      </w:pPr>
      <w:r>
        <w:rPr>
          <w:i/>
        </w:rPr>
        <w:t>Препоручује се одговорним лицима да обавезе преузимају до износа уговорене вредности, уговоре средства обезбеђења, доследно примењују одредбе закључених уговора</w:t>
      </w:r>
      <w:r>
        <w:rPr>
          <w:rFonts w:ascii="Times New Roman" w:hAnsi="Times New Roman"/>
          <w:i/>
        </w:rPr>
        <w:t>, </w:t>
      </w:r>
      <w:r>
        <w:rPr>
          <w:i/>
        </w:rPr>
        <w:t>обезбеде правилну примену одредби Уредбе о буџетском рачуноводству</w:t>
      </w:r>
      <w:r>
        <w:rPr>
          <w:rFonts w:ascii="Times New Roman" w:hAnsi="Times New Roman"/>
          <w:i/>
        </w:rPr>
        <w:t>, </w:t>
      </w:r>
      <w:r>
        <w:rPr>
          <w:i/>
        </w:rPr>
        <w:t>Правилника о стандардном класификационом оквиру и контном плану за буџетски систем и Правилника о садржини и начину вођења стручног</w:t>
      </w:r>
      <w:r>
        <w:rPr>
          <w:i/>
          <w:spacing w:val="-14"/>
        </w:rPr>
        <w:t> </w:t>
      </w:r>
      <w:r>
        <w:rPr>
          <w:i/>
        </w:rPr>
        <w:t>надзора</w:t>
      </w:r>
      <w:r>
        <w:rPr>
          <w:rFonts w:ascii="Times New Roman" w:hAnsi="Times New Roman"/>
          <w:i/>
        </w:rPr>
        <w:t>.</w:t>
      </w:r>
      <w:r>
        <w:rPr>
          <w:rFonts w:ascii="Times New Roman" w:hAnsi="Times New Roman"/>
          <w:b w:val="0"/>
          <w:i w:val="0"/>
        </w:rPr>
      </w:r>
    </w:p>
    <w:p>
      <w:pPr>
        <w:pStyle w:val="ListParagraph"/>
        <w:numPr>
          <w:ilvl w:val="3"/>
          <w:numId w:val="50"/>
        </w:numPr>
        <w:tabs>
          <w:tab w:pos="1015" w:val="left" w:leader="none"/>
        </w:tabs>
        <w:spacing w:line="240" w:lineRule="auto" w:before="132" w:after="0"/>
        <w:ind w:left="160" w:right="181"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 за образовање </w:t>
      </w:r>
      <w:r>
        <w:rPr>
          <w:rFonts w:ascii="Times New Roman" w:hAnsi="Times New Roman" w:cs="Times New Roman" w:eastAsia="Times New Roman" w:hint="default"/>
          <w:sz w:val="24"/>
          <w:szCs w:val="24"/>
        </w:rPr>
        <w:t>– Исказан је расход у износу од 2.807 хиљада динара, који се у целости односи на индиректног корисника ПУ</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Пчелица.</w:t>
      </w:r>
    </w:p>
    <w:p>
      <w:pPr>
        <w:spacing w:before="0"/>
        <w:ind w:left="726" w:right="141" w:firstLine="0"/>
        <w:jc w:val="left"/>
        <w:rPr>
          <w:rFonts w:ascii="Times New Roman" w:hAnsi="Times New Roman" w:cs="Times New Roman" w:eastAsia="Times New Roman" w:hint="default"/>
          <w:sz w:val="24"/>
          <w:szCs w:val="24"/>
        </w:rPr>
      </w:pPr>
      <w:r>
        <w:rPr>
          <w:rFonts w:ascii="Times New Roman" w:hAnsi="Times New Roman"/>
          <w:b/>
          <w:sz w:val="24"/>
        </w:rPr>
        <w:t>5а) ПУ Пчелица  </w:t>
      </w:r>
      <w:r>
        <w:rPr>
          <w:rFonts w:ascii="Times New Roman" w:hAnsi="Times New Roman"/>
          <w:b/>
          <w:sz w:val="24"/>
        </w:rPr>
        <w:t>-   </w:t>
      </w:r>
      <w:r>
        <w:rPr>
          <w:rFonts w:ascii="Times New Roman" w:hAnsi="Times New Roman"/>
          <w:sz w:val="24"/>
        </w:rPr>
        <w:t>Исказано је извршење  у износу од  </w:t>
      </w:r>
      <w:r>
        <w:rPr>
          <w:rFonts w:ascii="Times New Roman" w:hAnsi="Times New Roman"/>
          <w:sz w:val="24"/>
        </w:rPr>
        <w:t>2.807  </w:t>
      </w:r>
      <w:r>
        <w:rPr>
          <w:rFonts w:ascii="Times New Roman" w:hAnsi="Times New Roman"/>
          <w:sz w:val="24"/>
        </w:rPr>
        <w:t>хиљада динара и  </w:t>
      </w:r>
      <w:r>
        <w:rPr>
          <w:rFonts w:ascii="Times New Roman" w:hAnsi="Times New Roman"/>
          <w:spacing w:val="35"/>
          <w:sz w:val="24"/>
        </w:rPr>
        <w:t> </w:t>
      </w:r>
      <w:r>
        <w:rPr>
          <w:rFonts w:ascii="Times New Roman" w:hAnsi="Times New Roman"/>
          <w:sz w:val="24"/>
        </w:rPr>
        <w:t>то</w:t>
      </w:r>
    </w:p>
    <w:p>
      <w:pPr>
        <w:pStyle w:val="BodyText"/>
        <w:spacing w:line="240" w:lineRule="auto"/>
        <w:ind w:right="0"/>
        <w:jc w:val="both"/>
      </w:pPr>
      <w:r>
        <w:rPr>
          <w:rFonts w:ascii="Times New Roman" w:hAnsi="Times New Roman"/>
        </w:rPr>
        <w:t>2.464 </w:t>
      </w:r>
      <w:r>
        <w:rPr/>
        <w:t>хиљад</w:t>
      </w:r>
      <w:r>
        <w:rPr>
          <w:rFonts w:ascii="Times New Roman" w:hAnsi="Times New Roman"/>
        </w:rPr>
        <w:t>e </w:t>
      </w:r>
      <w:r>
        <w:rPr/>
        <w:t>динара на терет буџета града и </w:t>
      </w:r>
      <w:r>
        <w:rPr>
          <w:rFonts w:ascii="Times New Roman" w:hAnsi="Times New Roman"/>
        </w:rPr>
        <w:t>343 </w:t>
      </w:r>
      <w:r>
        <w:rPr/>
        <w:t>хиљаде динара из осталих</w:t>
      </w:r>
      <w:r>
        <w:rPr>
          <w:spacing w:val="-17"/>
        </w:rPr>
        <w:t> </w:t>
      </w:r>
      <w:r>
        <w:rPr/>
        <w:t>извора.</w:t>
      </w:r>
    </w:p>
    <w:p>
      <w:pPr>
        <w:pStyle w:val="BodyText"/>
        <w:spacing w:line="240" w:lineRule="auto"/>
        <w:ind w:right="171" w:firstLine="566"/>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Капитално одржавање објеката, субаналитички конто 511323 </w:t>
      </w:r>
      <w:r>
        <w:rPr/>
      </w:r>
      <w:r>
        <w:rPr>
          <w:rFonts w:ascii="Times New Roman" w:hAnsi="Times New Roman"/>
          <w:i/>
        </w:rPr>
        <w:t>- </w:t>
      </w:r>
      <w:r>
        <w:rPr/>
        <w:t>Исказан је издатак у износу 2.284 хиљаде</w:t>
      </w:r>
      <w:r>
        <w:rPr>
          <w:spacing w:val="-8"/>
        </w:rPr>
        <w:t> </w:t>
      </w:r>
      <w:r>
        <w:rPr/>
        <w:t>динара</w:t>
      </w:r>
      <w:r>
        <w:rPr>
          <w:rFonts w:ascii="Times New Roman" w:hAnsi="Times New Roman"/>
        </w:rPr>
        <w:t>.</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Радови на замени пумпе за грејање и поправка санитарних чворова у вртићу Лептирић по Уговору о извођењу радова број 1700 од 27.02.2014. године закљученог са „Legno casa“ доо Дражевац нису завршени у уговореном року. Уговорен је рок од 30 дана од дана увођења у посао, извођач радова је према грађевинском дневнику уведен у посао 03.03.2014. године, а примопредаја радова је извршена 05.09.2014. године. ПУ „Пчелица“ није наплатила уговорну казну и није реализовала меницу за добро извршење посла у уговореном року, што је супротно члану 7</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и 11. наведеног</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Уговора.</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Издатак за капитално одржавање објеката у износу од 2.284 хиљаде динара није евидентиран на класи 0 и класи 3,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spacing w:val="-10"/>
          <w:sz w:val="24"/>
        </w:rPr>
        <w:t> </w:t>
      </w:r>
      <w:r>
        <w:rPr>
          <w:rFonts w:ascii="Times New Roman" w:hAnsi="Times New Roman"/>
          <w:sz w:val="24"/>
        </w:rPr>
        <w:t>систем.</w:t>
      </w:r>
    </w:p>
    <w:p>
      <w:pPr>
        <w:pStyle w:val="ListParagraph"/>
        <w:numPr>
          <w:ilvl w:val="0"/>
          <w:numId w:val="9"/>
        </w:numPr>
        <w:tabs>
          <w:tab w:pos="303"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По захтеву за плаћање број 11986 од 15.11.2013. године, пренет је из буџета Града износ од 328 хиљада динара за плаћање „Дозер“ пр Ниш за поправку ограде вртића. Дана 07.04.2014. године наведени износ је ПУ Пчелица пренела „Екстра градња“ пр Ниш за плаћање одржавања косих и равних кровова </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група конта </w:t>
      </w:r>
      <w:r>
        <w:rPr>
          <w:rFonts w:ascii="Times New Roman" w:hAnsi="Times New Roman" w:cs="Times New Roman" w:eastAsia="Times New Roman" w:hint="default"/>
          <w:sz w:val="24"/>
          <w:szCs w:val="24"/>
        </w:rPr>
        <w:t>425000-</w:t>
      </w:r>
      <w:r>
        <w:rPr>
          <w:rFonts w:ascii="Times New Roman" w:hAnsi="Times New Roman" w:cs="Times New Roman" w:eastAsia="Times New Roman" w:hint="default"/>
          <w:sz w:val="24"/>
          <w:szCs w:val="24"/>
        </w:rPr>
        <w:t>текуће поправке и одржавање), тако да је одступљено од захтева за плаћање и није извршено сравњење са директним корисником, што је супротно члану 78. Закона о буџетском систему, члану </w:t>
      </w:r>
      <w:r>
        <w:rPr>
          <w:rFonts w:ascii="Times New Roman" w:hAnsi="Times New Roman" w:cs="Times New Roman" w:eastAsia="Times New Roman" w:hint="default"/>
          <w:spacing w:val="42"/>
          <w:sz w:val="24"/>
          <w:szCs w:val="24"/>
        </w:rPr>
        <w:t> </w:t>
      </w:r>
      <w:r>
        <w:rPr>
          <w:rFonts w:ascii="Times New Roman" w:hAnsi="Times New Roman" w:cs="Times New Roman" w:eastAsia="Times New Roman" w:hint="default"/>
          <w:sz w:val="24"/>
          <w:szCs w:val="24"/>
        </w:rPr>
        <w:t>6.</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7"/>
        <w:jc w:val="both"/>
      </w:pPr>
      <w:r>
        <w:rPr/>
        <w:t>Ур</w:t>
      </w:r>
      <w:r>
        <w:rPr>
          <w:rFonts w:ascii="Times New Roman" w:hAnsi="Times New Roman"/>
        </w:rPr>
        <w:t>e</w:t>
      </w:r>
      <w:r>
        <w:rPr/>
        <w:t>дбе о буџетском рачуноводству и члану 18</w:t>
      </w:r>
      <w:r>
        <w:rPr>
          <w:rFonts w:ascii="Times New Roman" w:hAnsi="Times New Roman"/>
        </w:rPr>
        <w:t>. </w:t>
      </w:r>
      <w:r>
        <w:rPr/>
        <w:t>Одлуке о буџету гр</w:t>
      </w:r>
      <w:r>
        <w:rPr>
          <w:rFonts w:ascii="Times New Roman" w:hAnsi="Times New Roman"/>
        </w:rPr>
        <w:t>a</w:t>
      </w:r>
      <w:r>
        <w:rPr/>
        <w:t>да Ниша за 2014. годину.</w:t>
      </w:r>
    </w:p>
    <w:p>
      <w:pPr>
        <w:pStyle w:val="Heading2"/>
        <w:spacing w:line="240" w:lineRule="auto"/>
        <w:ind w:right="174"/>
        <w:jc w:val="both"/>
        <w:rPr>
          <w:rFonts w:ascii="Times New Roman" w:hAnsi="Times New Roman" w:cs="Times New Roman" w:eastAsia="Times New Roman" w:hint="default"/>
          <w:b w:val="0"/>
          <w:bCs w:val="0"/>
          <w:i w:val="0"/>
        </w:rPr>
      </w:pPr>
      <w:r>
        <w:rPr>
          <w:i/>
        </w:rPr>
        <w:t>Препоручује се одговорним лицима да примењују одредбе закључених уговора</w:t>
      </w:r>
      <w:r>
        <w:rPr>
          <w:rFonts w:ascii="Times New Roman" w:hAnsi="Times New Roman"/>
          <w:i/>
        </w:rPr>
        <w:t>, </w:t>
      </w:r>
      <w:r>
        <w:rPr>
          <w:i/>
        </w:rPr>
        <w:t>обезбеде правилну примену одредби Уредбе о буџетском рачуноводству и Правилника о стандардном класификационом оквиру и контном плану за буџетски систем и врше сравњење са директним</w:t>
      </w:r>
      <w:r>
        <w:rPr>
          <w:i/>
          <w:spacing w:val="-8"/>
        </w:rPr>
        <w:t> </w:t>
      </w:r>
      <w:r>
        <w:rPr>
          <w:i/>
        </w:rPr>
        <w:t>корисником</w:t>
      </w:r>
      <w:r>
        <w:rPr>
          <w:rFonts w:ascii="Times New Roman" w:hAnsi="Times New Roman"/>
          <w:i/>
        </w:rPr>
        <w:t>.</w:t>
      </w:r>
      <w:r>
        <w:rPr>
          <w:rFonts w:ascii="Times New Roman" w:hAnsi="Times New Roman"/>
          <w:b w:val="0"/>
          <w:i w:val="0"/>
        </w:rPr>
      </w:r>
    </w:p>
    <w:p>
      <w:pPr>
        <w:pStyle w:val="BodyText"/>
        <w:spacing w:line="240" w:lineRule="auto"/>
        <w:ind w:right="176" w:firstLine="566"/>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Планирање и праћење пројеката, субаналитички конто 511411 </w:t>
      </w:r>
      <w:r>
        <w:rPr/>
      </w:r>
      <w:r>
        <w:rPr>
          <w:rFonts w:ascii="Times New Roman" w:hAnsi="Times New Roman"/>
          <w:i/>
        </w:rPr>
        <w:t>- </w:t>
      </w:r>
      <w:r>
        <w:rPr/>
        <w:t>Исказан је издатак  у износу од 330 хиљада</w:t>
      </w:r>
      <w:r>
        <w:rPr>
          <w:spacing w:val="-6"/>
        </w:rPr>
        <w:t> </w:t>
      </w:r>
      <w:r>
        <w:rPr/>
        <w:t>динара</w:t>
      </w:r>
      <w:r>
        <w:rPr>
          <w:rFonts w:ascii="Times New Roman" w:hAnsi="Times New Roman"/>
        </w:rPr>
        <w:t>.</w:t>
      </w:r>
    </w:p>
    <w:p>
      <w:pPr>
        <w:pStyle w:val="Heading1"/>
        <w:spacing w:line="275" w:lineRule="exact"/>
        <w:ind w:right="141"/>
        <w:jc w:val="left"/>
        <w:rPr>
          <w:b w:val="0"/>
          <w:bCs w:val="0"/>
        </w:rPr>
      </w:pPr>
      <w:r>
        <w:rPr/>
        <w:t>На основу ревизије узорковане документације утврђено</w:t>
      </w:r>
      <w:r>
        <w:rPr>
          <w:spacing w:val="-17"/>
        </w:rPr>
        <w:t> </w:t>
      </w:r>
      <w:r>
        <w:rPr/>
        <w:t>је:</w:t>
      </w:r>
      <w:r>
        <w:rPr>
          <w:b w:val="0"/>
        </w:rPr>
      </w:r>
    </w:p>
    <w:p>
      <w:pPr>
        <w:pStyle w:val="ListParagraph"/>
        <w:numPr>
          <w:ilvl w:val="0"/>
          <w:numId w:val="9"/>
        </w:numPr>
        <w:tabs>
          <w:tab w:pos="303"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Евидентиран је издатак за прикључак на гасоводну мрежу у износу од 330 хиљада динара на основу предрачуна број </w:t>
      </w:r>
      <w:r>
        <w:rPr>
          <w:rFonts w:ascii="Times New Roman" w:hAnsi="Times New Roman"/>
          <w:sz w:val="24"/>
        </w:rPr>
        <w:t>13-010-</w:t>
      </w:r>
      <w:r>
        <w:rPr>
          <w:rFonts w:ascii="Times New Roman" w:hAnsi="Times New Roman"/>
          <w:sz w:val="24"/>
        </w:rPr>
        <w:t>000131 од 18.09.2013. године, што није валидан документ за књижење, чиме је поступљено супротно члану 58. Закона о буџетском систему и члану 16. Уредбе о буџетском систему. Рачун је испостављен 12.02.2015. године</w:t>
      </w:r>
      <w:r>
        <w:rPr>
          <w:rFonts w:ascii="Times New Roman" w:hAnsi="Times New Roman"/>
          <w:sz w:val="24"/>
        </w:rPr>
        <w:t>.</w:t>
      </w:r>
    </w:p>
    <w:p>
      <w:pPr>
        <w:pStyle w:val="ListParagraph"/>
        <w:numPr>
          <w:ilvl w:val="0"/>
          <w:numId w:val="9"/>
        </w:numPr>
        <w:tabs>
          <w:tab w:pos="303" w:val="left" w:leader="none"/>
        </w:tabs>
        <w:spacing w:line="237" w:lineRule="auto" w:before="4"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Издатак у износу од 330 хиљада динара није евидентиран на класи 0 и класи 3, што је супротно Правилнику о стандардном класификационом оквиру и контном плану за буџетски</w:t>
      </w:r>
      <w:r>
        <w:rPr>
          <w:rFonts w:ascii="Times New Roman" w:hAnsi="Times New Roman"/>
          <w:spacing w:val="-9"/>
          <w:sz w:val="24"/>
        </w:rPr>
        <w:t> </w:t>
      </w:r>
      <w:r>
        <w:rPr>
          <w:rFonts w:ascii="Times New Roman" w:hAnsi="Times New Roman"/>
          <w:sz w:val="24"/>
        </w:rPr>
        <w:t>систем.</w:t>
      </w:r>
    </w:p>
    <w:p>
      <w:pPr>
        <w:pStyle w:val="Heading2"/>
        <w:spacing w:line="240" w:lineRule="auto"/>
        <w:ind w:right="173"/>
        <w:jc w:val="both"/>
        <w:rPr>
          <w:b w:val="0"/>
          <w:bCs w:val="0"/>
          <w:i w:val="0"/>
        </w:rPr>
      </w:pPr>
      <w:r>
        <w:rPr>
          <w:i/>
        </w:rPr>
        <w:t>Препоручује се одговорним лицима да за сваки издатак из буџета обезбеде валидну документацију и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6"/>
        </w:rPr>
        <w:t> </w:t>
      </w:r>
      <w:r>
        <w:rPr>
          <w:i/>
        </w:rPr>
        <w:t>систем.</w:t>
      </w:r>
      <w:r>
        <w:rPr>
          <w:b w:val="0"/>
          <w:i w:val="0"/>
        </w:rPr>
      </w:r>
    </w:p>
    <w:p>
      <w:pPr>
        <w:pStyle w:val="ListParagraph"/>
        <w:numPr>
          <w:ilvl w:val="3"/>
          <w:numId w:val="50"/>
        </w:numPr>
        <w:tabs>
          <w:tab w:pos="996" w:val="left" w:leader="none"/>
        </w:tabs>
        <w:spacing w:line="240" w:lineRule="auto" w:before="132" w:after="0"/>
        <w:ind w:left="160" w:right="169" w:firstLine="566"/>
        <w:jc w:val="both"/>
        <w:rPr>
          <w:rFonts w:ascii="Times New Roman" w:hAnsi="Times New Roman" w:cs="Times New Roman" w:eastAsia="Times New Roman" w:hint="default"/>
          <w:sz w:val="24"/>
          <w:szCs w:val="24"/>
        </w:rPr>
      </w:pPr>
      <w:r>
        <w:rPr>
          <w:rFonts w:ascii="Times New Roman" w:hAnsi="Times New Roman"/>
          <w:b/>
          <w:sz w:val="24"/>
        </w:rPr>
        <w:t>Управа за комуналне делатности енергетику и саобраћај </w:t>
      </w:r>
      <w:r>
        <w:rPr>
          <w:rFonts w:ascii="Times New Roman" w:hAnsi="Times New Roman"/>
          <w:b/>
          <w:sz w:val="24"/>
        </w:rPr>
        <w:t>- </w:t>
      </w:r>
      <w:r>
        <w:rPr>
          <w:rFonts w:ascii="Times New Roman" w:hAnsi="Times New Roman"/>
          <w:sz w:val="24"/>
        </w:rPr>
        <w:t>Исказан је издатак у износу од 331.016 хиљада динара, и то: износ од 329.123 хиљаде динара из средстава буџета града и износ од 1.893 хиљаде динара из буџета Републике. Исказани издатак се односи на: директног буџетског корисника Управу за комуналне делатности</w:t>
      </w:r>
      <w:r>
        <w:rPr>
          <w:rFonts w:ascii="Times New Roman" w:hAnsi="Times New Roman"/>
          <w:sz w:val="24"/>
        </w:rPr>
        <w:t>, </w:t>
      </w:r>
      <w:r>
        <w:rPr>
          <w:rFonts w:ascii="Times New Roman" w:hAnsi="Times New Roman"/>
          <w:sz w:val="24"/>
        </w:rPr>
        <w:t>енергетику и саобраћај у износу од 215 хиљада динара и индиректног буџетског корисника ЈП Дирекција у износу од 330.801 хиљаде</w:t>
      </w:r>
      <w:r>
        <w:rPr>
          <w:rFonts w:ascii="Times New Roman" w:hAnsi="Times New Roman"/>
          <w:spacing w:val="-13"/>
          <w:sz w:val="24"/>
        </w:rPr>
        <w:t> </w:t>
      </w:r>
      <w:r>
        <w:rPr>
          <w:rFonts w:ascii="Times New Roman" w:hAnsi="Times New Roman"/>
          <w:sz w:val="24"/>
        </w:rPr>
        <w:t>динара.</w:t>
      </w:r>
    </w:p>
    <w:p>
      <w:pPr>
        <w:pStyle w:val="BodyText"/>
        <w:spacing w:line="240" w:lineRule="auto"/>
        <w:ind w:right="173" w:firstLine="566"/>
        <w:jc w:val="both"/>
      </w:pPr>
      <w:r>
        <w:rPr>
          <w:rFonts w:ascii="Times New Roman" w:hAnsi="Times New Roman"/>
          <w:b/>
        </w:rPr>
        <w:t>6</w:t>
      </w:r>
      <w:r>
        <w:rPr>
          <w:rFonts w:ascii="Times New Roman" w:hAnsi="Times New Roman"/>
          <w:b/>
        </w:rPr>
        <w:t>а) ЈП Дирекција </w:t>
      </w:r>
      <w:r>
        <w:rPr>
          <w:rFonts w:ascii="Times New Roman" w:hAnsi="Times New Roman"/>
          <w:b/>
        </w:rPr>
        <w:t>- </w:t>
      </w:r>
      <w:r>
        <w:rPr/>
        <w:t>Исказани су издаци у износу од 330.801 хиљаде динара за</w:t>
      </w:r>
      <w:r>
        <w:rPr>
          <w:rFonts w:ascii="Times New Roman" w:hAnsi="Times New Roman"/>
        </w:rPr>
        <w:t>: </w:t>
      </w:r>
      <w:r>
        <w:rPr/>
        <w:t>изградњу зграда и објеката у износу од </w:t>
      </w:r>
      <w:r>
        <w:rPr>
          <w:rFonts w:ascii="Times New Roman" w:hAnsi="Times New Roman"/>
        </w:rPr>
        <w:t>162.161 </w:t>
      </w:r>
      <w:r>
        <w:rPr/>
        <w:t>хиљаде динара, капитално одржавање зграда</w:t>
      </w:r>
      <w:r>
        <w:rPr>
          <w:spacing w:val="17"/>
        </w:rPr>
        <w:t> </w:t>
      </w:r>
      <w:r>
        <w:rPr/>
        <w:t>и</w:t>
      </w:r>
      <w:r>
        <w:rPr>
          <w:spacing w:val="18"/>
        </w:rPr>
        <w:t> </w:t>
      </w:r>
      <w:r>
        <w:rPr/>
        <w:t>објеката</w:t>
      </w:r>
      <w:r>
        <w:rPr>
          <w:spacing w:val="21"/>
        </w:rPr>
        <w:t> </w:t>
      </w:r>
      <w:r>
        <w:rPr/>
        <w:t>у</w:t>
      </w:r>
      <w:r>
        <w:rPr>
          <w:spacing w:val="10"/>
        </w:rPr>
        <w:t> </w:t>
      </w:r>
      <w:r>
        <w:rPr/>
        <w:t>износу</w:t>
      </w:r>
      <w:r>
        <w:rPr>
          <w:spacing w:val="13"/>
        </w:rPr>
        <w:t> </w:t>
      </w:r>
      <w:r>
        <w:rPr/>
        <w:t>од</w:t>
      </w:r>
      <w:r>
        <w:rPr>
          <w:spacing w:val="19"/>
        </w:rPr>
        <w:t> </w:t>
      </w:r>
      <w:r>
        <w:rPr/>
        <w:t>92.236</w:t>
      </w:r>
      <w:r>
        <w:rPr>
          <w:spacing w:val="17"/>
        </w:rPr>
        <w:t> </w:t>
      </w:r>
      <w:r>
        <w:rPr/>
        <w:t>хиљада</w:t>
      </w:r>
      <w:r>
        <w:rPr>
          <w:spacing w:val="17"/>
        </w:rPr>
        <w:t> </w:t>
      </w:r>
      <w:r>
        <w:rPr/>
        <w:t>динара</w:t>
      </w:r>
      <w:r>
        <w:rPr>
          <w:spacing w:val="19"/>
        </w:rPr>
        <w:t> </w:t>
      </w:r>
      <w:r>
        <w:rPr/>
        <w:t>и</w:t>
      </w:r>
      <w:r>
        <w:rPr>
          <w:spacing w:val="19"/>
        </w:rPr>
        <w:t> </w:t>
      </w:r>
      <w:r>
        <w:rPr/>
        <w:t>пројектно</w:t>
      </w:r>
      <w:r>
        <w:rPr>
          <w:spacing w:val="15"/>
        </w:rPr>
        <w:t> </w:t>
      </w:r>
      <w:r>
        <w:rPr/>
        <w:t>планирање</w:t>
      </w:r>
      <w:r>
        <w:rPr>
          <w:spacing w:val="20"/>
        </w:rPr>
        <w:t> </w:t>
      </w:r>
      <w:r>
        <w:rPr/>
        <w:t>у</w:t>
      </w:r>
      <w:r>
        <w:rPr>
          <w:spacing w:val="13"/>
        </w:rPr>
        <w:t> </w:t>
      </w:r>
      <w:r>
        <w:rPr/>
        <w:t>износу</w:t>
      </w:r>
      <w:r>
        <w:rPr>
          <w:spacing w:val="13"/>
        </w:rPr>
        <w:t> </w:t>
      </w:r>
      <w:r>
        <w:rPr/>
        <w:t>од</w:t>
      </w:r>
    </w:p>
    <w:p>
      <w:pPr>
        <w:pStyle w:val="BodyText"/>
        <w:spacing w:line="240" w:lineRule="auto"/>
        <w:ind w:right="0"/>
        <w:jc w:val="both"/>
        <w:rPr>
          <w:rFonts w:ascii="Times New Roman" w:hAnsi="Times New Roman" w:cs="Times New Roman" w:eastAsia="Times New Roman" w:hint="default"/>
        </w:rPr>
      </w:pPr>
      <w:r>
        <w:rPr>
          <w:rFonts w:ascii="Times New Roman" w:hAnsi="Times New Roman"/>
        </w:rPr>
        <w:t>76.404 </w:t>
      </w:r>
      <w:r>
        <w:rPr/>
        <w:t>хиљаде</w:t>
      </w:r>
      <w:r>
        <w:rPr>
          <w:spacing w:val="-3"/>
        </w:rPr>
        <w:t> </w:t>
      </w:r>
      <w:r>
        <w:rPr/>
        <w:t>динара</w:t>
      </w:r>
      <w:r>
        <w:rPr>
          <w:rFonts w:ascii="Times New Roman" w:hAnsi="Times New Roman"/>
        </w:rPr>
        <w:t>.</w:t>
      </w:r>
    </w:p>
    <w:p>
      <w:pPr>
        <w:pStyle w:val="BodyText"/>
        <w:spacing w:line="240" w:lineRule="auto"/>
        <w:ind w:right="173"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Болнице, домови здравља и старачки домови, субаналитички конто </w:t>
      </w:r>
      <w:r>
        <w:rPr>
          <w:rFonts w:ascii="Times New Roman" w:hAnsi="Times New Roman" w:cs="Times New Roman" w:eastAsia="Times New Roman" w:hint="default"/>
          <w:u w:val="single" w:color="000000"/>
        </w:rPr>
        <w:t>511222 </w:t>
      </w:r>
      <w:r>
        <w:rPr>
          <w:rFonts w:ascii="Times New Roman" w:hAnsi="Times New Roman" w:cs="Times New Roman" w:eastAsia="Times New Roman" w:hint="default"/>
          <w:i/>
          <w:u w:val="single" w:color="000000"/>
        </w:rPr>
        <w:t>– </w:t>
      </w:r>
      <w:r>
        <w:rPr>
          <w:rFonts w:ascii="Times New Roman" w:hAnsi="Times New Roman" w:cs="Times New Roman" w:eastAsia="Times New Roman" w:hint="default"/>
          <w:i/>
        </w:rPr>
      </w:r>
      <w:r>
        <w:rPr>
          <w:rFonts w:ascii="Times New Roman" w:hAnsi="Times New Roman" w:cs="Times New Roman" w:eastAsia="Times New Roman" w:hint="default"/>
          <w:i/>
        </w:rPr>
      </w:r>
      <w:r>
        <w:rPr/>
        <w:t>Исказан је издатак у укупном износу од </w:t>
      </w:r>
      <w:r>
        <w:rPr>
          <w:rFonts w:ascii="Times New Roman" w:hAnsi="Times New Roman" w:cs="Times New Roman" w:eastAsia="Times New Roman" w:hint="default"/>
        </w:rPr>
        <w:t>35.290 </w:t>
      </w:r>
      <w:r>
        <w:rPr/>
        <w:t>хиљада</w:t>
      </w:r>
      <w:r>
        <w:rPr>
          <w:spacing w:val="-16"/>
        </w:rPr>
        <w:t> </w:t>
      </w:r>
      <w:r>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5"/>
        </w:rPr>
        <w:t> </w:t>
      </w:r>
      <w:r>
        <w:rPr/>
        <w:t>је:</w:t>
      </w:r>
      <w:r>
        <w:rPr>
          <w:b w:val="0"/>
        </w:rPr>
      </w:r>
    </w:p>
    <w:p>
      <w:pPr>
        <w:pStyle w:val="ListParagraph"/>
        <w:numPr>
          <w:ilvl w:val="0"/>
          <w:numId w:val="9"/>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Издатак у износу од 33.054 хиљаде динара за извођење радова на изградњи трафостанице зграде кардиохирургије по основу Уговора број 03</w:t>
      </w:r>
      <w:r>
        <w:rPr>
          <w:rFonts w:ascii="Times New Roman" w:hAnsi="Times New Roman" w:cs="Times New Roman" w:eastAsia="Times New Roman" w:hint="default"/>
          <w:sz w:val="24"/>
          <w:szCs w:val="24"/>
        </w:rPr>
        <w:t>-10472/1 </w:t>
      </w:r>
      <w:r>
        <w:rPr>
          <w:rFonts w:ascii="Times New Roman" w:hAnsi="Times New Roman" w:cs="Times New Roman" w:eastAsia="Times New Roman" w:hint="default"/>
          <w:sz w:val="24"/>
          <w:szCs w:val="24"/>
        </w:rPr>
        <w:t>од </w:t>
      </w:r>
      <w:r>
        <w:rPr>
          <w:rFonts w:ascii="Times New Roman" w:hAnsi="Times New Roman" w:cs="Times New Roman" w:eastAsia="Times New Roman" w:hint="default"/>
          <w:sz w:val="24"/>
          <w:szCs w:val="24"/>
        </w:rPr>
        <w:t>16.12.2013. </w:t>
      </w:r>
      <w:r>
        <w:rPr>
          <w:rFonts w:ascii="Times New Roman" w:hAnsi="Times New Roman" w:cs="Times New Roman" w:eastAsia="Times New Roman" w:hint="default"/>
          <w:sz w:val="24"/>
          <w:szCs w:val="24"/>
        </w:rPr>
        <w:t>године закљученог са „Гат“ доо Нови Сад и за извођење радова на партерном уређењу око зграде кардиохирургије по основу Уговора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4921/1 од 15.09.2014. године закљученог са „ЦД Хис“ доо Ниш</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извршен је без основа који је у складу са законом, што је супротно члану 18. Закона о здравственој заштити и члану 56. Закона о буџетском систему.</w:t>
      </w:r>
    </w:p>
    <w:p>
      <w:pPr>
        <w:pStyle w:val="ListParagraph"/>
        <w:numPr>
          <w:ilvl w:val="0"/>
          <w:numId w:val="9"/>
        </w:numPr>
        <w:tabs>
          <w:tab w:pos="348"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Према грађевинском дневнику по Уговору број 03</w:t>
      </w:r>
      <w:r>
        <w:rPr>
          <w:rFonts w:ascii="Times New Roman" w:hAnsi="Times New Roman" w:cs="Times New Roman" w:eastAsia="Times New Roman" w:hint="default"/>
          <w:sz w:val="24"/>
          <w:szCs w:val="24"/>
        </w:rPr>
        <w:t>-4921/1 </w:t>
      </w:r>
      <w:r>
        <w:rPr>
          <w:rFonts w:ascii="Times New Roman" w:hAnsi="Times New Roman" w:cs="Times New Roman" w:eastAsia="Times New Roman" w:hint="default"/>
          <w:sz w:val="24"/>
          <w:szCs w:val="24"/>
        </w:rPr>
        <w:t>од 15.</w:t>
      </w:r>
      <w:r>
        <w:rPr>
          <w:rFonts w:ascii="Times New Roman" w:hAnsi="Times New Roman" w:cs="Times New Roman" w:eastAsia="Times New Roman" w:hint="default"/>
          <w:sz w:val="24"/>
          <w:szCs w:val="24"/>
        </w:rPr>
        <w:t>09.2014</w:t>
      </w:r>
      <w:r>
        <w:rPr>
          <w:rFonts w:ascii="Times New Roman" w:hAnsi="Times New Roman" w:cs="Times New Roman" w:eastAsia="Times New Roman" w:hint="default"/>
          <w:sz w:val="24"/>
          <w:szCs w:val="24"/>
        </w:rPr>
        <w:t>. године закљученом са „ЦД Хис“ доо Ниш</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за извођење радова на партерном уређењу око зграде кардиохирургије завршени су радови дана 22.11.2014. године, а није сачињена  комисијска примопредаја за изведене радове, што је супротно члану </w:t>
      </w:r>
      <w:r>
        <w:rPr>
          <w:rFonts w:ascii="Times New Roman" w:hAnsi="Times New Roman" w:cs="Times New Roman" w:eastAsia="Times New Roman" w:hint="default"/>
          <w:spacing w:val="2"/>
          <w:sz w:val="24"/>
          <w:szCs w:val="24"/>
        </w:rPr>
        <w:t>18</w:t>
      </w:r>
      <w:r>
        <w:rPr>
          <w:rFonts w:ascii="Times New Roman" w:hAnsi="Times New Roman" w:cs="Times New Roman" w:eastAsia="Times New Roman" w:hint="default"/>
          <w:spacing w:val="2"/>
          <w:sz w:val="24"/>
          <w:szCs w:val="24"/>
        </w:rPr>
        <w:t>. </w:t>
      </w:r>
      <w:r>
        <w:rPr>
          <w:rFonts w:ascii="Times New Roman" w:hAnsi="Times New Roman" w:cs="Times New Roman" w:eastAsia="Times New Roman" w:hint="default"/>
          <w:sz w:val="24"/>
          <w:szCs w:val="24"/>
        </w:rPr>
        <w:t>наведеног Уговора.</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ListParagraph"/>
        <w:numPr>
          <w:ilvl w:val="0"/>
          <w:numId w:val="9"/>
        </w:numPr>
        <w:tabs>
          <w:tab w:pos="348" w:val="left" w:leader="none"/>
        </w:tabs>
        <w:spacing w:line="240" w:lineRule="auto" w:before="124"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ЈП Дирекција није поднела Захтев за извршење техничког прегледа и није издата употребна дозвола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иако су радови на партерном уређењу око зграде кардиохирургије по уговору број 03</w:t>
      </w:r>
      <w:r>
        <w:rPr>
          <w:rFonts w:ascii="Times New Roman" w:hAnsi="Times New Roman" w:cs="Times New Roman" w:eastAsia="Times New Roman" w:hint="default"/>
          <w:sz w:val="24"/>
          <w:szCs w:val="24"/>
        </w:rPr>
        <w:t>-4921/1 </w:t>
      </w:r>
      <w:r>
        <w:rPr>
          <w:rFonts w:ascii="Times New Roman" w:hAnsi="Times New Roman" w:cs="Times New Roman" w:eastAsia="Times New Roman" w:hint="default"/>
          <w:sz w:val="24"/>
          <w:szCs w:val="24"/>
        </w:rPr>
        <w:t>од 15.</w:t>
      </w:r>
      <w:r>
        <w:rPr>
          <w:rFonts w:ascii="Times New Roman" w:hAnsi="Times New Roman" w:cs="Times New Roman" w:eastAsia="Times New Roman" w:hint="default"/>
          <w:sz w:val="24"/>
          <w:szCs w:val="24"/>
        </w:rPr>
        <w:t>09.2014</w:t>
      </w:r>
      <w:r>
        <w:rPr>
          <w:rFonts w:ascii="Times New Roman" w:hAnsi="Times New Roman" w:cs="Times New Roman" w:eastAsia="Times New Roman" w:hint="default"/>
          <w:sz w:val="24"/>
          <w:szCs w:val="24"/>
        </w:rPr>
        <w:t>. године закљученом са „ЦД Хис“ доо Ниш</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завршени, што је супротно члану 154. и </w:t>
      </w:r>
      <w:r>
        <w:rPr>
          <w:rFonts w:ascii="Times New Roman" w:hAnsi="Times New Roman" w:cs="Times New Roman" w:eastAsia="Times New Roman" w:hint="default"/>
          <w:sz w:val="24"/>
          <w:szCs w:val="24"/>
        </w:rPr>
        <w:t>1</w:t>
      </w:r>
      <w:r>
        <w:rPr>
          <w:rFonts w:ascii="Times New Roman" w:hAnsi="Times New Roman" w:cs="Times New Roman" w:eastAsia="Times New Roman" w:hint="default"/>
          <w:sz w:val="24"/>
          <w:szCs w:val="24"/>
        </w:rPr>
        <w:t>58. Закона о планирању и</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изградњи.</w:t>
      </w:r>
    </w:p>
    <w:p>
      <w:pPr>
        <w:pStyle w:val="ListParagraph"/>
        <w:numPr>
          <w:ilvl w:val="0"/>
          <w:numId w:val="9"/>
        </w:numPr>
        <w:tabs>
          <w:tab w:pos="348"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је евидентиран износ од </w:t>
      </w:r>
      <w:r>
        <w:rPr>
          <w:rFonts w:ascii="Times New Roman" w:hAnsi="Times New Roman" w:cs="Times New Roman" w:eastAsia="Times New Roman" w:hint="default"/>
          <w:sz w:val="24"/>
          <w:szCs w:val="24"/>
        </w:rPr>
        <w:t>37.992 </w:t>
      </w:r>
      <w:r>
        <w:rPr>
          <w:rFonts w:ascii="Times New Roman" w:hAnsi="Times New Roman" w:cs="Times New Roman" w:eastAsia="Times New Roman" w:hint="default"/>
          <w:sz w:val="24"/>
          <w:szCs w:val="24"/>
        </w:rPr>
        <w:t>хиљаде динара на групи 511000, уместо на групи </w:t>
      </w:r>
      <w:r>
        <w:rPr>
          <w:rFonts w:ascii="Times New Roman" w:hAnsi="Times New Roman" w:cs="Times New Roman" w:eastAsia="Times New Roman" w:hint="default"/>
          <w:sz w:val="24"/>
          <w:szCs w:val="24"/>
        </w:rPr>
        <w:t>464000 </w:t>
      </w:r>
      <w:r>
        <w:rPr>
          <w:rFonts w:ascii="Times New Roman" w:hAnsi="Times New Roman" w:cs="Times New Roman" w:eastAsia="Times New Roman" w:hint="default"/>
          <w:sz w:val="24"/>
          <w:szCs w:val="24"/>
        </w:rPr>
        <w:t>– Дотације организацијама обавезног социјалног осигурања, што је супротно члану 9. Уредбе о буџетском рачуноводству и Правилника о стандардном класификационом оквиру и контном плану за буџетски</w:t>
      </w:r>
      <w:r>
        <w:rPr>
          <w:rFonts w:ascii="Times New Roman" w:hAnsi="Times New Roman" w:cs="Times New Roman" w:eastAsia="Times New Roman" w:hint="default"/>
          <w:spacing w:val="-31"/>
          <w:sz w:val="24"/>
          <w:szCs w:val="24"/>
        </w:rPr>
        <w:t> </w:t>
      </w:r>
      <w:r>
        <w:rPr>
          <w:rFonts w:ascii="Times New Roman" w:hAnsi="Times New Roman" w:cs="Times New Roman" w:eastAsia="Times New Roman" w:hint="default"/>
          <w:sz w:val="24"/>
          <w:szCs w:val="24"/>
        </w:rPr>
        <w:t>систем.</w:t>
      </w:r>
    </w:p>
    <w:p>
      <w:pPr>
        <w:pStyle w:val="ListParagraph"/>
        <w:numPr>
          <w:ilvl w:val="0"/>
          <w:numId w:val="9"/>
        </w:numPr>
        <w:tabs>
          <w:tab w:pos="348"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Књижење издатка у износу од 13.523 хиљаде динара је евидентирано и преко групе конта 01</w:t>
      </w:r>
      <w:r>
        <w:rPr>
          <w:rFonts w:ascii="Times New Roman" w:hAnsi="Times New Roman" w:cs="Times New Roman" w:eastAsia="Times New Roman" w:hint="default"/>
          <w:sz w:val="24"/>
          <w:szCs w:val="24"/>
        </w:rPr>
        <w:t>5000 </w:t>
      </w:r>
      <w:r>
        <w:rPr>
          <w:rFonts w:ascii="Times New Roman" w:hAnsi="Times New Roman" w:cs="Times New Roman" w:eastAsia="Times New Roman" w:hint="default"/>
          <w:sz w:val="24"/>
          <w:szCs w:val="24"/>
        </w:rPr>
        <w:t>– нефинансијска имовина у припреми и аванси и </w:t>
      </w:r>
      <w:r>
        <w:rPr>
          <w:rFonts w:ascii="Times New Roman" w:hAnsi="Times New Roman" w:cs="Times New Roman" w:eastAsia="Times New Roman" w:hint="default"/>
          <w:sz w:val="24"/>
          <w:szCs w:val="24"/>
        </w:rPr>
        <w:t>311000 </w:t>
      </w:r>
      <w:r>
        <w:rPr>
          <w:rFonts w:ascii="Times New Roman" w:hAnsi="Times New Roman" w:cs="Times New Roman" w:eastAsia="Times New Roman" w:hint="default"/>
          <w:sz w:val="24"/>
          <w:szCs w:val="24"/>
        </w:rPr>
        <w:t>– Капитал. Објекат није у власништву ЈП Дирекција, а ни у власништву града. Објекат је требало предати носиоцу права јавне својине на укњижење након завршетка радова (завршетак радова је 22.11.2014. године). Оваквим начином евидентирања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ове билансне позиције исказане су у већем износу за 13.523 хиљаде динара,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систем</w:t>
      </w:r>
      <w:r>
        <w:rPr>
          <w:rFonts w:ascii="Times New Roman" w:hAnsi="Times New Roman" w:cs="Times New Roman" w:eastAsia="Times New Roman" w:hint="default"/>
          <w:sz w:val="24"/>
          <w:szCs w:val="24"/>
        </w:rPr>
        <w:t>.</w:t>
      </w:r>
    </w:p>
    <w:p>
      <w:pPr>
        <w:pStyle w:val="Heading2"/>
        <w:spacing w:line="240" w:lineRule="auto"/>
        <w:ind w:right="177"/>
        <w:jc w:val="both"/>
        <w:rPr>
          <w:b w:val="0"/>
          <w:bCs w:val="0"/>
          <w:i w:val="0"/>
        </w:rPr>
      </w:pPr>
      <w:r>
        <w:rPr>
          <w:i/>
        </w:rPr>
        <w:t>Препоручује се одговорним лицима да обезбеде основ за сваки издатак из  буџета</w:t>
      </w:r>
      <w:r>
        <w:rPr>
          <w:rFonts w:ascii="Times New Roman" w:hAnsi="Times New Roman"/>
          <w:i/>
        </w:rPr>
        <w:t>, </w:t>
      </w:r>
      <w:r>
        <w:rPr>
          <w:i/>
        </w:rPr>
        <w:t>доследно примењују одредбе закључених уговора и обезбеде правилну примену одредби Закона о планирању и изградњи</w:t>
      </w:r>
      <w:r>
        <w:rPr>
          <w:rFonts w:ascii="Times New Roman" w:hAnsi="Times New Roman"/>
          <w:i/>
        </w:rPr>
        <w:t>, </w:t>
      </w:r>
      <w:r>
        <w:rPr>
          <w:i/>
        </w:rPr>
        <w:t>Уредбе о буџетском рачуноводству и Правилника о стандардном класификационом оквиру и контном плану за буџетски систем.</w:t>
      </w:r>
      <w:r>
        <w:rPr>
          <w:b w:val="0"/>
          <w:i w:val="0"/>
        </w:rPr>
      </w:r>
    </w:p>
    <w:p>
      <w:pPr>
        <w:pStyle w:val="BodyText"/>
        <w:spacing w:line="240" w:lineRule="auto"/>
        <w:ind w:right="170"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Објекти за потребе образовања, субаналитички конто 511223 </w:t>
      </w:r>
      <w:r>
        <w:rPr/>
      </w:r>
      <w:r>
        <w:rPr>
          <w:rFonts w:ascii="Times New Roman" w:hAnsi="Times New Roman" w:cs="Times New Roman" w:eastAsia="Times New Roman" w:hint="default"/>
          <w:b/>
          <w:bCs/>
        </w:rPr>
        <w:t>– </w:t>
      </w:r>
      <w:r>
        <w:rPr/>
        <w:t>Исказан је издатак у износу од </w:t>
      </w:r>
      <w:r>
        <w:rPr>
          <w:rFonts w:ascii="Times New Roman" w:hAnsi="Times New Roman" w:cs="Times New Roman" w:eastAsia="Times New Roman" w:hint="default"/>
        </w:rPr>
        <w:t>6.975 </w:t>
      </w:r>
      <w:r>
        <w:rPr/>
        <w:t>хиљада</w:t>
      </w:r>
      <w:r>
        <w:rPr>
          <w:spacing w:val="-7"/>
        </w:rPr>
        <w:t> </w:t>
      </w:r>
      <w:r>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5"/>
        </w:rPr>
        <w:t> </w:t>
      </w:r>
      <w:r>
        <w:rPr/>
        <w:t>је:</w:t>
      </w:r>
      <w:r>
        <w:rPr>
          <w:b w:val="0"/>
        </w:rPr>
      </w:r>
    </w:p>
    <w:p>
      <w:pPr>
        <w:pStyle w:val="ListParagraph"/>
        <w:numPr>
          <w:ilvl w:val="0"/>
          <w:numId w:val="9"/>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Пружалац услуге „Шидпројект“ доо Шид није извршио услугу у року од 7 дана од дана пријема документације, за пружање услуге техничке контроле пројектне документације – главних пројеката, реконструкције, адаптације и надградње старе школе и дечје обданиште у насељу Брзи Брод у Нишу, како је то прописано чланом 6. Уговора о пружању услуга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10394/2012 од 04.01.2013. године, којим се пружалац услуге обавезао да у року од 3 дана од дана закључења уговора достави примедбе наручиоцу ако их има, а пружалац услуга да ће у року од 3 дана по отклањању примедби доставити наручиоцу коначан извештај о извршеној техничкој контроли</w:t>
      </w:r>
      <w:r>
        <w:rPr>
          <w:rFonts w:ascii="Calibri" w:hAnsi="Calibri" w:cs="Calibri" w:eastAsia="Calibri" w:hint="default"/>
          <w:sz w:val="24"/>
          <w:szCs w:val="24"/>
        </w:rPr>
        <w:t>. </w:t>
      </w:r>
      <w:r>
        <w:rPr>
          <w:rFonts w:ascii="Times New Roman" w:hAnsi="Times New Roman" w:cs="Times New Roman" w:eastAsia="Times New Roman" w:hint="default"/>
          <w:sz w:val="24"/>
          <w:szCs w:val="24"/>
        </w:rPr>
        <w:t>Пројектна документација је предата 18.05.2013.</w:t>
      </w:r>
      <w:r>
        <w:rPr>
          <w:rFonts w:ascii="Times New Roman" w:hAnsi="Times New Roman" w:cs="Times New Roman" w:eastAsia="Times New Roman" w:hint="default"/>
          <w:spacing w:val="-1"/>
          <w:sz w:val="24"/>
          <w:szCs w:val="24"/>
        </w:rPr>
        <w:t> </w:t>
      </w:r>
      <w:r>
        <w:rPr>
          <w:rFonts w:ascii="Times New Roman" w:hAnsi="Times New Roman" w:cs="Times New Roman" w:eastAsia="Times New Roman" w:hint="default"/>
          <w:sz w:val="24"/>
          <w:szCs w:val="24"/>
        </w:rPr>
        <w:t>године.</w:t>
      </w:r>
    </w:p>
    <w:p>
      <w:pPr>
        <w:pStyle w:val="ListParagraph"/>
        <w:numPr>
          <w:ilvl w:val="0"/>
          <w:numId w:val="9"/>
        </w:numPr>
        <w:tabs>
          <w:tab w:pos="303" w:val="left" w:leader="none"/>
        </w:tabs>
        <w:spacing w:line="292" w:lineRule="exact" w:before="2"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Инвеститор није </w:t>
      </w:r>
      <w:r>
        <w:rPr>
          <w:rFonts w:ascii="Times New Roman" w:hAnsi="Times New Roman"/>
          <w:spacing w:val="-3"/>
          <w:sz w:val="24"/>
        </w:rPr>
        <w:t>узео </w:t>
      </w:r>
      <w:r>
        <w:rPr>
          <w:rFonts w:ascii="Times New Roman" w:hAnsi="Times New Roman"/>
          <w:sz w:val="24"/>
        </w:rPr>
        <w:t>средство обезбеђења за добро извршење посла од извођача</w:t>
      </w:r>
      <w:r>
        <w:rPr>
          <w:rFonts w:ascii="Times New Roman" w:hAnsi="Times New Roman"/>
          <w:spacing w:val="26"/>
          <w:sz w:val="24"/>
        </w:rPr>
        <w:t> </w:t>
      </w:r>
      <w:r>
        <w:rPr>
          <w:rFonts w:ascii="Times New Roman" w:hAnsi="Times New Roman"/>
          <w:sz w:val="24"/>
        </w:rPr>
        <w:t>радова</w:t>
      </w:r>
    </w:p>
    <w:p>
      <w:pPr>
        <w:pStyle w:val="BodyText"/>
        <w:spacing w:line="240" w:lineRule="auto"/>
        <w:ind w:right="173"/>
        <w:jc w:val="both"/>
      </w:pPr>
      <w:r>
        <w:rPr/>
        <w:t>„Гринич“ доо Ниш, за пружање услуге геодетског снимања фактичког стања са израдом топографског плана за потребе израде идејног и главног пројекта, израде пројекта парцелације са пројектом геодетског обележавања и преношење регулационе линије из плана на терен за локацију новопланиране гимназије са приступним саобраћајницама у Нишу</w:t>
      </w:r>
      <w:r>
        <w:rPr>
          <w:rFonts w:ascii="Times New Roman" w:hAnsi="Times New Roman" w:cs="Times New Roman" w:eastAsia="Times New Roman" w:hint="default"/>
        </w:rPr>
        <w:t>, </w:t>
      </w:r>
      <w:r>
        <w:rPr/>
        <w:t>што је супротно члану 8. Уговора о пружању услуга број 03</w:t>
      </w:r>
      <w:r>
        <w:rPr>
          <w:rFonts w:ascii="Times New Roman" w:hAnsi="Times New Roman" w:cs="Times New Roman" w:eastAsia="Times New Roman" w:hint="default"/>
        </w:rPr>
        <w:t>-10686/1 </w:t>
      </w:r>
      <w:r>
        <w:rPr/>
        <w:t>од  20.11.2013. године и ПД „Југо</w:t>
      </w:r>
      <w:r>
        <w:rPr>
          <w:rFonts w:ascii="Times New Roman" w:hAnsi="Times New Roman" w:cs="Times New Roman" w:eastAsia="Times New Roman" w:hint="default"/>
        </w:rPr>
        <w:t>-</w:t>
      </w:r>
      <w:r>
        <w:rPr/>
        <w:t>импекс“ доо Ниш, за извођење радова на изградњи котларнице и инфраструктурном опремању гасом обданишта „Цветић“ у насељу Бранко Бјеговић у Нишу</w:t>
      </w:r>
      <w:r>
        <w:rPr>
          <w:rFonts w:ascii="Times New Roman" w:hAnsi="Times New Roman" w:cs="Times New Roman" w:eastAsia="Times New Roman" w:hint="default"/>
        </w:rPr>
        <w:t>, </w:t>
      </w:r>
      <w:r>
        <w:rPr/>
        <w:t>што је супротно члану 17. Уговора о грађењу број 03</w:t>
      </w:r>
      <w:r>
        <w:rPr>
          <w:rFonts w:ascii="Times New Roman" w:hAnsi="Times New Roman" w:cs="Times New Roman" w:eastAsia="Times New Roman" w:hint="default"/>
        </w:rPr>
        <w:t>-5563/1 </w:t>
      </w:r>
      <w:r>
        <w:rPr/>
        <w:t>од 19.10.2012. године.</w:t>
      </w:r>
    </w:p>
    <w:p>
      <w:pPr>
        <w:pStyle w:val="ListParagraph"/>
        <w:numPr>
          <w:ilvl w:val="0"/>
          <w:numId w:val="9"/>
        </w:numPr>
        <w:tabs>
          <w:tab w:pos="303" w:val="left" w:leader="none"/>
        </w:tabs>
        <w:spacing w:line="240" w:lineRule="auto" w:before="2" w:after="0"/>
        <w:ind w:left="160" w:right="17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Пружалац услуге „Гринич“ доо Ниш није завршио услугу геодетског снимања фактичког стања са израдом топографског плана у року од 38 дана од дана закључења уговора,  већ  је  каснио  34  дана,  а  да  након  кашњења  нису  продужили  рок </w:t>
      </w:r>
      <w:r>
        <w:rPr>
          <w:rFonts w:ascii="Times New Roman" w:hAnsi="Times New Roman" w:cs="Times New Roman" w:eastAsia="Times New Roman" w:hint="default"/>
          <w:spacing w:val="31"/>
          <w:sz w:val="24"/>
          <w:szCs w:val="24"/>
        </w:rPr>
        <w:t> </w:t>
      </w:r>
      <w:r>
        <w:rPr>
          <w:rFonts w:ascii="Times New Roman" w:hAnsi="Times New Roman" w:cs="Times New Roman" w:eastAsia="Times New Roman" w:hint="default"/>
          <w:sz w:val="24"/>
          <w:szCs w:val="24"/>
        </w:rPr>
        <w:t>писаним</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6"/>
        <w:jc w:val="both"/>
      </w:pPr>
      <w:r>
        <w:rPr/>
        <w:t>споразумом обеју страна, што је супротно члану 7. Уговора о пружању услуга број 10686/1 од 20.11.2013. године.</w:t>
      </w:r>
    </w:p>
    <w:p>
      <w:pPr>
        <w:pStyle w:val="Heading2"/>
        <w:spacing w:line="240" w:lineRule="auto"/>
        <w:ind w:right="141"/>
        <w:jc w:val="left"/>
        <w:rPr>
          <w:b w:val="0"/>
          <w:bCs w:val="0"/>
          <w:i w:val="0"/>
        </w:rPr>
      </w:pPr>
      <w:r>
        <w:rPr>
          <w:i/>
        </w:rPr>
        <w:t>Препоручује се одговорним лицима да доследно примењују одредбе закључених уговора.</w:t>
      </w:r>
      <w:r>
        <w:rPr>
          <w:b w:val="0"/>
          <w:i w:val="0"/>
        </w:rPr>
      </w:r>
    </w:p>
    <w:p>
      <w:pPr>
        <w:pStyle w:val="BodyText"/>
        <w:spacing w:line="271" w:lineRule="exact"/>
        <w:ind w:left="726" w:right="141"/>
        <w:jc w:val="left"/>
        <w:rPr>
          <w:rFonts w:ascii="Times New Roman" w:hAnsi="Times New Roman" w:cs="Times New Roman" w:eastAsia="Times New Roman" w:hint="default"/>
        </w:rPr>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Аутопутеви, путеви, мостови, надвожњаци и тунели, субаналитички конто 511231</w:t>
      </w:r>
      <w:r>
        <w:rPr>
          <w:spacing w:val="2"/>
          <w:u w:val="single" w:color="000000"/>
        </w:rPr>
        <w:t> </w:t>
      </w:r>
      <w:r>
        <w:rPr>
          <w:spacing w:val="2"/>
        </w:rPr>
      </w:r>
      <w:r>
        <w:rPr>
          <w:rFonts w:ascii="Times New Roman" w:hAnsi="Times New Roman" w:cs="Times New Roman" w:eastAsia="Times New Roman" w:hint="default"/>
          <w:i/>
        </w:rPr>
        <w:t>–</w:t>
      </w:r>
      <w:r>
        <w:rPr>
          <w:rFonts w:ascii="Times New Roman" w:hAnsi="Times New Roman" w:cs="Times New Roman" w:eastAsia="Times New Roman" w:hint="default"/>
        </w:rPr>
      </w:r>
    </w:p>
    <w:p>
      <w:pPr>
        <w:pStyle w:val="BodyText"/>
        <w:spacing w:line="240" w:lineRule="auto"/>
        <w:ind w:right="0"/>
        <w:jc w:val="both"/>
      </w:pPr>
      <w:r>
        <w:rPr/>
        <w:t>Исказан је издатак у укупном износу од </w:t>
      </w:r>
      <w:r>
        <w:rPr>
          <w:rFonts w:ascii="Times New Roman" w:hAnsi="Times New Roman"/>
        </w:rPr>
        <w:t>17.022 </w:t>
      </w:r>
      <w:r>
        <w:rPr/>
        <w:t>хиљад</w:t>
      </w:r>
      <w:r>
        <w:rPr>
          <w:rFonts w:ascii="Times New Roman" w:hAnsi="Times New Roman"/>
        </w:rPr>
        <w:t>e</w:t>
      </w:r>
      <w:r>
        <w:rPr>
          <w:rFonts w:ascii="Times New Roman" w:hAnsi="Times New Roman"/>
          <w:spacing w:val="-15"/>
        </w:rPr>
        <w:t> </w:t>
      </w:r>
      <w:r>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5"/>
        </w:rPr>
        <w:t> </w:t>
      </w:r>
      <w:r>
        <w:rPr/>
        <w:t>је:</w:t>
      </w:r>
      <w:r>
        <w:rPr>
          <w:b w:val="0"/>
        </w:rPr>
      </w:r>
    </w:p>
    <w:p>
      <w:pPr>
        <w:pStyle w:val="ListParagraph"/>
        <w:numPr>
          <w:ilvl w:val="0"/>
          <w:numId w:val="9"/>
        </w:numPr>
        <w:tabs>
          <w:tab w:pos="303"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Извођач радова „Ратко Митровић“ доо Београд није завршио радове на завршетку изградње саобраћајница на територији града Ниша у року од 45 дана од дана увођења у посао (уведен у посао 19.09.2012. године), односно радови нису завршени до дана вршења ревизије. Инвеститор није наплатио уговорену казну за сваки дан кашњења како је уговорено чланом 7. Уговора о грађењу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940 од 13.02.2012.</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године.</w:t>
      </w:r>
    </w:p>
    <w:p>
      <w:pPr>
        <w:pStyle w:val="ListParagraph"/>
        <w:numPr>
          <w:ilvl w:val="0"/>
          <w:numId w:val="9"/>
        </w:numPr>
        <w:tabs>
          <w:tab w:pos="341"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Извођач радова „МД ГИТ“ доо Ниш није завршио радове на изградњи улица на територији града Ниша – 1 партија улица Новопројектована од улице Граничарске до улице Мирочке у Нишу у року од 20 календарских дана од дана увођења у посао (уведен у посао 14.09.2010. године). Инвеститор није наплатио уговорену казну за сваки дан кашњења како је уговорено у члану 7. Уговора о грађењу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2793/4 од 08.07.2010. године.</w:t>
      </w:r>
    </w:p>
    <w:p>
      <w:pPr>
        <w:pStyle w:val="ListParagraph"/>
        <w:numPr>
          <w:ilvl w:val="0"/>
          <w:numId w:val="9"/>
        </w:numPr>
        <w:tabs>
          <w:tab w:pos="341"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Извођач радова „ПЗП“ ад Ниш није завршио радове на поправци – санација и модернизација пута кружног тока на Леденој стени у </w:t>
      </w:r>
      <w:r>
        <w:rPr>
          <w:rFonts w:ascii="Times New Roman" w:hAnsi="Times New Roman" w:cs="Times New Roman" w:eastAsia="Times New Roman" w:hint="default"/>
          <w:spacing w:val="2"/>
          <w:sz w:val="24"/>
          <w:szCs w:val="24"/>
        </w:rPr>
        <w:t>Нишу </w:t>
      </w:r>
      <w:r>
        <w:rPr>
          <w:rFonts w:ascii="Times New Roman" w:hAnsi="Times New Roman" w:cs="Times New Roman" w:eastAsia="Times New Roman" w:hint="default"/>
          <w:sz w:val="24"/>
          <w:szCs w:val="24"/>
        </w:rPr>
        <w:t>у року од 55 дана од дана </w:t>
      </w:r>
      <w:r>
        <w:rPr>
          <w:rFonts w:ascii="Times New Roman" w:hAnsi="Times New Roman" w:cs="Times New Roman" w:eastAsia="Times New Roman" w:hint="default"/>
          <w:sz w:val="24"/>
          <w:szCs w:val="24"/>
        </w:rPr>
        <w:t>увођења у посао (уведен у посао 01.10.2008. године, а завршио радове дана 26.11.2009</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године). Инвеститор није наплатио уговорену казну за сваки дан кашњења како је уговорено чланом 5. Уговора о грађењу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1335/1 од 09.05.2007. године, јер приликом увођења извођача у посао, нису били решени имовински односи на поменутој локацији.</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Инвеститор није преузео средство обезбеђења од извођача радова како је уговорено: чланом 17. Уговора о грађењу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940 од 13.02.2012. године закљученог са „Ратко Митровић“ доо Београд за изградњу саобраћајница на територији града Ниша, чланом 18. Уговора о грађењу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1335/1 од 09.05.2007. године закљученог са извођачем </w:t>
      </w:r>
      <w:r>
        <w:rPr>
          <w:rFonts w:ascii="Times New Roman" w:hAnsi="Times New Roman" w:cs="Times New Roman" w:eastAsia="Times New Roman" w:hint="default"/>
          <w:spacing w:val="45"/>
          <w:sz w:val="24"/>
          <w:szCs w:val="24"/>
        </w:rPr>
        <w:t> </w:t>
      </w:r>
      <w:r>
        <w:rPr>
          <w:rFonts w:ascii="Times New Roman" w:hAnsi="Times New Roman" w:cs="Times New Roman" w:eastAsia="Times New Roman" w:hint="default"/>
          <w:sz w:val="24"/>
          <w:szCs w:val="24"/>
        </w:rPr>
        <w:t>радова</w:t>
      </w:r>
    </w:p>
    <w:p>
      <w:pPr>
        <w:pStyle w:val="BodyText"/>
        <w:spacing w:line="240" w:lineRule="auto"/>
        <w:ind w:right="173"/>
        <w:jc w:val="both"/>
      </w:pPr>
      <w:r>
        <w:rPr/>
        <w:t>„ПЗП“ ад Ниш за поправку – санацију и модернизацију пута кружног тока на Леденој стени у Нишу, чланом 17. Уговора о грађењу број 03</w:t>
      </w:r>
      <w:r>
        <w:rPr>
          <w:rFonts w:ascii="Times New Roman" w:hAnsi="Times New Roman" w:cs="Times New Roman" w:eastAsia="Times New Roman" w:hint="default"/>
        </w:rPr>
        <w:t>-</w:t>
      </w:r>
      <w:r>
        <w:rPr/>
        <w:t>2793/4 од 08.07.2010. године закљученог са „МД ГИТ“ доо Ниш за изградњу улица на територији града Ниша – </w:t>
      </w:r>
      <w:r>
        <w:rPr>
          <w:rFonts w:ascii="Times New Roman" w:hAnsi="Times New Roman" w:cs="Times New Roman" w:eastAsia="Times New Roman" w:hint="default"/>
        </w:rPr>
        <w:t>1 </w:t>
      </w:r>
      <w:r>
        <w:rPr/>
        <w:t>партија улица Новопројектована од улице Граничарске до улице Мирочке у Нишу, чланом 17. Уговора о грађењу број 03</w:t>
      </w:r>
      <w:r>
        <w:rPr>
          <w:rFonts w:ascii="Times New Roman" w:hAnsi="Times New Roman" w:cs="Times New Roman" w:eastAsia="Times New Roman" w:hint="default"/>
        </w:rPr>
        <w:t>-3010-</w:t>
      </w:r>
      <w:r>
        <w:rPr/>
        <w:t>5 од 04.08.2010. године закљученог са „МД ГИТ“ доо Ниш за изградњу улица на територији града Ниша – 1 партија улица  Лошињска, ГО Црвени Крст, чланом 17. Уговора о грађењу број 03</w:t>
      </w:r>
      <w:r>
        <w:rPr>
          <w:rFonts w:ascii="Times New Roman" w:hAnsi="Times New Roman" w:cs="Times New Roman" w:eastAsia="Times New Roman" w:hint="default"/>
        </w:rPr>
        <w:t>-</w:t>
      </w:r>
      <w:r>
        <w:rPr/>
        <w:t>2793 од 08.07.2010. године закљученог са „Нискоградња“ ад Ниш за изградњу улица на територији града Ниша – </w:t>
      </w:r>
      <w:r>
        <w:rPr>
          <w:rFonts w:ascii="Times New Roman" w:hAnsi="Times New Roman" w:cs="Times New Roman" w:eastAsia="Times New Roman" w:hint="default"/>
        </w:rPr>
        <w:t>IV </w:t>
      </w:r>
      <w:r>
        <w:rPr/>
        <w:t>партија улица</w:t>
      </w:r>
      <w:r>
        <w:rPr>
          <w:spacing w:val="-10"/>
        </w:rPr>
        <w:t> </w:t>
      </w:r>
      <w:r>
        <w:rPr/>
        <w:t>Церска.</w:t>
      </w:r>
    </w:p>
    <w:p>
      <w:pPr>
        <w:pStyle w:val="ListParagraph"/>
        <w:numPr>
          <w:ilvl w:val="0"/>
          <w:numId w:val="9"/>
        </w:numPr>
        <w:tabs>
          <w:tab w:pos="341"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Градски орган надлежан за послове саобраћаја није образовао комисију за технички преглед изведних радова на санацији и модернизацији пута кружног тока на Леденој стени, што је супротно члану 59. Закона о јавним путевима и члану 22. Уговора број </w:t>
      </w:r>
      <w:r>
        <w:rPr>
          <w:rFonts w:ascii="Times New Roman" w:hAnsi="Times New Roman" w:cs="Times New Roman" w:eastAsia="Times New Roman" w:hint="default"/>
          <w:sz w:val="24"/>
          <w:szCs w:val="24"/>
        </w:rPr>
        <w:t>03- </w:t>
      </w:r>
      <w:r>
        <w:rPr>
          <w:rFonts w:ascii="Times New Roman" w:hAnsi="Times New Roman" w:cs="Times New Roman" w:eastAsia="Times New Roman" w:hint="default"/>
          <w:sz w:val="24"/>
          <w:szCs w:val="24"/>
        </w:rPr>
        <w:t>1335/1 од 09.05.2007. године закљученог са „ПЗП“ ад</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Ниш.</w:t>
      </w:r>
    </w:p>
    <w:p>
      <w:pPr>
        <w:pStyle w:val="ListParagraph"/>
        <w:numPr>
          <w:ilvl w:val="0"/>
          <w:numId w:val="9"/>
        </w:numPr>
        <w:tabs>
          <w:tab w:pos="303"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Грађевински дневник  по  уговору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2793  од  08.07.2010.  године  закљученом  са „Нискоградња“ ад Ниш и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2793/4 од 08.07.2010. године закљученом са „МД ГИТ“  доо  Ниш,  није попуњен  у складу са  чланом  3.  и  7.  Правилника  о  садржини </w:t>
      </w:r>
      <w:r>
        <w:rPr>
          <w:rFonts w:ascii="Times New Roman" w:hAnsi="Times New Roman" w:cs="Times New Roman" w:eastAsia="Times New Roman" w:hint="default"/>
          <w:spacing w:val="29"/>
          <w:sz w:val="24"/>
          <w:szCs w:val="24"/>
        </w:rPr>
        <w:t> </w:t>
      </w:r>
      <w:r>
        <w:rPr>
          <w:rFonts w:ascii="Times New Roman" w:hAnsi="Times New Roman" w:cs="Times New Roman" w:eastAsia="Times New Roman" w:hint="default"/>
          <w:sz w:val="24"/>
          <w:szCs w:val="24"/>
        </w:rPr>
        <w:t>и</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6"/>
        <w:jc w:val="both"/>
        <w:rPr>
          <w:rFonts w:ascii="Times New Roman" w:hAnsi="Times New Roman" w:cs="Times New Roman" w:eastAsia="Times New Roman" w:hint="default"/>
        </w:rPr>
      </w:pPr>
      <w:r>
        <w:rPr/>
        <w:t>начину вођења књиге инспекције и грађевинског дневника и члану 6. и 8. Правилника о садржини и начину вођења стручног</w:t>
      </w:r>
      <w:r>
        <w:rPr>
          <w:spacing w:val="-12"/>
        </w:rPr>
        <w:t> </w:t>
      </w:r>
      <w:r>
        <w:rPr/>
        <w:t>надзора</w:t>
      </w:r>
      <w:r>
        <w:rPr>
          <w:rFonts w:ascii="Times New Roman" w:hAnsi="Times New Roman"/>
        </w:rPr>
        <w:t>.</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радове на изградњи улица на територији града Ниша – 1 партија улица Новопројектована од улице Граничарске до улице Мирочке у Нишу по Уговору број 03</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2793/4 од 08.07.2010. године закљученом са „МД ГИТ“ доо Ниш, за радове на изградњи улица на територији града Ниша – </w:t>
      </w:r>
      <w:r>
        <w:rPr>
          <w:rFonts w:ascii="Times New Roman" w:hAnsi="Times New Roman" w:cs="Times New Roman" w:eastAsia="Times New Roman" w:hint="default"/>
          <w:sz w:val="24"/>
          <w:szCs w:val="24"/>
        </w:rPr>
        <w:t>IV </w:t>
      </w:r>
      <w:r>
        <w:rPr>
          <w:rFonts w:ascii="Times New Roman" w:hAnsi="Times New Roman" w:cs="Times New Roman" w:eastAsia="Times New Roman" w:hint="default"/>
          <w:sz w:val="24"/>
          <w:szCs w:val="24"/>
        </w:rPr>
        <w:t>партија улица Церска по Уговору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2793 од </w:t>
      </w:r>
      <w:r>
        <w:rPr>
          <w:rFonts w:ascii="Times New Roman" w:hAnsi="Times New Roman" w:cs="Times New Roman" w:eastAsia="Times New Roman" w:hint="default"/>
          <w:sz w:val="24"/>
          <w:szCs w:val="24"/>
        </w:rPr>
        <w:t>0</w:t>
      </w:r>
      <w:r>
        <w:rPr>
          <w:rFonts w:ascii="Times New Roman" w:hAnsi="Times New Roman" w:cs="Times New Roman" w:eastAsia="Times New Roman" w:hint="default"/>
          <w:sz w:val="24"/>
          <w:szCs w:val="24"/>
        </w:rPr>
        <w:t>8.07.2010. године закљученом са „Нискоградња“ ад Ниш, ЈП Дирекција није поднела Захтев за извршење техничког прегледа иако су радови завршени, што је супротно</w:t>
      </w:r>
      <w:r>
        <w:rPr>
          <w:rFonts w:ascii="Times New Roman" w:hAnsi="Times New Roman" w:cs="Times New Roman" w:eastAsia="Times New Roman" w:hint="default"/>
          <w:spacing w:val="57"/>
          <w:sz w:val="24"/>
          <w:szCs w:val="24"/>
        </w:rPr>
        <w:t> </w:t>
      </w:r>
      <w:r>
        <w:rPr>
          <w:rFonts w:ascii="Times New Roman" w:hAnsi="Times New Roman" w:cs="Times New Roman" w:eastAsia="Times New Roman" w:hint="default"/>
          <w:sz w:val="24"/>
          <w:szCs w:val="24"/>
        </w:rPr>
        <w:t>члану</w:t>
      </w:r>
    </w:p>
    <w:p>
      <w:pPr>
        <w:pStyle w:val="BodyText"/>
        <w:spacing w:line="240" w:lineRule="auto"/>
        <w:ind w:right="0"/>
        <w:jc w:val="both"/>
      </w:pPr>
      <w:r>
        <w:rPr>
          <w:rFonts w:ascii="Times New Roman" w:hAnsi="Times New Roman"/>
        </w:rPr>
        <w:t>154.  </w:t>
      </w:r>
      <w:r>
        <w:rPr/>
        <w:t>и 158. Закона о планирању и</w:t>
      </w:r>
      <w:r>
        <w:rPr>
          <w:spacing w:val="-15"/>
        </w:rPr>
        <w:t> </w:t>
      </w:r>
      <w:r>
        <w:rPr/>
        <w:t>изградњи.</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Извођач радова „Нискоградња“ ад Ниш, по основу Уговора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2793 од 08.07.2010. године за извођење радова на изградњи улица на територији града Ниша – </w:t>
      </w:r>
      <w:r>
        <w:rPr>
          <w:rFonts w:ascii="Times New Roman" w:hAnsi="Times New Roman" w:cs="Times New Roman" w:eastAsia="Times New Roman" w:hint="default"/>
          <w:sz w:val="24"/>
          <w:szCs w:val="24"/>
        </w:rPr>
        <w:t>IV </w:t>
      </w:r>
      <w:r>
        <w:rPr>
          <w:rFonts w:ascii="Times New Roman" w:hAnsi="Times New Roman" w:cs="Times New Roman" w:eastAsia="Times New Roman" w:hint="default"/>
          <w:sz w:val="24"/>
          <w:szCs w:val="24"/>
        </w:rPr>
        <w:t>партија улица Церска уведен је у посао дана 11.09.2010. године, а грађевинска дозвола издата дана 25.10.2011. године, што је супротно члану 138а. Закона о планирању и  изградњи који прописује да се може приступити грађењу само на основу коначног решења грађевинске</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дозволе.</w:t>
      </w:r>
    </w:p>
    <w:p>
      <w:pPr>
        <w:pStyle w:val="ListParagraph"/>
        <w:numPr>
          <w:ilvl w:val="0"/>
          <w:numId w:val="9"/>
        </w:numPr>
        <w:tabs>
          <w:tab w:pos="303" w:val="left" w:leader="none"/>
        </w:tabs>
        <w:spacing w:line="237" w:lineRule="auto" w:before="4" w:after="0"/>
        <w:ind w:left="160" w:right="17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Пружалац услуга „МД ГИТ“ доо Ниш није испоштовао рок за извршење услуга од 25 календарских дана, што је супротно члану 7. Уговора о грађењу број 03</w:t>
      </w:r>
      <w:r>
        <w:rPr>
          <w:rFonts w:ascii="Times New Roman" w:hAnsi="Times New Roman" w:cs="Times New Roman" w:eastAsia="Times New Roman" w:hint="default"/>
          <w:sz w:val="24"/>
          <w:szCs w:val="24"/>
        </w:rPr>
        <w:t>-3010-</w:t>
      </w:r>
      <w:r>
        <w:rPr>
          <w:rFonts w:ascii="Times New Roman" w:hAnsi="Times New Roman" w:cs="Times New Roman" w:eastAsia="Times New Roman" w:hint="default"/>
          <w:sz w:val="24"/>
          <w:szCs w:val="24"/>
        </w:rPr>
        <w:t>5 од 04.08.2010. године, јер наручилац  није решио имовинске</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односе.</w:t>
      </w:r>
    </w:p>
    <w:p>
      <w:pPr>
        <w:pStyle w:val="ListParagraph"/>
        <w:numPr>
          <w:ilvl w:val="0"/>
          <w:numId w:val="9"/>
        </w:numPr>
        <w:tabs>
          <w:tab w:pos="363" w:val="left" w:leader="none"/>
        </w:tabs>
        <w:spacing w:line="240" w:lineRule="auto" w:before="2" w:after="0"/>
        <w:ind w:left="160" w:right="18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Према грађевинском дневнику за уговор број 03</w:t>
      </w:r>
      <w:r>
        <w:rPr>
          <w:rFonts w:ascii="Times New Roman" w:hAnsi="Times New Roman" w:cs="Times New Roman" w:eastAsia="Times New Roman" w:hint="default"/>
          <w:sz w:val="24"/>
          <w:szCs w:val="24"/>
        </w:rPr>
        <w:t>-3010-</w:t>
      </w:r>
      <w:r>
        <w:rPr>
          <w:rFonts w:ascii="Times New Roman" w:hAnsi="Times New Roman" w:cs="Times New Roman" w:eastAsia="Times New Roman" w:hint="default"/>
          <w:sz w:val="24"/>
          <w:szCs w:val="24"/>
        </w:rPr>
        <w:t>5 од 04.08.2010. године закључен са „МД ГИТ“ доо Ниш, завршени су радови на изградњи улица на територији града  Ниша – 1 партија улица Лошињска дана 18.08.2014. године, а да није сачињена комисијска примопредаја за изведене радове, што је супротно члану 18. Уговора о грађењу.</w:t>
      </w:r>
    </w:p>
    <w:p>
      <w:pPr>
        <w:pStyle w:val="ListParagraph"/>
        <w:numPr>
          <w:ilvl w:val="0"/>
          <w:numId w:val="9"/>
        </w:numPr>
        <w:tabs>
          <w:tab w:pos="303" w:val="left" w:leader="none"/>
        </w:tabs>
        <w:spacing w:line="240" w:lineRule="auto" w:before="2" w:after="0"/>
        <w:ind w:left="160" w:right="17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Према грађевинском дневнику за Уговор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2793 од 08.07.2010. године закључен са „Нискоградња“ ад Ниш, за радове на изградњи улица на територији града Ниша – </w:t>
      </w:r>
      <w:r>
        <w:rPr>
          <w:rFonts w:ascii="Times New Roman" w:hAnsi="Times New Roman" w:cs="Times New Roman" w:eastAsia="Times New Roman" w:hint="default"/>
          <w:spacing w:val="-4"/>
          <w:sz w:val="24"/>
          <w:szCs w:val="24"/>
        </w:rPr>
        <w:t>IV </w:t>
      </w:r>
      <w:r>
        <w:rPr>
          <w:rFonts w:ascii="Times New Roman" w:hAnsi="Times New Roman" w:cs="Times New Roman" w:eastAsia="Times New Roman" w:hint="default"/>
          <w:spacing w:val="-4"/>
          <w:sz w:val="24"/>
          <w:szCs w:val="24"/>
        </w:rPr>
      </w:r>
      <w:r>
        <w:rPr>
          <w:rFonts w:ascii="Times New Roman" w:hAnsi="Times New Roman" w:cs="Times New Roman" w:eastAsia="Times New Roman" w:hint="default"/>
          <w:sz w:val="24"/>
          <w:szCs w:val="24"/>
        </w:rPr>
        <w:t>партија улица Церска радови су завршени дана 23.12.2013. године, а да није сачињена </w:t>
      </w:r>
      <w:r>
        <w:rPr>
          <w:rFonts w:ascii="Times New Roman" w:hAnsi="Times New Roman" w:cs="Times New Roman" w:eastAsia="Times New Roman" w:hint="default"/>
          <w:sz w:val="24"/>
          <w:szCs w:val="24"/>
        </w:rPr>
        <w:t>комисијска примопредаја за изведене радове, што је супротно члану 19. Уговора о грађењу.</w:t>
      </w:r>
    </w:p>
    <w:p>
      <w:pPr>
        <w:pStyle w:val="ListParagraph"/>
        <w:numPr>
          <w:ilvl w:val="0"/>
          <w:numId w:val="9"/>
        </w:numPr>
        <w:tabs>
          <w:tab w:pos="341"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је евидентиран износ од 2.628 хиљада динара на групи 511000 – зграде и грађевински објекти уместо на групи: 541000 – Земљиште у износу од 2.060 хиљада динара и групи 483000 – Новчане казне и пенали по решењу судова у износу од 568 хиљада динара, што је супротно члану 9. Уредбе о буџетском рачуноводству и Правилника о стандардном класификационом оквиру и контном плану за буџетски систем. Нефинансијска имовина у сталним средствима на класи 0 и класи 3 у Билансу стања је више исказана у износу од 568 хиљада</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динара.</w:t>
      </w:r>
    </w:p>
    <w:p>
      <w:pPr>
        <w:pStyle w:val="Heading2"/>
        <w:spacing w:line="240" w:lineRule="auto"/>
        <w:ind w:right="177"/>
        <w:jc w:val="both"/>
        <w:rPr>
          <w:b w:val="0"/>
          <w:bCs w:val="0"/>
          <w:i w:val="0"/>
        </w:rPr>
      </w:pPr>
      <w:r>
        <w:rPr>
          <w:i/>
        </w:rPr>
        <w:t>Препоручује се одговорним лицима да доследно примењују одредбе закључених уговора, обезбеде правилну примену одредби Уредбе о буџетском рачуноводству и Правилника о стандардном класификационом оквиру и контном плану за буџетски систем, Закона о планирању и изградњи, Правилника о садржини и начину вођења стручног надзора и Правилника о садржини и начину вођења књига инспекције и грађевинског</w:t>
      </w:r>
      <w:r>
        <w:rPr>
          <w:i/>
          <w:spacing w:val="-10"/>
        </w:rPr>
        <w:t> </w:t>
      </w:r>
      <w:r>
        <w:rPr>
          <w:i/>
        </w:rPr>
        <w:t>дневника.</w:t>
      </w:r>
      <w:r>
        <w:rPr>
          <w:b w:val="0"/>
          <w:i w:val="0"/>
        </w:rPr>
      </w:r>
    </w:p>
    <w:p>
      <w:pPr>
        <w:pStyle w:val="BodyText"/>
        <w:spacing w:line="240" w:lineRule="auto"/>
        <w:ind w:right="184"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Водовод</w:t>
      </w:r>
      <w:r>
        <w:rPr>
          <w:rFonts w:ascii="Times New Roman" w:hAnsi="Times New Roman" w:cs="Times New Roman" w:eastAsia="Times New Roman" w:hint="default"/>
          <w:u w:val="single" w:color="000000"/>
        </w:rPr>
        <w:t>, </w:t>
      </w:r>
      <w:r>
        <w:rPr>
          <w:u w:val="single" w:color="000000"/>
        </w:rPr>
        <w:t>субаналитички конто </w:t>
      </w:r>
      <w:r>
        <w:rPr>
          <w:rFonts w:ascii="Times New Roman" w:hAnsi="Times New Roman" w:cs="Times New Roman" w:eastAsia="Times New Roman" w:hint="default"/>
          <w:u w:val="single" w:color="000000"/>
        </w:rPr>
        <w:t>511241 </w:t>
      </w:r>
      <w:r>
        <w:rPr>
          <w:rFonts w:ascii="Times New Roman" w:hAnsi="Times New Roman" w:cs="Times New Roman" w:eastAsia="Times New Roman" w:hint="default"/>
        </w:rPr>
      </w:r>
      <w:r>
        <w:rPr/>
        <w:t>– Исказан је издатак у укупном износу од 17.863 хиљаде</w:t>
      </w:r>
      <w:r>
        <w:rPr>
          <w:spacing w:val="-3"/>
        </w:rPr>
        <w:t> </w:t>
      </w:r>
      <w:r>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5"/>
        </w:rPr>
        <w:t> </w:t>
      </w:r>
      <w:r>
        <w:rPr/>
        <w:t>је:</w:t>
      </w:r>
      <w:r>
        <w:rPr>
          <w:b w:val="0"/>
        </w:rPr>
      </w:r>
    </w:p>
    <w:p>
      <w:pPr>
        <w:pStyle w:val="ListParagraph"/>
        <w:numPr>
          <w:ilvl w:val="0"/>
          <w:numId w:val="9"/>
        </w:numPr>
        <w:tabs>
          <w:tab w:pos="303"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Надзорни орган је констатовао завршетак радова у грађевинском дневнику за уговор: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1864/1 од 07.08.2013. године закључен са „МДС Инжењеринг“ доо Ниш; број </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03</w:t>
      </w:r>
      <w:r>
        <w:rPr>
          <w:rFonts w:ascii="Times New Roman" w:hAnsi="Times New Roman" w:cs="Times New Roman" w:eastAsia="Times New Roman" w:hint="default"/>
          <w:sz w:val="24"/>
          <w:szCs w:val="24"/>
        </w:rPr>
        <w:t>-</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6"/>
        <w:jc w:val="both"/>
        <w:rPr>
          <w:rFonts w:ascii="Times New Roman" w:hAnsi="Times New Roman" w:cs="Times New Roman" w:eastAsia="Times New Roman" w:hint="default"/>
        </w:rPr>
      </w:pPr>
      <w:r>
        <w:rPr/>
        <w:t>7587 од 04.10.2012. године закључен са „МДС Инжењеринг“ доо Ниш; број 03</w:t>
      </w:r>
      <w:r>
        <w:rPr>
          <w:rFonts w:ascii="Times New Roman" w:hAnsi="Times New Roman" w:cs="Times New Roman" w:eastAsia="Times New Roman" w:hint="default"/>
        </w:rPr>
        <w:t>-</w:t>
      </w:r>
      <w:r>
        <w:rPr/>
        <w:t>4244/1 од 04.07.2014. године закључен са ЈКП „Naissus“ Ниш и број 03</w:t>
      </w:r>
      <w:r>
        <w:rPr>
          <w:rFonts w:ascii="Times New Roman" w:hAnsi="Times New Roman" w:cs="Times New Roman" w:eastAsia="Times New Roman" w:hint="default"/>
        </w:rPr>
        <w:t>-</w:t>
      </w:r>
      <w:r>
        <w:rPr/>
        <w:t>4477/2012 од 13.07.2012. године закључен са „Пословност“ доо Ниш, а није сачињена комисијска примопредаја за изведене радове, што је супротно члану 19. Уговора број 03</w:t>
      </w:r>
      <w:r>
        <w:rPr>
          <w:rFonts w:ascii="Times New Roman" w:hAnsi="Times New Roman" w:cs="Times New Roman" w:eastAsia="Times New Roman" w:hint="default"/>
        </w:rPr>
        <w:t>-</w:t>
      </w:r>
      <w:r>
        <w:rPr/>
        <w:t>1864/1, члану 19. Уговора број 03</w:t>
      </w:r>
      <w:r>
        <w:rPr>
          <w:rFonts w:ascii="Times New Roman" w:hAnsi="Times New Roman" w:cs="Times New Roman" w:eastAsia="Times New Roman" w:hint="default"/>
        </w:rPr>
        <w:t>-</w:t>
      </w:r>
      <w:r>
        <w:rPr/>
        <w:t>7587, члану 17. Уговора број 03</w:t>
      </w:r>
      <w:r>
        <w:rPr>
          <w:rFonts w:ascii="Times New Roman" w:hAnsi="Times New Roman" w:cs="Times New Roman" w:eastAsia="Times New Roman" w:hint="default"/>
        </w:rPr>
        <w:t>-</w:t>
      </w:r>
      <w:r>
        <w:rPr/>
        <w:t>4244/1 и члану 19. Уговора број</w:t>
      </w:r>
      <w:r>
        <w:rPr>
          <w:spacing w:val="-5"/>
        </w:rPr>
        <w:t> </w:t>
      </w:r>
      <w:r>
        <w:rPr/>
        <w:t>03</w:t>
      </w:r>
      <w:r>
        <w:rPr>
          <w:rFonts w:ascii="Times New Roman" w:hAnsi="Times New Roman" w:cs="Times New Roman" w:eastAsia="Times New Roman" w:hint="default"/>
        </w:rPr>
        <w:t>-4477/2012.</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уговор: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1864/1 од 07.08.2013. године закључен са „МДС Инжењеринг“ доо Ниш за радове на изградњи магистралне водоводне мреже на Сомборском булевару у Нишу,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7587 од 04.10.2012. године закључен са „МДС Инжењеринг“ доо Ниш за радове на реконструкцији водоводне мреже у улици Југ Богдановој у Нишу, број 03</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4244/1 од 04.07.2014. године закључен са ЈКП „Naissus“ Ниш за измештање водоводне мреже пречника 300мм и канализационе мреже пречника 1200мм са локације „Лидл“ дуж Византијског булевара и Булевара Медијана у Нишу и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4477/2012 од 13</w:t>
      </w:r>
      <w:r>
        <w:rPr>
          <w:rFonts w:ascii="Times New Roman" w:hAnsi="Times New Roman" w:cs="Times New Roman" w:eastAsia="Times New Roman" w:hint="default"/>
          <w:sz w:val="24"/>
          <w:szCs w:val="24"/>
        </w:rPr>
        <w:t>.07.2012. </w:t>
      </w:r>
      <w:r>
        <w:rPr>
          <w:rFonts w:ascii="Times New Roman" w:hAnsi="Times New Roman" w:cs="Times New Roman" w:eastAsia="Times New Roman" w:hint="default"/>
          <w:sz w:val="24"/>
          <w:szCs w:val="24"/>
        </w:rPr>
        <w:t>године закључен са „Пословност“ доо Ниш за изградњу водоводне мреже у улици</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насеље</w:t>
      </w:r>
    </w:p>
    <w:p>
      <w:pPr>
        <w:pStyle w:val="BodyText"/>
        <w:spacing w:line="240" w:lineRule="auto"/>
        <w:ind w:right="179"/>
        <w:jc w:val="both"/>
      </w:pPr>
      <w:r>
        <w:rPr/>
        <w:t>„Пантелеј</w:t>
      </w:r>
      <w:r>
        <w:rPr>
          <w:rFonts w:ascii="Times New Roman" w:hAnsi="Times New Roman" w:cs="Times New Roman" w:eastAsia="Times New Roman" w:hint="default"/>
        </w:rPr>
        <w:t>-</w:t>
      </w:r>
      <w:r>
        <w:rPr/>
        <w:t>запад“, ЈП Дирекција није поднела Захтеве за извршење техничког прегледа иако су радови завршени, што је супротно члану 154. и члану 158. Закона о планирању и изградњи.</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Инвеститор није преузео средство обезбеђења од извођача радова „МДС Инжењеринг“ доо Ниш за радове на изградњи магистралне водоводне мреже на Сомборском булевару у Нишу како је прописано чланом 17. Уговора о грађењу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1864/1 од </w:t>
      </w:r>
      <w:r>
        <w:rPr>
          <w:rFonts w:ascii="Times New Roman" w:hAnsi="Times New Roman" w:cs="Times New Roman" w:eastAsia="Times New Roman" w:hint="default"/>
          <w:sz w:val="24"/>
          <w:szCs w:val="24"/>
        </w:rPr>
        <w:t>07.08.2013. </w:t>
      </w:r>
      <w:r>
        <w:rPr>
          <w:rFonts w:ascii="Times New Roman" w:hAnsi="Times New Roman" w:cs="Times New Roman" w:eastAsia="Times New Roman" w:hint="default"/>
          <w:sz w:val="24"/>
          <w:szCs w:val="24"/>
        </w:rPr>
        <w:t>године.</w:t>
      </w:r>
    </w:p>
    <w:p>
      <w:pPr>
        <w:pStyle w:val="ListParagraph"/>
        <w:numPr>
          <w:ilvl w:val="0"/>
          <w:numId w:val="9"/>
        </w:numPr>
        <w:tabs>
          <w:tab w:pos="303"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Запослени у ЈП Дирекција не поседују доказ о предаји техничке документације, тако да се не може утврдити јесу ли испоштовани рокови из члана 5. Уговора: број 03</w:t>
      </w:r>
      <w:r>
        <w:rPr>
          <w:rFonts w:ascii="Times New Roman" w:hAnsi="Times New Roman"/>
          <w:sz w:val="24"/>
        </w:rPr>
        <w:t>-</w:t>
      </w:r>
      <w:r>
        <w:rPr>
          <w:rFonts w:ascii="Times New Roman" w:hAnsi="Times New Roman"/>
          <w:sz w:val="24"/>
        </w:rPr>
        <w:t>1632 од 05.03.2013. године</w:t>
      </w:r>
      <w:r>
        <w:rPr>
          <w:rFonts w:ascii="Times New Roman" w:hAnsi="Times New Roman"/>
          <w:sz w:val="24"/>
        </w:rPr>
        <w:t>, </w:t>
      </w:r>
      <w:r>
        <w:rPr>
          <w:rFonts w:ascii="Times New Roman" w:hAnsi="Times New Roman"/>
          <w:sz w:val="24"/>
        </w:rPr>
        <w:t>број 03</w:t>
      </w:r>
      <w:r>
        <w:rPr>
          <w:rFonts w:ascii="Times New Roman" w:hAnsi="Times New Roman"/>
          <w:sz w:val="24"/>
        </w:rPr>
        <w:t>-7864 </w:t>
      </w:r>
      <w:r>
        <w:rPr>
          <w:rFonts w:ascii="Times New Roman" w:hAnsi="Times New Roman"/>
          <w:sz w:val="24"/>
        </w:rPr>
        <w:t>од </w:t>
      </w:r>
      <w:r>
        <w:rPr>
          <w:rFonts w:ascii="Times New Roman" w:hAnsi="Times New Roman"/>
          <w:sz w:val="24"/>
        </w:rPr>
        <w:t>26.07</w:t>
      </w:r>
      <w:r>
        <w:rPr>
          <w:rFonts w:ascii="Times New Roman" w:hAnsi="Times New Roman"/>
          <w:sz w:val="24"/>
        </w:rPr>
        <w:t>.2013. године</w:t>
      </w:r>
      <w:r>
        <w:rPr>
          <w:rFonts w:ascii="Times New Roman" w:hAnsi="Times New Roman"/>
          <w:sz w:val="24"/>
        </w:rPr>
        <w:t>, </w:t>
      </w:r>
      <w:r>
        <w:rPr>
          <w:rFonts w:ascii="Times New Roman" w:hAnsi="Times New Roman"/>
          <w:sz w:val="24"/>
        </w:rPr>
        <w:t>број 03</w:t>
      </w:r>
      <w:r>
        <w:rPr>
          <w:rFonts w:ascii="Times New Roman" w:hAnsi="Times New Roman"/>
          <w:sz w:val="24"/>
        </w:rPr>
        <w:t>-786</w:t>
      </w:r>
      <w:r>
        <w:rPr>
          <w:rFonts w:ascii="Times New Roman" w:hAnsi="Times New Roman"/>
          <w:sz w:val="24"/>
        </w:rPr>
        <w:t>6 од </w:t>
      </w:r>
      <w:r>
        <w:rPr>
          <w:rFonts w:ascii="Times New Roman" w:hAnsi="Times New Roman"/>
          <w:sz w:val="24"/>
        </w:rPr>
        <w:t>26.07.2013. </w:t>
      </w:r>
      <w:r>
        <w:rPr>
          <w:rFonts w:ascii="Times New Roman" w:hAnsi="Times New Roman"/>
          <w:sz w:val="24"/>
        </w:rPr>
        <w:t>године</w:t>
      </w:r>
      <w:r>
        <w:rPr>
          <w:rFonts w:ascii="Times New Roman" w:hAnsi="Times New Roman"/>
          <w:sz w:val="24"/>
        </w:rPr>
        <w:t>, </w:t>
      </w:r>
      <w:r>
        <w:rPr>
          <w:rFonts w:ascii="Times New Roman" w:hAnsi="Times New Roman"/>
          <w:sz w:val="24"/>
        </w:rPr>
        <w:t>број 03</w:t>
      </w:r>
      <w:r>
        <w:rPr>
          <w:rFonts w:ascii="Times New Roman" w:hAnsi="Times New Roman"/>
          <w:sz w:val="24"/>
        </w:rPr>
        <w:t>-786</w:t>
      </w:r>
      <w:r>
        <w:rPr>
          <w:rFonts w:ascii="Times New Roman" w:hAnsi="Times New Roman"/>
          <w:sz w:val="24"/>
        </w:rPr>
        <w:t>7 од </w:t>
      </w:r>
      <w:r>
        <w:rPr>
          <w:rFonts w:ascii="Times New Roman" w:hAnsi="Times New Roman"/>
          <w:sz w:val="24"/>
        </w:rPr>
        <w:t>26.07</w:t>
      </w:r>
      <w:r>
        <w:rPr>
          <w:rFonts w:ascii="Times New Roman" w:hAnsi="Times New Roman"/>
          <w:sz w:val="24"/>
        </w:rPr>
        <w:t>.2013. године</w:t>
      </w:r>
      <w:r>
        <w:rPr>
          <w:rFonts w:ascii="Times New Roman" w:hAnsi="Times New Roman"/>
          <w:sz w:val="24"/>
        </w:rPr>
        <w:t>, </w:t>
      </w:r>
      <w:r>
        <w:rPr>
          <w:rFonts w:ascii="Times New Roman" w:hAnsi="Times New Roman"/>
          <w:sz w:val="24"/>
        </w:rPr>
        <w:t>број 03</w:t>
      </w:r>
      <w:r>
        <w:rPr>
          <w:rFonts w:ascii="Times New Roman" w:hAnsi="Times New Roman"/>
          <w:sz w:val="24"/>
        </w:rPr>
        <w:t>-</w:t>
      </w:r>
      <w:r>
        <w:rPr>
          <w:rFonts w:ascii="Times New Roman" w:hAnsi="Times New Roman"/>
          <w:sz w:val="24"/>
        </w:rPr>
        <w:t>9670 од </w:t>
      </w:r>
      <w:r>
        <w:rPr>
          <w:rFonts w:ascii="Times New Roman" w:hAnsi="Times New Roman"/>
          <w:sz w:val="24"/>
        </w:rPr>
        <w:t>26.</w:t>
      </w:r>
      <w:r>
        <w:rPr>
          <w:rFonts w:ascii="Times New Roman" w:hAnsi="Times New Roman"/>
          <w:sz w:val="24"/>
        </w:rPr>
        <w:t>09.2013. године</w:t>
      </w:r>
      <w:r>
        <w:rPr>
          <w:rFonts w:ascii="Times New Roman" w:hAnsi="Times New Roman"/>
          <w:sz w:val="24"/>
        </w:rPr>
        <w:t>, </w:t>
      </w:r>
      <w:r>
        <w:rPr>
          <w:rFonts w:ascii="Times New Roman" w:hAnsi="Times New Roman"/>
          <w:sz w:val="24"/>
        </w:rPr>
        <w:t>број 03</w:t>
      </w:r>
      <w:r>
        <w:rPr>
          <w:rFonts w:ascii="Times New Roman" w:hAnsi="Times New Roman"/>
          <w:sz w:val="24"/>
        </w:rPr>
        <w:t>- </w:t>
      </w:r>
      <w:r>
        <w:rPr>
          <w:rFonts w:ascii="Times New Roman" w:hAnsi="Times New Roman"/>
          <w:sz w:val="24"/>
        </w:rPr>
        <w:t>4186/1</w:t>
      </w:r>
      <w:r>
        <w:rPr>
          <w:rFonts w:ascii="Times New Roman" w:hAnsi="Times New Roman"/>
          <w:spacing w:val="23"/>
          <w:sz w:val="24"/>
        </w:rPr>
        <w:t> </w:t>
      </w:r>
      <w:r>
        <w:rPr>
          <w:rFonts w:ascii="Times New Roman" w:hAnsi="Times New Roman"/>
          <w:sz w:val="24"/>
        </w:rPr>
        <w:t>од</w:t>
      </w:r>
      <w:r>
        <w:rPr>
          <w:rFonts w:ascii="Times New Roman" w:hAnsi="Times New Roman"/>
          <w:spacing w:val="23"/>
          <w:sz w:val="24"/>
        </w:rPr>
        <w:t> </w:t>
      </w:r>
      <w:r>
        <w:rPr>
          <w:rFonts w:ascii="Times New Roman" w:hAnsi="Times New Roman"/>
          <w:sz w:val="24"/>
        </w:rPr>
        <w:t>18.06.2012.</w:t>
      </w:r>
      <w:r>
        <w:rPr>
          <w:rFonts w:ascii="Times New Roman" w:hAnsi="Times New Roman"/>
          <w:spacing w:val="22"/>
          <w:sz w:val="24"/>
        </w:rPr>
        <w:t> </w:t>
      </w:r>
      <w:r>
        <w:rPr>
          <w:rFonts w:ascii="Times New Roman" w:hAnsi="Times New Roman"/>
          <w:sz w:val="24"/>
        </w:rPr>
        <w:t>године</w:t>
      </w:r>
      <w:r>
        <w:rPr>
          <w:rFonts w:ascii="Times New Roman" w:hAnsi="Times New Roman"/>
          <w:spacing w:val="21"/>
          <w:sz w:val="24"/>
        </w:rPr>
        <w:t> </w:t>
      </w:r>
      <w:r>
        <w:rPr>
          <w:rFonts w:ascii="Times New Roman" w:hAnsi="Times New Roman"/>
          <w:sz w:val="24"/>
        </w:rPr>
        <w:t>и</w:t>
      </w:r>
      <w:r>
        <w:rPr>
          <w:rFonts w:ascii="Times New Roman" w:hAnsi="Times New Roman"/>
          <w:spacing w:val="21"/>
          <w:sz w:val="24"/>
        </w:rPr>
        <w:t> </w:t>
      </w:r>
      <w:r>
        <w:rPr>
          <w:rFonts w:ascii="Times New Roman" w:hAnsi="Times New Roman"/>
          <w:sz w:val="24"/>
        </w:rPr>
        <w:t>број</w:t>
      </w:r>
      <w:r>
        <w:rPr>
          <w:rFonts w:ascii="Times New Roman" w:hAnsi="Times New Roman"/>
          <w:spacing w:val="23"/>
          <w:sz w:val="24"/>
        </w:rPr>
        <w:t> </w:t>
      </w:r>
      <w:r>
        <w:rPr>
          <w:rFonts w:ascii="Times New Roman" w:hAnsi="Times New Roman"/>
          <w:sz w:val="24"/>
        </w:rPr>
        <w:t>03</w:t>
      </w:r>
      <w:r>
        <w:rPr>
          <w:rFonts w:ascii="Times New Roman" w:hAnsi="Times New Roman"/>
          <w:sz w:val="24"/>
        </w:rPr>
        <w:t>-</w:t>
      </w:r>
      <w:r>
        <w:rPr>
          <w:rFonts w:ascii="Times New Roman" w:hAnsi="Times New Roman"/>
          <w:sz w:val="24"/>
        </w:rPr>
        <w:t>4185/1</w:t>
      </w:r>
      <w:r>
        <w:rPr>
          <w:rFonts w:ascii="Times New Roman" w:hAnsi="Times New Roman"/>
          <w:spacing w:val="20"/>
          <w:sz w:val="24"/>
        </w:rPr>
        <w:t> </w:t>
      </w:r>
      <w:r>
        <w:rPr>
          <w:rFonts w:ascii="Times New Roman" w:hAnsi="Times New Roman"/>
          <w:sz w:val="24"/>
        </w:rPr>
        <w:t>од</w:t>
      </w:r>
      <w:r>
        <w:rPr>
          <w:rFonts w:ascii="Times New Roman" w:hAnsi="Times New Roman"/>
          <w:spacing w:val="23"/>
          <w:sz w:val="24"/>
        </w:rPr>
        <w:t> </w:t>
      </w:r>
      <w:r>
        <w:rPr>
          <w:rFonts w:ascii="Times New Roman" w:hAnsi="Times New Roman"/>
          <w:sz w:val="24"/>
        </w:rPr>
        <w:t>18.06.2012.</w:t>
      </w:r>
      <w:r>
        <w:rPr>
          <w:rFonts w:ascii="Times New Roman" w:hAnsi="Times New Roman"/>
          <w:spacing w:val="22"/>
          <w:sz w:val="24"/>
        </w:rPr>
        <w:t> </w:t>
      </w:r>
      <w:r>
        <w:rPr>
          <w:rFonts w:ascii="Times New Roman" w:hAnsi="Times New Roman"/>
          <w:sz w:val="24"/>
        </w:rPr>
        <w:t>године</w:t>
      </w:r>
      <w:r>
        <w:rPr>
          <w:rFonts w:ascii="Times New Roman" w:hAnsi="Times New Roman"/>
          <w:spacing w:val="19"/>
          <w:sz w:val="24"/>
        </w:rPr>
        <w:t> </w:t>
      </w:r>
      <w:r>
        <w:rPr>
          <w:rFonts w:ascii="Times New Roman" w:hAnsi="Times New Roman"/>
          <w:sz w:val="24"/>
        </w:rPr>
        <w:t>закључених</w:t>
      </w:r>
      <w:r>
        <w:rPr>
          <w:rFonts w:ascii="Times New Roman" w:hAnsi="Times New Roman"/>
          <w:spacing w:val="24"/>
          <w:sz w:val="24"/>
        </w:rPr>
        <w:t> </w:t>
      </w:r>
      <w:r>
        <w:rPr>
          <w:rFonts w:ascii="Times New Roman" w:hAnsi="Times New Roman"/>
          <w:sz w:val="24"/>
        </w:rPr>
        <w:t>са</w:t>
      </w:r>
      <w:r>
        <w:rPr>
          <w:rFonts w:ascii="Times New Roman" w:hAnsi="Times New Roman"/>
          <w:spacing w:val="19"/>
          <w:sz w:val="24"/>
        </w:rPr>
        <w:t> </w:t>
      </w:r>
      <w:r>
        <w:rPr>
          <w:rFonts w:ascii="Times New Roman" w:hAnsi="Times New Roman"/>
          <w:sz w:val="24"/>
        </w:rPr>
        <w:t>ЈКП</w:t>
      </w:r>
    </w:p>
    <w:p>
      <w:pPr>
        <w:pStyle w:val="BodyText"/>
        <w:spacing w:line="240" w:lineRule="auto"/>
        <w:ind w:right="0"/>
        <w:jc w:val="both"/>
        <w:rPr>
          <w:rFonts w:ascii="Times New Roman" w:hAnsi="Times New Roman" w:cs="Times New Roman" w:eastAsia="Times New Roman" w:hint="default"/>
        </w:rPr>
      </w:pPr>
      <w:r>
        <w:rPr/>
        <w:t>„Naissus“</w:t>
      </w:r>
      <w:r>
        <w:rPr>
          <w:spacing w:val="-4"/>
        </w:rPr>
        <w:t> </w:t>
      </w:r>
      <w:r>
        <w:rPr/>
        <w:t>Ниш</w:t>
      </w:r>
      <w:r>
        <w:rPr>
          <w:rFonts w:ascii="Times New Roman" w:hAnsi="Times New Roman" w:cs="Times New Roman" w:eastAsia="Times New Roman" w:hint="default"/>
        </w:rPr>
        <w:t>.</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Извођач радова ЈКП „Naissus“ Ниш, није завршио радове измештање водоводне мреже пречника 300мм и канализационе мреже пречника 1200мм са локације „Лидл“ </w:t>
      </w:r>
      <w:r>
        <w:rPr>
          <w:rFonts w:ascii="Times New Roman" w:hAnsi="Times New Roman" w:cs="Times New Roman" w:eastAsia="Times New Roman" w:hint="default"/>
          <w:spacing w:val="-2"/>
          <w:sz w:val="24"/>
          <w:szCs w:val="24"/>
        </w:rPr>
        <w:t>дуж </w:t>
      </w:r>
      <w:r>
        <w:rPr>
          <w:rFonts w:ascii="Times New Roman" w:hAnsi="Times New Roman" w:cs="Times New Roman" w:eastAsia="Times New Roman" w:hint="default"/>
          <w:spacing w:val="-2"/>
          <w:sz w:val="24"/>
          <w:szCs w:val="24"/>
        </w:rPr>
      </w:r>
      <w:r>
        <w:rPr>
          <w:rFonts w:ascii="Times New Roman" w:hAnsi="Times New Roman" w:cs="Times New Roman" w:eastAsia="Times New Roman" w:hint="default"/>
          <w:sz w:val="24"/>
          <w:szCs w:val="24"/>
        </w:rPr>
        <w:t>Византијског булевара и Булевара Медијана у Нишу, у року од 20 календарских дана од </w:t>
      </w:r>
      <w:r>
        <w:rPr>
          <w:rFonts w:ascii="Times New Roman" w:hAnsi="Times New Roman" w:cs="Times New Roman" w:eastAsia="Times New Roman" w:hint="default"/>
          <w:sz w:val="24"/>
          <w:szCs w:val="24"/>
        </w:rPr>
        <w:t>дана увођења у посао (уведен у посао 18.07.2014. године). Инвеститор није наплатио уговорену казну за сваки дан кашњења како је уговорено чланом 5. Уговора о извођењу радова на измештању инсталација водовода и канализације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4244/1 од 04.07.2014. године.</w:t>
      </w:r>
    </w:p>
    <w:p>
      <w:pPr>
        <w:pStyle w:val="ListParagraph"/>
        <w:numPr>
          <w:ilvl w:val="0"/>
          <w:numId w:val="9"/>
        </w:numPr>
        <w:tabs>
          <w:tab w:pos="303"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  овом  конту  неправилно  је  евидентиран  износ  од  975  хиљада  динара  по   основу реконструкције водоводне мреже  у улици Југ  Богдановој у Нишу у износу од  </w:t>
      </w:r>
      <w:r>
        <w:rPr>
          <w:rFonts w:ascii="Times New Roman" w:hAnsi="Times New Roman" w:cs="Times New Roman" w:eastAsia="Times New Roman" w:hint="default"/>
          <w:sz w:val="24"/>
          <w:szCs w:val="24"/>
        </w:rPr>
        <w:t>918 </w:t>
      </w:r>
      <w:r>
        <w:rPr>
          <w:rFonts w:ascii="Times New Roman" w:hAnsi="Times New Roman" w:cs="Times New Roman" w:eastAsia="Times New Roman" w:hint="default"/>
          <w:sz w:val="24"/>
          <w:szCs w:val="24"/>
        </w:rPr>
        <w:t>хиљада динара и у улици насеље „Пантелеј</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запад“ у износу од </w:t>
      </w:r>
      <w:r>
        <w:rPr>
          <w:rFonts w:ascii="Times New Roman" w:hAnsi="Times New Roman" w:cs="Times New Roman" w:eastAsia="Times New Roman" w:hint="default"/>
          <w:sz w:val="24"/>
          <w:szCs w:val="24"/>
        </w:rPr>
        <w:t>57 </w:t>
      </w:r>
      <w:r>
        <w:rPr>
          <w:rFonts w:ascii="Times New Roman" w:hAnsi="Times New Roman" w:cs="Times New Roman" w:eastAsia="Times New Roman" w:hint="default"/>
          <w:sz w:val="24"/>
          <w:szCs w:val="24"/>
        </w:rPr>
        <w:t>хиљада динара, по основу судских решења за: наплаћене трошкове камате у износу од 975 хиљада динара, које је требало евидентирати на групи 483000 – новчане казне и пенали по решењу судова, што је супротно члану 9. Уредбе о буџетском рачуноводству и Правилнику о стандардном класификационом оквиру и контном плану за буџетски систем. У Билансу стања више је исказана нефинансијска имовина и капитал за исти</w:t>
      </w:r>
      <w:r>
        <w:rPr>
          <w:rFonts w:ascii="Times New Roman" w:hAnsi="Times New Roman" w:cs="Times New Roman" w:eastAsia="Times New Roman" w:hint="default"/>
          <w:spacing w:val="-30"/>
          <w:sz w:val="24"/>
          <w:szCs w:val="24"/>
        </w:rPr>
        <w:t> </w:t>
      </w:r>
      <w:r>
        <w:rPr>
          <w:rFonts w:ascii="Times New Roman" w:hAnsi="Times New Roman" w:cs="Times New Roman" w:eastAsia="Times New Roman" w:hint="default"/>
          <w:sz w:val="24"/>
          <w:szCs w:val="24"/>
        </w:rPr>
        <w:t>износ.</w:t>
      </w:r>
    </w:p>
    <w:p>
      <w:pPr>
        <w:pStyle w:val="Heading2"/>
        <w:spacing w:line="240" w:lineRule="auto"/>
        <w:ind w:right="173"/>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Закона о планирању и изградњи</w:t>
      </w:r>
      <w:r>
        <w:rPr>
          <w:rFonts w:ascii="Times New Roman" w:hAnsi="Times New Roman"/>
          <w:i/>
        </w:rPr>
        <w:t>, </w:t>
      </w:r>
      <w:r>
        <w:rPr>
          <w:i/>
        </w:rPr>
        <w:t>Уредбе о буџетском рачуноводству и Правилника о стандардном класификационом оквиру и контном плану за буџетски систем и одредби закључених</w:t>
      </w:r>
      <w:r>
        <w:rPr>
          <w:i/>
          <w:spacing w:val="55"/>
        </w:rPr>
        <w:t> </w:t>
      </w:r>
      <w:r>
        <w:rPr>
          <w:i/>
        </w:rPr>
        <w:t>уговора</w:t>
      </w:r>
      <w:r>
        <w:rPr>
          <w:rFonts w:ascii="Times New Roman" w:hAnsi="Times New Roman"/>
          <w:i/>
        </w:rPr>
        <w:t>.</w:t>
      </w:r>
      <w:r>
        <w:rPr>
          <w:rFonts w:ascii="Times New Roman" w:hAnsi="Times New Roman"/>
          <w:b w:val="0"/>
          <w:i w:val="0"/>
        </w:rPr>
      </w:r>
    </w:p>
    <w:p>
      <w:pPr>
        <w:spacing w:after="0" w:line="240" w:lineRule="auto"/>
        <w:jc w:val="both"/>
        <w:rPr>
          <w:rFonts w:ascii="Times New Roman" w:hAnsi="Times New Roman" w:cs="Times New Roman" w:eastAsia="Times New Roman" w:hint="default"/>
        </w:rPr>
        <w:sectPr>
          <w:pgSz w:w="12240" w:h="15840"/>
          <w:pgMar w:header="740" w:footer="1274" w:top="1280" w:bottom="1460" w:left="1400" w:right="1260"/>
        </w:sectPr>
      </w:pPr>
    </w:p>
    <w:p>
      <w:pPr>
        <w:pStyle w:val="BodyText"/>
        <w:spacing w:line="240" w:lineRule="auto" w:before="122"/>
        <w:ind w:right="141" w:firstLine="566"/>
        <w:jc w:val="left"/>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Канализација, субаналитички конто 511242 </w:t>
      </w:r>
      <w:r>
        <w:rPr/>
      </w:r>
      <w:r>
        <w:rPr>
          <w:rFonts w:ascii="Times New Roman" w:hAnsi="Times New Roman" w:cs="Times New Roman" w:eastAsia="Times New Roman" w:hint="default"/>
          <w:i/>
        </w:rPr>
        <w:t>– </w:t>
      </w:r>
      <w:r>
        <w:rPr/>
        <w:t>Исказан је издатак у укупном износу од 31.478 хиљада</w:t>
      </w:r>
      <w:r>
        <w:rPr>
          <w:spacing w:val="-5"/>
        </w:rPr>
        <w:t> </w:t>
      </w:r>
      <w:r>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5"/>
        </w:rPr>
        <w:t> </w:t>
      </w:r>
      <w:r>
        <w:rPr/>
        <w:t>је:</w:t>
      </w:r>
      <w:r>
        <w:rPr>
          <w:b w:val="0"/>
        </w:rPr>
      </w:r>
    </w:p>
    <w:p>
      <w:pPr>
        <w:pStyle w:val="ListParagraph"/>
        <w:numPr>
          <w:ilvl w:val="0"/>
          <w:numId w:val="9"/>
        </w:numPr>
        <w:tabs>
          <w:tab w:pos="303"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Закључен је Анекс уговора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7590/2 дана 20.12.2012. године са „МДС Инжењеринг“ доо Ниш за извођење вишка радова на изградњи канализационе мреже у насељу Пантелеј – запад у Нишу, без спроведеног преговарачког поступка јавне набавке у вредности од 150 хиљада динара, што је супротно члану 24. Закона о јавним набавкама („Службени гласник Републике Србије“ број 116/2008) и члана 36. Закона о јавним набавкама („Службени гласник Републике Србије“ број 124/2012) и члану 56. Закона о буџетском</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систему.</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Увидом у грађевинске дневнике за Уговоре број: 03</w:t>
      </w:r>
      <w:r>
        <w:rPr>
          <w:rFonts w:ascii="Times New Roman" w:hAnsi="Times New Roman" w:cs="Times New Roman" w:eastAsia="Times New Roman" w:hint="default"/>
          <w:sz w:val="24"/>
          <w:szCs w:val="24"/>
        </w:rPr>
        <w:t>-7590</w:t>
      </w:r>
      <w:r>
        <w:rPr>
          <w:rFonts w:ascii="Times New Roman" w:hAnsi="Times New Roman" w:cs="Times New Roman" w:eastAsia="Times New Roman" w:hint="default"/>
          <w:sz w:val="24"/>
          <w:szCs w:val="24"/>
        </w:rPr>
        <w:t>, број 03</w:t>
      </w:r>
      <w:r>
        <w:rPr>
          <w:rFonts w:ascii="Times New Roman" w:hAnsi="Times New Roman" w:cs="Times New Roman" w:eastAsia="Times New Roman" w:hint="default"/>
          <w:sz w:val="24"/>
          <w:szCs w:val="24"/>
        </w:rPr>
        <w:t>-3070</w:t>
      </w:r>
      <w:r>
        <w:rPr>
          <w:rFonts w:ascii="Times New Roman" w:hAnsi="Times New Roman" w:cs="Times New Roman" w:eastAsia="Times New Roman" w:hint="default"/>
          <w:sz w:val="24"/>
          <w:szCs w:val="24"/>
        </w:rPr>
        <w:t>, број 03</w:t>
      </w:r>
      <w:r>
        <w:rPr>
          <w:rFonts w:ascii="Times New Roman" w:hAnsi="Times New Roman" w:cs="Times New Roman" w:eastAsia="Times New Roman" w:hint="default"/>
          <w:sz w:val="24"/>
          <w:szCs w:val="24"/>
        </w:rPr>
        <w:t>-8281, </w:t>
      </w:r>
      <w:r>
        <w:rPr>
          <w:rFonts w:ascii="Times New Roman" w:hAnsi="Times New Roman" w:cs="Times New Roman" w:eastAsia="Times New Roman" w:hint="default"/>
          <w:sz w:val="24"/>
          <w:szCs w:val="24"/>
        </w:rPr>
        <w:t>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607,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11639/2013,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10977/1 и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10979/1, утврдили смо да је надзорни орган констатовао завршетак радова, а да притом није сачињена комисијска примопредаја за изведене радове, што је супротно члану 19</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Уговора број 03</w:t>
      </w:r>
      <w:r>
        <w:rPr>
          <w:rFonts w:ascii="Times New Roman" w:hAnsi="Times New Roman" w:cs="Times New Roman" w:eastAsia="Times New Roman" w:hint="default"/>
          <w:sz w:val="24"/>
          <w:szCs w:val="24"/>
        </w:rPr>
        <w:t>-7590 </w:t>
      </w:r>
      <w:r>
        <w:rPr>
          <w:rFonts w:ascii="Times New Roman" w:hAnsi="Times New Roman" w:cs="Times New Roman" w:eastAsia="Times New Roman" w:hint="default"/>
          <w:sz w:val="24"/>
          <w:szCs w:val="24"/>
        </w:rPr>
        <w:t>од </w:t>
      </w:r>
      <w:r>
        <w:rPr>
          <w:rFonts w:ascii="Times New Roman" w:hAnsi="Times New Roman" w:cs="Times New Roman" w:eastAsia="Times New Roman" w:hint="default"/>
          <w:sz w:val="24"/>
          <w:szCs w:val="24"/>
        </w:rPr>
        <w:t>04.10.2012</w:t>
      </w:r>
      <w:r>
        <w:rPr>
          <w:rFonts w:ascii="Times New Roman" w:hAnsi="Times New Roman" w:cs="Times New Roman" w:eastAsia="Times New Roman" w:hint="default"/>
          <w:sz w:val="24"/>
          <w:szCs w:val="24"/>
        </w:rPr>
        <w:t>. године закљученог са „МДС Инжењеринг“ доо Ниш за извођење радова на изградњи канализационе мреже у насељу Пантелеј запад, члану </w:t>
      </w:r>
      <w:r>
        <w:rPr>
          <w:rFonts w:ascii="Times New Roman" w:hAnsi="Times New Roman" w:cs="Times New Roman" w:eastAsia="Times New Roman" w:hint="default"/>
          <w:spacing w:val="2"/>
          <w:sz w:val="24"/>
          <w:szCs w:val="24"/>
        </w:rPr>
        <w:t>19</w:t>
      </w:r>
      <w:r>
        <w:rPr>
          <w:rFonts w:ascii="Times New Roman" w:hAnsi="Times New Roman" w:cs="Times New Roman" w:eastAsia="Times New Roman" w:hint="default"/>
          <w:spacing w:val="2"/>
          <w:sz w:val="24"/>
          <w:szCs w:val="24"/>
        </w:rPr>
        <w:t>. </w:t>
      </w:r>
      <w:r>
        <w:rPr>
          <w:rFonts w:ascii="Times New Roman" w:hAnsi="Times New Roman" w:cs="Times New Roman" w:eastAsia="Times New Roman" w:hint="default"/>
          <w:sz w:val="24"/>
          <w:szCs w:val="24"/>
        </w:rPr>
        <w:t>Уговора број 03</w:t>
      </w:r>
      <w:r>
        <w:rPr>
          <w:rFonts w:ascii="Times New Roman" w:hAnsi="Times New Roman" w:cs="Times New Roman" w:eastAsia="Times New Roman" w:hint="default"/>
          <w:sz w:val="24"/>
          <w:szCs w:val="24"/>
        </w:rPr>
        <w:t>-3070 </w:t>
      </w:r>
      <w:r>
        <w:rPr>
          <w:rFonts w:ascii="Times New Roman" w:hAnsi="Times New Roman" w:cs="Times New Roman" w:eastAsia="Times New Roman" w:hint="default"/>
          <w:sz w:val="24"/>
          <w:szCs w:val="24"/>
        </w:rPr>
        <w:t>од </w:t>
      </w:r>
      <w:r>
        <w:rPr>
          <w:rFonts w:ascii="Times New Roman" w:hAnsi="Times New Roman" w:cs="Times New Roman" w:eastAsia="Times New Roman" w:hint="default"/>
          <w:sz w:val="24"/>
          <w:szCs w:val="24"/>
        </w:rPr>
        <w:t>27.07.2012. </w:t>
      </w:r>
      <w:r>
        <w:rPr>
          <w:rFonts w:ascii="Times New Roman" w:hAnsi="Times New Roman" w:cs="Times New Roman" w:eastAsia="Times New Roman" w:hint="default"/>
          <w:sz w:val="24"/>
          <w:szCs w:val="24"/>
        </w:rPr>
        <w:t>године закљученог са „ЦД Хис“ доо Ниш за извођење радова на изградњи Хумског колектора – наставак, члану 19</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Уговора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8281 од 01.12.2011. године закљученог са „Ратко Митровић“ доо Нови Београд за извођење радова на изради подграде од ларсен тапли за изградњу колектора од пута за Доње Међурово, члану 18</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Уговора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607 од 04.02.2014. године закљученог са „Пословност“ доо Ниш за извођење радова на изградњи канализационе мреже у селу Горње Међурово, члану </w:t>
      </w:r>
      <w:r>
        <w:rPr>
          <w:rFonts w:ascii="Times New Roman" w:hAnsi="Times New Roman" w:cs="Times New Roman" w:eastAsia="Times New Roman" w:hint="default"/>
          <w:spacing w:val="2"/>
          <w:sz w:val="24"/>
          <w:szCs w:val="24"/>
        </w:rPr>
        <w:t>18</w:t>
      </w:r>
      <w:r>
        <w:rPr>
          <w:rFonts w:ascii="Times New Roman" w:hAnsi="Times New Roman" w:cs="Times New Roman" w:eastAsia="Times New Roman" w:hint="default"/>
          <w:spacing w:val="2"/>
          <w:sz w:val="24"/>
          <w:szCs w:val="24"/>
        </w:rPr>
        <w:t>. </w:t>
      </w:r>
      <w:r>
        <w:rPr>
          <w:rFonts w:ascii="Times New Roman" w:hAnsi="Times New Roman" w:cs="Times New Roman" w:eastAsia="Times New Roman" w:hint="default"/>
          <w:spacing w:val="2"/>
          <w:sz w:val="24"/>
          <w:szCs w:val="24"/>
        </w:rPr>
      </w:r>
      <w:r>
        <w:rPr>
          <w:rFonts w:ascii="Times New Roman" w:hAnsi="Times New Roman" w:cs="Times New Roman" w:eastAsia="Times New Roman" w:hint="default"/>
          <w:sz w:val="24"/>
          <w:szCs w:val="24"/>
        </w:rPr>
        <w:t>Уговора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11639/2013 од 18.02.2014. године закљученог са ВП „Јужна Морава“ ад у реструктуирању Ниш за извођење радова на изградњи канализационе мреже у улици Тошкетовој,  члану  19</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Уговора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10977/1  од  18.11.2013.  године  закљученог </w:t>
      </w:r>
      <w:r>
        <w:rPr>
          <w:rFonts w:ascii="Times New Roman" w:hAnsi="Times New Roman" w:cs="Times New Roman" w:eastAsia="Times New Roman" w:hint="default"/>
          <w:spacing w:val="1"/>
          <w:sz w:val="24"/>
          <w:szCs w:val="24"/>
        </w:rPr>
        <w:t> </w:t>
      </w:r>
      <w:r>
        <w:rPr>
          <w:rFonts w:ascii="Times New Roman" w:hAnsi="Times New Roman" w:cs="Times New Roman" w:eastAsia="Times New Roman" w:hint="default"/>
          <w:sz w:val="24"/>
          <w:szCs w:val="24"/>
        </w:rPr>
        <w:t>са</w:t>
      </w:r>
    </w:p>
    <w:p>
      <w:pPr>
        <w:pStyle w:val="BodyText"/>
        <w:spacing w:line="240" w:lineRule="auto"/>
        <w:ind w:right="176"/>
        <w:jc w:val="both"/>
      </w:pPr>
      <w:r>
        <w:rPr/>
        <w:t>„Елмонт“ доо Ниш за изградњу осветљења Сомборског осветљења од улице Косовке девојке до Булевара Медијана и члану 19</w:t>
      </w:r>
      <w:r>
        <w:rPr>
          <w:rFonts w:ascii="Times New Roman" w:hAnsi="Times New Roman" w:cs="Times New Roman" w:eastAsia="Times New Roman" w:hint="default"/>
        </w:rPr>
        <w:t>. </w:t>
      </w:r>
      <w:r>
        <w:rPr/>
        <w:t>Уговора број 03</w:t>
      </w:r>
      <w:r>
        <w:rPr>
          <w:rFonts w:ascii="Times New Roman" w:hAnsi="Times New Roman" w:cs="Times New Roman" w:eastAsia="Times New Roman" w:hint="default"/>
        </w:rPr>
        <w:t>-</w:t>
      </w:r>
      <w:r>
        <w:rPr/>
        <w:t>10979/1 од 08.11.2013. године закљученог са „Елмонт“ доо Ниш за изградњу осветљења у улици Ивана</w:t>
      </w:r>
      <w:r>
        <w:rPr>
          <w:spacing w:val="-29"/>
        </w:rPr>
        <w:t> </w:t>
      </w:r>
      <w:r>
        <w:rPr/>
        <w:t>Милутиновића.</w:t>
      </w:r>
    </w:p>
    <w:p>
      <w:pPr>
        <w:pStyle w:val="ListParagraph"/>
        <w:numPr>
          <w:ilvl w:val="0"/>
          <w:numId w:val="9"/>
        </w:numPr>
        <w:tabs>
          <w:tab w:pos="348"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Извођач радова „Хидроконтрол“ доо Ниш није завршио радове на изградњи пумпне станице на колектору за употребљене воде од пута за Доње Међурово до главног колектора у року од 60 календарских дана од дана увођења у посао (уведен у посао 18.09.2012. године). Инвеститор није наплатио уговорену казну за сваки дан кашњења сходно члану 7. Уговора о извођењу радова на измештању инсталација водовода и канализације број 03</w:t>
      </w:r>
      <w:r>
        <w:rPr>
          <w:rFonts w:ascii="Times New Roman" w:hAnsi="Times New Roman" w:cs="Times New Roman" w:eastAsia="Times New Roman" w:hint="default"/>
          <w:sz w:val="24"/>
          <w:szCs w:val="24"/>
        </w:rPr>
        <w:t>-9703/1-</w:t>
      </w:r>
      <w:r>
        <w:rPr>
          <w:rFonts w:ascii="Times New Roman" w:hAnsi="Times New Roman" w:cs="Times New Roman" w:eastAsia="Times New Roman" w:hint="default"/>
          <w:sz w:val="24"/>
          <w:szCs w:val="24"/>
        </w:rPr>
        <w:t>2011 од 10.02.2012. године. На основу усменог појашњења надзорног органа, инвестиција још увек није</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завршена.</w:t>
      </w:r>
    </w:p>
    <w:p>
      <w:pPr>
        <w:pStyle w:val="ListParagraph"/>
        <w:numPr>
          <w:ilvl w:val="0"/>
          <w:numId w:val="9"/>
        </w:numPr>
        <w:tabs>
          <w:tab w:pos="303" w:val="left" w:leader="none"/>
        </w:tabs>
        <w:spacing w:line="237" w:lineRule="auto" w:before="4"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Извођач радова „Пословност“ доо Ниш касни са извођењем радова на изградњи канализационе мреже у селу Горње Међурово, а инвеститор није наплатио пенале у што је супротно члану </w:t>
      </w:r>
      <w:r>
        <w:rPr>
          <w:rFonts w:ascii="Times New Roman" w:hAnsi="Times New Roman" w:cs="Times New Roman" w:eastAsia="Times New Roman" w:hint="default"/>
          <w:sz w:val="24"/>
          <w:szCs w:val="24"/>
        </w:rPr>
        <w:t>14</w:t>
      </w:r>
      <w:r>
        <w:rPr>
          <w:rFonts w:ascii="Times New Roman" w:hAnsi="Times New Roman" w:cs="Times New Roman" w:eastAsia="Times New Roman" w:hint="default"/>
          <w:sz w:val="24"/>
          <w:szCs w:val="24"/>
        </w:rPr>
        <w:t>. Уговора о извођењу радова број</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03</w:t>
      </w:r>
      <w:r>
        <w:rPr>
          <w:rFonts w:ascii="Times New Roman" w:hAnsi="Times New Roman" w:cs="Times New Roman" w:eastAsia="Times New Roman" w:hint="default"/>
          <w:sz w:val="24"/>
          <w:szCs w:val="24"/>
        </w:rPr>
        <w:t>-607.</w:t>
      </w:r>
    </w:p>
    <w:p>
      <w:pPr>
        <w:pStyle w:val="ListParagraph"/>
        <w:numPr>
          <w:ilvl w:val="0"/>
          <w:numId w:val="9"/>
        </w:numPr>
        <w:tabs>
          <w:tab w:pos="348"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радове по уговорима број: 03</w:t>
      </w:r>
      <w:r>
        <w:rPr>
          <w:rFonts w:ascii="Times New Roman" w:hAnsi="Times New Roman" w:cs="Times New Roman" w:eastAsia="Times New Roman" w:hint="default"/>
          <w:sz w:val="24"/>
          <w:szCs w:val="24"/>
        </w:rPr>
        <w:t>-3070 </w:t>
      </w:r>
      <w:r>
        <w:rPr>
          <w:rFonts w:ascii="Times New Roman" w:hAnsi="Times New Roman" w:cs="Times New Roman" w:eastAsia="Times New Roman" w:hint="default"/>
          <w:sz w:val="24"/>
          <w:szCs w:val="24"/>
        </w:rPr>
        <w:t>од </w:t>
      </w:r>
      <w:r>
        <w:rPr>
          <w:rFonts w:ascii="Times New Roman" w:hAnsi="Times New Roman" w:cs="Times New Roman" w:eastAsia="Times New Roman" w:hint="default"/>
          <w:sz w:val="24"/>
          <w:szCs w:val="24"/>
        </w:rPr>
        <w:t>27.07.2012</w:t>
      </w:r>
      <w:r>
        <w:rPr>
          <w:rFonts w:ascii="Times New Roman" w:hAnsi="Times New Roman" w:cs="Times New Roman" w:eastAsia="Times New Roman" w:hint="default"/>
          <w:sz w:val="24"/>
          <w:szCs w:val="24"/>
        </w:rPr>
        <w:t>. године закљученом са „ЦД Хис“ доо Ниш за извођење радова на изградњи Хумског колектора – наставак;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8281 од 01.12.2011. године закљученом са „Ратко Митровић“ доо Нови Београд за извођење радова на изради подграде од ларсен тапли за изградњу колектора од пута за Доње Међурово;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607 од 04.02.2014. године закљученом са „Пословност“ доо Ниш за извођење радова на изградњи канализационе мреже у селу Горње Међурово; број </w:t>
      </w:r>
      <w:r>
        <w:rPr>
          <w:rFonts w:ascii="Times New Roman" w:hAnsi="Times New Roman" w:cs="Times New Roman" w:eastAsia="Times New Roman" w:hint="default"/>
          <w:spacing w:val="2"/>
          <w:sz w:val="24"/>
          <w:szCs w:val="24"/>
        </w:rPr>
        <w:t>03</w:t>
      </w:r>
      <w:r>
        <w:rPr>
          <w:rFonts w:ascii="Times New Roman" w:hAnsi="Times New Roman" w:cs="Times New Roman" w:eastAsia="Times New Roman" w:hint="default"/>
          <w:spacing w:val="2"/>
          <w:sz w:val="24"/>
          <w:szCs w:val="24"/>
        </w:rPr>
        <w:t>- </w:t>
      </w:r>
      <w:r>
        <w:rPr>
          <w:rFonts w:ascii="Times New Roman" w:hAnsi="Times New Roman" w:cs="Times New Roman" w:eastAsia="Times New Roman" w:hint="default"/>
          <w:spacing w:val="2"/>
          <w:sz w:val="24"/>
          <w:szCs w:val="24"/>
        </w:rPr>
      </w:r>
      <w:r>
        <w:rPr>
          <w:rFonts w:ascii="Times New Roman" w:hAnsi="Times New Roman" w:cs="Times New Roman" w:eastAsia="Times New Roman" w:hint="default"/>
          <w:sz w:val="24"/>
          <w:szCs w:val="24"/>
        </w:rPr>
        <w:t>11639/2013 од 18.02.2014. године закљученом са ВП „Јужна Морава“ ад у </w:t>
      </w:r>
      <w:r>
        <w:rPr>
          <w:rFonts w:ascii="Times New Roman" w:hAnsi="Times New Roman" w:cs="Times New Roman" w:eastAsia="Times New Roman" w:hint="default"/>
          <w:sz w:val="24"/>
          <w:szCs w:val="24"/>
        </w:rPr>
        <w:t>реструктуирању Ниш  за извођење радова  на  изградњи  канализационе мреже  у   </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улици</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4"/>
        <w:jc w:val="both"/>
      </w:pPr>
      <w:r>
        <w:rPr/>
        <w:t>Тошкетовој; број 03</w:t>
      </w:r>
      <w:r>
        <w:rPr>
          <w:rFonts w:ascii="Times New Roman" w:hAnsi="Times New Roman" w:cs="Times New Roman" w:eastAsia="Times New Roman" w:hint="default"/>
        </w:rPr>
        <w:t>-</w:t>
      </w:r>
      <w:r>
        <w:rPr/>
        <w:t>10977/1 од 18.11.2013. године закљученом са „Елмонт“ доо Ниш за изградњу осветљења Сомборског булевара од улице Косовке девојке до Булевара Медијана и број 03</w:t>
      </w:r>
      <w:r>
        <w:rPr>
          <w:rFonts w:ascii="Times New Roman" w:hAnsi="Times New Roman" w:cs="Times New Roman" w:eastAsia="Times New Roman" w:hint="default"/>
        </w:rPr>
        <w:t>-</w:t>
      </w:r>
      <w:r>
        <w:rPr/>
        <w:t>10979/1 од 08.11.2013. године закљученом са „Елмонт“ доо Ниш за изградњу осветљења у улици Ивана Милутиновића, ЈП Дирекција није поднела Захтев за извршење техничког прегледа иако су радови завршени, што је супротно члану 154. Закона о планирању и</w:t>
      </w:r>
      <w:r>
        <w:rPr>
          <w:spacing w:val="-11"/>
        </w:rPr>
        <w:t> </w:t>
      </w:r>
      <w:r>
        <w:rPr/>
        <w:t>изградњи.</w:t>
      </w:r>
    </w:p>
    <w:p>
      <w:pPr>
        <w:pStyle w:val="ListParagraph"/>
        <w:numPr>
          <w:ilvl w:val="0"/>
          <w:numId w:val="9"/>
        </w:numPr>
        <w:tabs>
          <w:tab w:pos="348" w:val="left" w:leader="none"/>
        </w:tabs>
        <w:spacing w:line="237" w:lineRule="auto" w:before="4" w:after="0"/>
        <w:ind w:left="160" w:right="17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Инвеститор није преузео средство обезбеђења од извођача радова „Ратко Митровић“ доо Нови Београд за радове на изради подграде од ларсен тапли за изградњу колектора  од пута за Доње Међурово како је прописано чланом 17. Уговора о грађењу број</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03</w:t>
      </w:r>
      <w:r>
        <w:rPr>
          <w:rFonts w:ascii="Times New Roman" w:hAnsi="Times New Roman" w:cs="Times New Roman" w:eastAsia="Times New Roman" w:hint="default"/>
          <w:sz w:val="24"/>
          <w:szCs w:val="24"/>
        </w:rPr>
        <w:t>-8281.</w:t>
      </w:r>
    </w:p>
    <w:p>
      <w:pPr>
        <w:pStyle w:val="ListParagraph"/>
        <w:numPr>
          <w:ilvl w:val="0"/>
          <w:numId w:val="9"/>
        </w:numPr>
        <w:tabs>
          <w:tab w:pos="341" w:val="left" w:leader="none"/>
        </w:tabs>
        <w:spacing w:line="240" w:lineRule="auto" w:before="2" w:after="0"/>
        <w:ind w:left="160" w:right="18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Извођач радова „Хидроконтрол“ доо Ниш је уведен у посао дана 13.02.2013. године и извршио део радова на изградњи топловода на територији града Ниша у улици </w:t>
      </w:r>
      <w:r>
        <w:rPr>
          <w:rFonts w:ascii="Times New Roman" w:hAnsi="Times New Roman" w:cs="Times New Roman" w:eastAsia="Times New Roman" w:hint="default"/>
          <w:spacing w:val="-6"/>
          <w:sz w:val="24"/>
          <w:szCs w:val="24"/>
        </w:rPr>
        <w:t>IX </w:t>
      </w:r>
      <w:r>
        <w:rPr>
          <w:rFonts w:ascii="Times New Roman" w:hAnsi="Times New Roman" w:cs="Times New Roman" w:eastAsia="Times New Roman" w:hint="default"/>
          <w:spacing w:val="-6"/>
          <w:sz w:val="24"/>
          <w:szCs w:val="24"/>
        </w:rPr>
      </w:r>
      <w:r>
        <w:rPr>
          <w:rFonts w:ascii="Times New Roman" w:hAnsi="Times New Roman" w:cs="Times New Roman" w:eastAsia="Times New Roman" w:hint="default"/>
          <w:sz w:val="24"/>
          <w:szCs w:val="24"/>
        </w:rPr>
        <w:t>Бригаде, након чега је одустао од извршења посла. Уговором је предвиђено да наручилац </w:t>
      </w:r>
      <w:r>
        <w:rPr>
          <w:rFonts w:ascii="Times New Roman" w:hAnsi="Times New Roman" w:cs="Times New Roman" w:eastAsia="Times New Roman" w:hint="default"/>
          <w:sz w:val="24"/>
          <w:szCs w:val="24"/>
        </w:rPr>
        <w:t>има право да наплати средство финансијског обезбеђења за озбиљност понуде, које наручилац није наплатио када је извођач одустао од извршења уговора, што је супротно члану 17. Уговора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8407 од 31.10.2012.</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године.</w:t>
      </w:r>
    </w:p>
    <w:p>
      <w:pPr>
        <w:pStyle w:val="ListParagraph"/>
        <w:numPr>
          <w:ilvl w:val="0"/>
          <w:numId w:val="9"/>
        </w:numPr>
        <w:tabs>
          <w:tab w:pos="303" w:val="left" w:leader="none"/>
        </w:tabs>
        <w:spacing w:line="240" w:lineRule="auto" w:before="2" w:after="0"/>
        <w:ind w:left="160" w:right="171" w:firstLine="0"/>
        <w:jc w:val="both"/>
        <w:rPr>
          <w:rFonts w:ascii="Times New Roman" w:hAnsi="Times New Roman" w:cs="Times New Roman" w:eastAsia="Times New Roman" w:hint="default"/>
          <w:sz w:val="24"/>
          <w:szCs w:val="24"/>
        </w:rPr>
      </w:pPr>
      <w:r>
        <w:rPr>
          <w:rFonts w:ascii="Times New Roman" w:hAnsi="Times New Roman"/>
          <w:sz w:val="24"/>
        </w:rPr>
        <w:t>Закључени Уговор број 03</w:t>
      </w:r>
      <w:r>
        <w:rPr>
          <w:rFonts w:ascii="Times New Roman" w:hAnsi="Times New Roman"/>
          <w:sz w:val="24"/>
        </w:rPr>
        <w:t>-</w:t>
      </w:r>
      <w:r>
        <w:rPr>
          <w:rFonts w:ascii="Times New Roman" w:hAnsi="Times New Roman"/>
          <w:sz w:val="24"/>
        </w:rPr>
        <w:t>3037 од 16.05.2014. године, између ЈП Дирекција,  града Ниша и </w:t>
      </w:r>
      <w:r>
        <w:rPr>
          <w:rFonts w:ascii="Times New Roman" w:hAnsi="Times New Roman"/>
          <w:sz w:val="24"/>
        </w:rPr>
        <w:t>Johanson Electric </w:t>
      </w:r>
      <w:r>
        <w:rPr>
          <w:rFonts w:ascii="Times New Roman" w:hAnsi="Times New Roman"/>
          <w:sz w:val="24"/>
        </w:rPr>
        <w:t>доо Ниш, којим су дефинисане међусобне обавезе потписника и уређен обим и начин финансирања заједничких обавеза на изградњи капацитета за напајање електричном енергијом укупне снаге 10К</w:t>
      </w:r>
      <w:r>
        <w:rPr>
          <w:rFonts w:ascii="Times New Roman" w:hAnsi="Times New Roman"/>
          <w:sz w:val="24"/>
        </w:rPr>
        <w:t>WA </w:t>
      </w:r>
      <w:r>
        <w:rPr>
          <w:rFonts w:ascii="Times New Roman" w:hAnsi="Times New Roman"/>
          <w:sz w:val="24"/>
        </w:rPr>
        <w:t>не садржи јасно изражену  коначну цену преузетих обавеза, што је супротно члану 5</w:t>
      </w:r>
      <w:r>
        <w:rPr>
          <w:rFonts w:ascii="Times New Roman" w:hAnsi="Times New Roman"/>
          <w:sz w:val="24"/>
        </w:rPr>
        <w:t>6. </w:t>
      </w:r>
      <w:r>
        <w:rPr>
          <w:rFonts w:ascii="Times New Roman" w:hAnsi="Times New Roman"/>
          <w:sz w:val="24"/>
        </w:rPr>
        <w:t>и члану 58. Закона о буџетском</w:t>
      </w:r>
      <w:r>
        <w:rPr>
          <w:rFonts w:ascii="Times New Roman" w:hAnsi="Times New Roman"/>
          <w:spacing w:val="-9"/>
          <w:sz w:val="24"/>
        </w:rPr>
        <w:t> </w:t>
      </w:r>
      <w:r>
        <w:rPr>
          <w:rFonts w:ascii="Times New Roman" w:hAnsi="Times New Roman"/>
          <w:sz w:val="24"/>
        </w:rPr>
        <w:t>систему</w:t>
      </w:r>
      <w:r>
        <w:rPr>
          <w:rFonts w:ascii="Times New Roman" w:hAnsi="Times New Roman"/>
          <w:sz w:val="24"/>
        </w:rPr>
        <w:t>.</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Град Ниш није након издавања употребне дозволе (издате дана 25.05.2015. године) за изграђен капацитет за напајање електричном енергијом, извршио упис јавне својине на објекту, сразмерно извршеном улагању од 30%, у Катастар непокретности, што је супротно члану 12. Уговора број </w:t>
      </w:r>
      <w:r>
        <w:rPr>
          <w:rFonts w:ascii="Times New Roman" w:hAnsi="Times New Roman"/>
          <w:sz w:val="24"/>
        </w:rPr>
        <w:t>03-3037 </w:t>
      </w:r>
      <w:r>
        <w:rPr>
          <w:rFonts w:ascii="Times New Roman" w:hAnsi="Times New Roman"/>
          <w:sz w:val="24"/>
        </w:rPr>
        <w:t>од 16.05.2014. године закљученог између ЈП Дирекција, града Ниша и </w:t>
      </w:r>
      <w:r>
        <w:rPr>
          <w:rFonts w:ascii="Times New Roman" w:hAnsi="Times New Roman"/>
          <w:sz w:val="24"/>
        </w:rPr>
        <w:t>Johanson Electric </w:t>
      </w:r>
      <w:r>
        <w:rPr>
          <w:rFonts w:ascii="Times New Roman" w:hAnsi="Times New Roman"/>
          <w:sz w:val="24"/>
        </w:rPr>
        <w:t>доо Ниш. На основу писаног појашњења начелника Управе за планирање и изградњу и начелника Управе за имовину и инспекцијске послове, упис права својине на 30% није извршен јер Употребна дозвола број 351</w:t>
      </w:r>
      <w:r>
        <w:rPr>
          <w:rFonts w:ascii="Times New Roman" w:hAnsi="Times New Roman"/>
          <w:sz w:val="24"/>
        </w:rPr>
        <w:t>-640/2014-</w:t>
      </w:r>
      <w:r>
        <w:rPr>
          <w:rFonts w:ascii="Times New Roman" w:hAnsi="Times New Roman"/>
          <w:sz w:val="24"/>
        </w:rPr>
        <w:t>06 која је издата 25.05.2015. године, није правоснажна, из разлога, што су два физичка лица</w:t>
      </w:r>
      <w:r>
        <w:rPr>
          <w:rFonts w:ascii="Times New Roman" w:hAnsi="Times New Roman"/>
          <w:sz w:val="24"/>
        </w:rPr>
        <w:t>-</w:t>
      </w:r>
      <w:r>
        <w:rPr>
          <w:rFonts w:ascii="Times New Roman" w:hAnsi="Times New Roman"/>
          <w:sz w:val="24"/>
        </w:rPr>
        <w:t>власници земљишта уложила жалбу на Решење о непотпуној експропријацији управе за имовину и инспекцијске послове број 465</w:t>
      </w:r>
      <w:r>
        <w:rPr>
          <w:rFonts w:ascii="Times New Roman" w:hAnsi="Times New Roman"/>
          <w:sz w:val="24"/>
        </w:rPr>
        <w:t>-118-5/2014-</w:t>
      </w:r>
      <w:r>
        <w:rPr>
          <w:rFonts w:ascii="Times New Roman" w:hAnsi="Times New Roman"/>
          <w:sz w:val="24"/>
        </w:rPr>
        <w:t>04 од 27.11.2014. године, што је супротно члану 135. и 145. Закона о планирању и изградњи, који прописује да се решење о одобрењу за изградњу издаје инвеститору који има одговарајуће право на земљишту, односно право</w:t>
      </w:r>
      <w:r>
        <w:rPr>
          <w:rFonts w:ascii="Times New Roman" w:hAnsi="Times New Roman"/>
          <w:spacing w:val="-9"/>
          <w:sz w:val="24"/>
        </w:rPr>
        <w:t> </w:t>
      </w:r>
      <w:r>
        <w:rPr>
          <w:rFonts w:ascii="Times New Roman" w:hAnsi="Times New Roman"/>
          <w:sz w:val="24"/>
        </w:rPr>
        <w:t>својине.</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је евидентиран износ од 463 хиљаде динара за: изградњу канализационе мреже у насељу Пантелеј запад у износу од </w:t>
      </w:r>
      <w:r>
        <w:rPr>
          <w:rFonts w:ascii="Times New Roman" w:hAnsi="Times New Roman" w:cs="Times New Roman" w:eastAsia="Times New Roman" w:hint="default"/>
          <w:sz w:val="24"/>
          <w:szCs w:val="24"/>
        </w:rPr>
        <w:t>335 </w:t>
      </w:r>
      <w:r>
        <w:rPr>
          <w:rFonts w:ascii="Times New Roman" w:hAnsi="Times New Roman" w:cs="Times New Roman" w:eastAsia="Times New Roman" w:hint="default"/>
          <w:sz w:val="24"/>
          <w:szCs w:val="24"/>
        </w:rPr>
        <w:t>хиљада динара, изградњу пумпне  станице на колектору за употребљене воде од пута за Доње Међурово до главног колектора у износу од </w:t>
      </w:r>
      <w:r>
        <w:rPr>
          <w:rFonts w:ascii="Times New Roman" w:hAnsi="Times New Roman" w:cs="Times New Roman" w:eastAsia="Times New Roman" w:hint="default"/>
          <w:sz w:val="24"/>
          <w:szCs w:val="24"/>
        </w:rPr>
        <w:t>109 </w:t>
      </w:r>
      <w:r>
        <w:rPr>
          <w:rFonts w:ascii="Times New Roman" w:hAnsi="Times New Roman" w:cs="Times New Roman" w:eastAsia="Times New Roman" w:hint="default"/>
          <w:sz w:val="24"/>
          <w:szCs w:val="24"/>
        </w:rPr>
        <w:t>хиљада динара и изградњу топловода у улици IХ бригаде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наставак у износу од </w:t>
      </w:r>
      <w:r>
        <w:rPr>
          <w:rFonts w:ascii="Times New Roman" w:hAnsi="Times New Roman" w:cs="Times New Roman" w:eastAsia="Times New Roman" w:hint="default"/>
          <w:sz w:val="24"/>
          <w:szCs w:val="24"/>
        </w:rPr>
        <w:t>19 </w:t>
      </w:r>
      <w:r>
        <w:rPr>
          <w:rFonts w:ascii="Times New Roman" w:hAnsi="Times New Roman" w:cs="Times New Roman" w:eastAsia="Times New Roman" w:hint="default"/>
          <w:sz w:val="24"/>
          <w:szCs w:val="24"/>
        </w:rPr>
        <w:t>хиљада динара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по основу судских решења уместо на групи </w:t>
      </w:r>
      <w:r>
        <w:rPr>
          <w:rFonts w:ascii="Times New Roman" w:hAnsi="Times New Roman" w:cs="Times New Roman" w:eastAsia="Times New Roman" w:hint="default"/>
          <w:sz w:val="24"/>
          <w:szCs w:val="24"/>
        </w:rPr>
        <w:t>483000 </w:t>
      </w:r>
      <w:r>
        <w:rPr>
          <w:rFonts w:ascii="Times New Roman" w:hAnsi="Times New Roman" w:cs="Times New Roman" w:eastAsia="Times New Roman" w:hint="default"/>
          <w:sz w:val="24"/>
          <w:szCs w:val="24"/>
        </w:rPr>
        <w:t>– новчане казне и пенали по решењу судова у укупном износу од 463 хиљаде динара,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31"/>
          <w:sz w:val="24"/>
          <w:szCs w:val="24"/>
        </w:rPr>
        <w:t> </w:t>
      </w:r>
      <w:r>
        <w:rPr>
          <w:rFonts w:ascii="Times New Roman" w:hAnsi="Times New Roman" w:cs="Times New Roman" w:eastAsia="Times New Roman" w:hint="default"/>
          <w:sz w:val="24"/>
          <w:szCs w:val="24"/>
        </w:rPr>
        <w:t>систем.</w:t>
      </w:r>
    </w:p>
    <w:p>
      <w:pPr>
        <w:pStyle w:val="ListParagraph"/>
        <w:numPr>
          <w:ilvl w:val="0"/>
          <w:numId w:val="9"/>
        </w:numPr>
        <w:tabs>
          <w:tab w:pos="341"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Субаналитички конто 511242 – канализација, више је исказан за износ од 10.</w:t>
      </w:r>
      <w:r>
        <w:rPr>
          <w:rFonts w:ascii="Times New Roman" w:hAnsi="Times New Roman" w:cs="Times New Roman" w:eastAsia="Times New Roman" w:hint="default"/>
          <w:sz w:val="24"/>
          <w:szCs w:val="24"/>
        </w:rPr>
        <w:t>583  </w:t>
      </w:r>
      <w:r>
        <w:rPr>
          <w:rFonts w:ascii="Times New Roman" w:hAnsi="Times New Roman" w:cs="Times New Roman" w:eastAsia="Times New Roman" w:hint="default"/>
          <w:sz w:val="24"/>
          <w:szCs w:val="24"/>
        </w:rPr>
        <w:t>хиљаде динара по основу капацитета за напајање електричном енергијом и осветљења Сомборског булевара од улице Косовке девојке до Булевара Медијана, а мање исказан субаналитички конто 511292 – комуникациони и електрични водови у истом износу,</w:t>
      </w:r>
      <w:r>
        <w:rPr>
          <w:rFonts w:ascii="Times New Roman" w:hAnsi="Times New Roman" w:cs="Times New Roman" w:eastAsia="Times New Roman" w:hint="default"/>
          <w:spacing w:val="25"/>
          <w:sz w:val="24"/>
          <w:szCs w:val="24"/>
        </w:rPr>
        <w:t> </w:t>
      </w:r>
      <w:r>
        <w:rPr>
          <w:rFonts w:ascii="Times New Roman" w:hAnsi="Times New Roman" w:cs="Times New Roman" w:eastAsia="Times New Roman" w:hint="default"/>
          <w:sz w:val="24"/>
          <w:szCs w:val="24"/>
        </w:rPr>
        <w:t>што</w:t>
      </w:r>
    </w:p>
    <w:p>
      <w:pPr>
        <w:spacing w:after="0" w:line="240" w:lineRule="auto"/>
        <w:jc w:val="both"/>
        <w:rPr>
          <w:rFonts w:ascii="Times New Roman" w:hAnsi="Times New Roman" w:cs="Times New Roman" w:eastAsia="Times New Roman" w:hint="default"/>
          <w:sz w:val="24"/>
          <w:szCs w:val="24"/>
        </w:rPr>
        <w:sectPr>
          <w:footerReference w:type="default" r:id="rId78"/>
          <w:pgSz w:w="12240" w:h="15840"/>
          <w:pgMar w:footer="1274" w:header="740" w:top="1280" w:bottom="1460" w:left="1400" w:right="1260"/>
          <w:pgNumType w:start="200"/>
        </w:sectPr>
      </w:pPr>
    </w:p>
    <w:p>
      <w:pPr>
        <w:pStyle w:val="BodyText"/>
        <w:spacing w:line="240" w:lineRule="auto" w:before="122"/>
        <w:ind w:right="177"/>
        <w:jc w:val="both"/>
      </w:pPr>
      <w:r>
        <w:rPr/>
        <w:t>је супротно Правилнику о стандардном класификационом оквиру и контном плану за буџетски</w:t>
      </w:r>
      <w:r>
        <w:rPr>
          <w:spacing w:val="-9"/>
        </w:rPr>
        <w:t> </w:t>
      </w:r>
      <w:r>
        <w:rPr/>
        <w:t>систем.</w:t>
      </w:r>
    </w:p>
    <w:p>
      <w:pPr>
        <w:pStyle w:val="Heading2"/>
        <w:spacing w:line="240" w:lineRule="auto"/>
        <w:ind w:right="174"/>
        <w:jc w:val="both"/>
        <w:rPr>
          <w:rFonts w:ascii="Times New Roman" w:hAnsi="Times New Roman" w:cs="Times New Roman" w:eastAsia="Times New Roman" w:hint="default"/>
          <w:b w:val="0"/>
          <w:bCs w:val="0"/>
          <w:i w:val="0"/>
        </w:rPr>
      </w:pPr>
      <w:r>
        <w:rPr>
          <w:i/>
        </w:rPr>
        <w:t>Препоручује се одговорним лицима да набавку вишкова радова врше у поступку јавне набавке, обезбеде примену одредби закључених уговора, уговоре вредност приликом закључења уговора, обезбеде правилну примену одредби Закона о планирању и изградњи, Уредбе о буџетском рачуноводству и Правилника о стандардном класификационом оквиру и контном плану за буџетски</w:t>
      </w:r>
      <w:r>
        <w:rPr>
          <w:i/>
          <w:spacing w:val="-11"/>
        </w:rPr>
        <w:t> </w:t>
      </w:r>
      <w:r>
        <w:rPr>
          <w:i/>
        </w:rPr>
        <w:t>систем</w:t>
      </w:r>
      <w:r>
        <w:rPr>
          <w:rFonts w:ascii="Times New Roman" w:hAnsi="Times New Roman"/>
          <w:i/>
        </w:rPr>
        <w:t>.</w:t>
      </w:r>
      <w:r>
        <w:rPr>
          <w:rFonts w:ascii="Times New Roman" w:hAnsi="Times New Roman"/>
          <w:b w:val="0"/>
          <w:i w:val="0"/>
        </w:rPr>
      </w:r>
    </w:p>
    <w:p>
      <w:pPr>
        <w:pStyle w:val="BodyText"/>
        <w:spacing w:line="240" w:lineRule="auto"/>
        <w:ind w:right="174" w:firstLine="566"/>
        <w:jc w:val="both"/>
        <w:rPr>
          <w:rFonts w:ascii="Times New Roman" w:hAnsi="Times New Roman" w:cs="Times New Roman" w:eastAsia="Times New Roman" w:hint="default"/>
        </w:rPr>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Отворени спортски рекреациони објекти, субаналитички конто 5112</w:t>
      </w:r>
      <w:r>
        <w:rPr>
          <w:rFonts w:ascii="Times New Roman" w:hAnsi="Times New Roman" w:cs="Times New Roman" w:eastAsia="Times New Roman" w:hint="default"/>
          <w:u w:val="single" w:color="000000"/>
        </w:rPr>
        <w:t>93 </w:t>
      </w:r>
      <w:r>
        <w:rPr>
          <w:rFonts w:ascii="Times New Roman" w:hAnsi="Times New Roman" w:cs="Times New Roman" w:eastAsia="Times New Roman" w:hint="default"/>
        </w:rPr>
      </w:r>
      <w:r>
        <w:rPr>
          <w:rFonts w:ascii="Times New Roman" w:hAnsi="Times New Roman" w:cs="Times New Roman" w:eastAsia="Times New Roman" w:hint="default"/>
          <w:i/>
        </w:rPr>
        <w:t>– </w:t>
      </w:r>
      <w:r>
        <w:rPr/>
        <w:t>Исказан је издатак у укупном износу од 8.668 хиљада</w:t>
      </w:r>
      <w:r>
        <w:rPr>
          <w:spacing w:val="-18"/>
        </w:rPr>
        <w:t> </w:t>
      </w:r>
      <w:r>
        <w:rPr/>
        <w:t>динара</w:t>
      </w:r>
      <w:r>
        <w:rPr>
          <w:rFonts w:ascii="Times New Roman" w:hAnsi="Times New Roman" w:cs="Times New Roman" w:eastAsia="Times New Roman" w:hint="default"/>
        </w:rPr>
        <w:t>.</w:t>
      </w:r>
    </w:p>
    <w:p>
      <w:pPr>
        <w:pStyle w:val="Heading1"/>
        <w:spacing w:line="275" w:lineRule="exact"/>
        <w:ind w:right="141"/>
        <w:jc w:val="left"/>
        <w:rPr>
          <w:b w:val="0"/>
          <w:bCs w:val="0"/>
        </w:rPr>
      </w:pPr>
      <w:r>
        <w:rPr/>
        <w:t>На основу ревизије узорковане документације утврђено</w:t>
      </w:r>
      <w:r>
        <w:rPr>
          <w:spacing w:val="-14"/>
        </w:rPr>
        <w:t> </w:t>
      </w:r>
      <w:r>
        <w:rPr/>
        <w:t>је:</w:t>
      </w:r>
      <w:r>
        <w:rPr>
          <w:b w:val="0"/>
        </w:rPr>
      </w:r>
    </w:p>
    <w:p>
      <w:pPr>
        <w:pStyle w:val="ListParagraph"/>
        <w:numPr>
          <w:ilvl w:val="0"/>
          <w:numId w:val="9"/>
        </w:numPr>
        <w:tabs>
          <w:tab w:pos="303"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Извођач радова „ЦД Хис“ доо Ниш, касни са извођењем радова на реконструкцији парка Чаир са инфраструктуром, а инвеститор није наплатио пенале у висини од 0,5% од укупно уговорене вредности за сваки дан закашњења, стим што укупан износ казне не може</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бити</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већи</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од</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5%</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од</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вредности</w:t>
      </w:r>
      <w:r>
        <w:rPr>
          <w:rFonts w:ascii="Times New Roman" w:hAnsi="Times New Roman" w:cs="Times New Roman" w:eastAsia="Times New Roman" w:hint="default"/>
          <w:spacing w:val="28"/>
          <w:sz w:val="24"/>
          <w:szCs w:val="24"/>
        </w:rPr>
        <w:t> </w:t>
      </w:r>
      <w:r>
        <w:rPr>
          <w:rFonts w:ascii="Times New Roman" w:hAnsi="Times New Roman" w:cs="Times New Roman" w:eastAsia="Times New Roman" w:hint="default"/>
          <w:sz w:val="24"/>
          <w:szCs w:val="24"/>
        </w:rPr>
        <w:t>укупно</w:t>
      </w:r>
      <w:r>
        <w:rPr>
          <w:rFonts w:ascii="Times New Roman" w:hAnsi="Times New Roman" w:cs="Times New Roman" w:eastAsia="Times New Roman" w:hint="default"/>
          <w:spacing w:val="25"/>
          <w:sz w:val="24"/>
          <w:szCs w:val="24"/>
        </w:rPr>
        <w:t> </w:t>
      </w:r>
      <w:r>
        <w:rPr>
          <w:rFonts w:ascii="Times New Roman" w:hAnsi="Times New Roman" w:cs="Times New Roman" w:eastAsia="Times New Roman" w:hint="default"/>
          <w:sz w:val="24"/>
          <w:szCs w:val="24"/>
        </w:rPr>
        <w:t>уговорених</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радова,</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што</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је</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супротно</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члану</w:t>
      </w:r>
    </w:p>
    <w:p>
      <w:pPr>
        <w:pStyle w:val="BodyText"/>
        <w:spacing w:line="240" w:lineRule="auto"/>
        <w:ind w:right="0"/>
        <w:jc w:val="both"/>
      </w:pPr>
      <w:r>
        <w:rPr>
          <w:rFonts w:ascii="Times New Roman" w:hAnsi="Times New Roman"/>
        </w:rPr>
        <w:t>15</w:t>
      </w:r>
      <w:r>
        <w:rPr/>
        <w:t>. Уговора број 03</w:t>
      </w:r>
      <w:r>
        <w:rPr>
          <w:rFonts w:ascii="Times New Roman" w:hAnsi="Times New Roman"/>
        </w:rPr>
        <w:t>-</w:t>
      </w:r>
      <w:r>
        <w:rPr/>
        <w:t>3634 од 06.08.2012.</w:t>
      </w:r>
      <w:r>
        <w:rPr>
          <w:spacing w:val="-2"/>
        </w:rPr>
        <w:t> </w:t>
      </w:r>
      <w:r>
        <w:rPr/>
        <w:t>године.</w:t>
      </w:r>
    </w:p>
    <w:p>
      <w:pPr>
        <w:pStyle w:val="ListParagraph"/>
        <w:numPr>
          <w:ilvl w:val="0"/>
          <w:numId w:val="9"/>
        </w:numPr>
        <w:tabs>
          <w:tab w:pos="303" w:val="left" w:leader="none"/>
        </w:tabs>
        <w:spacing w:line="240" w:lineRule="auto" w:before="2" w:after="0"/>
        <w:ind w:left="160" w:right="17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Пружалац услуга „</w:t>
      </w:r>
      <w:r>
        <w:rPr>
          <w:rFonts w:ascii="Times New Roman" w:hAnsi="Times New Roman" w:cs="Times New Roman" w:eastAsia="Times New Roman" w:hint="default"/>
          <w:sz w:val="24"/>
          <w:szCs w:val="24"/>
        </w:rPr>
        <w:t>Andzor Enginering</w:t>
      </w:r>
      <w:r>
        <w:rPr>
          <w:rFonts w:ascii="Times New Roman" w:hAnsi="Times New Roman" w:cs="Times New Roman" w:eastAsia="Times New Roman" w:hint="default"/>
          <w:sz w:val="24"/>
          <w:szCs w:val="24"/>
        </w:rPr>
        <w:t>“ доо Нови Сад, није завршио радове у року од 30 дана од дана предаје подлоге (записник о примопредаји документације је 29.09.2014. године) за пружање услуга израде пројектно техничке документације за изградњу локалитета „Церјанска пећина“. Инвеститор није наплатио уговорену </w:t>
      </w:r>
      <w:r>
        <w:rPr>
          <w:rFonts w:ascii="Times New Roman" w:hAnsi="Times New Roman" w:cs="Times New Roman" w:eastAsia="Times New Roman" w:hint="default"/>
          <w:spacing w:val="2"/>
          <w:sz w:val="24"/>
          <w:szCs w:val="24"/>
        </w:rPr>
        <w:t>казну </w:t>
      </w:r>
      <w:r>
        <w:rPr>
          <w:rFonts w:ascii="Times New Roman" w:hAnsi="Times New Roman" w:cs="Times New Roman" w:eastAsia="Times New Roman" w:hint="default"/>
          <w:sz w:val="24"/>
          <w:szCs w:val="24"/>
        </w:rPr>
        <w:t>за сваки дан </w:t>
      </w:r>
      <w:r>
        <w:rPr>
          <w:rFonts w:ascii="Times New Roman" w:hAnsi="Times New Roman" w:cs="Times New Roman" w:eastAsia="Times New Roman" w:hint="default"/>
          <w:sz w:val="24"/>
          <w:szCs w:val="24"/>
        </w:rPr>
        <w:t>кашњења како је уговорено чланом 8. Уговора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8928/2013 од 23.09.2013.</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године.</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Пружалац услуга „Кика Градња“ пр село Бреница Ниш и ЈП Дирекција, нису сачинили записник о примопредаји радова за постављање информационе табле и едукативног паноа у вези споменика природе „Церјанска пећина“, те се из тих разлога не може утврдити да ли је пружалац услуга завршио радове у прописаном року од 29 дана од дана закључења уговора сходно члану 7.  Уговора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6308/1 од 09.10.2014.</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године.</w:t>
      </w:r>
    </w:p>
    <w:p>
      <w:pPr>
        <w:pStyle w:val="ListParagraph"/>
        <w:numPr>
          <w:ilvl w:val="0"/>
          <w:numId w:val="9"/>
        </w:numPr>
        <w:tabs>
          <w:tab w:pos="303"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ЈП Дирекција је неправилно евидентирала износ од 439 хиљада динара за извођење радова на изградњи рекреационог базена у Нишу по Уговору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8702/2011 уместо на групи 483000 – Новчане казне и пенали по решењу судова, што је супротно члану 9. Уредбе о буџетском рачуноводству и Правилника о стандардном класификационом оквиру и контном плану за буџетски систем. У Билансу стања више је исказана нефинансијска имовина и капитал у истом</w:t>
      </w:r>
      <w:r>
        <w:rPr>
          <w:rFonts w:ascii="Times New Roman" w:hAnsi="Times New Roman" w:cs="Times New Roman" w:eastAsia="Times New Roman" w:hint="default"/>
          <w:spacing w:val="-25"/>
          <w:sz w:val="24"/>
          <w:szCs w:val="24"/>
        </w:rPr>
        <w:t> </w:t>
      </w:r>
      <w:r>
        <w:rPr>
          <w:rFonts w:ascii="Times New Roman" w:hAnsi="Times New Roman" w:cs="Times New Roman" w:eastAsia="Times New Roman" w:hint="default"/>
          <w:sz w:val="24"/>
          <w:szCs w:val="24"/>
        </w:rPr>
        <w:t>износу.</w:t>
      </w:r>
    </w:p>
    <w:p>
      <w:pPr>
        <w:pStyle w:val="Heading2"/>
        <w:spacing w:line="240" w:lineRule="auto"/>
        <w:ind w:right="175" w:firstLine="626"/>
        <w:jc w:val="both"/>
        <w:rPr>
          <w:b w:val="0"/>
          <w:bCs w:val="0"/>
          <w:i w:val="0"/>
        </w:rPr>
      </w:pPr>
      <w:r>
        <w:rPr>
          <w:i/>
        </w:rPr>
        <w:t>Препоручује се одговорним лицима да доследно примењују одредбе закључених уговора и обезбеде правилну примену Уредбе о буџетском рачуноводству и Правилника о стандардном класификационом оквиру и контном плану за буџетски систем.</w:t>
      </w:r>
      <w:r>
        <w:rPr>
          <w:b w:val="0"/>
          <w:i w:val="0"/>
        </w:rPr>
      </w:r>
    </w:p>
    <w:p>
      <w:pPr>
        <w:pStyle w:val="BodyText"/>
        <w:spacing w:line="240" w:lineRule="auto"/>
        <w:ind w:right="175" w:firstLine="566"/>
        <w:jc w:val="both"/>
      </w:pPr>
      <w:r>
        <w:rPr>
          <w:rFonts w:ascii="Times New Roman" w:hAnsi="Times New Roman"/>
        </w:rPr>
      </w:r>
      <w:r>
        <w:rPr>
          <w:rFonts w:ascii="Times New Roman" w:hAnsi="Times New Roman"/>
          <w:spacing w:val="-60"/>
          <w:u w:val="single" w:color="000000"/>
        </w:rPr>
        <w:t> </w:t>
      </w:r>
      <w:r>
        <w:rPr>
          <w:u w:val="single" w:color="000000"/>
        </w:rPr>
        <w:t>Капитално одржавање складишта, силоса, гаража и слично, субаналитики конто </w:t>
      </w:r>
      <w:r>
        <w:rPr/>
      </w:r>
      <w:r>
        <w:rPr/>
      </w:r>
      <w:r>
        <w:rPr>
          <w:rFonts w:ascii="Times New Roman" w:hAnsi="Times New Roman"/>
        </w:rPr>
      </w:r>
      <w:r>
        <w:rPr>
          <w:rFonts w:ascii="Times New Roman" w:hAnsi="Times New Roman"/>
          <w:u w:val="single" w:color="000000"/>
        </w:rPr>
        <w:t>511326 </w:t>
      </w:r>
      <w:r>
        <w:rPr>
          <w:rFonts w:ascii="Times New Roman" w:hAnsi="Times New Roman"/>
        </w:rPr>
      </w:r>
      <w:r>
        <w:rPr>
          <w:rFonts w:ascii="Times New Roman" w:hAnsi="Times New Roman"/>
          <w:i/>
        </w:rPr>
        <w:t>-  </w:t>
      </w:r>
      <w:r>
        <w:rPr/>
        <w:t>Исказан је издатак у укупном износу од 6.032 хиљаде</w:t>
      </w:r>
      <w:r>
        <w:rPr>
          <w:spacing w:val="-18"/>
        </w:rPr>
        <w:t> </w:t>
      </w:r>
      <w:r>
        <w:rPr/>
        <w:t>динара.</w:t>
      </w:r>
    </w:p>
    <w:p>
      <w:pPr>
        <w:pStyle w:val="BodyText"/>
        <w:spacing w:line="240" w:lineRule="auto"/>
        <w:ind w:right="173" w:firstLine="566"/>
        <w:jc w:val="both"/>
      </w:pPr>
      <w:r>
        <w:rPr>
          <w:rFonts w:ascii="Times New Roman" w:hAnsi="Times New Roman" w:cs="Times New Roman" w:eastAsia="Times New Roman" w:hint="default"/>
          <w:b/>
          <w:bCs/>
        </w:rPr>
        <w:t>На основу ревизије узорковане документације утврђено је </w:t>
      </w:r>
      <w:r>
        <w:rPr/>
        <w:t>да је неправилно евидентиран износ од 8.290 хиљада динара за уређивање дивљих депонија и уклањање дивљих депонија по основу Уговора број </w:t>
      </w:r>
      <w:r>
        <w:rPr>
          <w:rFonts w:ascii="Times New Roman" w:hAnsi="Times New Roman" w:cs="Times New Roman" w:eastAsia="Times New Roman" w:hint="default"/>
        </w:rPr>
        <w:t>03-2626 </w:t>
      </w:r>
      <w:r>
        <w:rPr/>
        <w:t>од </w:t>
      </w:r>
      <w:r>
        <w:rPr>
          <w:rFonts w:ascii="Times New Roman" w:hAnsi="Times New Roman" w:cs="Times New Roman" w:eastAsia="Times New Roman" w:hint="default"/>
        </w:rPr>
        <w:t>05.</w:t>
      </w:r>
      <w:r>
        <w:rPr/>
        <w:t>06.2012. године и Уговора број </w:t>
      </w:r>
      <w:r>
        <w:rPr>
          <w:rFonts w:ascii="Times New Roman" w:hAnsi="Times New Roman" w:cs="Times New Roman" w:eastAsia="Times New Roman" w:hint="default"/>
        </w:rPr>
        <w:t>03-1862/1 </w:t>
      </w:r>
      <w:r>
        <w:rPr/>
        <w:t>од </w:t>
      </w:r>
      <w:r>
        <w:rPr>
          <w:rFonts w:ascii="Times New Roman" w:hAnsi="Times New Roman" w:cs="Times New Roman" w:eastAsia="Times New Roman" w:hint="default"/>
        </w:rPr>
        <w:t>27.03.2</w:t>
      </w:r>
      <w:r>
        <w:rPr/>
        <w:t>013. године закључених са ЈКП „Горица“ Ниш</w:t>
      </w:r>
      <w:r>
        <w:rPr>
          <w:rFonts w:ascii="Times New Roman" w:hAnsi="Times New Roman" w:cs="Times New Roman" w:eastAsia="Times New Roman" w:hint="default"/>
        </w:rPr>
        <w:t>, </w:t>
      </w:r>
      <w:r>
        <w:rPr/>
        <w:t>на групи </w:t>
      </w:r>
      <w:r>
        <w:rPr>
          <w:rFonts w:ascii="Times New Roman" w:hAnsi="Times New Roman" w:cs="Times New Roman" w:eastAsia="Times New Roman" w:hint="default"/>
        </w:rPr>
        <w:t>511000 </w:t>
      </w:r>
      <w:r>
        <w:rPr/>
        <w:t>– Зграде и грађевински објекти</w:t>
      </w:r>
      <w:r>
        <w:rPr>
          <w:rFonts w:ascii="Times New Roman" w:hAnsi="Times New Roman" w:cs="Times New Roman" w:eastAsia="Times New Roman" w:hint="default"/>
        </w:rPr>
        <w:t>, </w:t>
      </w:r>
      <w:r>
        <w:rPr/>
        <w:t>уместо на групи 42500</w:t>
      </w:r>
      <w:r>
        <w:rPr>
          <w:rFonts w:ascii="Times New Roman" w:hAnsi="Times New Roman" w:cs="Times New Roman" w:eastAsia="Times New Roman" w:hint="default"/>
        </w:rPr>
        <w:t>0 </w:t>
      </w:r>
      <w:r>
        <w:rPr/>
        <w:t>– Текуће поправке и одржавање, што је супротно члану 9. Уредбе о буџетском рачуноводству и Правилника  о стандардном класификационом оквиру и контном плану за буџетски систем</w:t>
      </w:r>
      <w:r>
        <w:rPr>
          <w:rFonts w:ascii="Times New Roman" w:hAnsi="Times New Roman" w:cs="Times New Roman" w:eastAsia="Times New Roman" w:hint="default"/>
          <w:sz w:val="22"/>
          <w:szCs w:val="22"/>
        </w:rPr>
        <w:t>. </w:t>
      </w:r>
      <w:r>
        <w:rPr/>
        <w:t>У Билансу стања више је исказана нефинансијска имовина и капитал за исти</w:t>
      </w:r>
      <w:r>
        <w:rPr>
          <w:spacing w:val="-25"/>
        </w:rPr>
        <w:t> </w:t>
      </w:r>
      <w:r>
        <w:rPr/>
        <w:t>износ.</w:t>
      </w:r>
    </w:p>
    <w:p>
      <w:pPr>
        <w:spacing w:after="0" w:line="240" w:lineRule="auto"/>
        <w:jc w:val="both"/>
        <w:sectPr>
          <w:pgSz w:w="12240" w:h="15840"/>
          <w:pgMar w:header="740" w:footer="1274" w:top="1280" w:bottom="1460" w:left="1400" w:right="1260"/>
        </w:sectPr>
      </w:pPr>
    </w:p>
    <w:p>
      <w:pPr>
        <w:pStyle w:val="Heading2"/>
        <w:spacing w:line="240" w:lineRule="auto" w:before="126"/>
        <w:ind w:right="173"/>
        <w:jc w:val="both"/>
        <w:rPr>
          <w:b w:val="0"/>
          <w:bCs w:val="0"/>
          <w:i w:val="0"/>
        </w:rPr>
      </w:pPr>
      <w:r>
        <w:rPr>
          <w:i/>
        </w:rPr>
        <w:t>Препоручује се одговорним лицима да правилно примењују одредбе Уредбе о буџетском рачуноводству и Правилника о стандардном класификационом оквиру и контном плану за буџетски</w:t>
      </w:r>
      <w:r>
        <w:rPr>
          <w:i/>
          <w:spacing w:val="-11"/>
        </w:rPr>
        <w:t> </w:t>
      </w:r>
      <w:r>
        <w:rPr>
          <w:i/>
        </w:rPr>
        <w:t>систем.</w:t>
      </w:r>
      <w:r>
        <w:rPr>
          <w:b w:val="0"/>
          <w:i w:val="0"/>
        </w:rPr>
      </w:r>
    </w:p>
    <w:p>
      <w:pPr>
        <w:pStyle w:val="BodyText"/>
        <w:spacing w:line="271" w:lineRule="exact"/>
        <w:ind w:left="880" w:right="141"/>
        <w:jc w:val="left"/>
      </w:pPr>
      <w:r>
        <w:rPr>
          <w:rFonts w:ascii="Times New Roman" w:hAnsi="Times New Roman"/>
        </w:rPr>
      </w:r>
      <w:r>
        <w:rPr>
          <w:rFonts w:ascii="Times New Roman" w:hAnsi="Times New Roman"/>
          <w:spacing w:val="-60"/>
          <w:u w:val="single" w:color="000000"/>
        </w:rPr>
        <w:t> </w:t>
      </w:r>
      <w:r>
        <w:rPr>
          <w:u w:val="single" w:color="000000"/>
        </w:rPr>
        <w:t>Капитално   одржавање   аутопутева,   путева,   мостова,   надвожњака   и  </w:t>
      </w:r>
      <w:r>
        <w:rPr>
          <w:spacing w:val="56"/>
          <w:u w:val="single" w:color="000000"/>
        </w:rPr>
        <w:t> </w:t>
      </w:r>
      <w:r>
        <w:rPr>
          <w:u w:val="single" w:color="000000"/>
        </w:rPr>
        <w:t>тунела,</w:t>
      </w:r>
      <w:r>
        <w:rPr/>
      </w:r>
    </w:p>
    <w:p>
      <w:pPr>
        <w:pStyle w:val="BodyText"/>
        <w:spacing w:line="240" w:lineRule="auto"/>
        <w:ind w:right="0"/>
        <w:jc w:val="both"/>
      </w:pPr>
      <w:r>
        <w:rPr>
          <w:rFonts w:ascii="Times New Roman" w:hAnsi="Times New Roman"/>
        </w:rPr>
      </w:r>
      <w:r>
        <w:rPr>
          <w:rFonts w:ascii="Times New Roman" w:hAnsi="Times New Roman"/>
          <w:spacing w:val="-60"/>
          <w:u w:val="single" w:color="000000"/>
        </w:rPr>
        <w:t> </w:t>
      </w:r>
      <w:r>
        <w:rPr>
          <w:u w:val="single" w:color="000000"/>
        </w:rPr>
        <w:t>субаналитички конто </w:t>
      </w:r>
      <w:r>
        <w:rPr>
          <w:rFonts w:ascii="Times New Roman" w:hAnsi="Times New Roman"/>
          <w:u w:val="single" w:color="000000"/>
        </w:rPr>
        <w:t>511331 </w:t>
      </w:r>
      <w:r>
        <w:rPr>
          <w:rFonts w:ascii="Times New Roman" w:hAnsi="Times New Roman"/>
        </w:rPr>
      </w:r>
      <w:r>
        <w:rPr>
          <w:rFonts w:ascii="Times New Roman" w:hAnsi="Times New Roman"/>
          <w:i/>
        </w:rPr>
        <w:t>- </w:t>
      </w:r>
      <w:r>
        <w:rPr/>
        <w:t>Исказан је издатак у износу од 77.379 хиљада</w:t>
      </w:r>
      <w:r>
        <w:rPr>
          <w:spacing w:val="-24"/>
        </w:rPr>
        <w:t> </w:t>
      </w:r>
      <w:r>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5"/>
        </w:rPr>
        <w:t> </w:t>
      </w:r>
      <w:r>
        <w:rPr/>
        <w:t>је:</w:t>
      </w:r>
      <w:r>
        <w:rPr>
          <w:b w:val="0"/>
        </w:rPr>
      </w:r>
    </w:p>
    <w:p>
      <w:pPr>
        <w:pStyle w:val="ListParagraph"/>
        <w:numPr>
          <w:ilvl w:val="0"/>
          <w:numId w:val="9"/>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ЈП Дирекција није пре почетка извођења радова предала техничку документацију на оверу надлежном органу за послове саобраћаја, а по основу Уговора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563 од 28.01.2013. године закљученог са „Нискоградња“ ад Ниш за улице: Нишавска, кружни ток раскрснице Сомборског Булевара и Студеничке, Милана Благојевића, Сврљишка, Лапска, Симе Милутиновића са прилазом, прилаз Мердарској, Славише Цекића, Суповачка, Сечаничка, Мојковачка, Вељка Марковића</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Ратко Јовић, Светолика Стојановића, Душана Петровића са прилазом улице Медошевац, Вељко Влаховић</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Медошевац, Јастребачка</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Медошевац, Матејевачка прилаз 1, Колашинска, Обалска улица и Сарајевска тротоари и по основу Уговора број </w:t>
      </w:r>
      <w:r>
        <w:rPr>
          <w:rFonts w:ascii="Times New Roman" w:hAnsi="Times New Roman" w:cs="Times New Roman" w:eastAsia="Times New Roman" w:hint="default"/>
          <w:sz w:val="24"/>
          <w:szCs w:val="24"/>
        </w:rPr>
        <w:t>03-</w:t>
      </w:r>
      <w:r>
        <w:rPr>
          <w:rFonts w:ascii="Times New Roman" w:hAnsi="Times New Roman" w:cs="Times New Roman" w:eastAsia="Times New Roman" w:hint="default"/>
          <w:sz w:val="24"/>
          <w:szCs w:val="24"/>
        </w:rPr>
        <w:t>564 од 28.01.2013.  године  закљученог са „МД Градња Инжењеринг Транспорт“ доо Ниш,  за улице: </w:t>
      </w:r>
      <w:r>
        <w:rPr>
          <w:rFonts w:ascii="Times New Roman" w:hAnsi="Times New Roman" w:cs="Times New Roman" w:eastAsia="Times New Roman" w:hint="default"/>
          <w:spacing w:val="-3"/>
          <w:sz w:val="24"/>
          <w:szCs w:val="24"/>
        </w:rPr>
        <w:t>Пут </w:t>
      </w:r>
      <w:r>
        <w:rPr>
          <w:rFonts w:ascii="Times New Roman" w:hAnsi="Times New Roman" w:cs="Times New Roman" w:eastAsia="Times New Roman" w:hint="default"/>
          <w:sz w:val="24"/>
          <w:szCs w:val="24"/>
        </w:rPr>
        <w:t>до гробља  </w:t>
      </w:r>
      <w:r>
        <w:rPr>
          <w:rFonts w:ascii="Times New Roman" w:hAnsi="Times New Roman" w:cs="Times New Roman" w:eastAsia="Times New Roman" w:hint="default"/>
          <w:sz w:val="24"/>
          <w:szCs w:val="24"/>
        </w:rPr>
        <w:t>у Нишкој Бањи, Занатска, Власотиначка и Милана Топлице Трилаз, што је супротно члану 59. став 7. Закона о јавним</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путевима.</w:t>
      </w:r>
    </w:p>
    <w:p>
      <w:pPr>
        <w:pStyle w:val="ListParagraph"/>
        <w:numPr>
          <w:ilvl w:val="0"/>
          <w:numId w:val="9"/>
        </w:numPr>
        <w:tabs>
          <w:tab w:pos="303" w:val="left" w:leader="none"/>
        </w:tabs>
        <w:spacing w:line="237" w:lineRule="auto" w:before="4"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Након завршетка радова није образована комисија за технички преглед изведених радова на периодичном одржавању по основу Уговора: број 03</w:t>
      </w:r>
      <w:r>
        <w:rPr>
          <w:rFonts w:ascii="Times New Roman" w:hAnsi="Times New Roman" w:cs="Times New Roman" w:eastAsia="Times New Roman" w:hint="default"/>
          <w:sz w:val="24"/>
          <w:szCs w:val="24"/>
        </w:rPr>
        <w:t>-563 </w:t>
      </w:r>
      <w:r>
        <w:rPr>
          <w:rFonts w:ascii="Times New Roman" w:hAnsi="Times New Roman" w:cs="Times New Roman" w:eastAsia="Times New Roman" w:hint="default"/>
          <w:sz w:val="24"/>
          <w:szCs w:val="24"/>
        </w:rPr>
        <w:t>од 28.01.2013. године закљученог са „Нискоградња“ ад Ниш;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2703 од 05.05.2014. године закљученог </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са</w:t>
      </w:r>
    </w:p>
    <w:p>
      <w:pPr>
        <w:pStyle w:val="BodyText"/>
        <w:spacing w:line="240" w:lineRule="auto" w:before="1"/>
        <w:ind w:right="172"/>
        <w:jc w:val="both"/>
      </w:pPr>
      <w:r>
        <w:rPr/>
        <w:t>„Нискоградња“ ад Ниш; број 03</w:t>
      </w:r>
      <w:r>
        <w:rPr>
          <w:rFonts w:ascii="Times New Roman" w:hAnsi="Times New Roman" w:cs="Times New Roman" w:eastAsia="Times New Roman" w:hint="default"/>
        </w:rPr>
        <w:t>-</w:t>
      </w:r>
      <w:r>
        <w:rPr/>
        <w:t>564 од 28.01.2013. године закљученог са „МД ГИТ“ доо Ниш; број 03</w:t>
      </w:r>
      <w:r>
        <w:rPr>
          <w:rFonts w:ascii="Times New Roman" w:hAnsi="Times New Roman" w:cs="Times New Roman" w:eastAsia="Times New Roman" w:hint="default"/>
        </w:rPr>
        <w:t>-</w:t>
      </w:r>
      <w:r>
        <w:rPr/>
        <w:t>2707 од 05.05.2014. године закљученог са „МД ГИТ“ доо Ниш и број 03</w:t>
      </w:r>
      <w:r>
        <w:rPr>
          <w:rFonts w:ascii="Times New Roman" w:hAnsi="Times New Roman" w:cs="Times New Roman" w:eastAsia="Times New Roman" w:hint="default"/>
        </w:rPr>
        <w:t>- </w:t>
      </w:r>
      <w:r>
        <w:rPr/>
        <w:t>2704 од 05.05.2014. године закљученог са „Нискоградња“ ад Ниш и није издат акт о пријему тих радова, што је супротно члану 59. став 8. Закона о јавним</w:t>
      </w:r>
      <w:r>
        <w:rPr>
          <w:spacing w:val="-27"/>
        </w:rPr>
        <w:t> </w:t>
      </w:r>
      <w:r>
        <w:rPr/>
        <w:t>путевима.</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току вршења стручног надзора за Уговор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2707 од 05.05.2014. године, закључен са „МД ГИТ“ доо Ниш за радове на периодичном одржавању улица, путева и других јавних површина у граду, на градском подручју градских општина Палилула и Нишка Бања и за Уговор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2704 од 05.05.2014. године закључен са „Нискоградња“ ад Ниш за радове на периодичном одржавању улица, путева и других јавних површина у граду, на градском подручју градских општина Пантелеј и Црвени Крст, надзорни орган није обавестио инвеститора и извођача радова да је дошло до одступања од утврђене вредности и да је потребно одлагање извођења радова како би се предузеле одређене активности, што је супротно члану 7. Правилника о садржини и начину вођења стручног надзора.</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ЈП Дирекција је донела решење о одређивању стручног надзора, на основу Уговора о извођењу радова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2704 од 05.05.2014. године закљученог са „Нискоградња“ ад Ниш за радове на периодичном одржавању улица, путева и других јавних површина у граду, на градском подручју градских општина Пантелеј и Црвени Крст, у коме је одредила</w:t>
      </w:r>
      <w:r>
        <w:rPr>
          <w:rFonts w:ascii="Times New Roman" w:hAnsi="Times New Roman" w:cs="Times New Roman" w:eastAsia="Times New Roman" w:hint="default"/>
          <w:spacing w:val="34"/>
          <w:sz w:val="24"/>
          <w:szCs w:val="24"/>
        </w:rPr>
        <w:t> </w:t>
      </w:r>
      <w:r>
        <w:rPr>
          <w:rFonts w:ascii="Times New Roman" w:hAnsi="Times New Roman" w:cs="Times New Roman" w:eastAsia="Times New Roman" w:hint="default"/>
          <w:sz w:val="24"/>
          <w:szCs w:val="24"/>
        </w:rPr>
        <w:t>лице</w:t>
      </w:r>
      <w:r>
        <w:rPr>
          <w:rFonts w:ascii="Times New Roman" w:hAnsi="Times New Roman" w:cs="Times New Roman" w:eastAsia="Times New Roman" w:hint="default"/>
          <w:spacing w:val="33"/>
          <w:sz w:val="24"/>
          <w:szCs w:val="24"/>
        </w:rPr>
        <w:t> </w:t>
      </w:r>
      <w:r>
        <w:rPr>
          <w:rFonts w:ascii="Times New Roman" w:hAnsi="Times New Roman" w:cs="Times New Roman" w:eastAsia="Times New Roman" w:hint="default"/>
          <w:sz w:val="24"/>
          <w:szCs w:val="24"/>
        </w:rPr>
        <w:t>које</w:t>
      </w:r>
      <w:r>
        <w:rPr>
          <w:rFonts w:ascii="Times New Roman" w:hAnsi="Times New Roman" w:cs="Times New Roman" w:eastAsia="Times New Roman" w:hint="default"/>
          <w:spacing w:val="31"/>
          <w:sz w:val="24"/>
          <w:szCs w:val="24"/>
        </w:rPr>
        <w:t> </w:t>
      </w:r>
      <w:r>
        <w:rPr>
          <w:rFonts w:ascii="Times New Roman" w:hAnsi="Times New Roman" w:cs="Times New Roman" w:eastAsia="Times New Roman" w:hint="default"/>
          <w:sz w:val="24"/>
          <w:szCs w:val="24"/>
        </w:rPr>
        <w:t>нема</w:t>
      </w:r>
      <w:r>
        <w:rPr>
          <w:rFonts w:ascii="Times New Roman" w:hAnsi="Times New Roman" w:cs="Times New Roman" w:eastAsia="Times New Roman" w:hint="default"/>
          <w:spacing w:val="33"/>
          <w:sz w:val="24"/>
          <w:szCs w:val="24"/>
        </w:rPr>
        <w:t> </w:t>
      </w:r>
      <w:r>
        <w:rPr>
          <w:rFonts w:ascii="Times New Roman" w:hAnsi="Times New Roman" w:cs="Times New Roman" w:eastAsia="Times New Roman" w:hint="default"/>
          <w:sz w:val="24"/>
          <w:szCs w:val="24"/>
        </w:rPr>
        <w:t>лиценцу</w:t>
      </w:r>
      <w:r>
        <w:rPr>
          <w:rFonts w:ascii="Times New Roman" w:hAnsi="Times New Roman" w:cs="Times New Roman" w:eastAsia="Times New Roman" w:hint="default"/>
          <w:spacing w:val="27"/>
          <w:sz w:val="24"/>
          <w:szCs w:val="24"/>
        </w:rPr>
        <w:t> </w:t>
      </w:r>
      <w:r>
        <w:rPr>
          <w:rFonts w:ascii="Times New Roman" w:hAnsi="Times New Roman" w:cs="Times New Roman" w:eastAsia="Times New Roman" w:hint="default"/>
          <w:sz w:val="24"/>
          <w:szCs w:val="24"/>
        </w:rPr>
        <w:t>за</w:t>
      </w:r>
      <w:r>
        <w:rPr>
          <w:rFonts w:ascii="Times New Roman" w:hAnsi="Times New Roman" w:cs="Times New Roman" w:eastAsia="Times New Roman" w:hint="default"/>
          <w:spacing w:val="33"/>
          <w:sz w:val="24"/>
          <w:szCs w:val="24"/>
        </w:rPr>
        <w:t> </w:t>
      </w:r>
      <w:r>
        <w:rPr>
          <w:rFonts w:ascii="Times New Roman" w:hAnsi="Times New Roman" w:cs="Times New Roman" w:eastAsia="Times New Roman" w:hint="default"/>
          <w:sz w:val="24"/>
          <w:szCs w:val="24"/>
        </w:rPr>
        <w:t>вршење</w:t>
      </w:r>
      <w:r>
        <w:rPr>
          <w:rFonts w:ascii="Times New Roman" w:hAnsi="Times New Roman" w:cs="Times New Roman" w:eastAsia="Times New Roman" w:hint="default"/>
          <w:spacing w:val="35"/>
          <w:sz w:val="24"/>
          <w:szCs w:val="24"/>
        </w:rPr>
        <w:t> </w:t>
      </w:r>
      <w:r>
        <w:rPr>
          <w:rFonts w:ascii="Times New Roman" w:hAnsi="Times New Roman" w:cs="Times New Roman" w:eastAsia="Times New Roman" w:hint="default"/>
          <w:sz w:val="24"/>
          <w:szCs w:val="24"/>
        </w:rPr>
        <w:t>стручног</w:t>
      </w:r>
      <w:r>
        <w:rPr>
          <w:rFonts w:ascii="Times New Roman" w:hAnsi="Times New Roman" w:cs="Times New Roman" w:eastAsia="Times New Roman" w:hint="default"/>
          <w:spacing w:val="34"/>
          <w:sz w:val="24"/>
          <w:szCs w:val="24"/>
        </w:rPr>
        <w:t> </w:t>
      </w:r>
      <w:r>
        <w:rPr>
          <w:rFonts w:ascii="Times New Roman" w:hAnsi="Times New Roman" w:cs="Times New Roman" w:eastAsia="Times New Roman" w:hint="default"/>
          <w:sz w:val="24"/>
          <w:szCs w:val="24"/>
        </w:rPr>
        <w:t>надзора,</w:t>
      </w:r>
      <w:r>
        <w:rPr>
          <w:rFonts w:ascii="Times New Roman" w:hAnsi="Times New Roman" w:cs="Times New Roman" w:eastAsia="Times New Roman" w:hint="default"/>
          <w:spacing w:val="34"/>
          <w:sz w:val="24"/>
          <w:szCs w:val="24"/>
        </w:rPr>
        <w:t> </w:t>
      </w:r>
      <w:r>
        <w:rPr>
          <w:rFonts w:ascii="Times New Roman" w:hAnsi="Times New Roman" w:cs="Times New Roman" w:eastAsia="Times New Roman" w:hint="default"/>
          <w:sz w:val="24"/>
          <w:szCs w:val="24"/>
        </w:rPr>
        <w:t>што</w:t>
      </w:r>
      <w:r>
        <w:rPr>
          <w:rFonts w:ascii="Times New Roman" w:hAnsi="Times New Roman" w:cs="Times New Roman" w:eastAsia="Times New Roman" w:hint="default"/>
          <w:spacing w:val="34"/>
          <w:sz w:val="24"/>
          <w:szCs w:val="24"/>
        </w:rPr>
        <w:t> </w:t>
      </w:r>
      <w:r>
        <w:rPr>
          <w:rFonts w:ascii="Times New Roman" w:hAnsi="Times New Roman" w:cs="Times New Roman" w:eastAsia="Times New Roman" w:hint="default"/>
          <w:sz w:val="24"/>
          <w:szCs w:val="24"/>
        </w:rPr>
        <w:t>је</w:t>
      </w:r>
      <w:r>
        <w:rPr>
          <w:rFonts w:ascii="Times New Roman" w:hAnsi="Times New Roman" w:cs="Times New Roman" w:eastAsia="Times New Roman" w:hint="default"/>
          <w:spacing w:val="34"/>
          <w:sz w:val="24"/>
          <w:szCs w:val="24"/>
        </w:rPr>
        <w:t> </w:t>
      </w:r>
      <w:r>
        <w:rPr>
          <w:rFonts w:ascii="Times New Roman" w:hAnsi="Times New Roman" w:cs="Times New Roman" w:eastAsia="Times New Roman" w:hint="default"/>
          <w:sz w:val="24"/>
          <w:szCs w:val="24"/>
        </w:rPr>
        <w:t>супротно</w:t>
      </w:r>
      <w:r>
        <w:rPr>
          <w:rFonts w:ascii="Times New Roman" w:hAnsi="Times New Roman" w:cs="Times New Roman" w:eastAsia="Times New Roman" w:hint="default"/>
          <w:spacing w:val="34"/>
          <w:sz w:val="24"/>
          <w:szCs w:val="24"/>
        </w:rPr>
        <w:t> </w:t>
      </w:r>
      <w:r>
        <w:rPr>
          <w:rFonts w:ascii="Times New Roman" w:hAnsi="Times New Roman" w:cs="Times New Roman" w:eastAsia="Times New Roman" w:hint="default"/>
          <w:sz w:val="24"/>
          <w:szCs w:val="24"/>
        </w:rPr>
        <w:t>члану</w:t>
      </w:r>
    </w:p>
    <w:p>
      <w:pPr>
        <w:pStyle w:val="BodyText"/>
        <w:spacing w:line="240" w:lineRule="auto"/>
        <w:ind w:right="0"/>
        <w:jc w:val="both"/>
        <w:rPr>
          <w:rFonts w:ascii="Times New Roman" w:hAnsi="Times New Roman" w:cs="Times New Roman" w:eastAsia="Times New Roman" w:hint="default"/>
        </w:rPr>
      </w:pPr>
      <w:r>
        <w:rPr/>
        <w:t>153. Закона о планирању и</w:t>
      </w:r>
      <w:r>
        <w:rPr>
          <w:spacing w:val="-8"/>
        </w:rPr>
        <w:t> </w:t>
      </w:r>
      <w:r>
        <w:rPr/>
        <w:t>изградњи</w:t>
      </w:r>
      <w:r>
        <w:rPr>
          <w:rFonts w:ascii="Times New Roman" w:hAnsi="Times New Roman"/>
        </w:rPr>
        <w:t>.</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Лице са лиценцом, које ради у ЈП Дирекција оверило је ситуације иако није било ангажовано за вршење стручног надзора за Уговор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2704 од 05.05.2014. године закључен са „Нискоградња“ ад Ниш за радове на периодичном одржавању улица, путева и</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других</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јавних</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површина</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у</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граду,</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на</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градском</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подручју</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градских</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општина</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Пантелеј</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и</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9"/>
        <w:jc w:val="both"/>
      </w:pPr>
      <w:r>
        <w:rPr/>
        <w:t>Црвени Крст, што је супротно члану 4. Правилника о садржини и начину вођења  стручног</w:t>
      </w:r>
      <w:r>
        <w:rPr>
          <w:spacing w:val="-6"/>
        </w:rPr>
        <w:t> </w:t>
      </w:r>
      <w:r>
        <w:rPr/>
        <w:t>надзора.</w:t>
      </w:r>
    </w:p>
    <w:p>
      <w:pPr>
        <w:pStyle w:val="ListParagraph"/>
        <w:numPr>
          <w:ilvl w:val="0"/>
          <w:numId w:val="9"/>
        </w:numPr>
        <w:tabs>
          <w:tab w:pos="303" w:val="left" w:leader="none"/>
        </w:tabs>
        <w:spacing w:line="274" w:lineRule="exact" w:before="24"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Наручилац не поседује доказ када је пружаоцу услуге доставио документацију предвиђену</w:t>
      </w:r>
      <w:r>
        <w:rPr>
          <w:rFonts w:ascii="Times New Roman" w:hAnsi="Times New Roman"/>
          <w:spacing w:val="26"/>
          <w:sz w:val="24"/>
        </w:rPr>
        <w:t> </w:t>
      </w:r>
      <w:r>
        <w:rPr>
          <w:rFonts w:ascii="Times New Roman" w:hAnsi="Times New Roman"/>
          <w:sz w:val="24"/>
        </w:rPr>
        <w:t>Протоколом</w:t>
      </w:r>
      <w:r>
        <w:rPr>
          <w:rFonts w:ascii="Times New Roman" w:hAnsi="Times New Roman"/>
          <w:spacing w:val="30"/>
          <w:sz w:val="24"/>
        </w:rPr>
        <w:t> </w:t>
      </w:r>
      <w:r>
        <w:rPr>
          <w:rFonts w:ascii="Times New Roman" w:hAnsi="Times New Roman"/>
          <w:sz w:val="24"/>
        </w:rPr>
        <w:t>за</w:t>
      </w:r>
      <w:r>
        <w:rPr>
          <w:rFonts w:ascii="Times New Roman" w:hAnsi="Times New Roman"/>
          <w:spacing w:val="30"/>
          <w:sz w:val="24"/>
        </w:rPr>
        <w:t> </w:t>
      </w:r>
      <w:r>
        <w:rPr>
          <w:rFonts w:ascii="Times New Roman" w:hAnsi="Times New Roman"/>
          <w:sz w:val="24"/>
        </w:rPr>
        <w:t>Уговор</w:t>
      </w:r>
      <w:r>
        <w:rPr>
          <w:rFonts w:ascii="Times New Roman" w:hAnsi="Times New Roman"/>
          <w:spacing w:val="31"/>
          <w:sz w:val="24"/>
        </w:rPr>
        <w:t> </w:t>
      </w:r>
      <w:r>
        <w:rPr>
          <w:rFonts w:ascii="Times New Roman" w:hAnsi="Times New Roman"/>
          <w:sz w:val="24"/>
        </w:rPr>
        <w:t>број</w:t>
      </w:r>
      <w:r>
        <w:rPr>
          <w:rFonts w:ascii="Times New Roman" w:hAnsi="Times New Roman"/>
          <w:spacing w:val="29"/>
          <w:sz w:val="24"/>
        </w:rPr>
        <w:t> </w:t>
      </w:r>
      <w:r>
        <w:rPr>
          <w:rFonts w:ascii="Times New Roman" w:hAnsi="Times New Roman"/>
          <w:sz w:val="24"/>
        </w:rPr>
        <w:t>03</w:t>
      </w:r>
      <w:r>
        <w:rPr>
          <w:rFonts w:ascii="Times New Roman" w:hAnsi="Times New Roman"/>
          <w:sz w:val="24"/>
        </w:rPr>
        <w:t>-</w:t>
      </w:r>
      <w:r>
        <w:rPr>
          <w:rFonts w:ascii="Times New Roman" w:hAnsi="Times New Roman"/>
          <w:sz w:val="24"/>
        </w:rPr>
        <w:t>9673</w:t>
      </w:r>
      <w:r>
        <w:rPr>
          <w:rFonts w:ascii="Times New Roman" w:hAnsi="Times New Roman"/>
          <w:spacing w:val="31"/>
          <w:sz w:val="24"/>
        </w:rPr>
        <w:t> </w:t>
      </w:r>
      <w:r>
        <w:rPr>
          <w:rFonts w:ascii="Times New Roman" w:hAnsi="Times New Roman"/>
          <w:sz w:val="24"/>
        </w:rPr>
        <w:t>од</w:t>
      </w:r>
      <w:r>
        <w:rPr>
          <w:rFonts w:ascii="Times New Roman" w:hAnsi="Times New Roman"/>
          <w:spacing w:val="31"/>
          <w:sz w:val="24"/>
        </w:rPr>
        <w:t> </w:t>
      </w:r>
      <w:r>
        <w:rPr>
          <w:rFonts w:ascii="Times New Roman" w:hAnsi="Times New Roman"/>
          <w:sz w:val="24"/>
        </w:rPr>
        <w:t>26.09.2013.</w:t>
      </w:r>
      <w:r>
        <w:rPr>
          <w:rFonts w:ascii="Times New Roman" w:hAnsi="Times New Roman"/>
          <w:spacing w:val="31"/>
          <w:sz w:val="24"/>
        </w:rPr>
        <w:t> </w:t>
      </w:r>
      <w:r>
        <w:rPr>
          <w:rFonts w:ascii="Times New Roman" w:hAnsi="Times New Roman"/>
          <w:sz w:val="24"/>
        </w:rPr>
        <w:t>године,</w:t>
      </w:r>
      <w:r>
        <w:rPr>
          <w:rFonts w:ascii="Times New Roman" w:hAnsi="Times New Roman"/>
          <w:spacing w:val="31"/>
          <w:sz w:val="24"/>
        </w:rPr>
        <w:t> </w:t>
      </w:r>
      <w:r>
        <w:rPr>
          <w:rFonts w:ascii="Times New Roman" w:hAnsi="Times New Roman"/>
          <w:sz w:val="24"/>
        </w:rPr>
        <w:t>закључен</w:t>
      </w:r>
      <w:r>
        <w:rPr>
          <w:rFonts w:ascii="Times New Roman" w:hAnsi="Times New Roman"/>
          <w:spacing w:val="32"/>
          <w:sz w:val="24"/>
        </w:rPr>
        <w:t> </w:t>
      </w:r>
      <w:r>
        <w:rPr>
          <w:rFonts w:ascii="Times New Roman" w:hAnsi="Times New Roman"/>
          <w:sz w:val="24"/>
        </w:rPr>
        <w:t>са</w:t>
      </w:r>
      <w:r>
        <w:rPr>
          <w:rFonts w:ascii="Times New Roman" w:hAnsi="Times New Roman"/>
          <w:spacing w:val="30"/>
          <w:sz w:val="24"/>
        </w:rPr>
        <w:t> </w:t>
      </w:r>
      <w:r>
        <w:rPr>
          <w:rFonts w:ascii="Times New Roman" w:hAnsi="Times New Roman"/>
          <w:sz w:val="24"/>
        </w:rPr>
        <w:t>ЈП</w:t>
      </w:r>
    </w:p>
    <w:p>
      <w:pPr>
        <w:pStyle w:val="BodyText"/>
        <w:spacing w:line="240" w:lineRule="auto"/>
        <w:ind w:right="180"/>
        <w:jc w:val="both"/>
      </w:pPr>
      <w:r>
        <w:rPr/>
        <w:t>„Завод за урбанизам Ниш“ Ниш, тако да се не можемо уверити да ли је пружалац услуга испоштовао рок за доставу техничке документације, како је то предвиђено чланом 5. наведеног</w:t>
      </w:r>
      <w:r>
        <w:rPr>
          <w:spacing w:val="-5"/>
        </w:rPr>
        <w:t> </w:t>
      </w:r>
      <w:r>
        <w:rPr/>
        <w:t>Уговора.</w:t>
      </w:r>
    </w:p>
    <w:p>
      <w:pPr>
        <w:pStyle w:val="ListParagraph"/>
        <w:numPr>
          <w:ilvl w:val="0"/>
          <w:numId w:val="9"/>
        </w:numPr>
        <w:tabs>
          <w:tab w:pos="303"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Наручилац не поседује доказ када је пружаоцу услуге ЈП „Завод за урбанизам Ниш“ Ниш доставио катастарске подлоге и пројектне задатке за Уговоре: број </w:t>
      </w:r>
      <w:r>
        <w:rPr>
          <w:rFonts w:ascii="Times New Roman" w:hAnsi="Times New Roman" w:cs="Times New Roman" w:eastAsia="Times New Roman" w:hint="default"/>
          <w:sz w:val="24"/>
          <w:szCs w:val="24"/>
        </w:rPr>
        <w:t>03-</w:t>
      </w:r>
      <w:r>
        <w:rPr>
          <w:rFonts w:ascii="Times New Roman" w:hAnsi="Times New Roman" w:cs="Times New Roman" w:eastAsia="Times New Roman" w:hint="default"/>
          <w:sz w:val="24"/>
          <w:szCs w:val="24"/>
        </w:rPr>
        <w:t>9611 од 25.09.2013. године за израду техничке документације главних пројеката рехабилитације и појачаног одржавања улице Војводе Вука од улице генерала Боже Јанковића ка северу</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број </w:t>
      </w:r>
      <w:r>
        <w:rPr>
          <w:rFonts w:ascii="Times New Roman" w:hAnsi="Times New Roman" w:cs="Times New Roman" w:eastAsia="Times New Roman" w:hint="default"/>
          <w:sz w:val="24"/>
          <w:szCs w:val="24"/>
        </w:rPr>
        <w:t>03-1</w:t>
      </w:r>
      <w:r>
        <w:rPr>
          <w:rFonts w:ascii="Times New Roman" w:hAnsi="Times New Roman" w:cs="Times New Roman" w:eastAsia="Times New Roman" w:hint="default"/>
          <w:sz w:val="24"/>
          <w:szCs w:val="24"/>
        </w:rPr>
        <w:t>0027 од 09.10.2013. године за израду техничке документације главног пројекта улице Николе Пашића – тротоар Ниш</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10028 од 09.10.2013. године за израду техничке документације главног пројекта парковске стазе, платоа и тротоара на Тргу Републике, градске општине Медијана у Ниш</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број </w:t>
      </w:r>
      <w:r>
        <w:rPr>
          <w:rFonts w:ascii="Times New Roman" w:hAnsi="Times New Roman" w:cs="Times New Roman" w:eastAsia="Times New Roman" w:hint="default"/>
          <w:sz w:val="24"/>
          <w:szCs w:val="24"/>
        </w:rPr>
        <w:t>03-</w:t>
      </w:r>
      <w:r>
        <w:rPr>
          <w:rFonts w:ascii="Times New Roman" w:hAnsi="Times New Roman" w:cs="Times New Roman" w:eastAsia="Times New Roman" w:hint="default"/>
          <w:sz w:val="24"/>
          <w:szCs w:val="24"/>
        </w:rPr>
        <w:t>10032 од 09.10.2013. године за израду техничке документације главног пројекта улице Римска VI</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коловоз и тротоар, градске општине Медијана у Нишу и број 03</w:t>
      </w:r>
      <w:r>
        <w:rPr>
          <w:rFonts w:ascii="Times New Roman" w:hAnsi="Times New Roman" w:cs="Times New Roman" w:eastAsia="Times New Roman" w:hint="default"/>
          <w:sz w:val="24"/>
          <w:szCs w:val="24"/>
        </w:rPr>
        <w:t>-11132/1 </w:t>
      </w:r>
      <w:r>
        <w:rPr>
          <w:rFonts w:ascii="Times New Roman" w:hAnsi="Times New Roman" w:cs="Times New Roman" w:eastAsia="Times New Roman" w:hint="default"/>
          <w:sz w:val="24"/>
          <w:szCs w:val="24"/>
        </w:rPr>
        <w:t>од </w:t>
      </w:r>
      <w:r>
        <w:rPr>
          <w:rFonts w:ascii="Times New Roman" w:hAnsi="Times New Roman" w:cs="Times New Roman" w:eastAsia="Times New Roman" w:hint="default"/>
          <w:sz w:val="24"/>
          <w:szCs w:val="24"/>
        </w:rPr>
        <w:t>1</w:t>
      </w:r>
      <w:r>
        <w:rPr>
          <w:rFonts w:ascii="Times New Roman" w:hAnsi="Times New Roman" w:cs="Times New Roman" w:eastAsia="Times New Roman" w:hint="default"/>
          <w:sz w:val="24"/>
          <w:szCs w:val="24"/>
        </w:rPr>
        <w:t>4.11.2013. године за израду техничке документације главних пројеката периодичног одржавања коловоза, тротоара, бициклистичке стазе и зелених површина на Булевар цара Константина, од насеља Брзи Брод до улице Српских јунака у Нишкој бањи.</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тако да се не можемо уверити да ли је пружалац услуга испоштовао рок за доставу техничке документације, како је то предвиђено чланом 5. наведених</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уговора</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40" w:lineRule="auto" w:before="0" w:after="0"/>
        <w:ind w:left="160" w:right="175" w:firstLine="0"/>
        <w:jc w:val="both"/>
        <w:rPr>
          <w:rFonts w:ascii="Times New Roman" w:hAnsi="Times New Roman" w:cs="Times New Roman" w:eastAsia="Times New Roman" w:hint="default"/>
          <w:sz w:val="22"/>
          <w:szCs w:val="22"/>
        </w:rPr>
      </w:pPr>
      <w:r>
        <w:rPr>
          <w:rFonts w:ascii="Times New Roman" w:hAnsi="Times New Roman" w:cs="Times New Roman" w:eastAsia="Times New Roman" w:hint="default"/>
          <w:sz w:val="24"/>
          <w:szCs w:val="24"/>
        </w:rPr>
        <w:t>Извршено је плаћање по Уговору број </w:t>
      </w:r>
      <w:r>
        <w:rPr>
          <w:rFonts w:ascii="Times New Roman" w:hAnsi="Times New Roman" w:cs="Times New Roman" w:eastAsia="Times New Roman" w:hint="default"/>
          <w:sz w:val="24"/>
          <w:szCs w:val="24"/>
        </w:rPr>
        <w:t>03-</w:t>
      </w:r>
      <w:r>
        <w:rPr>
          <w:rFonts w:ascii="Times New Roman" w:hAnsi="Times New Roman" w:cs="Times New Roman" w:eastAsia="Times New Roman" w:hint="default"/>
          <w:sz w:val="24"/>
          <w:szCs w:val="24"/>
        </w:rPr>
        <w:t>11132/1 од 14.11.2013. године закљученом са ЈП „Завод за урбанизам Ниш“ Ниш</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у већем износу од уговореног за износ од 271 хиљаде динара за израду техничке документације главних пројеката периодичног одржавања коловоза, тротоара, бициклистичке стазе и зелених површина на Булевар цара Константина, од насеља Брзи Брод до улице Српских јунака у Нишкој Бањи, по  коначном рачуну број </w:t>
      </w:r>
      <w:r>
        <w:rPr>
          <w:rFonts w:ascii="Times New Roman" w:hAnsi="Times New Roman" w:cs="Times New Roman" w:eastAsia="Times New Roman" w:hint="default"/>
          <w:sz w:val="24"/>
          <w:szCs w:val="24"/>
        </w:rPr>
        <w:t>R-265/14</w:t>
      </w:r>
      <w:r>
        <w:rPr>
          <w:rFonts w:ascii="Times New Roman" w:hAnsi="Times New Roman" w:cs="Times New Roman" w:eastAsia="Times New Roman" w:hint="default"/>
          <w:sz w:val="24"/>
          <w:szCs w:val="24"/>
        </w:rPr>
        <w:t>, што је супротно члану 56. и 58. Закона о буџетском систему. Уговорена је вредност у износу од 1 1.204 хиљаде динара са ПДВ, а набављена је услуга у износу од 1.475 хиљада</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динара.</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Инвеститор није преузео средство обезбеђења од извођача радова „Кика градња“ пр Ниш како је прописано чланом 13. Уговора број 03</w:t>
      </w:r>
      <w:r>
        <w:rPr>
          <w:rFonts w:ascii="Times New Roman" w:hAnsi="Times New Roman" w:cs="Times New Roman" w:eastAsia="Times New Roman" w:hint="default"/>
          <w:sz w:val="24"/>
          <w:szCs w:val="24"/>
        </w:rPr>
        <w:t>-9872/1 </w:t>
      </w:r>
      <w:r>
        <w:rPr>
          <w:rFonts w:ascii="Times New Roman" w:hAnsi="Times New Roman" w:cs="Times New Roman" w:eastAsia="Times New Roman" w:hint="default"/>
          <w:sz w:val="24"/>
          <w:szCs w:val="24"/>
        </w:rPr>
        <w:t>од 04.12.2012. године, за извођење радова на одржавању приступних рампи за инвалидна лица на територији града Ниша.</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Није извршена комисијска примопредаја радова за извођење радова на одржавању приступних рампи за инвалидна лица на територији града Ниша најкасније у року од 15 дана од дана завршетка радова, а по основу Уговора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9872/1 од 04.12.2012. године који је закључен са извођачем радова „Кика градња“ пр Ниш, како је то предвиђено чланом 15. наведеног</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Уговора.</w:t>
      </w:r>
    </w:p>
    <w:p>
      <w:pPr>
        <w:pStyle w:val="ListParagraph"/>
        <w:numPr>
          <w:ilvl w:val="0"/>
          <w:numId w:val="9"/>
        </w:numPr>
        <w:tabs>
          <w:tab w:pos="303" w:val="left" w:leader="none"/>
        </w:tabs>
        <w:spacing w:line="240" w:lineRule="auto" w:before="2" w:after="0"/>
        <w:ind w:left="160" w:right="17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ЈП Дирекција је неправилно евидентирала издатак по основу Судске пресуде Основног суда у Нишу број 24.П.8146/13, на групи 511000 – Зграде и грађевински објекти уместо на групи 483000 – Новчане казне и пенали по решењу судова у износу од 98 хиљада динара за плаћање трошкова парничног поступка и трошкова извршења, што је супротно члану 9. Уредбе о буџетском рачуноводству и Правилника о стандардном класификационом оквиру и контном плану за буџетски систем</w:t>
      </w:r>
      <w:r>
        <w:rPr>
          <w:rFonts w:ascii="Times New Roman" w:hAnsi="Times New Roman" w:cs="Times New Roman" w:eastAsia="Times New Roman" w:hint="default"/>
          <w:sz w:val="22"/>
          <w:szCs w:val="22"/>
        </w:rPr>
        <w:t>. </w:t>
      </w:r>
      <w:r>
        <w:rPr>
          <w:rFonts w:ascii="Times New Roman" w:hAnsi="Times New Roman" w:cs="Times New Roman" w:eastAsia="Times New Roman" w:hint="default"/>
          <w:sz w:val="24"/>
          <w:szCs w:val="24"/>
        </w:rPr>
        <w:t>У Билансу стања нефинансијска имовина и капитал исказани су у већем износу за 98 хиљада</w:t>
      </w:r>
      <w:r>
        <w:rPr>
          <w:rFonts w:ascii="Times New Roman" w:hAnsi="Times New Roman" w:cs="Times New Roman" w:eastAsia="Times New Roman" w:hint="default"/>
          <w:spacing w:val="-30"/>
          <w:sz w:val="24"/>
          <w:szCs w:val="24"/>
        </w:rPr>
        <w:t> </w:t>
      </w:r>
      <w:r>
        <w:rPr>
          <w:rFonts w:ascii="Times New Roman" w:hAnsi="Times New Roman" w:cs="Times New Roman" w:eastAsia="Times New Roman" w:hint="default"/>
          <w:sz w:val="24"/>
          <w:szCs w:val="24"/>
        </w:rPr>
        <w:t>динара.</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Heading2"/>
        <w:spacing w:line="240" w:lineRule="auto" w:before="126"/>
        <w:ind w:right="256"/>
        <w:jc w:val="both"/>
        <w:rPr>
          <w:b w:val="0"/>
          <w:bCs w:val="0"/>
          <w:i w:val="0"/>
        </w:rPr>
      </w:pPr>
      <w:r>
        <w:rPr>
          <w:i/>
        </w:rPr>
        <w:t>Препоручује се одговорним лицима да пре почетка извођења радова надлежни орган за послове саобраћаја овери техничку документацију и да након завршетка радова изврше технички преглед изведених радова; обезбеде правилну примену одредби Правилника о садржини и начину вођења стручног надзора, Закона о јавним путевима, Уредбе о буџетском рачуноводству и Правилника о стандардном класификационом оквиру и контном плану за буџетски систем; примењују одредбе закључених уговора; обезбеде средства обезбеђења и обавезе преузимају до уговорене вредности.</w:t>
      </w:r>
      <w:r>
        <w:rPr>
          <w:b w:val="0"/>
          <w:i w:val="0"/>
        </w:rPr>
      </w:r>
    </w:p>
    <w:p>
      <w:pPr>
        <w:pStyle w:val="BodyText"/>
        <w:spacing w:line="240" w:lineRule="auto"/>
        <w:ind w:right="254" w:firstLine="566"/>
        <w:jc w:val="both"/>
      </w:pPr>
      <w:r>
        <w:rPr>
          <w:rFonts w:ascii="Times New Roman" w:hAnsi="Times New Roman"/>
        </w:rPr>
      </w:r>
      <w:r>
        <w:rPr>
          <w:rFonts w:ascii="Times New Roman" w:hAnsi="Times New Roman"/>
          <w:spacing w:val="-60"/>
          <w:u w:val="single" w:color="000000"/>
        </w:rPr>
        <w:t> </w:t>
      </w:r>
      <w:r>
        <w:rPr>
          <w:u w:val="single" w:color="000000"/>
        </w:rPr>
        <w:t>Планирање и праћење пројеката, субаналитички конто </w:t>
      </w:r>
      <w:r>
        <w:rPr>
          <w:rFonts w:ascii="Times New Roman" w:hAnsi="Times New Roman"/>
          <w:u w:val="single" w:color="000000"/>
        </w:rPr>
        <w:t>511411 </w:t>
      </w:r>
      <w:r>
        <w:rPr>
          <w:rFonts w:ascii="Times New Roman" w:hAnsi="Times New Roman"/>
        </w:rPr>
      </w:r>
      <w:r>
        <w:rPr>
          <w:rFonts w:ascii="Times New Roman" w:hAnsi="Times New Roman"/>
          <w:b/>
        </w:rPr>
        <w:t>- </w:t>
      </w:r>
      <w:r>
        <w:rPr/>
        <w:t>Исказан је издатак  у износу од 76.404 хиљаде</w:t>
      </w:r>
      <w:r>
        <w:rPr>
          <w:spacing w:val="-10"/>
        </w:rPr>
        <w:t> </w:t>
      </w:r>
      <w:r>
        <w:rPr/>
        <w:t>динара.</w:t>
      </w:r>
    </w:p>
    <w:p>
      <w:pPr>
        <w:pStyle w:val="Heading1"/>
        <w:spacing w:line="274" w:lineRule="exact"/>
        <w:ind w:right="253"/>
        <w:jc w:val="left"/>
        <w:rPr>
          <w:b w:val="0"/>
          <w:bCs w:val="0"/>
        </w:rPr>
      </w:pPr>
      <w:r>
        <w:rPr/>
        <w:t>На основу ревизије узорковане документације утврђено</w:t>
      </w:r>
      <w:r>
        <w:rPr>
          <w:spacing w:val="-15"/>
        </w:rPr>
        <w:t> </w:t>
      </w:r>
      <w:r>
        <w:rPr/>
        <w:t>је:</w:t>
      </w:r>
      <w:r>
        <w:rPr>
          <w:b w:val="0"/>
        </w:rPr>
      </w:r>
    </w:p>
    <w:p>
      <w:pPr>
        <w:pStyle w:val="ListParagraph"/>
        <w:numPr>
          <w:ilvl w:val="0"/>
          <w:numId w:val="9"/>
        </w:numPr>
        <w:tabs>
          <w:tab w:pos="315" w:val="left" w:leader="none"/>
        </w:tabs>
        <w:spacing w:line="240" w:lineRule="auto" w:before="0" w:after="0"/>
        <w:ind w:left="160" w:right="254" w:firstLine="0"/>
        <w:jc w:val="both"/>
        <w:rPr>
          <w:rFonts w:ascii="Times New Roman" w:hAnsi="Times New Roman" w:cs="Times New Roman" w:eastAsia="Times New Roman" w:hint="default"/>
          <w:sz w:val="22"/>
          <w:szCs w:val="22"/>
        </w:rPr>
      </w:pPr>
      <w:r>
        <w:rPr>
          <w:rFonts w:ascii="Times New Roman" w:hAnsi="Times New Roman" w:cs="Times New Roman" w:eastAsia="Times New Roman" w:hint="default"/>
          <w:sz w:val="24"/>
          <w:szCs w:val="24"/>
        </w:rPr>
        <w:t>Наручилац не поседује записник комисије о позитивном мишљењу за планове за израду Плана генералне регулације дела подручја Градске општине Нишка Бања – трећа фаза, како би могао да прати рок извршења уговора, што је супротно члану 5. Уговора број 03</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6772/1 од 21.10.2014. године закљученог са ЈП „Завод за урбанизам“</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Ниш.</w:t>
      </w:r>
    </w:p>
    <w:p>
      <w:pPr>
        <w:pStyle w:val="ListParagraph"/>
        <w:numPr>
          <w:ilvl w:val="0"/>
          <w:numId w:val="9"/>
        </w:numPr>
        <w:tabs>
          <w:tab w:pos="315" w:val="left" w:leader="none"/>
        </w:tabs>
        <w:spacing w:line="240" w:lineRule="auto" w:before="2" w:after="0"/>
        <w:ind w:left="160" w:right="25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Наручилац не поседује доказ када је извршилац посла ЈП „Завод за урбанизам“ Ниш предао Концепт, Нацрт плана и Предлог плана и да ли је том приликом испоштован рок извршења посла израде Плана детаљне регулације депоније отпада „Бубањ“ на територији града Ниша, што је супротно члану 5. Уговора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10820 од 05.11.2013. године.</w:t>
      </w:r>
    </w:p>
    <w:p>
      <w:pPr>
        <w:pStyle w:val="ListParagraph"/>
        <w:numPr>
          <w:ilvl w:val="0"/>
          <w:numId w:val="9"/>
        </w:numPr>
        <w:tabs>
          <w:tab w:pos="348" w:val="left" w:leader="none"/>
        </w:tabs>
        <w:spacing w:line="240" w:lineRule="auto" w:before="0" w:after="0"/>
        <w:ind w:left="160" w:right="253" w:firstLine="0"/>
        <w:jc w:val="both"/>
        <w:rPr>
          <w:rFonts w:ascii="Times New Roman" w:hAnsi="Times New Roman" w:cs="Times New Roman" w:eastAsia="Times New Roman" w:hint="default"/>
          <w:sz w:val="22"/>
          <w:szCs w:val="22"/>
        </w:rPr>
      </w:pPr>
      <w:r>
        <w:rPr>
          <w:rFonts w:ascii="Times New Roman" w:hAnsi="Times New Roman" w:cs="Times New Roman" w:eastAsia="Times New Roman" w:hint="default"/>
          <w:sz w:val="24"/>
          <w:szCs w:val="24"/>
        </w:rPr>
        <w:t>ЈП Дирекција је неправилно евидентирала капитално одржавање зграда и објеката на групи 511000 – Зграде и грађевински објекти уместо на групи 482000 – Порези обавезене таксе казне и пенали у износу од девет хиљада динара за плаћање републичке административне таксе, што је супротно члану 9. Уредбе о буџетском рачуноводству и Правилника о стандардном класификационом оквиру и контном плану за буџетски систем. У Билансу стања нефинансијска имовина и капитал исказани су у већем износу  за девет хиљада</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динара.</w:t>
      </w:r>
    </w:p>
    <w:p>
      <w:pPr>
        <w:pStyle w:val="Heading2"/>
        <w:spacing w:line="240" w:lineRule="auto"/>
        <w:ind w:right="253"/>
        <w:jc w:val="both"/>
        <w:rPr>
          <w:b w:val="0"/>
          <w:bCs w:val="0"/>
          <w:i w:val="0"/>
        </w:rPr>
      </w:pPr>
      <w:r>
        <w:rPr>
          <w:i/>
        </w:rPr>
        <w:t>Препоручује се одговорним лицима да примењују одредбе закључених уговора и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28"/>
        </w:rPr>
        <w:t> </w:t>
      </w:r>
      <w:r>
        <w:rPr>
          <w:i/>
        </w:rPr>
        <w:t>систем.</w:t>
      </w:r>
      <w:r>
        <w:rPr>
          <w:b w:val="0"/>
          <w:i w:val="0"/>
        </w:rPr>
      </w:r>
    </w:p>
    <w:p>
      <w:pPr>
        <w:pStyle w:val="Heading1"/>
        <w:numPr>
          <w:ilvl w:val="3"/>
          <w:numId w:val="51"/>
        </w:numPr>
        <w:tabs>
          <w:tab w:pos="941" w:val="left" w:leader="none"/>
        </w:tabs>
        <w:spacing w:line="273" w:lineRule="exact" w:before="201" w:after="0"/>
        <w:ind w:left="940" w:right="0" w:hanging="780"/>
        <w:jc w:val="both"/>
        <w:rPr>
          <w:rFonts w:ascii="Times New Roman" w:hAnsi="Times New Roman" w:cs="Times New Roman" w:eastAsia="Times New Roman" w:hint="default"/>
          <w:b w:val="0"/>
          <w:bCs w:val="0"/>
        </w:rPr>
      </w:pPr>
      <w:bookmarkStart w:name="_bookmark39" w:id="68"/>
      <w:bookmarkEnd w:id="68"/>
      <w:r>
        <w:rPr>
          <w:b w:val="0"/>
        </w:rPr>
      </w:r>
      <w:bookmarkStart w:name="_bookmark39" w:id="69"/>
      <w:bookmarkEnd w:id="69"/>
      <w:r>
        <w:rPr/>
        <w:t>М</w:t>
      </w:r>
      <w:r>
        <w:rPr/>
        <w:t>ашине и опрема, група</w:t>
      </w:r>
      <w:r>
        <w:rPr>
          <w:spacing w:val="-8"/>
        </w:rPr>
        <w:t> </w:t>
      </w:r>
      <w:r>
        <w:rPr>
          <w:rFonts w:ascii="Times New Roman" w:hAnsi="Times New Roman"/>
        </w:rPr>
        <w:t>512000</w:t>
      </w:r>
      <w:r>
        <w:rPr>
          <w:rFonts w:ascii="Times New Roman" w:hAnsi="Times New Roman"/>
          <w:b w:val="0"/>
        </w:rPr>
      </w:r>
    </w:p>
    <w:p>
      <w:pPr>
        <w:pStyle w:val="BodyText"/>
        <w:spacing w:line="240" w:lineRule="auto"/>
        <w:ind w:right="257" w:firstLine="719"/>
        <w:jc w:val="both"/>
        <w:rPr>
          <w:rFonts w:ascii="Times New Roman" w:hAnsi="Times New Roman" w:cs="Times New Roman" w:eastAsia="Times New Roman" w:hint="default"/>
        </w:rPr>
      </w:pPr>
      <w:r>
        <w:rPr/>
        <w:t>Група 51</w:t>
      </w:r>
      <w:r>
        <w:rPr>
          <w:rFonts w:ascii="Times New Roman" w:hAnsi="Times New Roman" w:cs="Times New Roman" w:eastAsia="Times New Roman" w:hint="default"/>
        </w:rPr>
        <w:t>2000 </w:t>
      </w:r>
      <w:r>
        <w:rPr/>
        <w:t>– Машине и опрема садржи синтетичка конта на којима се књиже издаци за опрему за саобраћај, административну опрему, опрему за пољопривреду, опрему за заштиту животне срадине, медицинску и лабараторијску опрему, опрему за образовање, науку, културу и спорт, опрему за војску, опрему за јавну безбедност, опрему за производњу, моторну, непокретну и немоторну</w:t>
      </w:r>
      <w:r>
        <w:rPr>
          <w:spacing w:val="-17"/>
        </w:rPr>
        <w:t> </w:t>
      </w:r>
      <w:r>
        <w:rPr/>
        <w:t>опрему</w:t>
      </w:r>
      <w:r>
        <w:rPr>
          <w:rFonts w:ascii="Times New Roman" w:hAnsi="Times New Roman" w:cs="Times New Roman" w:eastAsia="Times New Roman" w:hint="default"/>
          <w:color w:val="FF0000"/>
        </w:rPr>
        <w:t>.</w:t>
      </w:r>
      <w:r>
        <w:rPr>
          <w:rFonts w:ascii="Times New Roman" w:hAnsi="Times New Roman" w:cs="Times New Roman" w:eastAsia="Times New Roman" w:hint="default"/>
        </w:rPr>
      </w:r>
    </w:p>
    <w:p>
      <w:pPr>
        <w:spacing w:before="2" w:after="6"/>
        <w:ind w:left="0" w:right="252" w:firstLine="0"/>
        <w:jc w:val="right"/>
        <w:rPr>
          <w:rFonts w:ascii="Times New Roman" w:hAnsi="Times New Roman" w:cs="Times New Roman" w:eastAsia="Times New Roman" w:hint="default"/>
          <w:sz w:val="16"/>
          <w:szCs w:val="16"/>
        </w:rPr>
      </w:pPr>
      <w:r>
        <w:rPr>
          <w:rFonts w:ascii="Times New Roman" w:hAnsi="Times New Roman"/>
          <w:sz w:val="16"/>
        </w:rPr>
        <w:t>(</w:t>
      </w:r>
      <w:r>
        <w:rPr>
          <w:rFonts w:ascii="Times New Roman" w:hAnsi="Times New Roman"/>
          <w:sz w:val="16"/>
        </w:rPr>
        <w:t>у хиљадама</w:t>
      </w:r>
      <w:r>
        <w:rPr>
          <w:rFonts w:ascii="Times New Roman" w:hAnsi="Times New Roman"/>
          <w:spacing w:val="-4"/>
          <w:sz w:val="16"/>
        </w:rPr>
        <w:t> </w:t>
      </w:r>
      <w:r>
        <w:rPr>
          <w:rFonts w:ascii="Times New Roman" w:hAnsi="Times New Roman"/>
          <w:sz w:val="16"/>
        </w:rPr>
        <w:t>динара</w:t>
      </w:r>
      <w:r>
        <w:rPr>
          <w:rFonts w:ascii="Times New Roman" w:hAnsi="Times New Roman"/>
          <w:sz w:val="16"/>
        </w:rPr>
        <w:t>)</w:t>
      </w:r>
    </w:p>
    <w:tbl>
      <w:tblPr>
        <w:tblW w:w="0" w:type="auto"/>
        <w:jc w:val="left"/>
        <w:tblInd w:w="141" w:type="dxa"/>
        <w:tblLayout w:type="fixed"/>
        <w:tblCellMar>
          <w:top w:w="0" w:type="dxa"/>
          <w:left w:w="0" w:type="dxa"/>
          <w:bottom w:w="0" w:type="dxa"/>
          <w:right w:w="0" w:type="dxa"/>
        </w:tblCellMar>
        <w:tblLook w:val="01E0"/>
      </w:tblPr>
      <w:tblGrid>
        <w:gridCol w:w="876"/>
        <w:gridCol w:w="2542"/>
        <w:gridCol w:w="960"/>
        <w:gridCol w:w="1351"/>
        <w:gridCol w:w="1045"/>
        <w:gridCol w:w="936"/>
        <w:gridCol w:w="848"/>
        <w:gridCol w:w="845"/>
      </w:tblGrid>
      <w:tr>
        <w:trPr>
          <w:trHeight w:val="46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left="261" w:right="178" w:hanging="72"/>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4"/>
              <w:ind w:left="463"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8"/>
                <w:sz w:val="18"/>
              </w:rPr>
              <w:t> </w:t>
            </w:r>
            <w:r>
              <w:rPr>
                <w:rFonts w:ascii="Times New Roman" w:hAnsi="Times New Roman"/>
                <w:b/>
                <w:sz w:val="18"/>
              </w:rPr>
              <w:t>корисник</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4"/>
              <w:ind w:right="103"/>
              <w:jc w:val="right"/>
              <w:rPr>
                <w:rFonts w:ascii="Times New Roman" w:hAnsi="Times New Roman" w:cs="Times New Roman" w:eastAsia="Times New Roman" w:hint="default"/>
                <w:sz w:val="18"/>
                <w:szCs w:val="18"/>
              </w:rPr>
            </w:pPr>
            <w:r>
              <w:rPr>
                <w:rFonts w:ascii="Times New Roman" w:hAnsi="Times New Roman"/>
                <w:b/>
                <w:spacing w:val="-1"/>
                <w:sz w:val="18"/>
              </w:rPr>
              <w:t>Ребаланс</w:t>
            </w:r>
            <w:r>
              <w:rPr>
                <w:rFonts w:ascii="Times New Roman" w:hAns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left="103" w:right="93" w:firstLine="88"/>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реалокацијом</w:t>
            </w:r>
            <w:r>
              <w:rPr>
                <w:rFonts w:ascii="Times New Roman" w:hAnsi="Times New Roman"/>
                <w:sz w:val="18"/>
              </w:rPr>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left="103" w:right="93"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left="115" w:right="104"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left="302" w:right="110"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left="302" w:right="107"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5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403" w:right="0"/>
              <w:jc w:val="left"/>
              <w:rPr>
                <w:rFonts w:ascii="Times New Roman" w:hAnsi="Times New Roman" w:cs="Times New Roman" w:eastAsia="Times New Roman" w:hint="default"/>
                <w:sz w:val="12"/>
                <w:szCs w:val="12"/>
              </w:rPr>
            </w:pPr>
            <w:r>
              <w:rPr>
                <w:rFonts w:ascii="Times New Roman"/>
                <w:sz w:val="12"/>
              </w:rPr>
              <w:t>1</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2"/>
              <w:jc w:val="center"/>
              <w:rPr>
                <w:rFonts w:ascii="Times New Roman" w:hAnsi="Times New Roman" w:cs="Times New Roman" w:eastAsia="Times New Roman" w:hint="default"/>
                <w:sz w:val="12"/>
                <w:szCs w:val="12"/>
              </w:rPr>
            </w:pPr>
            <w:r>
              <w:rPr>
                <w:rFonts w:ascii="Times New Roman"/>
                <w:sz w:val="12"/>
              </w:rPr>
              <w:t>2</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center"/>
              <w:rPr>
                <w:rFonts w:ascii="Times New Roman" w:hAnsi="Times New Roman" w:cs="Times New Roman" w:eastAsia="Times New Roman" w:hint="default"/>
                <w:sz w:val="12"/>
                <w:szCs w:val="12"/>
              </w:rPr>
            </w:pPr>
            <w:r>
              <w:rPr>
                <w:rFonts w:ascii="Times New Roman"/>
                <w:sz w:val="12"/>
              </w:rPr>
              <w:t>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center"/>
              <w:rPr>
                <w:rFonts w:ascii="Times New Roman" w:hAnsi="Times New Roman" w:cs="Times New Roman" w:eastAsia="Times New Roman" w:hint="default"/>
                <w:sz w:val="12"/>
                <w:szCs w:val="12"/>
              </w:rPr>
            </w:pPr>
            <w:r>
              <w:rPr>
                <w:rFonts w:ascii="Times New Roman"/>
                <w:sz w:val="12"/>
              </w:rPr>
              <w:t>4</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center"/>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center"/>
              <w:rPr>
                <w:rFonts w:ascii="Times New Roman" w:hAnsi="Times New Roman" w:cs="Times New Roman" w:eastAsia="Times New Roman" w:hint="default"/>
                <w:sz w:val="12"/>
                <w:szCs w:val="12"/>
              </w:rPr>
            </w:pPr>
            <w:r>
              <w:rPr>
                <w:rFonts w:ascii="Times New Roman"/>
                <w:sz w:val="12"/>
              </w:rPr>
              <w:t>6</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center"/>
              <w:rPr>
                <w:rFonts w:ascii="Calibri" w:hAnsi="Calibri" w:cs="Calibri" w:eastAsia="Calibri" w:hint="default"/>
                <w:sz w:val="12"/>
                <w:szCs w:val="12"/>
              </w:rPr>
            </w:pPr>
            <w:r>
              <w:rPr>
                <w:rFonts w:ascii="Calibri"/>
                <w:sz w:val="12"/>
              </w:rPr>
              <w:t>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left="3" w:right="0"/>
              <w:jc w:val="center"/>
              <w:rPr>
                <w:rFonts w:ascii="Calibri" w:hAnsi="Calibri" w:cs="Calibri" w:eastAsia="Calibri" w:hint="default"/>
                <w:sz w:val="12"/>
                <w:szCs w:val="12"/>
              </w:rPr>
            </w:pPr>
            <w:r>
              <w:rPr>
                <w:rFonts w:ascii="Calibri"/>
                <w:sz w:val="12"/>
              </w:rPr>
              <w:t>8</w:t>
            </w:r>
          </w:p>
        </w:tc>
      </w:tr>
      <w:tr>
        <w:trPr>
          <w:trHeight w:val="26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left="386" w:right="0"/>
              <w:jc w:val="left"/>
              <w:rPr>
                <w:rFonts w:ascii="Times New Roman" w:hAnsi="Times New Roman" w:cs="Times New Roman" w:eastAsia="Times New Roman" w:hint="default"/>
                <w:sz w:val="18"/>
                <w:szCs w:val="18"/>
              </w:rPr>
            </w:pPr>
            <w:r>
              <w:rPr>
                <w:rFonts w:ascii="Times New Roman"/>
                <w:sz w:val="18"/>
              </w:rPr>
              <w:t>1</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left="103" w:right="0"/>
              <w:jc w:val="left"/>
              <w:rPr>
                <w:rFonts w:ascii="Times New Roman" w:hAnsi="Times New Roman" w:cs="Times New Roman" w:eastAsia="Times New Roman" w:hint="default"/>
                <w:sz w:val="18"/>
                <w:szCs w:val="18"/>
              </w:rPr>
            </w:pPr>
            <w:r>
              <w:rPr>
                <w:rFonts w:ascii="Times New Roman" w:hAnsi="Times New Roman"/>
                <w:sz w:val="18"/>
              </w:rPr>
              <w:t>Служба за одржавање и</w:t>
            </w:r>
            <w:r>
              <w:rPr>
                <w:rFonts w:ascii="Times New Roman" w:hAnsi="Times New Roman"/>
                <w:spacing w:val="-5"/>
                <w:sz w:val="18"/>
              </w:rPr>
              <w:t> </w:t>
            </w:r>
            <w:r>
              <w:rPr>
                <w:rFonts w:ascii="Times New Roman" w:hAnsi="Times New Roman"/>
                <w:sz w:val="18"/>
              </w:rPr>
              <w:t>ИКТ</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right="100"/>
              <w:jc w:val="right"/>
              <w:rPr>
                <w:rFonts w:ascii="Times New Roman" w:hAnsi="Times New Roman" w:cs="Times New Roman" w:eastAsia="Times New Roman" w:hint="default"/>
                <w:sz w:val="18"/>
                <w:szCs w:val="18"/>
              </w:rPr>
            </w:pPr>
            <w:r>
              <w:rPr>
                <w:rFonts w:ascii="Times New Roman"/>
                <w:sz w:val="18"/>
              </w:rPr>
              <w:t>8.165</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right="100"/>
              <w:jc w:val="right"/>
              <w:rPr>
                <w:rFonts w:ascii="Times New Roman" w:hAnsi="Times New Roman" w:cs="Times New Roman" w:eastAsia="Times New Roman" w:hint="default"/>
                <w:sz w:val="18"/>
                <w:szCs w:val="18"/>
              </w:rPr>
            </w:pPr>
            <w:r>
              <w:rPr>
                <w:rFonts w:ascii="Times New Roman"/>
                <w:sz w:val="18"/>
              </w:rPr>
              <w:t>8.165</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right="100"/>
              <w:jc w:val="right"/>
              <w:rPr>
                <w:rFonts w:ascii="Times New Roman" w:hAnsi="Times New Roman" w:cs="Times New Roman" w:eastAsia="Times New Roman" w:hint="default"/>
                <w:sz w:val="18"/>
                <w:szCs w:val="18"/>
              </w:rPr>
            </w:pPr>
            <w:r>
              <w:rPr>
                <w:rFonts w:ascii="Times New Roman"/>
                <w:sz w:val="18"/>
              </w:rPr>
              <w:t>5.879</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right="100"/>
              <w:jc w:val="right"/>
              <w:rPr>
                <w:rFonts w:ascii="Times New Roman" w:hAnsi="Times New Roman" w:cs="Times New Roman" w:eastAsia="Times New Roman" w:hint="default"/>
                <w:sz w:val="18"/>
                <w:szCs w:val="18"/>
              </w:rPr>
            </w:pPr>
            <w:r>
              <w:rPr>
                <w:rFonts w:ascii="Times New Roman"/>
                <w:sz w:val="18"/>
              </w:rPr>
              <w:t>5.879</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right="100"/>
              <w:jc w:val="right"/>
              <w:rPr>
                <w:rFonts w:ascii="Times New Roman" w:hAnsi="Times New Roman" w:cs="Times New Roman" w:eastAsia="Times New Roman" w:hint="default"/>
                <w:sz w:val="18"/>
                <w:szCs w:val="18"/>
              </w:rPr>
            </w:pPr>
            <w:r>
              <w:rPr>
                <w:rFonts w:ascii="Times New Roman"/>
                <w:sz w:val="18"/>
              </w:rPr>
              <w:t>72,00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right="98"/>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2</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7"/>
                <w:sz w:val="18"/>
              </w:rPr>
              <w:t> </w:t>
            </w:r>
            <w:r>
              <w:rPr>
                <w:rFonts w:ascii="Times New Roman" w:hAnsi="Times New Roman"/>
                <w:sz w:val="18"/>
              </w:rPr>
              <w:t>пољопривреду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8.535</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8.535</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8.529</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1.406</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16,47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7"/>
              <w:jc w:val="right"/>
              <w:rPr>
                <w:rFonts w:ascii="Times New Roman" w:hAnsi="Times New Roman" w:cs="Times New Roman" w:eastAsia="Times New Roman" w:hint="default"/>
                <w:sz w:val="18"/>
                <w:szCs w:val="18"/>
              </w:rPr>
            </w:pPr>
            <w:r>
              <w:rPr>
                <w:rFonts w:ascii="Times New Roman"/>
                <w:sz w:val="18"/>
              </w:rPr>
              <w:t>16,48</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3</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5"/>
                <w:sz w:val="18"/>
              </w:rPr>
              <w:t> </w:t>
            </w:r>
            <w:r>
              <w:rPr>
                <w:rFonts w:ascii="Times New Roman" w:hAnsi="Times New Roman"/>
                <w:sz w:val="18"/>
              </w:rPr>
              <w:t>привреду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13.480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13.480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13.305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14.445</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107,16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108,57</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4</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8"/>
                <w:sz w:val="18"/>
              </w:rPr>
              <w:t> </w:t>
            </w:r>
            <w:r>
              <w:rPr>
                <w:rFonts w:ascii="Times New Roman" w:hAnsi="Times New Roman"/>
                <w:sz w:val="18"/>
              </w:rPr>
              <w:t>комуналне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38.809</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35.026</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3.822</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3.822</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10,91</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386" w:right="0"/>
              <w:jc w:val="left"/>
              <w:rPr>
                <w:rFonts w:ascii="Times New Roman" w:hAnsi="Times New Roman" w:cs="Times New Roman" w:eastAsia="Times New Roman" w:hint="default"/>
                <w:sz w:val="18"/>
                <w:szCs w:val="18"/>
              </w:rPr>
            </w:pPr>
            <w:r>
              <w:rPr>
                <w:rFonts w:ascii="Times New Roman"/>
                <w:sz w:val="18"/>
              </w:rPr>
              <w:t>5</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6"/>
                <w:sz w:val="18"/>
              </w:rPr>
              <w:t> </w:t>
            </w:r>
            <w:r>
              <w:rPr>
                <w:rFonts w:ascii="Times New Roman" w:hAnsi="Times New Roman"/>
                <w:sz w:val="18"/>
              </w:rPr>
              <w:t>културу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pacing w:val="-1"/>
                <w:sz w:val="18"/>
              </w:rPr>
              <w:t>13.072</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pacing w:val="-1"/>
                <w:sz w:val="18"/>
              </w:rPr>
              <w:t>13.122</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z w:val="18"/>
              </w:rPr>
              <w:t>5.917</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z w:val="18"/>
              </w:rPr>
              <w:t>5.917</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z w:val="18"/>
              </w:rPr>
              <w:t>45,09</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98"/>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9"/>
              <w:jc w:val="right"/>
              <w:rPr>
                <w:rFonts w:ascii="Times New Roman" w:hAnsi="Times New Roman" w:cs="Times New Roman" w:eastAsia="Times New Roman" w:hint="default"/>
                <w:sz w:val="18"/>
                <w:szCs w:val="18"/>
              </w:rPr>
            </w:pPr>
            <w:r>
              <w:rPr>
                <w:rFonts w:ascii="Times New Roman" w:hAnsi="Times New Roman"/>
                <w:sz w:val="18"/>
              </w:rPr>
              <w:t>5а</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Народни</w:t>
            </w:r>
            <w:r>
              <w:rPr>
                <w:rFonts w:ascii="Times New Roman" w:hAnsi="Times New Roman"/>
                <w:spacing w:val="-5"/>
                <w:sz w:val="18"/>
              </w:rPr>
              <w:t> </w:t>
            </w:r>
            <w:r>
              <w:rPr>
                <w:rFonts w:ascii="Times New Roman" w:hAnsi="Times New Roman"/>
                <w:sz w:val="18"/>
              </w:rPr>
              <w:t>музеј</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7.448</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7.448</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2.752</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2.752</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36,95</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6</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5"/>
                <w:sz w:val="18"/>
              </w:rPr>
              <w:t> </w:t>
            </w:r>
            <w:r>
              <w:rPr>
                <w:rFonts w:ascii="Times New Roman" w:hAnsi="Times New Roman"/>
                <w:sz w:val="18"/>
              </w:rPr>
              <w:t>образовање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9.450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9.450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4.488</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4.616</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48,85</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102,85</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hAnsi="Times New Roman"/>
                <w:sz w:val="18"/>
              </w:rPr>
              <w:t>6а</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ПУ</w:t>
            </w:r>
            <w:r>
              <w:rPr>
                <w:rFonts w:ascii="Times New Roman" w:hAnsi="Times New Roman"/>
                <w:spacing w:val="-5"/>
                <w:sz w:val="18"/>
              </w:rPr>
              <w:t> </w:t>
            </w:r>
            <w:r>
              <w:rPr>
                <w:rFonts w:ascii="Times New Roman" w:hAnsi="Times New Roman"/>
                <w:sz w:val="18"/>
              </w:rPr>
              <w:t>Пчелица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8.800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8.800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4.476</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4.604</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52,32</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102,86</w:t>
            </w:r>
          </w:p>
        </w:tc>
      </w:tr>
    </w:tbl>
    <w:p>
      <w:pPr>
        <w:spacing w:after="0" w:line="202" w:lineRule="exact"/>
        <w:jc w:val="right"/>
        <w:rPr>
          <w:rFonts w:ascii="Times New Roman" w:hAnsi="Times New Roman" w:cs="Times New Roman" w:eastAsia="Times New Roman" w:hint="default"/>
          <w:sz w:val="18"/>
          <w:szCs w:val="18"/>
        </w:rPr>
        <w:sectPr>
          <w:pgSz w:w="12240" w:h="15840"/>
          <w:pgMar w:header="740" w:footer="1274" w:top="1280" w:bottom="1460" w:left="1400" w:right="1180"/>
        </w:sectPr>
      </w:pPr>
    </w:p>
    <w:p>
      <w:pPr>
        <w:spacing w:line="240" w:lineRule="auto" w:before="3"/>
        <w:rPr>
          <w:rFonts w:ascii="Times New Roman" w:hAnsi="Times New Roman" w:cs="Times New Roman" w:eastAsia="Times New Roman" w:hint="default"/>
          <w:sz w:val="11"/>
          <w:szCs w:val="11"/>
        </w:rPr>
      </w:pPr>
    </w:p>
    <w:tbl>
      <w:tblPr>
        <w:tblW w:w="0" w:type="auto"/>
        <w:jc w:val="left"/>
        <w:tblInd w:w="141" w:type="dxa"/>
        <w:tblLayout w:type="fixed"/>
        <w:tblCellMar>
          <w:top w:w="0" w:type="dxa"/>
          <w:left w:w="0" w:type="dxa"/>
          <w:bottom w:w="0" w:type="dxa"/>
          <w:right w:w="0" w:type="dxa"/>
        </w:tblCellMar>
        <w:tblLook w:val="01E0"/>
      </w:tblPr>
      <w:tblGrid>
        <w:gridCol w:w="876"/>
        <w:gridCol w:w="2542"/>
        <w:gridCol w:w="960"/>
        <w:gridCol w:w="1351"/>
        <w:gridCol w:w="1045"/>
        <w:gridCol w:w="936"/>
        <w:gridCol w:w="848"/>
        <w:gridCol w:w="845"/>
      </w:tblGrid>
      <w:tr>
        <w:trPr>
          <w:trHeight w:val="264"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386" w:right="0"/>
              <w:jc w:val="left"/>
              <w:rPr>
                <w:rFonts w:ascii="Times New Roman" w:hAnsi="Times New Roman" w:cs="Times New Roman" w:eastAsia="Times New Roman" w:hint="default"/>
                <w:sz w:val="18"/>
                <w:szCs w:val="18"/>
              </w:rPr>
            </w:pPr>
            <w:r>
              <w:rPr>
                <w:rFonts w:ascii="Times New Roman"/>
                <w:sz w:val="18"/>
              </w:rPr>
              <w:t>7</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омладину и</w:t>
            </w:r>
            <w:r>
              <w:rPr>
                <w:rFonts w:ascii="Times New Roman" w:hAnsi="Times New Roman"/>
                <w:spacing w:val="-8"/>
                <w:sz w:val="18"/>
              </w:rPr>
              <w:t> </w:t>
            </w:r>
            <w:r>
              <w:rPr>
                <w:rFonts w:ascii="Times New Roman" w:hAnsi="Times New Roman"/>
                <w:sz w:val="18"/>
              </w:rPr>
              <w:t>спорт</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8"/>
              <w:jc w:val="right"/>
              <w:rPr>
                <w:rFonts w:ascii="Times New Roman" w:hAnsi="Times New Roman" w:cs="Times New Roman" w:eastAsia="Times New Roman" w:hint="default"/>
                <w:sz w:val="18"/>
                <w:szCs w:val="18"/>
              </w:rPr>
            </w:pPr>
            <w:r>
              <w:rPr>
                <w:rFonts w:ascii="Times New Roman"/>
                <w:sz w:val="18"/>
              </w:rPr>
              <w:t>837</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8"/>
              <w:jc w:val="right"/>
              <w:rPr>
                <w:rFonts w:ascii="Times New Roman" w:hAnsi="Times New Roman" w:cs="Times New Roman" w:eastAsia="Times New Roman" w:hint="default"/>
                <w:sz w:val="18"/>
                <w:szCs w:val="18"/>
              </w:rPr>
            </w:pPr>
            <w:r>
              <w:rPr>
                <w:rFonts w:ascii="Times New Roman"/>
                <w:sz w:val="18"/>
              </w:rPr>
              <w:t>837</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8"/>
              <w:jc w:val="right"/>
              <w:rPr>
                <w:rFonts w:ascii="Times New Roman" w:hAnsi="Times New Roman" w:cs="Times New Roman" w:eastAsia="Times New Roman" w:hint="default"/>
                <w:sz w:val="18"/>
                <w:szCs w:val="18"/>
              </w:rPr>
            </w:pPr>
            <w:r>
              <w:rPr>
                <w:rFonts w:ascii="Times New Roman"/>
                <w:sz w:val="18"/>
              </w:rPr>
              <w:t>895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z w:val="18"/>
              </w:rPr>
              <w:t>1.043</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8"/>
                <w:szCs w:val="18"/>
              </w:rPr>
            </w:pPr>
            <w:r>
              <w:rPr>
                <w:rFonts w:ascii="Times New Roman"/>
                <w:spacing w:val="-1"/>
                <w:sz w:val="18"/>
              </w:rPr>
              <w:t>124,61</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8"/>
              <w:jc w:val="right"/>
              <w:rPr>
                <w:rFonts w:ascii="Times New Roman" w:hAnsi="Times New Roman" w:cs="Times New Roman" w:eastAsia="Times New Roman" w:hint="default"/>
                <w:sz w:val="18"/>
                <w:szCs w:val="18"/>
              </w:rPr>
            </w:pPr>
            <w:r>
              <w:rPr>
                <w:rFonts w:ascii="Times New Roman"/>
                <w:spacing w:val="-1"/>
                <w:sz w:val="18"/>
              </w:rPr>
              <w:t>116,54</w:t>
            </w:r>
          </w:p>
        </w:tc>
      </w:tr>
      <w:tr>
        <w:trPr>
          <w:trHeight w:val="218"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hAnsi="Times New Roman"/>
                <w:sz w:val="18"/>
              </w:rPr>
              <w:t>7а</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СЦ</w:t>
            </w:r>
            <w:r>
              <w:rPr>
                <w:rFonts w:ascii="Times New Roman" w:hAnsi="Times New Roman"/>
                <w:spacing w:val="-1"/>
                <w:sz w:val="18"/>
              </w:rPr>
              <w:t> </w:t>
            </w:r>
            <w:r>
              <w:rPr>
                <w:rFonts w:ascii="Times New Roman" w:hAnsi="Times New Roman"/>
                <w:sz w:val="18"/>
              </w:rPr>
              <w:t>Чаир</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837</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837</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895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1.043</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124,61</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116,54</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86" w:right="0"/>
              <w:jc w:val="left"/>
              <w:rPr>
                <w:rFonts w:ascii="Times New Roman" w:hAnsi="Times New Roman" w:cs="Times New Roman" w:eastAsia="Times New Roman" w:hint="default"/>
                <w:sz w:val="18"/>
                <w:szCs w:val="18"/>
              </w:rPr>
            </w:pPr>
            <w:r>
              <w:rPr>
                <w:rFonts w:ascii="Times New Roman"/>
                <w:sz w:val="18"/>
              </w:rPr>
              <w:t>8</w:t>
            </w:r>
          </w:p>
        </w:tc>
        <w:tc>
          <w:tcPr>
            <w:tcW w:w="25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8"/>
                <w:sz w:val="18"/>
              </w:rPr>
              <w:t> </w:t>
            </w:r>
            <w:r>
              <w:rPr>
                <w:rFonts w:ascii="Times New Roman" w:hAnsi="Times New Roman"/>
                <w:sz w:val="18"/>
              </w:rPr>
              <w:t>финансије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800</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0,00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0,00</w:t>
            </w:r>
          </w:p>
        </w:tc>
      </w:tr>
      <w:tr>
        <w:trPr>
          <w:trHeight w:val="264" w:hRule="exact"/>
        </w:trPr>
        <w:tc>
          <w:tcPr>
            <w:tcW w:w="3418"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left="719" w:right="0"/>
              <w:jc w:val="left"/>
              <w:rPr>
                <w:rFonts w:ascii="Times New Roman" w:hAnsi="Times New Roman" w:cs="Times New Roman" w:eastAsia="Times New Roman" w:hint="default"/>
                <w:sz w:val="18"/>
                <w:szCs w:val="18"/>
              </w:rPr>
            </w:pPr>
            <w:r>
              <w:rPr>
                <w:rFonts w:ascii="Times New Roman" w:hAnsi="Times New Roman"/>
                <w:b/>
                <w:sz w:val="18"/>
              </w:rPr>
              <w:t>Укупно корисници</w:t>
            </w:r>
            <w:r>
              <w:rPr>
                <w:rFonts w:ascii="Times New Roman" w:hAnsi="Times New Roman"/>
                <w:b/>
                <w:spacing w:val="-2"/>
                <w:sz w:val="18"/>
              </w:rPr>
              <w:t> </w:t>
            </w:r>
            <w:r>
              <w:rPr>
                <w:rFonts w:ascii="Times New Roman" w:hAnsi="Times New Roman"/>
                <w:b/>
                <w:sz w:val="18"/>
              </w:rPr>
              <w:t>(1</w:t>
            </w:r>
            <w:r>
              <w:rPr>
                <w:rFonts w:ascii="Times New Roman" w:hAnsi="Times New Roman"/>
                <w:b/>
                <w:sz w:val="18"/>
              </w:rPr>
              <w:t>-8)</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0"/>
              <w:jc w:val="right"/>
              <w:rPr>
                <w:rFonts w:ascii="Times New Roman" w:hAnsi="Times New Roman" w:cs="Times New Roman" w:eastAsia="Times New Roman" w:hint="default"/>
                <w:sz w:val="18"/>
                <w:szCs w:val="18"/>
              </w:rPr>
            </w:pPr>
            <w:r>
              <w:rPr>
                <w:rFonts w:ascii="Times New Roman"/>
                <w:b/>
                <w:spacing w:val="-1"/>
                <w:sz w:val="18"/>
              </w:rPr>
              <w:t>92.348</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0"/>
              <w:jc w:val="right"/>
              <w:rPr>
                <w:rFonts w:ascii="Times New Roman" w:hAnsi="Times New Roman" w:cs="Times New Roman" w:eastAsia="Times New Roman" w:hint="default"/>
                <w:sz w:val="18"/>
                <w:szCs w:val="18"/>
              </w:rPr>
            </w:pPr>
            <w:r>
              <w:rPr>
                <w:rFonts w:ascii="Times New Roman"/>
                <w:b/>
                <w:spacing w:val="-1"/>
                <w:sz w:val="18"/>
              </w:rPr>
              <w:t>88.615</w:t>
            </w:r>
            <w:r>
              <w:rPr>
                <w:rFonts w:ascii="Times New Roman"/>
                <w:spacing w:val="-1"/>
                <w:sz w:val="18"/>
              </w:rPr>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0"/>
              <w:jc w:val="right"/>
              <w:rPr>
                <w:rFonts w:ascii="Times New Roman" w:hAnsi="Times New Roman" w:cs="Times New Roman" w:eastAsia="Times New Roman" w:hint="default"/>
                <w:sz w:val="18"/>
                <w:szCs w:val="18"/>
              </w:rPr>
            </w:pPr>
            <w:r>
              <w:rPr>
                <w:rFonts w:ascii="Times New Roman"/>
                <w:b/>
                <w:spacing w:val="-1"/>
                <w:sz w:val="18"/>
              </w:rPr>
              <w:t>42.835</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0"/>
              <w:jc w:val="right"/>
              <w:rPr>
                <w:rFonts w:ascii="Times New Roman" w:hAnsi="Times New Roman" w:cs="Times New Roman" w:eastAsia="Times New Roman" w:hint="default"/>
                <w:sz w:val="18"/>
                <w:szCs w:val="18"/>
              </w:rPr>
            </w:pPr>
            <w:r>
              <w:rPr>
                <w:rFonts w:ascii="Times New Roman"/>
                <w:b/>
                <w:spacing w:val="-1"/>
                <w:sz w:val="18"/>
              </w:rPr>
              <w:t>37.928</w:t>
            </w:r>
            <w:r>
              <w:rPr>
                <w:rFonts w:ascii="Times New Roman"/>
                <w:spacing w:val="-1"/>
                <w:sz w:val="18"/>
              </w:rPr>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0"/>
              <w:jc w:val="right"/>
              <w:rPr>
                <w:rFonts w:ascii="Times New Roman" w:hAnsi="Times New Roman" w:cs="Times New Roman" w:eastAsia="Times New Roman" w:hint="default"/>
                <w:sz w:val="18"/>
                <w:szCs w:val="18"/>
              </w:rPr>
            </w:pPr>
            <w:r>
              <w:rPr>
                <w:rFonts w:ascii="Times New Roman"/>
                <w:b/>
                <w:sz w:val="18"/>
              </w:rPr>
              <w:t>42,80</w:t>
            </w:r>
            <w:r>
              <w:rPr>
                <w:rFonts w:asci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97"/>
              <w:jc w:val="right"/>
              <w:rPr>
                <w:rFonts w:ascii="Times New Roman" w:hAnsi="Times New Roman" w:cs="Times New Roman" w:eastAsia="Times New Roman" w:hint="default"/>
                <w:sz w:val="18"/>
                <w:szCs w:val="18"/>
              </w:rPr>
            </w:pPr>
            <w:r>
              <w:rPr>
                <w:rFonts w:ascii="Times New Roman"/>
                <w:b/>
                <w:sz w:val="18"/>
              </w:rPr>
              <w:t>88,54</w:t>
            </w:r>
            <w:r>
              <w:rPr>
                <w:rFonts w:ascii="Times New Roman"/>
                <w:sz w:val="18"/>
              </w:rPr>
            </w:r>
          </w:p>
        </w:tc>
      </w:tr>
      <w:tr>
        <w:trPr>
          <w:trHeight w:val="266" w:hRule="exact"/>
        </w:trPr>
        <w:tc>
          <w:tcPr>
            <w:tcW w:w="3418"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578" w:right="0"/>
              <w:jc w:val="left"/>
              <w:rPr>
                <w:rFonts w:ascii="Times New Roman" w:hAnsi="Times New Roman" w:cs="Times New Roman" w:eastAsia="Times New Roman" w:hint="default"/>
                <w:sz w:val="18"/>
                <w:szCs w:val="18"/>
              </w:rPr>
            </w:pPr>
            <w:r>
              <w:rPr>
                <w:rFonts w:ascii="Times New Roman" w:hAnsi="Times New Roman" w:cs="Times New Roman" w:eastAsia="Times New Roman" w:hint="default"/>
                <w:b/>
                <w:bCs/>
                <w:sz w:val="18"/>
                <w:szCs w:val="18"/>
              </w:rPr>
              <w:t>Укупно Град– група</w:t>
            </w:r>
            <w:r>
              <w:rPr>
                <w:rFonts w:ascii="Times New Roman" w:hAnsi="Times New Roman" w:cs="Times New Roman" w:eastAsia="Times New Roman" w:hint="default"/>
                <w:b/>
                <w:bCs/>
                <w:spacing w:val="-7"/>
                <w:sz w:val="18"/>
                <w:szCs w:val="18"/>
              </w:rPr>
              <w:t> </w:t>
            </w:r>
            <w:r>
              <w:rPr>
                <w:rFonts w:ascii="Times New Roman" w:hAnsi="Times New Roman" w:cs="Times New Roman" w:eastAsia="Times New Roman" w:hint="default"/>
                <w:b/>
                <w:bCs/>
                <w:sz w:val="18"/>
                <w:szCs w:val="18"/>
              </w:rPr>
              <w:t>512000</w:t>
            </w:r>
            <w:r>
              <w:rPr>
                <w:rFonts w:ascii="Times New Roman" w:hAnsi="Times New Roman" w:cs="Times New Roman" w:eastAsia="Times New Roman" w:hint="default"/>
                <w:sz w:val="18"/>
                <w:szCs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100"/>
              <w:jc w:val="right"/>
              <w:rPr>
                <w:rFonts w:ascii="Times New Roman" w:hAnsi="Times New Roman" w:cs="Times New Roman" w:eastAsia="Times New Roman" w:hint="default"/>
                <w:sz w:val="18"/>
                <w:szCs w:val="18"/>
              </w:rPr>
            </w:pPr>
            <w:r>
              <w:rPr>
                <w:rFonts w:ascii="Times New Roman"/>
                <w:b/>
                <w:spacing w:val="-1"/>
                <w:sz w:val="18"/>
              </w:rPr>
              <w:t>89.255</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100"/>
              <w:jc w:val="right"/>
              <w:rPr>
                <w:rFonts w:ascii="Times New Roman" w:hAnsi="Times New Roman" w:cs="Times New Roman" w:eastAsia="Times New Roman" w:hint="default"/>
                <w:sz w:val="18"/>
                <w:szCs w:val="18"/>
              </w:rPr>
            </w:pPr>
            <w:r>
              <w:rPr>
                <w:rFonts w:ascii="Times New Roman"/>
                <w:b/>
                <w:spacing w:val="-1"/>
                <w:sz w:val="18"/>
              </w:rPr>
              <w:t>89.305</w:t>
            </w:r>
            <w:r>
              <w:rPr>
                <w:rFonts w:ascii="Times New Roman"/>
                <w:spacing w:val="-1"/>
                <w:sz w:val="18"/>
              </w:rPr>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100"/>
              <w:jc w:val="right"/>
              <w:rPr>
                <w:rFonts w:ascii="Times New Roman" w:hAnsi="Times New Roman" w:cs="Times New Roman" w:eastAsia="Times New Roman" w:hint="default"/>
                <w:sz w:val="18"/>
                <w:szCs w:val="18"/>
              </w:rPr>
            </w:pPr>
            <w:r>
              <w:rPr>
                <w:rFonts w:ascii="Times New Roman"/>
                <w:b/>
                <w:spacing w:val="-1"/>
                <w:sz w:val="18"/>
              </w:rPr>
              <w:t>43.822</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100"/>
              <w:jc w:val="right"/>
              <w:rPr>
                <w:rFonts w:ascii="Times New Roman" w:hAnsi="Times New Roman" w:cs="Times New Roman" w:eastAsia="Times New Roman" w:hint="default"/>
                <w:sz w:val="18"/>
                <w:szCs w:val="18"/>
              </w:rPr>
            </w:pPr>
            <w:r>
              <w:rPr>
                <w:rFonts w:ascii="Times New Roman"/>
                <w:b/>
                <w:spacing w:val="-1"/>
                <w:sz w:val="18"/>
              </w:rPr>
              <w:t>38.915</w:t>
            </w:r>
            <w:r>
              <w:rPr>
                <w:rFonts w:ascii="Times New Roman"/>
                <w:spacing w:val="-1"/>
                <w:sz w:val="18"/>
              </w:rPr>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100"/>
              <w:jc w:val="right"/>
              <w:rPr>
                <w:rFonts w:ascii="Times New Roman" w:hAnsi="Times New Roman" w:cs="Times New Roman" w:eastAsia="Times New Roman" w:hint="default"/>
                <w:sz w:val="18"/>
                <w:szCs w:val="18"/>
              </w:rPr>
            </w:pPr>
            <w:r>
              <w:rPr>
                <w:rFonts w:ascii="Times New Roman"/>
                <w:b/>
                <w:sz w:val="18"/>
              </w:rPr>
              <w:t>43,58</w:t>
            </w:r>
            <w:r>
              <w:rPr>
                <w:rFonts w:asci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97"/>
              <w:jc w:val="right"/>
              <w:rPr>
                <w:rFonts w:ascii="Times New Roman" w:hAnsi="Times New Roman" w:cs="Times New Roman" w:eastAsia="Times New Roman" w:hint="default"/>
                <w:sz w:val="18"/>
                <w:szCs w:val="18"/>
              </w:rPr>
            </w:pPr>
            <w:r>
              <w:rPr>
                <w:rFonts w:ascii="Times New Roman"/>
                <w:b/>
                <w:sz w:val="18"/>
              </w:rPr>
              <w:t>88,80</w:t>
            </w:r>
            <w:r>
              <w:rPr>
                <w:rFonts w:ascii="Times New Roman"/>
                <w:sz w:val="18"/>
              </w:rPr>
            </w:r>
          </w:p>
        </w:tc>
      </w:tr>
    </w:tbl>
    <w:p>
      <w:pPr>
        <w:pStyle w:val="BodyText"/>
        <w:spacing w:line="240" w:lineRule="auto"/>
        <w:ind w:right="255" w:firstLine="566"/>
        <w:jc w:val="both"/>
      </w:pPr>
      <w:r>
        <w:rPr/>
        <w:t>Исказано је извршење у износу од </w:t>
      </w:r>
      <w:r>
        <w:rPr>
          <w:rFonts w:ascii="Times New Roman" w:hAnsi="Times New Roman"/>
        </w:rPr>
        <w:t>43.822 </w:t>
      </w:r>
      <w:r>
        <w:rPr/>
        <w:t>хиљаде динара и то из средстава буџета града у износу од </w:t>
      </w:r>
      <w:r>
        <w:rPr>
          <w:rFonts w:ascii="Times New Roman" w:hAnsi="Times New Roman"/>
        </w:rPr>
        <w:t>40.875 </w:t>
      </w:r>
      <w:r>
        <w:rPr/>
        <w:t>хиљада динара, из донација </w:t>
      </w:r>
      <w:r>
        <w:rPr>
          <w:rFonts w:ascii="Times New Roman" w:hAnsi="Times New Roman"/>
        </w:rPr>
        <w:t>535 </w:t>
      </w:r>
      <w:r>
        <w:rPr/>
        <w:t>хиљада динара и из осталих извора у износу од </w:t>
      </w:r>
      <w:r>
        <w:rPr>
          <w:rFonts w:ascii="Times New Roman" w:hAnsi="Times New Roman"/>
        </w:rPr>
        <w:t>2.412 </w:t>
      </w:r>
      <w:r>
        <w:rPr/>
        <w:t>хиљада</w:t>
      </w:r>
      <w:r>
        <w:rPr>
          <w:spacing w:val="-10"/>
        </w:rPr>
        <w:t> </w:t>
      </w:r>
      <w:r>
        <w:rPr/>
        <w:t>динара.</w:t>
      </w:r>
    </w:p>
    <w:p>
      <w:pPr>
        <w:pStyle w:val="BodyText"/>
        <w:spacing w:line="240" w:lineRule="auto"/>
        <w:ind w:right="256" w:firstLine="566"/>
        <w:jc w:val="both"/>
      </w:pPr>
      <w:r>
        <w:rPr>
          <w:rFonts w:ascii="Times New Roman" w:hAnsi="Times New Roman"/>
          <w:b/>
        </w:rPr>
        <w:t>На основу ревизије узорковане документације утврђено је </w:t>
      </w:r>
      <w:r>
        <w:rPr/>
        <w:t>да је град Ниш нефинансијску имовину и капитал евидентирао на крају текуће </w:t>
      </w:r>
      <w:r>
        <w:rPr>
          <w:spacing w:val="-3"/>
        </w:rPr>
        <w:t>године, </w:t>
      </w:r>
      <w:r>
        <w:rPr/>
        <w:t>што је последица </w:t>
      </w:r>
      <w:r>
        <w:rPr/>
        <w:t>неуспостављених евиденција и/или нетачног и неажурног евидентирања пословних промена и догађаја </w:t>
      </w:r>
      <w:r>
        <w:rPr>
          <w:spacing w:val="-3"/>
        </w:rPr>
        <w:t>који </w:t>
      </w:r>
      <w:r>
        <w:rPr/>
        <w:t>такође повећава ризик </w:t>
      </w:r>
      <w:r>
        <w:rPr>
          <w:spacing w:val="-4"/>
        </w:rPr>
        <w:t>од </w:t>
      </w:r>
      <w:r>
        <w:rPr/>
        <w:t>нетачног исказивања пословних </w:t>
      </w:r>
      <w:r>
        <w:rPr/>
        <w:t>промена, што је у супротности са чланом 9. </w:t>
      </w:r>
      <w:r>
        <w:rPr>
          <w:spacing w:val="-5"/>
        </w:rPr>
        <w:t>Уредбе </w:t>
      </w:r>
      <w:r>
        <w:rPr/>
        <w:t>о </w:t>
      </w:r>
      <w:r>
        <w:rPr>
          <w:spacing w:val="-4"/>
        </w:rPr>
        <w:t>буџетском</w:t>
      </w:r>
      <w:r>
        <w:rPr>
          <w:spacing w:val="52"/>
        </w:rPr>
        <w:t> </w:t>
      </w:r>
      <w:r>
        <w:rPr>
          <w:spacing w:val="-3"/>
        </w:rPr>
        <w:t>рачуноводству </w:t>
      </w:r>
      <w:r>
        <w:rPr/>
        <w:t>и </w:t>
      </w:r>
      <w:r>
        <w:rPr/>
        <w:t>Правилником о стандардном класификационом оквиру и </w:t>
      </w:r>
      <w:r>
        <w:rPr>
          <w:spacing w:val="-3"/>
        </w:rPr>
        <w:t>контном </w:t>
      </w:r>
      <w:r>
        <w:rPr/>
        <w:t>плану за буџетски </w:t>
      </w:r>
      <w:r>
        <w:rPr/>
        <w:t>систем.</w:t>
      </w:r>
    </w:p>
    <w:p>
      <w:pPr>
        <w:pStyle w:val="Heading2"/>
        <w:spacing w:line="240" w:lineRule="auto"/>
        <w:ind w:right="253"/>
        <w:jc w:val="both"/>
        <w:rPr>
          <w:b w:val="0"/>
          <w:bCs w:val="0"/>
          <w:i w:val="0"/>
        </w:rPr>
      </w:pPr>
      <w:r>
        <w:rPr>
          <w:i/>
        </w:rPr>
        <w:t>Препоручује се одговорним лицима да обезбеде правилну примену одредби Уредбе о </w:t>
      </w:r>
      <w:r>
        <w:rPr>
          <w:i/>
          <w:spacing w:val="-4"/>
        </w:rPr>
        <w:t>буџетском </w:t>
      </w:r>
      <w:r>
        <w:rPr>
          <w:i/>
        </w:rPr>
        <w:t>рачуноводству и Правилника о стандардном класификационом оквиру и </w:t>
      </w:r>
      <w:r>
        <w:rPr>
          <w:i/>
        </w:rPr>
      </w:r>
      <w:r>
        <w:rPr>
          <w:i/>
          <w:spacing w:val="-3"/>
        </w:rPr>
        <w:t>контном </w:t>
      </w:r>
      <w:r>
        <w:rPr>
          <w:i/>
        </w:rPr>
        <w:t>плану за буџетски</w:t>
      </w:r>
      <w:r>
        <w:rPr>
          <w:i/>
          <w:spacing w:val="-18"/>
        </w:rPr>
        <w:t> </w:t>
      </w:r>
      <w:r>
        <w:rPr>
          <w:i/>
        </w:rPr>
        <w:t>систем.</w:t>
      </w:r>
      <w:r>
        <w:rPr>
          <w:b w:val="0"/>
          <w:i w:val="0"/>
        </w:rPr>
      </w:r>
    </w:p>
    <w:p>
      <w:pPr>
        <w:pStyle w:val="ListParagraph"/>
        <w:numPr>
          <w:ilvl w:val="4"/>
          <w:numId w:val="51"/>
        </w:numPr>
        <w:tabs>
          <w:tab w:pos="1094" w:val="left" w:leader="none"/>
        </w:tabs>
        <w:spacing w:line="274" w:lineRule="exact" w:before="137" w:after="0"/>
        <w:ind w:left="160" w:right="0" w:firstLine="566"/>
        <w:jc w:val="left"/>
        <w:rPr>
          <w:rFonts w:ascii="Times New Roman" w:hAnsi="Times New Roman" w:cs="Times New Roman" w:eastAsia="Times New Roman" w:hint="default"/>
          <w:sz w:val="24"/>
          <w:szCs w:val="24"/>
        </w:rPr>
      </w:pPr>
      <w:r>
        <w:rPr>
          <w:rFonts w:ascii="Times New Roman" w:hAnsi="Times New Roman"/>
          <w:b/>
          <w:sz w:val="24"/>
        </w:rPr>
        <w:t>Служба   за   одржавање   и   информатичко   комуникационе   технологије</w:t>
      </w:r>
      <w:r>
        <w:rPr>
          <w:rFonts w:ascii="Times New Roman" w:hAnsi="Times New Roman"/>
          <w:b/>
          <w:spacing w:val="19"/>
          <w:sz w:val="24"/>
        </w:rPr>
        <w:t> </w:t>
      </w:r>
      <w:r>
        <w:rPr>
          <w:rFonts w:ascii="Times New Roman" w:hAnsi="Times New Roman"/>
          <w:b/>
          <w:sz w:val="24"/>
        </w:rPr>
        <w:t>-</w:t>
      </w:r>
      <w:r>
        <w:rPr>
          <w:rFonts w:ascii="Times New Roman" w:hAnsi="Times New Roman"/>
          <w:sz w:val="24"/>
        </w:rPr>
      </w:r>
    </w:p>
    <w:p>
      <w:pPr>
        <w:pStyle w:val="BodyText"/>
        <w:spacing w:line="274" w:lineRule="exact"/>
        <w:ind w:right="0"/>
        <w:jc w:val="both"/>
      </w:pPr>
      <w:r>
        <w:rPr/>
        <w:t>Исказан је издатак у износу од 5.879 хиљада динара из средстава буџета</w:t>
      </w:r>
      <w:r>
        <w:rPr>
          <w:spacing w:val="-27"/>
        </w:rPr>
        <w:t> </w:t>
      </w:r>
      <w:r>
        <w:rPr/>
        <w:t>града.</w:t>
      </w:r>
    </w:p>
    <w:p>
      <w:pPr>
        <w:pStyle w:val="BodyText"/>
        <w:spacing w:line="240" w:lineRule="auto"/>
        <w:ind w:right="260" w:firstLine="566"/>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Аутомобили, субаналитички конто </w:t>
      </w:r>
      <w:r>
        <w:rPr>
          <w:rFonts w:ascii="Times New Roman" w:hAnsi="Times New Roman"/>
          <w:u w:val="single" w:color="000000"/>
        </w:rPr>
        <w:t>512111 </w:t>
      </w:r>
      <w:r>
        <w:rPr>
          <w:rFonts w:ascii="Times New Roman" w:hAnsi="Times New Roman"/>
        </w:rPr>
        <w:t>- </w:t>
      </w:r>
      <w:r>
        <w:rPr/>
        <w:t>Исказани су издаци у износу од 3.303 хиљаде динара по основу набавке четири</w:t>
      </w:r>
      <w:r>
        <w:rPr>
          <w:spacing w:val="-14"/>
        </w:rPr>
        <w:t> </w:t>
      </w:r>
      <w:r>
        <w:rPr/>
        <w:t>аутомобила</w:t>
      </w:r>
      <w:r>
        <w:rPr>
          <w:rFonts w:ascii="Times New Roman" w:hAnsi="Times New Roman"/>
        </w:rPr>
        <w:t>.</w:t>
      </w:r>
    </w:p>
    <w:p>
      <w:pPr>
        <w:pStyle w:val="BodyText"/>
        <w:spacing w:line="240" w:lineRule="auto"/>
        <w:ind w:left="726" w:right="253"/>
        <w:jc w:val="left"/>
        <w:rPr>
          <w:rFonts w:ascii="Times New Roman" w:hAnsi="Times New Roman" w:cs="Times New Roman" w:eastAsia="Times New Roman" w:hint="default"/>
        </w:rPr>
      </w:pPr>
      <w:r>
        <w:rPr/>
        <w:t>Ревизијом је утврђено да узоркована документа не садрже</w:t>
      </w:r>
      <w:r>
        <w:rPr>
          <w:spacing w:val="-15"/>
        </w:rPr>
        <w:t> </w:t>
      </w:r>
      <w:r>
        <w:rPr/>
        <w:t>неправилности</w:t>
      </w:r>
      <w:r>
        <w:rPr>
          <w:rFonts w:ascii="Times New Roman" w:hAnsi="Times New Roman"/>
          <w:i/>
        </w:rPr>
        <w:t>.</w:t>
      </w:r>
      <w:r>
        <w:rPr>
          <w:rFonts w:ascii="Times New Roman" w:hAnsi="Times New Roman"/>
        </w:rPr>
      </w:r>
    </w:p>
    <w:p>
      <w:pPr>
        <w:pStyle w:val="ListParagraph"/>
        <w:numPr>
          <w:ilvl w:val="4"/>
          <w:numId w:val="51"/>
        </w:numPr>
        <w:tabs>
          <w:tab w:pos="1006" w:val="left" w:leader="none"/>
        </w:tabs>
        <w:spacing w:line="240" w:lineRule="auto" w:before="139" w:after="0"/>
        <w:ind w:left="160" w:right="262" w:firstLine="566"/>
        <w:jc w:val="both"/>
        <w:rPr>
          <w:rFonts w:ascii="Times New Roman" w:hAnsi="Times New Roman" w:cs="Times New Roman" w:eastAsia="Times New Roman" w:hint="default"/>
          <w:sz w:val="24"/>
          <w:szCs w:val="24"/>
        </w:rPr>
      </w:pPr>
      <w:r>
        <w:rPr>
          <w:rFonts w:ascii="Times New Roman" w:hAnsi="Times New Roman"/>
          <w:b/>
          <w:sz w:val="24"/>
        </w:rPr>
        <w:t>Управа за пољопривреду и развој села </w:t>
      </w:r>
      <w:r>
        <w:rPr>
          <w:rFonts w:ascii="Times New Roman" w:hAnsi="Times New Roman"/>
          <w:b/>
          <w:sz w:val="24"/>
        </w:rPr>
        <w:t>- </w:t>
      </w:r>
      <w:r>
        <w:rPr>
          <w:rFonts w:ascii="Times New Roman" w:hAnsi="Times New Roman"/>
          <w:sz w:val="24"/>
        </w:rPr>
        <w:t>Исказан је издатак у износу од 8.529 хиљада динара из средстава буџета града, који се у целости односи на директног буџетског</w:t>
      </w:r>
      <w:r>
        <w:rPr>
          <w:rFonts w:ascii="Times New Roman" w:hAnsi="Times New Roman"/>
          <w:spacing w:val="-5"/>
          <w:sz w:val="24"/>
        </w:rPr>
        <w:t> </w:t>
      </w:r>
      <w:r>
        <w:rPr>
          <w:rFonts w:ascii="Times New Roman" w:hAnsi="Times New Roman"/>
          <w:sz w:val="24"/>
        </w:rPr>
        <w:t>корисника</w:t>
      </w:r>
      <w:r>
        <w:rPr>
          <w:rFonts w:ascii="Times New Roman" w:hAnsi="Times New Roman"/>
          <w:b/>
          <w:sz w:val="24"/>
        </w:rPr>
        <w:t>.</w:t>
      </w:r>
      <w:r>
        <w:rPr>
          <w:rFonts w:ascii="Times New Roman" w:hAnsi="Times New Roman"/>
          <w:sz w:val="24"/>
        </w:rPr>
      </w:r>
    </w:p>
    <w:p>
      <w:pPr>
        <w:pStyle w:val="BodyText"/>
        <w:spacing w:line="240" w:lineRule="auto"/>
        <w:ind w:right="250" w:firstLine="566"/>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Пољопривредна опрема, субаналитички конто </w:t>
      </w:r>
      <w:r>
        <w:rPr>
          <w:rFonts w:ascii="Times New Roman" w:hAnsi="Times New Roman"/>
          <w:u w:val="single" w:color="000000"/>
        </w:rPr>
        <w:t>512311 </w:t>
      </w:r>
      <w:r>
        <w:rPr>
          <w:rFonts w:ascii="Times New Roman" w:hAnsi="Times New Roman"/>
        </w:rPr>
      </w:r>
      <w:r>
        <w:rPr>
          <w:rFonts w:ascii="Times New Roman" w:hAnsi="Times New Roman"/>
          <w:b/>
        </w:rPr>
        <w:t>- </w:t>
      </w:r>
      <w:r>
        <w:rPr/>
        <w:t>Исказани су издаци у  износу од </w:t>
      </w:r>
      <w:r>
        <w:rPr>
          <w:rFonts w:ascii="Times New Roman" w:hAnsi="Times New Roman"/>
        </w:rPr>
        <w:t>7.184 </w:t>
      </w:r>
      <w:r>
        <w:rPr/>
        <w:t>хиљаде</w:t>
      </w:r>
      <w:r>
        <w:rPr>
          <w:spacing w:val="-6"/>
        </w:rPr>
        <w:t> </w:t>
      </w:r>
      <w:r>
        <w:rPr/>
        <w:t>динара</w:t>
      </w:r>
      <w:r>
        <w:rPr>
          <w:rFonts w:ascii="Times New Roman" w:hAnsi="Times New Roman"/>
        </w:rPr>
        <w:t>.</w:t>
      </w:r>
    </w:p>
    <w:p>
      <w:pPr>
        <w:pStyle w:val="Heading1"/>
        <w:spacing w:line="275" w:lineRule="exact"/>
        <w:ind w:right="253"/>
        <w:jc w:val="left"/>
        <w:rPr>
          <w:b w:val="0"/>
          <w:bCs w:val="0"/>
        </w:rPr>
      </w:pPr>
      <w:r>
        <w:rPr/>
        <w:t>На основу ревизије узорковане документације утврђено</w:t>
      </w:r>
      <w:r>
        <w:rPr>
          <w:spacing w:val="-13"/>
        </w:rPr>
        <w:t> </w:t>
      </w:r>
      <w:r>
        <w:rPr/>
        <w:t>је:</w:t>
      </w:r>
      <w:r>
        <w:rPr>
          <w:b w:val="0"/>
        </w:rPr>
      </w:r>
    </w:p>
    <w:p>
      <w:pPr>
        <w:pStyle w:val="ListParagraph"/>
        <w:numPr>
          <w:ilvl w:val="0"/>
          <w:numId w:val="9"/>
        </w:numPr>
        <w:tabs>
          <w:tab w:pos="303" w:val="left" w:leader="none"/>
        </w:tabs>
        <w:spacing w:line="240" w:lineRule="auto" w:before="0" w:after="0"/>
        <w:ind w:left="160" w:right="254" w:firstLine="0"/>
        <w:jc w:val="both"/>
        <w:rPr>
          <w:rFonts w:ascii="Times New Roman" w:hAnsi="Times New Roman" w:cs="Times New Roman" w:eastAsia="Times New Roman" w:hint="default"/>
          <w:sz w:val="24"/>
          <w:szCs w:val="24"/>
        </w:rPr>
      </w:pPr>
      <w:r>
        <w:rPr>
          <w:rFonts w:ascii="Times New Roman" w:hAnsi="Times New Roman"/>
          <w:sz w:val="24"/>
        </w:rPr>
        <w:t>Јавна набавка мале вредности по Уговору број 10</w:t>
      </w:r>
      <w:r>
        <w:rPr>
          <w:rFonts w:ascii="Times New Roman" w:hAnsi="Times New Roman"/>
          <w:sz w:val="24"/>
        </w:rPr>
        <w:t>-842/2014 </w:t>
      </w:r>
      <w:r>
        <w:rPr>
          <w:rFonts w:ascii="Times New Roman" w:hAnsi="Times New Roman"/>
          <w:sz w:val="24"/>
        </w:rPr>
        <w:t>и јавна набавка у преговарачком поступку без објављивања јавног позива за подношење понуда по  Уговору број 10</w:t>
      </w:r>
      <w:r>
        <w:rPr>
          <w:rFonts w:ascii="Times New Roman" w:hAnsi="Times New Roman"/>
          <w:sz w:val="24"/>
        </w:rPr>
        <w:t>-1662/2014 </w:t>
      </w:r>
      <w:r>
        <w:rPr>
          <w:rFonts w:ascii="Times New Roman" w:hAnsi="Times New Roman"/>
          <w:sz w:val="24"/>
        </w:rPr>
        <w:t>за набавку противградних ракета, представљају набавке истоврсних добара у укупном износу од 3.969 хиљада динара без ПДВ, за које је требало спровести отворени поступак, што је супротно члану 32. и 64. Закона о јавним набавкама и члану 57. Закона о буџетском</w:t>
      </w:r>
      <w:r>
        <w:rPr>
          <w:rFonts w:ascii="Times New Roman" w:hAnsi="Times New Roman"/>
          <w:spacing w:val="-13"/>
          <w:sz w:val="24"/>
        </w:rPr>
        <w:t> </w:t>
      </w:r>
      <w:r>
        <w:rPr>
          <w:rFonts w:ascii="Times New Roman" w:hAnsi="Times New Roman"/>
          <w:sz w:val="24"/>
        </w:rPr>
        <w:t>систему.</w:t>
      </w:r>
    </w:p>
    <w:p>
      <w:pPr>
        <w:pStyle w:val="ListParagraph"/>
        <w:numPr>
          <w:ilvl w:val="0"/>
          <w:numId w:val="9"/>
        </w:numPr>
        <w:tabs>
          <w:tab w:pos="303" w:val="left" w:leader="none"/>
        </w:tabs>
        <w:spacing w:line="240" w:lineRule="auto" w:before="2" w:after="0"/>
        <w:ind w:left="160" w:right="25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је евидентирана набавка противградних ракета у износу од </w:t>
      </w:r>
      <w:r>
        <w:rPr>
          <w:rFonts w:ascii="Times New Roman" w:hAnsi="Times New Roman" w:cs="Times New Roman" w:eastAsia="Times New Roman" w:hint="default"/>
          <w:sz w:val="24"/>
          <w:szCs w:val="24"/>
        </w:rPr>
        <w:t>7.123 </w:t>
      </w:r>
      <w:r>
        <w:rPr>
          <w:rFonts w:ascii="Times New Roman" w:hAnsi="Times New Roman" w:cs="Times New Roman" w:eastAsia="Times New Roman" w:hint="default"/>
          <w:sz w:val="24"/>
          <w:szCs w:val="24"/>
        </w:rPr>
        <w:t>хиљаде динара у тестираном узорку на групи конта 512000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Машине и опрема, уместо на групи конта 426000 – Материјал, што је супротно члану 9. Уредбе о буџетском рачуноводству и Правилнику о стандардном класификационом оквиру и контном плану за буџетски систем. Истовремено, у Билансу стања више су исказани опрема и капитал у истом износу.</w:t>
      </w:r>
    </w:p>
    <w:p>
      <w:pPr>
        <w:pStyle w:val="Heading2"/>
        <w:spacing w:line="240" w:lineRule="auto"/>
        <w:ind w:right="256"/>
        <w:jc w:val="both"/>
        <w:rPr>
          <w:rFonts w:ascii="Times New Roman" w:hAnsi="Times New Roman" w:cs="Times New Roman" w:eastAsia="Times New Roman" w:hint="default"/>
          <w:b w:val="0"/>
          <w:bCs w:val="0"/>
          <w:i w:val="0"/>
        </w:rPr>
      </w:pPr>
      <w:r>
        <w:rPr>
          <w:i/>
        </w:rPr>
        <w:t>Препоручује се одговорним лицима да спроводе поступак јавних набавки у  складу са Законом о јавним набавкама и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i/>
        </w:rPr>
        <w:t>.</w:t>
      </w:r>
      <w:r>
        <w:rPr>
          <w:rFonts w:ascii="Times New Roman" w:hAnsi="Times New Roman"/>
          <w:b w:val="0"/>
          <w:i w:val="0"/>
        </w:rPr>
      </w:r>
    </w:p>
    <w:p>
      <w:pPr>
        <w:spacing w:after="0" w:line="240" w:lineRule="auto"/>
        <w:jc w:val="both"/>
        <w:rPr>
          <w:rFonts w:ascii="Times New Roman" w:hAnsi="Times New Roman" w:cs="Times New Roman" w:eastAsia="Times New Roman" w:hint="default"/>
        </w:rPr>
        <w:sectPr>
          <w:pgSz w:w="12240" w:h="15840"/>
          <w:pgMar w:header="740" w:footer="1274" w:top="1280" w:bottom="1460" w:left="1400" w:right="1180"/>
        </w:sectPr>
      </w:pPr>
    </w:p>
    <w:p>
      <w:pPr>
        <w:pStyle w:val="BodyText"/>
        <w:spacing w:line="240" w:lineRule="auto" w:before="122"/>
        <w:ind w:left="726" w:right="141"/>
        <w:jc w:val="left"/>
      </w:pPr>
      <w:r>
        <w:rPr>
          <w:rFonts w:ascii="Times New Roman" w:hAnsi="Times New Roman"/>
        </w:rPr>
      </w:r>
      <w:r>
        <w:rPr>
          <w:rFonts w:ascii="Times New Roman" w:hAnsi="Times New Roman"/>
          <w:spacing w:val="-60"/>
          <w:u w:val="single" w:color="000000"/>
        </w:rPr>
        <w:t> </w:t>
      </w:r>
      <w:r>
        <w:rPr>
          <w:u w:val="single" w:color="000000"/>
        </w:rPr>
        <w:t>Моторна опрема,  субаналитички  конто  </w:t>
      </w:r>
      <w:r>
        <w:rPr>
          <w:rFonts w:ascii="Times New Roman" w:hAnsi="Times New Roman"/>
          <w:u w:val="single" w:color="000000"/>
        </w:rPr>
        <w:t>512921  </w:t>
      </w:r>
      <w:r>
        <w:rPr>
          <w:rFonts w:ascii="Times New Roman" w:hAnsi="Times New Roman"/>
        </w:rPr>
      </w:r>
      <w:r>
        <w:rPr>
          <w:rFonts w:ascii="Times New Roman" w:hAnsi="Times New Roman"/>
          <w:b/>
        </w:rPr>
        <w:t>- </w:t>
      </w:r>
      <w:r>
        <w:rPr/>
        <w:t>Исказани  су издаци  у износу</w:t>
      </w:r>
      <w:r>
        <w:rPr>
          <w:spacing w:val="35"/>
        </w:rPr>
        <w:t> </w:t>
      </w:r>
      <w:r>
        <w:rPr/>
        <w:t>од</w:t>
      </w:r>
    </w:p>
    <w:p>
      <w:pPr>
        <w:pStyle w:val="BodyText"/>
        <w:spacing w:line="240" w:lineRule="auto"/>
        <w:ind w:right="0"/>
        <w:jc w:val="both"/>
      </w:pPr>
      <w:r>
        <w:rPr>
          <w:rFonts w:ascii="Times New Roman" w:hAnsi="Times New Roman"/>
        </w:rPr>
        <w:t>1.345 </w:t>
      </w:r>
      <w:r>
        <w:rPr/>
        <w:t>хиљада динара по основу набавке једног теренског возила са додатном</w:t>
      </w:r>
      <w:r>
        <w:rPr>
          <w:spacing w:val="-19"/>
        </w:rPr>
        <w:t> </w:t>
      </w:r>
      <w:r>
        <w:rPr/>
        <w:t>опремом.</w:t>
      </w:r>
    </w:p>
    <w:p>
      <w:pPr>
        <w:pStyle w:val="BodyText"/>
        <w:spacing w:line="240" w:lineRule="auto"/>
        <w:ind w:right="174" w:firstLine="566"/>
        <w:jc w:val="both"/>
        <w:rPr>
          <w:rFonts w:ascii="Times New Roman" w:hAnsi="Times New Roman" w:cs="Times New Roman" w:eastAsia="Times New Roman" w:hint="default"/>
        </w:rPr>
      </w:pPr>
      <w:r>
        <w:rPr>
          <w:rFonts w:ascii="Times New Roman" w:hAnsi="Times New Roman" w:cs="Times New Roman" w:eastAsia="Times New Roman" w:hint="default"/>
          <w:b/>
          <w:bCs/>
        </w:rPr>
        <w:t>На основу ревизије узорковане документације утврђено је </w:t>
      </w:r>
      <w:r>
        <w:rPr/>
        <w:t>да је неправилно евидентиран издатак у износу од </w:t>
      </w:r>
      <w:r>
        <w:rPr>
          <w:rFonts w:ascii="Times New Roman" w:hAnsi="Times New Roman" w:cs="Times New Roman" w:eastAsia="Times New Roman" w:hint="default"/>
        </w:rPr>
        <w:t>1.345 </w:t>
      </w:r>
      <w:r>
        <w:rPr/>
        <w:t>хиљада динара на синтетичком конту 512</w:t>
      </w:r>
      <w:r>
        <w:rPr>
          <w:rFonts w:ascii="Times New Roman" w:hAnsi="Times New Roman" w:cs="Times New Roman" w:eastAsia="Times New Roman" w:hint="default"/>
        </w:rPr>
        <w:t>900 </w:t>
      </w:r>
      <w:r>
        <w:rPr/>
        <w:t>– опрема за производњу, моторна, непокретна и немоторна опрема</w:t>
      </w:r>
      <w:r>
        <w:rPr>
          <w:rFonts w:ascii="Times New Roman" w:hAnsi="Times New Roman" w:cs="Times New Roman" w:eastAsia="Times New Roman" w:hint="default"/>
        </w:rPr>
        <w:t>, </w:t>
      </w:r>
      <w:r>
        <w:rPr/>
        <w:t>уместо на синтетичком конту 512100 – опрема за саобраћај, што је супротно Правилнику о стандардном класификационом оквиру и контном плану за буџетски</w:t>
      </w:r>
      <w:r>
        <w:rPr>
          <w:spacing w:val="-24"/>
        </w:rPr>
        <w:t> </w:t>
      </w:r>
      <w:r>
        <w:rPr/>
        <w:t>систем</w:t>
      </w:r>
      <w:r>
        <w:rPr>
          <w:rFonts w:ascii="Times New Roman" w:hAnsi="Times New Roman" w:cs="Times New Roman" w:eastAsia="Times New Roman" w:hint="default"/>
        </w:rPr>
        <w:t>.</w:t>
      </w:r>
    </w:p>
    <w:p>
      <w:pPr>
        <w:pStyle w:val="Heading2"/>
        <w:spacing w:line="240" w:lineRule="auto"/>
        <w:ind w:right="178"/>
        <w:jc w:val="both"/>
        <w:rPr>
          <w:b w:val="0"/>
          <w:bCs w:val="0"/>
          <w:i w:val="0"/>
        </w:rPr>
      </w:pPr>
      <w:r>
        <w:rPr>
          <w:i/>
        </w:rPr>
        <w:t>Препоручује се одговорним лицима да обезбеде правилну примену одредби Правилника о стандардном класификационом оквиру и контном плану за буџетски систем.</w:t>
      </w:r>
      <w:r>
        <w:rPr>
          <w:b w:val="0"/>
          <w:i w:val="0"/>
        </w:rPr>
      </w:r>
    </w:p>
    <w:p>
      <w:pPr>
        <w:pStyle w:val="ListParagraph"/>
        <w:numPr>
          <w:ilvl w:val="4"/>
          <w:numId w:val="51"/>
        </w:numPr>
        <w:tabs>
          <w:tab w:pos="994" w:val="left" w:leader="none"/>
        </w:tabs>
        <w:spacing w:line="240" w:lineRule="auto" w:before="132" w:after="0"/>
        <w:ind w:left="160" w:right="178" w:firstLine="566"/>
        <w:jc w:val="both"/>
        <w:rPr>
          <w:rFonts w:ascii="Times New Roman" w:hAnsi="Times New Roman" w:cs="Times New Roman" w:eastAsia="Times New Roman" w:hint="default"/>
          <w:sz w:val="24"/>
          <w:szCs w:val="24"/>
        </w:rPr>
      </w:pPr>
      <w:r>
        <w:rPr>
          <w:rFonts w:ascii="Times New Roman" w:hAnsi="Times New Roman"/>
          <w:b/>
          <w:sz w:val="24"/>
        </w:rPr>
        <w:t>Управа за привреду, одрживи развој и заштиту животне средине </w:t>
      </w:r>
      <w:r>
        <w:rPr>
          <w:rFonts w:ascii="Times New Roman" w:hAnsi="Times New Roman"/>
          <w:b/>
          <w:sz w:val="24"/>
        </w:rPr>
        <w:t>- </w:t>
      </w:r>
      <w:r>
        <w:rPr>
          <w:rFonts w:ascii="Times New Roman" w:hAnsi="Times New Roman"/>
          <w:sz w:val="24"/>
        </w:rPr>
        <w:t>Исказан је издатак у износу од 13.305 хиљада динара из средстава буџета града, који се у целости односи на директног буџетског</w:t>
      </w:r>
      <w:r>
        <w:rPr>
          <w:rFonts w:ascii="Times New Roman" w:hAnsi="Times New Roman"/>
          <w:spacing w:val="-8"/>
          <w:sz w:val="24"/>
        </w:rPr>
        <w:t> </w:t>
      </w:r>
      <w:r>
        <w:rPr>
          <w:rFonts w:ascii="Times New Roman" w:hAnsi="Times New Roman"/>
          <w:sz w:val="24"/>
        </w:rPr>
        <w:t>корисника</w:t>
      </w:r>
      <w:r>
        <w:rPr>
          <w:rFonts w:ascii="Times New Roman" w:hAnsi="Times New Roman"/>
          <w:b/>
          <w:sz w:val="24"/>
        </w:rPr>
        <w:t>.</w:t>
      </w:r>
      <w:r>
        <w:rPr>
          <w:rFonts w:ascii="Times New Roman" w:hAnsi="Times New Roman"/>
          <w:sz w:val="24"/>
        </w:rPr>
      </w:r>
    </w:p>
    <w:p>
      <w:pPr>
        <w:pStyle w:val="BodyText"/>
        <w:spacing w:line="240" w:lineRule="auto"/>
        <w:ind w:right="172" w:firstLine="566"/>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Опрема за заштиту животне средине, синтетички конто 512411 </w:t>
      </w:r>
      <w:r>
        <w:rPr/>
      </w:r>
      <w:r>
        <w:rPr>
          <w:rFonts w:ascii="Times New Roman" w:hAnsi="Times New Roman"/>
          <w:b/>
        </w:rPr>
        <w:t>- </w:t>
      </w:r>
      <w:r>
        <w:rPr/>
        <w:t>Исказани су  издаци у износу од 12.588 хиљада</w:t>
      </w:r>
      <w:r>
        <w:rPr>
          <w:spacing w:val="-10"/>
        </w:rPr>
        <w:t> </w:t>
      </w:r>
      <w:r>
        <w:rPr/>
        <w:t>динара</w:t>
      </w:r>
      <w:r>
        <w:rPr>
          <w:rFonts w:ascii="Times New Roman" w:hAnsi="Times New Roman"/>
        </w:rPr>
        <w:t>.</w:t>
      </w:r>
    </w:p>
    <w:p>
      <w:pPr>
        <w:spacing w:before="0"/>
        <w:ind w:left="726" w:right="141" w:firstLine="0"/>
        <w:jc w:val="left"/>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је     </w:t>
      </w:r>
      <w:r>
        <w:rPr>
          <w:rFonts w:ascii="Times New Roman" w:hAnsi="Times New Roman"/>
          <w:spacing w:val="7"/>
          <w:sz w:val="24"/>
        </w:rPr>
        <w:t> </w:t>
      </w:r>
      <w:r>
        <w:rPr>
          <w:rFonts w:ascii="Times New Roman" w:hAnsi="Times New Roman"/>
          <w:sz w:val="24"/>
        </w:rPr>
        <w:t>продавац</w:t>
      </w:r>
    </w:p>
    <w:p>
      <w:pPr>
        <w:pStyle w:val="BodyText"/>
        <w:spacing w:line="240" w:lineRule="auto"/>
        <w:ind w:right="174"/>
        <w:jc w:val="both"/>
      </w:pPr>
      <w:r>
        <w:rPr/>
        <w:t>„Ресор“ доо Гаџин Хан уместо 01.10.2012. године испоручио и ставио у пробни рад линију за сортирање рециклабилних материјала дана 17.04.2014. године, што је супротно члану 5. Уговора број 05</w:t>
      </w:r>
      <w:r>
        <w:rPr>
          <w:rFonts w:ascii="Times New Roman" w:hAnsi="Times New Roman" w:cs="Times New Roman" w:eastAsia="Times New Roman" w:hint="default"/>
        </w:rPr>
        <w:t>-207/12 </w:t>
      </w:r>
      <w:r>
        <w:rPr/>
        <w:t>од 06.04.2012. године. Наручилац није наплатио казну за кашњење сходно члану 6. Уговора (за сваки дан кашњења 0,5% цене дате за позицију  чија испорука и монтажа касни за сваки дан</w:t>
      </w:r>
      <w:r>
        <w:rPr>
          <w:spacing w:val="-24"/>
        </w:rPr>
        <w:t> </w:t>
      </w:r>
      <w:r>
        <w:rPr/>
        <w:t>закашњења).</w:t>
      </w:r>
    </w:p>
    <w:p>
      <w:pPr>
        <w:pStyle w:val="Heading2"/>
        <w:spacing w:line="240" w:lineRule="auto"/>
        <w:ind w:right="177"/>
        <w:jc w:val="both"/>
        <w:rPr>
          <w:b w:val="0"/>
          <w:bCs w:val="0"/>
          <w:i w:val="0"/>
        </w:rPr>
      </w:pPr>
      <w:r>
        <w:rPr>
          <w:i/>
        </w:rPr>
        <w:t>Препоручује се одговорним лицима да доследно примењују одредбе закључених уговора.</w:t>
      </w:r>
      <w:r>
        <w:rPr>
          <w:b w:val="0"/>
          <w:i w:val="0"/>
        </w:rPr>
      </w:r>
    </w:p>
    <w:p>
      <w:pPr>
        <w:pStyle w:val="ListParagraph"/>
        <w:numPr>
          <w:ilvl w:val="4"/>
          <w:numId w:val="51"/>
        </w:numPr>
        <w:tabs>
          <w:tab w:pos="991" w:val="left" w:leader="none"/>
        </w:tabs>
        <w:spacing w:line="240" w:lineRule="auto" w:before="134" w:after="0"/>
        <w:ind w:left="160" w:right="176" w:firstLine="566"/>
        <w:jc w:val="both"/>
        <w:rPr>
          <w:rFonts w:ascii="Times New Roman" w:hAnsi="Times New Roman" w:cs="Times New Roman" w:eastAsia="Times New Roman" w:hint="default"/>
          <w:sz w:val="24"/>
          <w:szCs w:val="24"/>
        </w:rPr>
      </w:pPr>
      <w:r>
        <w:rPr>
          <w:rFonts w:ascii="Times New Roman" w:hAnsi="Times New Roman"/>
          <w:b/>
          <w:sz w:val="24"/>
        </w:rPr>
        <w:t>Управа за комуналне делатности, енергетику и саобраћај </w:t>
      </w:r>
      <w:r>
        <w:rPr>
          <w:rFonts w:ascii="Times New Roman" w:hAnsi="Times New Roman"/>
          <w:b/>
          <w:sz w:val="24"/>
        </w:rPr>
        <w:t>- </w:t>
      </w:r>
      <w:r>
        <w:rPr>
          <w:rFonts w:ascii="Times New Roman" w:hAnsi="Times New Roman"/>
          <w:sz w:val="24"/>
        </w:rPr>
        <w:t>Исказан је издатак у износу од 3.822 хиљаде динара из средстава буџета града. Износу од 3.574 хиљаде динара односи се на директног буџетског корисника</w:t>
      </w:r>
      <w:r>
        <w:rPr>
          <w:rFonts w:ascii="Times New Roman" w:hAnsi="Times New Roman"/>
          <w:b/>
          <w:sz w:val="24"/>
        </w:rPr>
        <w:t>, </w:t>
      </w:r>
      <w:r>
        <w:rPr>
          <w:rFonts w:ascii="Times New Roman" w:hAnsi="Times New Roman"/>
          <w:sz w:val="24"/>
        </w:rPr>
        <w:t>а износ од 248 хиљада динара на индиректног буџетског корисника ЈП</w:t>
      </w:r>
      <w:r>
        <w:rPr>
          <w:rFonts w:ascii="Times New Roman" w:hAnsi="Times New Roman"/>
          <w:spacing w:val="-19"/>
          <w:sz w:val="24"/>
        </w:rPr>
        <w:t> </w:t>
      </w:r>
      <w:r>
        <w:rPr>
          <w:rFonts w:ascii="Times New Roman" w:hAnsi="Times New Roman"/>
          <w:sz w:val="24"/>
        </w:rPr>
        <w:t>Дирекција</w:t>
      </w:r>
      <w:r>
        <w:rPr>
          <w:rFonts w:ascii="Times New Roman" w:hAnsi="Times New Roman"/>
          <w:sz w:val="24"/>
        </w:rPr>
        <w:t>.</w:t>
      </w:r>
    </w:p>
    <w:p>
      <w:pPr>
        <w:pStyle w:val="BodyText"/>
        <w:spacing w:line="240" w:lineRule="auto"/>
        <w:ind w:right="170" w:firstLine="566"/>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Опрема за јавну безбедност, субаналитички конто 512811 </w:t>
      </w:r>
      <w:r>
        <w:rPr/>
      </w:r>
      <w:r>
        <w:rPr>
          <w:rFonts w:ascii="Times New Roman" w:hAnsi="Times New Roman"/>
        </w:rPr>
        <w:t>- </w:t>
      </w:r>
      <w:r>
        <w:rPr/>
        <w:t>Исказани су издаци у износу од </w:t>
      </w:r>
      <w:r>
        <w:rPr>
          <w:rFonts w:ascii="Times New Roman" w:hAnsi="Times New Roman"/>
        </w:rPr>
        <w:t>3.574 </w:t>
      </w:r>
      <w:r>
        <w:rPr/>
        <w:t>хиљаде</w:t>
      </w:r>
      <w:r>
        <w:rPr>
          <w:spacing w:val="-6"/>
        </w:rPr>
        <w:t> </w:t>
      </w:r>
      <w:r>
        <w:rPr/>
        <w:t>динара</w:t>
      </w:r>
      <w:r>
        <w:rPr>
          <w:rFonts w:ascii="Times New Roman" w:hAnsi="Times New Roman"/>
        </w:rPr>
        <w:t>.</w:t>
      </w:r>
    </w:p>
    <w:p>
      <w:pPr>
        <w:pStyle w:val="Heading1"/>
        <w:spacing w:line="275" w:lineRule="exact"/>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1"/>
        </w:rPr>
        <w:t> </w:t>
      </w:r>
      <w:r>
        <w:rPr/>
        <w:t>је</w:t>
      </w:r>
      <w:r>
        <w:rPr>
          <w:rFonts w:ascii="Times New Roman" w:hAnsi="Times New Roman"/>
        </w:rPr>
        <w:t>:</w:t>
      </w:r>
      <w:r>
        <w:rPr>
          <w:rFonts w:ascii="Times New Roman" w:hAnsi="Times New Roman"/>
          <w:b w:val="0"/>
        </w:rPr>
      </w:r>
    </w:p>
    <w:p>
      <w:pPr>
        <w:pStyle w:val="ListParagraph"/>
        <w:numPr>
          <w:ilvl w:val="0"/>
          <w:numId w:val="9"/>
        </w:numPr>
        <w:tabs>
          <w:tab w:pos="303"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је евидентиран издатак у износу од 2.352 хиљаде динара на синтетичком конту 512800 – опрема за јавну безбедност уместо на синтетичком конту 512100 – опрема за саобраћај, што је супротно Правилнику о стандардном класификационом оквиру и контном плану за буџетски</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систем</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Возило марке „Фиат“, тип </w:t>
      </w:r>
      <w:r>
        <w:rPr>
          <w:rFonts w:ascii="Times New Roman" w:hAnsi="Times New Roman" w:cs="Times New Roman" w:eastAsia="Times New Roman" w:hint="default"/>
          <w:sz w:val="24"/>
          <w:szCs w:val="24"/>
        </w:rPr>
        <w:t>DUCATO Furgon L2H1 2,0 MJTD </w:t>
      </w:r>
      <w:r>
        <w:rPr>
          <w:rFonts w:ascii="Times New Roman" w:hAnsi="Times New Roman" w:cs="Times New Roman" w:eastAsia="Times New Roman" w:hint="default"/>
          <w:sz w:val="24"/>
          <w:szCs w:val="24"/>
        </w:rPr>
        <w:t>у износу од 2.352 хиљаде динара је дат на поклон</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а није искњижен из пословних књига Управе за комуналне делатности, енергетику и саобраћај, те је на тај начин више исказана нефинансијска имовина и капитал у истом износу,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систем.</w:t>
      </w:r>
    </w:p>
    <w:p>
      <w:pPr>
        <w:pStyle w:val="Heading2"/>
        <w:spacing w:line="240" w:lineRule="auto"/>
        <w:ind w:right="172"/>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ListParagraph"/>
        <w:numPr>
          <w:ilvl w:val="4"/>
          <w:numId w:val="51"/>
        </w:numPr>
        <w:tabs>
          <w:tab w:pos="986" w:val="left" w:leader="none"/>
        </w:tabs>
        <w:spacing w:line="240" w:lineRule="auto" w:before="132" w:after="0"/>
        <w:ind w:left="160" w:right="180" w:firstLine="566"/>
        <w:jc w:val="both"/>
        <w:rPr>
          <w:rFonts w:ascii="Times New Roman" w:hAnsi="Times New Roman" w:cs="Times New Roman" w:eastAsia="Times New Roman" w:hint="default"/>
          <w:sz w:val="24"/>
          <w:szCs w:val="24"/>
        </w:rPr>
      </w:pPr>
      <w:r>
        <w:rPr>
          <w:rFonts w:ascii="Times New Roman" w:hAnsi="Times New Roman"/>
          <w:b/>
          <w:sz w:val="24"/>
        </w:rPr>
        <w:t>Управа за културу </w:t>
      </w:r>
      <w:r>
        <w:rPr>
          <w:rFonts w:ascii="Times New Roman" w:hAnsi="Times New Roman"/>
          <w:b/>
          <w:sz w:val="24"/>
        </w:rPr>
        <w:t>- </w:t>
      </w:r>
      <w:r>
        <w:rPr>
          <w:rFonts w:ascii="Times New Roman" w:hAnsi="Times New Roman"/>
          <w:sz w:val="24"/>
        </w:rPr>
        <w:t>Исказан је издатак у износу од 5.917 хиљада динара и то: из средстава буџета града у износу од 5.183 хиљаде динара и из осталих извора износ од</w:t>
      </w:r>
      <w:r>
        <w:rPr>
          <w:rFonts w:ascii="Times New Roman" w:hAnsi="Times New Roman"/>
          <w:spacing w:val="-16"/>
          <w:sz w:val="24"/>
        </w:rPr>
        <w:t> </w:t>
      </w:r>
      <w:r>
        <w:rPr>
          <w:rFonts w:ascii="Times New Roman" w:hAnsi="Times New Roman"/>
          <w:sz w:val="24"/>
        </w:rPr>
        <w:t>734</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5"/>
        <w:jc w:val="both"/>
        <w:rPr>
          <w:rFonts w:ascii="Times New Roman" w:hAnsi="Times New Roman" w:cs="Times New Roman" w:eastAsia="Times New Roman" w:hint="default"/>
        </w:rPr>
      </w:pPr>
      <w:r>
        <w:rPr/>
        <w:t>хиљаде динара. Исказани издаци се односе на следеће индиректне кориснике, и то: Галерија савремене ликовне уметности Ниш у износу од 376 хиљада динара</w:t>
      </w:r>
      <w:r>
        <w:rPr>
          <w:rFonts w:ascii="Times New Roman" w:hAnsi="Times New Roman"/>
        </w:rPr>
        <w:t>, </w:t>
      </w:r>
      <w:r>
        <w:rPr/>
        <w:t>Историјски архив Ниш у износу од 126 хиљада динара</w:t>
      </w:r>
      <w:r>
        <w:rPr>
          <w:rFonts w:ascii="Times New Roman" w:hAnsi="Times New Roman"/>
        </w:rPr>
        <w:t>, </w:t>
      </w:r>
      <w:r>
        <w:rPr/>
        <w:t>Народна библиотека Стеван Сремац у износу од 637 хиљада динара</w:t>
      </w:r>
      <w:r>
        <w:rPr>
          <w:rFonts w:ascii="Times New Roman" w:hAnsi="Times New Roman"/>
        </w:rPr>
        <w:t>, </w:t>
      </w:r>
      <w:r>
        <w:rPr/>
        <w:t>Народни музеј Ниш у износу од 2.752 хиљаде динара, Народно позориште у износу од 1.231 хиљаде динара, Нишки културни центар у износу од 926 хиљада динара</w:t>
      </w:r>
      <w:r>
        <w:rPr>
          <w:rFonts w:ascii="Times New Roman" w:hAnsi="Times New Roman"/>
        </w:rPr>
        <w:t>, </w:t>
      </w:r>
      <w:r>
        <w:rPr/>
        <w:t>Позориште лутака у износу од 163 хиљаде динара</w:t>
      </w:r>
      <w:r>
        <w:rPr>
          <w:rFonts w:ascii="Times New Roman" w:hAnsi="Times New Roman"/>
        </w:rPr>
        <w:t>, </w:t>
      </w:r>
      <w:r>
        <w:rPr/>
        <w:t>Завод за заштиту споменика културе Ниш у износу од 375 хиљада динара и Нишки симфонијски оркестар  у износу од 110 хиљада</w:t>
      </w:r>
      <w:r>
        <w:rPr>
          <w:spacing w:val="-6"/>
        </w:rPr>
        <w:t> </w:t>
      </w:r>
      <w:r>
        <w:rPr/>
        <w:t>динара</w:t>
      </w:r>
      <w:r>
        <w:rPr>
          <w:rFonts w:ascii="Times New Roman" w:hAnsi="Times New Roman"/>
        </w:rPr>
        <w:t>.</w:t>
      </w:r>
    </w:p>
    <w:p>
      <w:pPr>
        <w:pStyle w:val="BodyText"/>
        <w:spacing w:line="240" w:lineRule="auto"/>
        <w:ind w:right="174" w:firstLine="566"/>
        <w:jc w:val="both"/>
      </w:pPr>
      <w:r>
        <w:rPr>
          <w:rFonts w:ascii="Times New Roman" w:hAnsi="Times New Roman"/>
          <w:b/>
        </w:rPr>
        <w:t>На основу ревизије узорковане документације утврђено је </w:t>
      </w:r>
      <w:r>
        <w:rPr/>
        <w:t>да су у Консолидованом Извештају о извршењу буџета мање исказани издаци за опрему у  износу од 779 хиљада динара, што је супротно члану 9. Уредбе о буџетском рачуноводству и Правилнику о стандардном класификационом оквиру и контном плану за буџетски</w:t>
      </w:r>
      <w:r>
        <w:rPr>
          <w:spacing w:val="-10"/>
        </w:rPr>
        <w:t> </w:t>
      </w:r>
      <w:r>
        <w:rPr/>
        <w:t>систем.</w:t>
      </w:r>
    </w:p>
    <w:p>
      <w:pPr>
        <w:pStyle w:val="Heading2"/>
        <w:spacing w:line="240" w:lineRule="auto"/>
        <w:ind w:right="174"/>
        <w:jc w:val="both"/>
        <w:rPr>
          <w:b w:val="0"/>
          <w:bCs w:val="0"/>
          <w:i w:val="0"/>
        </w:rPr>
      </w:pPr>
      <w:r>
        <w:rPr>
          <w:i/>
        </w:rPr>
        <w:t>Препоручује се одговорним лицима да обезбеде правилну примену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spacing w:line="240" w:lineRule="auto" w:before="0"/>
        <w:ind w:left="160" w:right="18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5а) Народни музеј – </w:t>
      </w:r>
      <w:r>
        <w:rPr>
          <w:rFonts w:ascii="Times New Roman" w:hAnsi="Times New Roman" w:cs="Times New Roman" w:eastAsia="Times New Roman" w:hint="default"/>
          <w:sz w:val="24"/>
          <w:szCs w:val="24"/>
        </w:rPr>
        <w:t>Исказан је издатак за опрему у укупном износу од 2.752 хиљаде</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динара.</w:t>
      </w:r>
    </w:p>
    <w:p>
      <w:pPr>
        <w:pStyle w:val="BodyText"/>
        <w:spacing w:line="240" w:lineRule="auto"/>
        <w:ind w:right="183" w:firstLine="566"/>
        <w:jc w:val="both"/>
      </w:pPr>
      <w:r>
        <w:rPr>
          <w:rFonts w:ascii="Times New Roman" w:hAnsi="Times New Roman"/>
        </w:rPr>
      </w:r>
      <w:r>
        <w:rPr>
          <w:rFonts w:ascii="Times New Roman" w:hAnsi="Times New Roman"/>
          <w:spacing w:val="-60"/>
          <w:u w:val="single" w:color="000000"/>
        </w:rPr>
        <w:t> </w:t>
      </w:r>
      <w:r>
        <w:rPr>
          <w:u w:val="single" w:color="000000"/>
        </w:rPr>
        <w:t>Рачунарска опрема, субаналитички конто 512221 </w:t>
      </w:r>
      <w:r>
        <w:rPr/>
      </w:r>
      <w:r>
        <w:rPr>
          <w:rFonts w:ascii="Times New Roman" w:hAnsi="Times New Roman"/>
        </w:rPr>
        <w:t>- </w:t>
      </w:r>
      <w:r>
        <w:rPr/>
        <w:t>Исказан је издатак у износу од 1.651 хиљаде</w:t>
      </w:r>
      <w:r>
        <w:rPr>
          <w:spacing w:val="-3"/>
        </w:rPr>
        <w:t> </w:t>
      </w:r>
      <w:r>
        <w:rPr/>
        <w:t>динара.</w:t>
      </w:r>
    </w:p>
    <w:p>
      <w:pPr>
        <w:pStyle w:val="BodyText"/>
        <w:spacing w:line="240" w:lineRule="auto"/>
        <w:ind w:left="786" w:right="141"/>
        <w:jc w:val="left"/>
      </w:pPr>
      <w:r>
        <w:rPr/>
        <w:t>На основу ревизије узорковане документације нису утврђене</w:t>
      </w:r>
      <w:r>
        <w:rPr>
          <w:spacing w:val="-24"/>
        </w:rPr>
        <w:t> </w:t>
      </w:r>
      <w:r>
        <w:rPr/>
        <w:t>неправилности.</w:t>
      </w:r>
    </w:p>
    <w:p>
      <w:pPr>
        <w:spacing w:line="240" w:lineRule="auto" w:before="4"/>
        <w:rPr>
          <w:rFonts w:ascii="Times New Roman" w:hAnsi="Times New Roman" w:cs="Times New Roman" w:eastAsia="Times New Roman" w:hint="default"/>
          <w:sz w:val="22"/>
          <w:szCs w:val="22"/>
        </w:rPr>
      </w:pPr>
    </w:p>
    <w:p>
      <w:pPr>
        <w:pStyle w:val="Heading1"/>
        <w:numPr>
          <w:ilvl w:val="3"/>
          <w:numId w:val="52"/>
        </w:numPr>
        <w:tabs>
          <w:tab w:pos="881" w:val="left" w:leader="none"/>
        </w:tabs>
        <w:spacing w:line="274" w:lineRule="exact" w:before="0" w:after="0"/>
        <w:ind w:left="880" w:right="0" w:hanging="720"/>
        <w:jc w:val="both"/>
        <w:rPr>
          <w:rFonts w:ascii="Times New Roman" w:hAnsi="Times New Roman" w:cs="Times New Roman" w:eastAsia="Times New Roman" w:hint="default"/>
          <w:b w:val="0"/>
          <w:bCs w:val="0"/>
        </w:rPr>
      </w:pPr>
      <w:bookmarkStart w:name="_bookmark40" w:id="70"/>
      <w:bookmarkEnd w:id="70"/>
      <w:r>
        <w:rPr>
          <w:b w:val="0"/>
        </w:rPr>
      </w:r>
      <w:bookmarkStart w:name="_bookmark40" w:id="71"/>
      <w:bookmarkEnd w:id="71"/>
      <w:r>
        <w:rPr/>
        <w:t>Ос</w:t>
      </w:r>
      <w:r>
        <w:rPr/>
        <w:t>тале некретнине и опрема, група</w:t>
      </w:r>
      <w:r>
        <w:rPr>
          <w:spacing w:val="50"/>
        </w:rPr>
        <w:t> </w:t>
      </w:r>
      <w:r>
        <w:rPr>
          <w:rFonts w:ascii="Times New Roman" w:hAnsi="Times New Roman"/>
        </w:rPr>
        <w:t>513000</w:t>
      </w:r>
      <w:r>
        <w:rPr>
          <w:rFonts w:ascii="Times New Roman" w:hAnsi="Times New Roman"/>
          <w:b w:val="0"/>
        </w:rPr>
      </w:r>
    </w:p>
    <w:p>
      <w:pPr>
        <w:pStyle w:val="BodyText"/>
        <w:tabs>
          <w:tab w:pos="7753" w:val="left" w:leader="none"/>
        </w:tabs>
        <w:spacing w:line="240" w:lineRule="auto" w:after="8"/>
        <w:ind w:right="177" w:firstLine="566"/>
        <w:jc w:val="both"/>
        <w:rPr>
          <w:sz w:val="18"/>
          <w:szCs w:val="18"/>
        </w:rPr>
      </w:pPr>
      <w:r>
        <w:rPr/>
        <w:t>Група 513000 – остале некретнине и опрема садржи конто остале некретнине и опрему.</w:t>
        <w:tab/>
      </w:r>
      <w:r>
        <w:rPr>
          <w:sz w:val="18"/>
          <w:szCs w:val="18"/>
        </w:rPr>
        <w:t>(у хиљадама</w:t>
      </w:r>
      <w:r>
        <w:rPr>
          <w:spacing w:val="-8"/>
          <w:sz w:val="18"/>
          <w:szCs w:val="18"/>
        </w:rPr>
        <w:t> </w:t>
      </w:r>
      <w:r>
        <w:rPr>
          <w:sz w:val="18"/>
          <w:szCs w:val="18"/>
        </w:rPr>
        <w:t>динара)</w:t>
      </w:r>
    </w:p>
    <w:tbl>
      <w:tblPr>
        <w:tblW w:w="0" w:type="auto"/>
        <w:jc w:val="left"/>
        <w:tblInd w:w="141" w:type="dxa"/>
        <w:tblLayout w:type="fixed"/>
        <w:tblCellMar>
          <w:top w:w="0" w:type="dxa"/>
          <w:left w:w="0" w:type="dxa"/>
          <w:bottom w:w="0" w:type="dxa"/>
          <w:right w:w="0" w:type="dxa"/>
        </w:tblCellMar>
        <w:tblLook w:val="01E0"/>
      </w:tblPr>
      <w:tblGrid>
        <w:gridCol w:w="706"/>
        <w:gridCol w:w="2581"/>
        <w:gridCol w:w="1131"/>
        <w:gridCol w:w="1411"/>
        <w:gridCol w:w="1138"/>
        <w:gridCol w:w="991"/>
        <w:gridCol w:w="567"/>
        <w:gridCol w:w="706"/>
      </w:tblGrid>
      <w:tr>
        <w:trPr>
          <w:trHeight w:val="425" w:hRule="exact"/>
        </w:trPr>
        <w:tc>
          <w:tcPr>
            <w:tcW w:w="7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77" w:right="95" w:hanging="75"/>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58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
              <w:ind w:right="0"/>
              <w:jc w:val="left"/>
              <w:rPr>
                <w:rFonts w:ascii="Times New Roman" w:hAnsi="Times New Roman" w:cs="Times New Roman" w:eastAsia="Times New Roman" w:hint="default"/>
                <w:sz w:val="17"/>
                <w:szCs w:val="17"/>
              </w:rPr>
            </w:pPr>
          </w:p>
          <w:p>
            <w:pPr>
              <w:pStyle w:val="TableParagraph"/>
              <w:spacing w:line="240" w:lineRule="auto"/>
              <w:ind w:left="482"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8"/>
                <w:sz w:val="18"/>
              </w:rPr>
              <w:t> </w:t>
            </w:r>
            <w:r>
              <w:rPr>
                <w:rFonts w:ascii="Times New Roman" w:hAnsi="Times New Roman"/>
                <w:b/>
                <w:sz w:val="18"/>
              </w:rPr>
              <w:t>корисник</w:t>
            </w:r>
            <w:r>
              <w:rPr>
                <w:rFonts w:ascii="Times New Roman" w:hAnsi="Times New Roman"/>
                <w:sz w:val="18"/>
              </w:rPr>
            </w:r>
          </w:p>
        </w:tc>
        <w:tc>
          <w:tcPr>
            <w:tcW w:w="11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
              <w:ind w:right="0"/>
              <w:jc w:val="left"/>
              <w:rPr>
                <w:rFonts w:ascii="Times New Roman" w:hAnsi="Times New Roman" w:cs="Times New Roman" w:eastAsia="Times New Roman" w:hint="default"/>
                <w:sz w:val="17"/>
                <w:szCs w:val="17"/>
              </w:rPr>
            </w:pPr>
          </w:p>
          <w:p>
            <w:pPr>
              <w:pStyle w:val="TableParagraph"/>
              <w:spacing w:line="240" w:lineRule="auto"/>
              <w:ind w:left="187" w:right="0"/>
              <w:jc w:val="left"/>
              <w:rPr>
                <w:rFonts w:ascii="Times New Roman" w:hAnsi="Times New Roman" w:cs="Times New Roman" w:eastAsia="Times New Roman" w:hint="default"/>
                <w:sz w:val="18"/>
                <w:szCs w:val="18"/>
              </w:rPr>
            </w:pPr>
            <w:r>
              <w:rPr>
                <w:rFonts w:ascii="Times New Roman" w:hAnsi="Times New Roman"/>
                <w:b/>
                <w:sz w:val="18"/>
              </w:rPr>
              <w:t>Ребаланс</w:t>
            </w:r>
            <w:r>
              <w:rPr>
                <w:rFonts w:ascii="Times New Roman" w:hAnsi="Times New Roman"/>
                <w:sz w:val="18"/>
              </w:rPr>
            </w:r>
          </w:p>
        </w:tc>
        <w:tc>
          <w:tcPr>
            <w:tcW w:w="141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32" w:right="124" w:firstLine="88"/>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реалокацијом</w:t>
            </w:r>
            <w:r>
              <w:rPr>
                <w:rFonts w:ascii="Times New Roman" w:hAnsi="Times New Roman"/>
                <w:sz w:val="18"/>
              </w:rPr>
            </w:r>
          </w:p>
        </w:tc>
        <w:tc>
          <w:tcPr>
            <w:tcW w:w="11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48" w:right="141" w:firstLine="31"/>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41" w:right="133" w:firstLine="103"/>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
              <w:ind w:right="0"/>
              <w:jc w:val="left"/>
              <w:rPr>
                <w:rFonts w:ascii="Times New Roman" w:hAnsi="Times New Roman" w:cs="Times New Roman" w:eastAsia="Times New Roman" w:hint="default"/>
                <w:sz w:val="17"/>
                <w:szCs w:val="17"/>
              </w:rPr>
            </w:pPr>
          </w:p>
          <w:p>
            <w:pPr>
              <w:pStyle w:val="TableParagraph"/>
              <w:spacing w:line="240" w:lineRule="auto"/>
              <w:ind w:left="163" w:right="0"/>
              <w:jc w:val="left"/>
              <w:rPr>
                <w:rFonts w:ascii="Times New Roman" w:hAnsi="Times New Roman" w:cs="Times New Roman" w:eastAsia="Times New Roman" w:hint="default"/>
                <w:sz w:val="18"/>
                <w:szCs w:val="18"/>
              </w:rPr>
            </w:pPr>
            <w:r>
              <w:rPr>
                <w:rFonts w:ascii="Times New Roman"/>
                <w:b/>
                <w:sz w:val="18"/>
              </w:rPr>
              <w:t>6/4</w:t>
            </w:r>
            <w:r>
              <w:rPr>
                <w:rFonts w:ascii="Times New Roman"/>
                <w:sz w:val="18"/>
              </w:rPr>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
              <w:ind w:right="0"/>
              <w:jc w:val="left"/>
              <w:rPr>
                <w:rFonts w:ascii="Times New Roman" w:hAnsi="Times New Roman" w:cs="Times New Roman" w:eastAsia="Times New Roman" w:hint="default"/>
                <w:sz w:val="17"/>
                <w:szCs w:val="17"/>
              </w:rPr>
            </w:pPr>
          </w:p>
          <w:p>
            <w:pPr>
              <w:pStyle w:val="TableParagraph"/>
              <w:spacing w:line="240" w:lineRule="auto"/>
              <w:ind w:left="9" w:right="9"/>
              <w:jc w:val="center"/>
              <w:rPr>
                <w:rFonts w:ascii="Times New Roman" w:hAnsi="Times New Roman" w:cs="Times New Roman" w:eastAsia="Times New Roman" w:hint="default"/>
                <w:sz w:val="18"/>
                <w:szCs w:val="18"/>
              </w:rPr>
            </w:pPr>
            <w:r>
              <w:rPr>
                <w:rFonts w:ascii="Times New Roman"/>
                <w:b/>
                <w:sz w:val="18"/>
              </w:rPr>
              <w:t>6/5</w:t>
            </w:r>
            <w:r>
              <w:rPr>
                <w:rFonts w:ascii="Times New Roman"/>
                <w:sz w:val="18"/>
              </w:rPr>
            </w:r>
          </w:p>
        </w:tc>
      </w:tr>
      <w:tr>
        <w:trPr>
          <w:trHeight w:val="146" w:hRule="exact"/>
        </w:trPr>
        <w:tc>
          <w:tcPr>
            <w:tcW w:w="70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1</w:t>
            </w:r>
          </w:p>
        </w:tc>
        <w:tc>
          <w:tcPr>
            <w:tcW w:w="258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2</w:t>
            </w:r>
          </w:p>
        </w:tc>
        <w:tc>
          <w:tcPr>
            <w:tcW w:w="113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3"/>
              <w:jc w:val="center"/>
              <w:rPr>
                <w:rFonts w:ascii="Times New Roman" w:hAnsi="Times New Roman" w:cs="Times New Roman" w:eastAsia="Times New Roman" w:hint="default"/>
                <w:sz w:val="12"/>
                <w:szCs w:val="12"/>
              </w:rPr>
            </w:pPr>
            <w:r>
              <w:rPr>
                <w:rFonts w:ascii="Times New Roman"/>
                <w:sz w:val="12"/>
              </w:rPr>
              <w:t>3</w:t>
            </w:r>
          </w:p>
        </w:tc>
        <w:tc>
          <w:tcPr>
            <w:tcW w:w="141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4</w:t>
            </w:r>
          </w:p>
        </w:tc>
        <w:tc>
          <w:tcPr>
            <w:tcW w:w="1138"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1"/>
              <w:jc w:val="center"/>
              <w:rPr>
                <w:rFonts w:ascii="Times New Roman" w:hAnsi="Times New Roman" w:cs="Times New Roman" w:eastAsia="Times New Roman" w:hint="default"/>
                <w:sz w:val="12"/>
                <w:szCs w:val="12"/>
              </w:rPr>
            </w:pPr>
            <w:r>
              <w:rPr>
                <w:rFonts w:ascii="Times New Roman"/>
                <w:sz w:val="12"/>
              </w:rPr>
              <w:t>5</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460" w:right="0"/>
              <w:jc w:val="left"/>
              <w:rPr>
                <w:rFonts w:ascii="Times New Roman" w:hAnsi="Times New Roman" w:cs="Times New Roman" w:eastAsia="Times New Roman" w:hint="default"/>
                <w:sz w:val="12"/>
                <w:szCs w:val="12"/>
              </w:rPr>
            </w:pPr>
            <w:r>
              <w:rPr>
                <w:rFonts w:ascii="Times New Roman"/>
                <w:sz w:val="12"/>
              </w:rPr>
              <w:t>6</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7</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8</w:t>
            </w:r>
          </w:p>
        </w:tc>
      </w:tr>
      <w:tr>
        <w:trPr>
          <w:trHeight w:val="218" w:hRule="exact"/>
        </w:trPr>
        <w:tc>
          <w:tcPr>
            <w:tcW w:w="70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
              <w:jc w:val="center"/>
              <w:rPr>
                <w:rFonts w:ascii="Times New Roman" w:hAnsi="Times New Roman" w:cs="Times New Roman" w:eastAsia="Times New Roman" w:hint="default"/>
                <w:sz w:val="18"/>
                <w:szCs w:val="18"/>
              </w:rPr>
            </w:pPr>
            <w:r>
              <w:rPr>
                <w:rFonts w:ascii="Times New Roman"/>
                <w:sz w:val="18"/>
              </w:rPr>
              <w:t>1</w:t>
            </w:r>
          </w:p>
        </w:tc>
        <w:tc>
          <w:tcPr>
            <w:tcW w:w="258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ПУ</w:t>
            </w:r>
            <w:r>
              <w:rPr>
                <w:rFonts w:ascii="Times New Roman" w:hAnsi="Times New Roman"/>
                <w:spacing w:val="-5"/>
                <w:sz w:val="18"/>
              </w:rPr>
              <w:t> </w:t>
            </w:r>
            <w:r>
              <w:rPr>
                <w:rFonts w:ascii="Times New Roman" w:hAnsi="Times New Roman"/>
                <w:sz w:val="18"/>
              </w:rPr>
              <w:t>Пчелица</w:t>
            </w:r>
          </w:p>
        </w:tc>
        <w:tc>
          <w:tcPr>
            <w:tcW w:w="113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41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472" w:right="0"/>
              <w:jc w:val="left"/>
              <w:rPr>
                <w:rFonts w:ascii="Times New Roman" w:hAnsi="Times New Roman" w:cs="Times New Roman" w:eastAsia="Times New Roman" w:hint="default"/>
                <w:sz w:val="18"/>
                <w:szCs w:val="18"/>
              </w:rPr>
            </w:pPr>
            <w:r>
              <w:rPr>
                <w:rFonts w:ascii="Times New Roman"/>
                <w:sz w:val="18"/>
              </w:rPr>
              <w:t>1.728</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r>
      <w:tr>
        <w:trPr>
          <w:trHeight w:val="216" w:hRule="exact"/>
        </w:trPr>
        <w:tc>
          <w:tcPr>
            <w:tcW w:w="3286"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655" w:right="0"/>
              <w:jc w:val="left"/>
              <w:rPr>
                <w:rFonts w:ascii="Times New Roman" w:hAnsi="Times New Roman" w:cs="Times New Roman" w:eastAsia="Times New Roman" w:hint="default"/>
                <w:sz w:val="18"/>
                <w:szCs w:val="18"/>
              </w:rPr>
            </w:pPr>
            <w:r>
              <w:rPr>
                <w:rFonts w:ascii="Times New Roman" w:hAnsi="Times New Roman"/>
                <w:b/>
                <w:sz w:val="18"/>
              </w:rPr>
              <w:t>Укупно корисници</w:t>
            </w:r>
            <w:r>
              <w:rPr>
                <w:rFonts w:ascii="Times New Roman" w:hAnsi="Times New Roman"/>
                <w:b/>
                <w:spacing w:val="-2"/>
                <w:sz w:val="18"/>
              </w:rPr>
              <w:t> </w:t>
            </w:r>
            <w:r>
              <w:rPr>
                <w:rFonts w:ascii="Times New Roman" w:hAnsi="Times New Roman"/>
                <w:b/>
                <w:sz w:val="18"/>
              </w:rPr>
              <w:t>(1</w:t>
            </w:r>
            <w:r>
              <w:rPr>
                <w:rFonts w:ascii="Times New Roman" w:hAnsi="Times New Roman"/>
                <w:b/>
                <w:sz w:val="18"/>
              </w:rPr>
              <w:t>-1)</w:t>
            </w:r>
            <w:r>
              <w:rPr>
                <w:rFonts w:ascii="Times New Roman" w:hAnsi="Times New Roman"/>
                <w:sz w:val="18"/>
              </w:rPr>
            </w:r>
          </w:p>
        </w:tc>
        <w:tc>
          <w:tcPr>
            <w:tcW w:w="11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w w:val="99"/>
                <w:sz w:val="18"/>
              </w:rPr>
              <w:t>-</w:t>
            </w:r>
            <w:r>
              <w:rPr>
                <w:rFonts w:ascii="Times New Roman"/>
                <w:sz w:val="18"/>
              </w:rPr>
            </w:r>
          </w:p>
        </w:tc>
        <w:tc>
          <w:tcPr>
            <w:tcW w:w="141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w w:val="99"/>
                <w:sz w:val="18"/>
              </w:rPr>
              <w:t>-</w:t>
            </w:r>
            <w:r>
              <w:rPr>
                <w:rFonts w:ascii="Times New Roman"/>
                <w:sz w:val="18"/>
              </w:rPr>
            </w:r>
          </w:p>
        </w:tc>
        <w:tc>
          <w:tcPr>
            <w:tcW w:w="11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w w:val="99"/>
                <w:sz w:val="18"/>
              </w:rPr>
              <w:t>-</w:t>
            </w:r>
            <w:r>
              <w:rPr>
                <w:rFonts w:ascii="Times New Roman"/>
                <w:sz w:val="18"/>
              </w:rPr>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472" w:right="0"/>
              <w:jc w:val="left"/>
              <w:rPr>
                <w:rFonts w:ascii="Times New Roman" w:hAnsi="Times New Roman" w:cs="Times New Roman" w:eastAsia="Times New Roman" w:hint="default"/>
                <w:sz w:val="18"/>
                <w:szCs w:val="18"/>
              </w:rPr>
            </w:pPr>
            <w:r>
              <w:rPr>
                <w:rFonts w:ascii="Times New Roman"/>
                <w:b/>
                <w:sz w:val="18"/>
              </w:rPr>
              <w:t>1.728</w:t>
            </w:r>
            <w:r>
              <w:rPr>
                <w:rFonts w:ascii="Times New Roman"/>
                <w:sz w:val="18"/>
              </w:rPr>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2"/>
              <w:jc w:val="right"/>
              <w:rPr>
                <w:rFonts w:ascii="Times New Roman" w:hAnsi="Times New Roman" w:cs="Times New Roman" w:eastAsia="Times New Roman" w:hint="default"/>
                <w:sz w:val="18"/>
                <w:szCs w:val="18"/>
              </w:rPr>
            </w:pPr>
            <w:r>
              <w:rPr>
                <w:rFonts w:ascii="Times New Roman"/>
                <w:b/>
                <w:sz w:val="18"/>
              </w:rPr>
              <w:t>0</w:t>
            </w:r>
            <w:r>
              <w:rPr>
                <w:rFonts w:ascii="Times New Roman"/>
                <w:sz w:val="18"/>
              </w:rPr>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2"/>
              <w:jc w:val="right"/>
              <w:rPr>
                <w:rFonts w:ascii="Times New Roman" w:hAnsi="Times New Roman" w:cs="Times New Roman" w:eastAsia="Times New Roman" w:hint="default"/>
                <w:sz w:val="18"/>
                <w:szCs w:val="18"/>
              </w:rPr>
            </w:pPr>
            <w:r>
              <w:rPr>
                <w:rFonts w:ascii="Times New Roman"/>
                <w:b/>
                <w:sz w:val="18"/>
              </w:rPr>
              <w:t>0</w:t>
            </w:r>
            <w:r>
              <w:rPr>
                <w:rFonts w:ascii="Times New Roman"/>
                <w:sz w:val="18"/>
              </w:rPr>
            </w:r>
          </w:p>
        </w:tc>
      </w:tr>
      <w:tr>
        <w:trPr>
          <w:trHeight w:val="218" w:hRule="exact"/>
        </w:trPr>
        <w:tc>
          <w:tcPr>
            <w:tcW w:w="3286"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724" w:right="0"/>
              <w:jc w:val="left"/>
              <w:rPr>
                <w:rFonts w:ascii="Times New Roman" w:hAnsi="Times New Roman" w:cs="Times New Roman" w:eastAsia="Times New Roman" w:hint="default"/>
                <w:sz w:val="18"/>
                <w:szCs w:val="18"/>
              </w:rPr>
            </w:pPr>
            <w:r>
              <w:rPr>
                <w:rFonts w:ascii="Times New Roman" w:hAnsi="Times New Roman"/>
                <w:b/>
                <w:sz w:val="18"/>
              </w:rPr>
              <w:t>Укупно </w:t>
            </w:r>
            <w:r>
              <w:rPr>
                <w:rFonts w:ascii="Times New Roman" w:hAnsi="Times New Roman"/>
                <w:b/>
                <w:sz w:val="18"/>
              </w:rPr>
              <w:t>- </w:t>
            </w:r>
            <w:r>
              <w:rPr>
                <w:rFonts w:ascii="Times New Roman" w:hAnsi="Times New Roman"/>
                <w:b/>
                <w:sz w:val="18"/>
              </w:rPr>
              <w:t>група</w:t>
            </w:r>
            <w:r>
              <w:rPr>
                <w:rFonts w:ascii="Times New Roman" w:hAnsi="Times New Roman"/>
                <w:b/>
                <w:spacing w:val="-4"/>
                <w:sz w:val="18"/>
              </w:rPr>
              <w:t> </w:t>
            </w:r>
            <w:r>
              <w:rPr>
                <w:rFonts w:ascii="Times New Roman" w:hAnsi="Times New Roman"/>
                <w:b/>
                <w:sz w:val="18"/>
              </w:rPr>
              <w:t>513000</w:t>
            </w:r>
            <w:r>
              <w:rPr>
                <w:rFonts w:ascii="Times New Roman" w:hAnsi="Times New Roman"/>
                <w:sz w:val="18"/>
              </w:rPr>
            </w:r>
          </w:p>
        </w:tc>
        <w:tc>
          <w:tcPr>
            <w:tcW w:w="11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w w:val="99"/>
                <w:sz w:val="18"/>
              </w:rPr>
              <w:t>-</w:t>
            </w:r>
            <w:r>
              <w:rPr>
                <w:rFonts w:ascii="Times New Roman"/>
                <w:sz w:val="18"/>
              </w:rPr>
            </w:r>
          </w:p>
        </w:tc>
        <w:tc>
          <w:tcPr>
            <w:tcW w:w="141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w w:val="99"/>
                <w:sz w:val="18"/>
              </w:rPr>
              <w:t>-</w:t>
            </w:r>
            <w:r>
              <w:rPr>
                <w:rFonts w:ascii="Times New Roman"/>
                <w:sz w:val="18"/>
              </w:rPr>
            </w:r>
          </w:p>
        </w:tc>
        <w:tc>
          <w:tcPr>
            <w:tcW w:w="11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w w:val="99"/>
                <w:sz w:val="18"/>
              </w:rPr>
              <w:t>-</w:t>
            </w:r>
            <w:r>
              <w:rPr>
                <w:rFonts w:ascii="Times New Roman"/>
                <w:sz w:val="18"/>
              </w:rPr>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472" w:right="0"/>
              <w:jc w:val="left"/>
              <w:rPr>
                <w:rFonts w:ascii="Times New Roman" w:hAnsi="Times New Roman" w:cs="Times New Roman" w:eastAsia="Times New Roman" w:hint="default"/>
                <w:sz w:val="18"/>
                <w:szCs w:val="18"/>
              </w:rPr>
            </w:pPr>
            <w:r>
              <w:rPr>
                <w:rFonts w:ascii="Times New Roman"/>
                <w:b/>
                <w:sz w:val="18"/>
              </w:rPr>
              <w:t>1.728</w:t>
            </w:r>
            <w:r>
              <w:rPr>
                <w:rFonts w:ascii="Times New Roman"/>
                <w:sz w:val="18"/>
              </w:rPr>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2"/>
              <w:jc w:val="right"/>
              <w:rPr>
                <w:rFonts w:ascii="Times New Roman" w:hAnsi="Times New Roman" w:cs="Times New Roman" w:eastAsia="Times New Roman" w:hint="default"/>
                <w:sz w:val="18"/>
                <w:szCs w:val="18"/>
              </w:rPr>
            </w:pPr>
            <w:r>
              <w:rPr>
                <w:rFonts w:ascii="Times New Roman"/>
                <w:b/>
                <w:sz w:val="18"/>
              </w:rPr>
              <w:t>0</w:t>
            </w:r>
            <w:r>
              <w:rPr>
                <w:rFonts w:ascii="Times New Roman"/>
                <w:sz w:val="18"/>
              </w:rPr>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2"/>
              <w:jc w:val="right"/>
              <w:rPr>
                <w:rFonts w:ascii="Times New Roman" w:hAnsi="Times New Roman" w:cs="Times New Roman" w:eastAsia="Times New Roman" w:hint="default"/>
                <w:sz w:val="18"/>
                <w:szCs w:val="18"/>
              </w:rPr>
            </w:pPr>
            <w:r>
              <w:rPr>
                <w:rFonts w:ascii="Times New Roman"/>
                <w:b/>
                <w:sz w:val="18"/>
              </w:rPr>
              <w:t>0</w:t>
            </w:r>
            <w:r>
              <w:rPr>
                <w:rFonts w:ascii="Times New Roman"/>
                <w:sz w:val="18"/>
              </w:rPr>
            </w:r>
          </w:p>
        </w:tc>
      </w:tr>
    </w:tbl>
    <w:p>
      <w:pPr>
        <w:pStyle w:val="BodyText"/>
        <w:spacing w:line="240" w:lineRule="auto"/>
        <w:ind w:right="173" w:firstLine="566"/>
        <w:jc w:val="both"/>
        <w:rPr>
          <w:rFonts w:ascii="Times New Roman" w:hAnsi="Times New Roman" w:cs="Times New Roman" w:eastAsia="Times New Roman" w:hint="default"/>
        </w:rPr>
      </w:pPr>
      <w:r>
        <w:rPr/>
        <w:t>На групи </w:t>
      </w:r>
      <w:r>
        <w:rPr>
          <w:rFonts w:ascii="Times New Roman" w:hAnsi="Times New Roman" w:cs="Times New Roman" w:eastAsia="Times New Roman" w:hint="default"/>
        </w:rPr>
        <w:t>513000 </w:t>
      </w:r>
      <w:r>
        <w:rPr/>
        <w:t>није евидентиран издатак. У поступку ревизије утврђено је да су неправилно евидентирани издаци за остале некретнине и опрему на групи </w:t>
      </w:r>
      <w:r>
        <w:rPr>
          <w:rFonts w:ascii="Times New Roman" w:hAnsi="Times New Roman" w:cs="Times New Roman" w:eastAsia="Times New Roman" w:hint="default"/>
        </w:rPr>
        <w:t>426000 </w:t>
      </w:r>
      <w:r>
        <w:rPr/>
        <w:t>– материјал у износу од 1.728 хиљада динара, што је објашњено у тачки </w:t>
      </w:r>
      <w:r>
        <w:rPr>
          <w:rFonts w:ascii="Times New Roman" w:hAnsi="Times New Roman" w:cs="Times New Roman" w:eastAsia="Times New Roman" w:hint="default"/>
        </w:rPr>
        <w:t>4.1.4.13.  </w:t>
      </w:r>
      <w:r>
        <w:rPr/>
        <w:t>Напомена</w:t>
      </w:r>
      <w:r>
        <w:rPr>
          <w:rFonts w:ascii="Times New Roman" w:hAnsi="Times New Roman" w:cs="Times New Roman" w:eastAsia="Times New Roman" w:hint="default"/>
        </w:rPr>
        <w:t>.</w:t>
      </w:r>
    </w:p>
    <w:p>
      <w:pPr>
        <w:spacing w:line="240" w:lineRule="auto" w:before="4"/>
        <w:rPr>
          <w:rFonts w:ascii="Times New Roman" w:hAnsi="Times New Roman" w:cs="Times New Roman" w:eastAsia="Times New Roman" w:hint="default"/>
          <w:sz w:val="22"/>
          <w:szCs w:val="22"/>
        </w:rPr>
      </w:pPr>
    </w:p>
    <w:p>
      <w:pPr>
        <w:pStyle w:val="Heading1"/>
        <w:numPr>
          <w:ilvl w:val="3"/>
          <w:numId w:val="52"/>
        </w:numPr>
        <w:tabs>
          <w:tab w:pos="1001" w:val="left" w:leader="none"/>
        </w:tabs>
        <w:spacing w:line="274" w:lineRule="exact" w:before="0" w:after="0"/>
        <w:ind w:left="1000" w:right="0" w:hanging="840"/>
        <w:jc w:val="left"/>
        <w:rPr>
          <w:rFonts w:ascii="Times New Roman" w:hAnsi="Times New Roman" w:cs="Times New Roman" w:eastAsia="Times New Roman" w:hint="default"/>
          <w:b w:val="0"/>
          <w:bCs w:val="0"/>
        </w:rPr>
      </w:pPr>
      <w:bookmarkStart w:name="_bookmark41" w:id="72"/>
      <w:bookmarkEnd w:id="72"/>
      <w:r>
        <w:rPr>
          <w:b w:val="0"/>
        </w:rPr>
      </w:r>
      <w:bookmarkStart w:name="_bookmark41" w:id="73"/>
      <w:bookmarkEnd w:id="73"/>
      <w:r>
        <w:rPr/>
        <w:t>Не</w:t>
      </w:r>
      <w:r>
        <w:rPr/>
        <w:t>материјална имовина, група</w:t>
      </w:r>
      <w:r>
        <w:rPr>
          <w:spacing w:val="-7"/>
        </w:rPr>
        <w:t> </w:t>
      </w:r>
      <w:r>
        <w:rPr>
          <w:rFonts w:ascii="Times New Roman" w:hAnsi="Times New Roman"/>
        </w:rPr>
        <w:t>515000</w:t>
      </w:r>
      <w:r>
        <w:rPr>
          <w:rFonts w:ascii="Times New Roman" w:hAnsi="Times New Roman"/>
          <w:b w:val="0"/>
        </w:rPr>
      </w:r>
    </w:p>
    <w:p>
      <w:pPr>
        <w:pStyle w:val="BodyText"/>
        <w:spacing w:line="240" w:lineRule="auto"/>
        <w:ind w:right="179" w:firstLine="566"/>
        <w:jc w:val="both"/>
      </w:pPr>
      <w:r>
        <w:rPr/>
        <w:t>Група 51</w:t>
      </w:r>
      <w:r>
        <w:rPr>
          <w:rFonts w:ascii="Times New Roman" w:hAnsi="Times New Roman"/>
        </w:rPr>
        <w:t>5000 - </w:t>
      </w:r>
      <w:r>
        <w:rPr/>
        <w:t>Нематеријална имовина садржи синтетичка конта за компјутерски софтвер, књижевна и уметничка дела, остала нематеријална основна</w:t>
      </w:r>
      <w:r>
        <w:rPr>
          <w:spacing w:val="-21"/>
        </w:rPr>
        <w:t> </w:t>
      </w:r>
      <w:r>
        <w:rPr/>
        <w:t>средства.</w:t>
      </w:r>
    </w:p>
    <w:p>
      <w:pPr>
        <w:spacing w:before="3" w:after="4"/>
        <w:ind w:left="0" w:right="179" w:firstLine="0"/>
        <w:jc w:val="right"/>
        <w:rPr>
          <w:rFonts w:ascii="Times New Roman" w:hAnsi="Times New Roman" w:cs="Times New Roman" w:eastAsia="Times New Roman" w:hint="default"/>
          <w:sz w:val="18"/>
          <w:szCs w:val="18"/>
        </w:rPr>
      </w:pPr>
      <w:r>
        <w:rPr>
          <w:rFonts w:ascii="Times New Roman" w:hAnsi="Times New Roman"/>
          <w:sz w:val="18"/>
        </w:rPr>
        <w:t>(у хиљадама</w:t>
      </w:r>
      <w:r>
        <w:rPr>
          <w:rFonts w:ascii="Times New Roman" w:hAnsi="Times New Roman"/>
          <w:spacing w:val="-9"/>
          <w:sz w:val="18"/>
        </w:rPr>
        <w:t> </w:t>
      </w:r>
      <w:r>
        <w:rPr>
          <w:rFonts w:ascii="Times New Roman" w:hAnsi="Times New Roman"/>
          <w:sz w:val="18"/>
        </w:rPr>
        <w:t>динара)</w:t>
      </w:r>
    </w:p>
    <w:tbl>
      <w:tblPr>
        <w:tblW w:w="0" w:type="auto"/>
        <w:jc w:val="left"/>
        <w:tblInd w:w="141" w:type="dxa"/>
        <w:tblLayout w:type="fixed"/>
        <w:tblCellMar>
          <w:top w:w="0" w:type="dxa"/>
          <w:left w:w="0" w:type="dxa"/>
          <w:bottom w:w="0" w:type="dxa"/>
          <w:right w:w="0" w:type="dxa"/>
        </w:tblCellMar>
        <w:tblLook w:val="01E0"/>
      </w:tblPr>
      <w:tblGrid>
        <w:gridCol w:w="722"/>
        <w:gridCol w:w="2554"/>
        <w:gridCol w:w="960"/>
        <w:gridCol w:w="1351"/>
        <w:gridCol w:w="1047"/>
        <w:gridCol w:w="936"/>
        <w:gridCol w:w="845"/>
        <w:gridCol w:w="847"/>
      </w:tblGrid>
      <w:tr>
        <w:trPr>
          <w:trHeight w:val="50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87" w:right="102" w:hanging="75"/>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4"/>
              <w:ind w:left="467"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8"/>
                <w:sz w:val="18"/>
              </w:rPr>
              <w:t> </w:t>
            </w:r>
            <w:r>
              <w:rPr>
                <w:rFonts w:ascii="Times New Roman" w:hAnsi="Times New Roman"/>
                <w:b/>
                <w:sz w:val="18"/>
              </w:rPr>
              <w:t>корисник</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4"/>
              <w:ind w:right="103"/>
              <w:jc w:val="right"/>
              <w:rPr>
                <w:rFonts w:ascii="Times New Roman" w:hAnsi="Times New Roman" w:cs="Times New Roman" w:eastAsia="Times New Roman" w:hint="default"/>
                <w:sz w:val="18"/>
                <w:szCs w:val="18"/>
              </w:rPr>
            </w:pPr>
            <w:r>
              <w:rPr>
                <w:rFonts w:ascii="Times New Roman" w:hAnsi="Times New Roman"/>
                <w:b/>
                <w:spacing w:val="-1"/>
                <w:sz w:val="18"/>
              </w:rPr>
              <w:t>Ребаланс</w:t>
            </w:r>
            <w:r>
              <w:rPr>
                <w:rFonts w:ascii="Times New Roman" w:hAns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03" w:right="93" w:firstLine="88"/>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реалокацијом</w:t>
            </w:r>
            <w:r>
              <w:rPr>
                <w:rFonts w:ascii="Times New Roman" w:hAns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03" w:right="95"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12" w:right="107"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299" w:right="110"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02" w:right="109"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4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326" w:right="0"/>
              <w:jc w:val="left"/>
              <w:rPr>
                <w:rFonts w:ascii="Times New Roman" w:hAnsi="Times New Roman" w:cs="Times New Roman" w:eastAsia="Times New Roman" w:hint="default"/>
                <w:sz w:val="12"/>
                <w:szCs w:val="12"/>
              </w:rPr>
            </w:pPr>
            <w:r>
              <w:rPr>
                <w:rFonts w:ascii="Times New Roman"/>
                <w:sz w:val="12"/>
              </w:rPr>
              <w:t>1</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1"/>
              <w:jc w:val="center"/>
              <w:rPr>
                <w:rFonts w:ascii="Times New Roman" w:hAnsi="Times New Roman" w:cs="Times New Roman" w:eastAsia="Times New Roman" w:hint="default"/>
                <w:sz w:val="12"/>
                <w:szCs w:val="12"/>
              </w:rPr>
            </w:pPr>
            <w:r>
              <w:rPr>
                <w:rFonts w:ascii="Times New Roman"/>
                <w:sz w:val="12"/>
              </w:rPr>
              <w:t>2</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2"/>
              <w:jc w:val="center"/>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
              <w:jc w:val="center"/>
              <w:rPr>
                <w:rFonts w:ascii="Times New Roman" w:hAnsi="Times New Roman" w:cs="Times New Roman" w:eastAsia="Times New Roman" w:hint="default"/>
                <w:sz w:val="12"/>
                <w:szCs w:val="12"/>
              </w:rPr>
            </w:pPr>
            <w:r>
              <w:rPr>
                <w:rFonts w:ascii="Times New Roman"/>
                <w:sz w:val="12"/>
              </w:rPr>
              <w:t>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7</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8</w:t>
            </w:r>
          </w:p>
        </w:tc>
      </w:tr>
      <w:tr>
        <w:trPr>
          <w:trHeight w:val="218"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11" w:right="0"/>
              <w:jc w:val="left"/>
              <w:rPr>
                <w:rFonts w:ascii="Times New Roman" w:hAnsi="Times New Roman" w:cs="Times New Roman" w:eastAsia="Times New Roman" w:hint="default"/>
                <w:sz w:val="18"/>
                <w:szCs w:val="18"/>
              </w:rPr>
            </w:pPr>
            <w:r>
              <w:rPr>
                <w:rFonts w:ascii="Times New Roman"/>
                <w:sz w:val="18"/>
              </w:rPr>
              <w:t>1</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Служба за одржавање и</w:t>
            </w:r>
            <w:r>
              <w:rPr>
                <w:rFonts w:ascii="Times New Roman" w:hAnsi="Times New Roman"/>
                <w:spacing w:val="-5"/>
                <w:sz w:val="18"/>
              </w:rPr>
              <w:t> </w:t>
            </w:r>
            <w:r>
              <w:rPr>
                <w:rFonts w:ascii="Times New Roman" w:hAnsi="Times New Roman"/>
                <w:sz w:val="18"/>
              </w:rPr>
              <w:t>ИКТ</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1.400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1.400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z w:val="18"/>
              </w:rPr>
              <w:t>777</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z w:val="18"/>
              </w:rPr>
              <w:t>777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55,50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11" w:right="0"/>
              <w:jc w:val="left"/>
              <w:rPr>
                <w:rFonts w:ascii="Times New Roman" w:hAnsi="Times New Roman" w:cs="Times New Roman" w:eastAsia="Times New Roman" w:hint="default"/>
                <w:sz w:val="18"/>
                <w:szCs w:val="18"/>
              </w:rPr>
            </w:pPr>
            <w:r>
              <w:rPr>
                <w:rFonts w:ascii="Times New Roman"/>
                <w:sz w:val="18"/>
              </w:rPr>
              <w:t>2</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6"/>
                <w:sz w:val="18"/>
              </w:rPr>
              <w:t> </w:t>
            </w:r>
            <w:r>
              <w:rPr>
                <w:rFonts w:ascii="Times New Roman" w:hAnsi="Times New Roman"/>
                <w:sz w:val="18"/>
              </w:rPr>
              <w:t>културу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6.313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10.674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448</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448</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4,20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38"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left="441" w:right="0"/>
              <w:jc w:val="left"/>
              <w:rPr>
                <w:rFonts w:ascii="Times New Roman" w:hAnsi="Times New Roman" w:cs="Times New Roman" w:eastAsia="Times New Roman" w:hint="default"/>
                <w:sz w:val="18"/>
                <w:szCs w:val="18"/>
              </w:rPr>
            </w:pPr>
            <w:r>
              <w:rPr>
                <w:rFonts w:ascii="Times New Roman" w:hAnsi="Times New Roman"/>
                <w:sz w:val="18"/>
              </w:rPr>
              <w:t>2а</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left="103" w:right="0"/>
              <w:jc w:val="left"/>
              <w:rPr>
                <w:rFonts w:ascii="Times New Roman" w:hAnsi="Times New Roman" w:cs="Times New Roman" w:eastAsia="Times New Roman" w:hint="default"/>
                <w:sz w:val="18"/>
                <w:szCs w:val="18"/>
              </w:rPr>
            </w:pPr>
            <w:r>
              <w:rPr>
                <w:rFonts w:ascii="Times New Roman" w:hAnsi="Times New Roman"/>
                <w:sz w:val="18"/>
              </w:rPr>
              <w:t>Народна</w:t>
            </w:r>
            <w:r>
              <w:rPr>
                <w:rFonts w:ascii="Times New Roman" w:hAnsi="Times New Roman"/>
                <w:spacing w:val="-7"/>
                <w:sz w:val="18"/>
              </w:rPr>
              <w:t> </w:t>
            </w:r>
            <w:r>
              <w:rPr>
                <w:rFonts w:ascii="Times New Roman" w:hAnsi="Times New Roman"/>
                <w:sz w:val="18"/>
              </w:rPr>
              <w:t>библиотека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right="100"/>
              <w:jc w:val="right"/>
              <w:rPr>
                <w:rFonts w:ascii="Times New Roman" w:hAnsi="Times New Roman" w:cs="Times New Roman" w:eastAsia="Times New Roman" w:hint="default"/>
                <w:sz w:val="18"/>
                <w:szCs w:val="18"/>
              </w:rPr>
            </w:pPr>
            <w:r>
              <w:rPr>
                <w:rFonts w:ascii="Times New Roman"/>
                <w:sz w:val="18"/>
              </w:rPr>
              <w:t>1.741</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right="100"/>
              <w:jc w:val="right"/>
              <w:rPr>
                <w:rFonts w:ascii="Times New Roman" w:hAnsi="Times New Roman" w:cs="Times New Roman" w:eastAsia="Times New Roman" w:hint="default"/>
                <w:sz w:val="18"/>
                <w:szCs w:val="18"/>
              </w:rPr>
            </w:pPr>
            <w:r>
              <w:rPr>
                <w:rFonts w:ascii="Times New Roman"/>
                <w:sz w:val="18"/>
              </w:rPr>
              <w:t>1.741</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right="101"/>
              <w:jc w:val="right"/>
              <w:rPr>
                <w:rFonts w:ascii="Times New Roman" w:hAnsi="Times New Roman" w:cs="Times New Roman" w:eastAsia="Times New Roman" w:hint="default"/>
                <w:sz w:val="18"/>
                <w:szCs w:val="18"/>
              </w:rPr>
            </w:pPr>
            <w:r>
              <w:rPr>
                <w:rFonts w:ascii="Times New Roman"/>
                <w:sz w:val="18"/>
              </w:rPr>
              <w:t>399</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right="101"/>
              <w:jc w:val="right"/>
              <w:rPr>
                <w:rFonts w:ascii="Times New Roman" w:hAnsi="Times New Roman" w:cs="Times New Roman" w:eastAsia="Times New Roman" w:hint="default"/>
                <w:sz w:val="18"/>
                <w:szCs w:val="18"/>
              </w:rPr>
            </w:pPr>
            <w:r>
              <w:rPr>
                <w:rFonts w:ascii="Times New Roman"/>
                <w:sz w:val="18"/>
              </w:rPr>
              <w:t>399</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right="100"/>
              <w:jc w:val="right"/>
              <w:rPr>
                <w:rFonts w:ascii="Times New Roman" w:hAnsi="Times New Roman" w:cs="Times New Roman" w:eastAsia="Times New Roman" w:hint="default"/>
                <w:sz w:val="18"/>
                <w:szCs w:val="18"/>
              </w:rPr>
            </w:pPr>
            <w:r>
              <w:rPr>
                <w:rFonts w:ascii="Times New Roman"/>
                <w:sz w:val="18"/>
              </w:rPr>
              <w:t>22,92</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16"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633" w:right="0"/>
              <w:jc w:val="left"/>
              <w:rPr>
                <w:rFonts w:ascii="Times New Roman" w:hAnsi="Times New Roman" w:cs="Times New Roman" w:eastAsia="Times New Roman" w:hint="default"/>
                <w:sz w:val="18"/>
                <w:szCs w:val="18"/>
              </w:rPr>
            </w:pPr>
            <w:r>
              <w:rPr>
                <w:rFonts w:ascii="Times New Roman" w:hAnsi="Times New Roman"/>
                <w:b/>
                <w:sz w:val="18"/>
              </w:rPr>
              <w:t>Укупно  корисника</w:t>
            </w:r>
            <w:r>
              <w:rPr>
                <w:rFonts w:ascii="Times New Roman" w:hAnsi="Times New Roman"/>
                <w:b/>
                <w:spacing w:val="-4"/>
                <w:sz w:val="18"/>
              </w:rPr>
              <w:t> </w:t>
            </w:r>
            <w:r>
              <w:rPr>
                <w:rFonts w:ascii="Times New Roman" w:hAnsi="Times New Roman"/>
                <w:b/>
                <w:sz w:val="18"/>
              </w:rPr>
              <w:t>(1</w:t>
            </w:r>
            <w:r>
              <w:rPr>
                <w:rFonts w:ascii="Times New Roman" w:hAnsi="Times New Roman"/>
                <w:b/>
                <w:sz w:val="18"/>
              </w:rPr>
              <w:t>-2)</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7.713</w:t>
            </w:r>
            <w:r>
              <w:rPr>
                <w:rFonts w:ascii="Times New Roman"/>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12.074</w:t>
            </w:r>
            <w:r>
              <w:rPr>
                <w:rFonts w:ascii="Times New Roman"/>
                <w:spacing w:val="-1"/>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3"/>
              <w:jc w:val="right"/>
              <w:rPr>
                <w:rFonts w:ascii="Times New Roman" w:hAnsi="Times New Roman" w:cs="Times New Roman" w:eastAsia="Times New Roman" w:hint="default"/>
                <w:sz w:val="18"/>
                <w:szCs w:val="18"/>
              </w:rPr>
            </w:pPr>
            <w:r>
              <w:rPr>
                <w:rFonts w:ascii="Times New Roman"/>
                <w:b/>
                <w:sz w:val="18"/>
              </w:rPr>
              <w:t>1.225</w:t>
            </w:r>
            <w:r>
              <w:rPr>
                <w:rFonts w:asci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2"/>
              <w:jc w:val="right"/>
              <w:rPr>
                <w:rFonts w:ascii="Times New Roman" w:hAnsi="Times New Roman" w:cs="Times New Roman" w:eastAsia="Times New Roman" w:hint="default"/>
                <w:sz w:val="18"/>
                <w:szCs w:val="18"/>
              </w:rPr>
            </w:pPr>
            <w:r>
              <w:rPr>
                <w:rFonts w:ascii="Times New Roman"/>
                <w:b/>
                <w:sz w:val="18"/>
              </w:rPr>
              <w:t>1225</w:t>
            </w:r>
            <w:r>
              <w:rPr>
                <w:rFonts w:asci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10,15</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100,00</w:t>
            </w:r>
            <w:r>
              <w:rPr>
                <w:rFonts w:ascii="Times New Roman"/>
                <w:spacing w:val="-1"/>
                <w:sz w:val="18"/>
              </w:rPr>
            </w:r>
          </w:p>
        </w:tc>
      </w:tr>
      <w:tr>
        <w:trPr>
          <w:trHeight w:val="218"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499" w:right="0"/>
              <w:jc w:val="left"/>
              <w:rPr>
                <w:rFonts w:ascii="Times New Roman" w:hAnsi="Times New Roman" w:cs="Times New Roman" w:eastAsia="Times New Roman" w:hint="default"/>
                <w:sz w:val="18"/>
                <w:szCs w:val="18"/>
              </w:rPr>
            </w:pPr>
            <w:r>
              <w:rPr>
                <w:rFonts w:ascii="Times New Roman" w:hAnsi="Times New Roman"/>
                <w:b/>
                <w:sz w:val="18"/>
              </w:rPr>
              <w:t>Укупно Град </w:t>
            </w:r>
            <w:r>
              <w:rPr>
                <w:rFonts w:ascii="Times New Roman" w:hAnsi="Times New Roman"/>
                <w:b/>
                <w:sz w:val="18"/>
              </w:rPr>
              <w:t>- </w:t>
            </w:r>
            <w:r>
              <w:rPr>
                <w:rFonts w:ascii="Times New Roman" w:hAnsi="Times New Roman"/>
                <w:b/>
                <w:sz w:val="18"/>
              </w:rPr>
              <w:t>група</w:t>
            </w:r>
            <w:r>
              <w:rPr>
                <w:rFonts w:ascii="Times New Roman" w:hAnsi="Times New Roman"/>
                <w:b/>
                <w:spacing w:val="-5"/>
                <w:sz w:val="18"/>
              </w:rPr>
              <w:t> </w:t>
            </w:r>
            <w:r>
              <w:rPr>
                <w:rFonts w:ascii="Times New Roman" w:hAnsi="Times New Roman"/>
                <w:b/>
                <w:sz w:val="18"/>
              </w:rPr>
              <w:t>515000</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8.215</w:t>
            </w:r>
            <w:r>
              <w:rPr>
                <w:rFonts w:ascii="Times New Roman"/>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12.577</w:t>
            </w:r>
            <w:r>
              <w:rPr>
                <w:rFonts w:ascii="Times New Roman"/>
                <w:spacing w:val="-1"/>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3"/>
              <w:jc w:val="right"/>
              <w:rPr>
                <w:rFonts w:ascii="Times New Roman" w:hAnsi="Times New Roman" w:cs="Times New Roman" w:eastAsia="Times New Roman" w:hint="default"/>
                <w:sz w:val="18"/>
                <w:szCs w:val="18"/>
              </w:rPr>
            </w:pPr>
            <w:r>
              <w:rPr>
                <w:rFonts w:ascii="Times New Roman"/>
                <w:b/>
                <w:sz w:val="18"/>
              </w:rPr>
              <w:t>1.662</w:t>
            </w:r>
            <w:r>
              <w:rPr>
                <w:rFonts w:asci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2"/>
              <w:jc w:val="right"/>
              <w:rPr>
                <w:rFonts w:ascii="Times New Roman" w:hAnsi="Times New Roman" w:cs="Times New Roman" w:eastAsia="Times New Roman" w:hint="default"/>
                <w:sz w:val="18"/>
                <w:szCs w:val="18"/>
              </w:rPr>
            </w:pPr>
            <w:r>
              <w:rPr>
                <w:rFonts w:ascii="Times New Roman"/>
                <w:b/>
                <w:sz w:val="18"/>
              </w:rPr>
              <w:t>1.662</w:t>
            </w:r>
            <w:r>
              <w:rPr>
                <w:rFonts w:asci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13,21</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100,00</w:t>
            </w:r>
            <w:r>
              <w:rPr>
                <w:rFonts w:ascii="Times New Roman"/>
                <w:spacing w:val="-1"/>
                <w:sz w:val="18"/>
              </w:rPr>
            </w:r>
          </w:p>
        </w:tc>
      </w:tr>
    </w:tbl>
    <w:p>
      <w:pPr>
        <w:spacing w:after="0" w:line="240" w:lineRule="auto"/>
        <w:jc w:val="right"/>
        <w:rPr>
          <w:rFonts w:ascii="Times New Roman" w:hAnsi="Times New Roman" w:cs="Times New Roman" w:eastAsia="Times New Roman" w:hint="default"/>
          <w:sz w:val="18"/>
          <w:szCs w:val="18"/>
        </w:rPr>
        <w:sectPr>
          <w:pgSz w:w="12240" w:h="15840"/>
          <w:pgMar w:header="740" w:footer="1274" w:top="1280" w:bottom="1460" w:left="1400" w:right="1260"/>
        </w:sectPr>
      </w:pPr>
    </w:p>
    <w:p>
      <w:pPr>
        <w:pStyle w:val="BodyText"/>
        <w:spacing w:line="240" w:lineRule="auto" w:before="122"/>
        <w:ind w:right="212" w:firstLine="566"/>
        <w:jc w:val="both"/>
      </w:pPr>
      <w:r>
        <w:rPr/>
        <w:t>Исказано је извршење у износу од </w:t>
      </w:r>
      <w:r>
        <w:rPr>
          <w:rFonts w:ascii="Times New Roman" w:hAnsi="Times New Roman"/>
        </w:rPr>
        <w:t>1.662 </w:t>
      </w:r>
      <w:r>
        <w:rPr/>
        <w:t>хиљаде динара и то из средстава буџета града у износу од </w:t>
      </w:r>
      <w:r>
        <w:rPr>
          <w:rFonts w:ascii="Times New Roman" w:hAnsi="Times New Roman"/>
        </w:rPr>
        <w:t>1.443 </w:t>
      </w:r>
      <w:r>
        <w:rPr/>
        <w:t>хиљадe динара и из осталих извора у износу од </w:t>
      </w:r>
      <w:r>
        <w:rPr>
          <w:rFonts w:ascii="Times New Roman" w:hAnsi="Times New Roman"/>
        </w:rPr>
        <w:t>219 </w:t>
      </w:r>
      <w:r>
        <w:rPr/>
        <w:t>хиљада динара.</w:t>
      </w:r>
    </w:p>
    <w:p>
      <w:pPr>
        <w:pStyle w:val="ListParagraph"/>
        <w:numPr>
          <w:ilvl w:val="4"/>
          <w:numId w:val="52"/>
        </w:numPr>
        <w:tabs>
          <w:tab w:pos="1106" w:val="left" w:leader="none"/>
        </w:tabs>
        <w:spacing w:line="237" w:lineRule="auto" w:before="144" w:after="0"/>
        <w:ind w:left="160" w:right="216" w:firstLine="566"/>
        <w:jc w:val="both"/>
        <w:rPr>
          <w:rFonts w:ascii="Times New Roman" w:hAnsi="Times New Roman" w:cs="Times New Roman" w:eastAsia="Times New Roman" w:hint="default"/>
          <w:sz w:val="24"/>
          <w:szCs w:val="24"/>
        </w:rPr>
      </w:pPr>
      <w:r>
        <w:rPr>
          <w:rFonts w:ascii="Times New Roman" w:hAnsi="Times New Roman"/>
          <w:b/>
          <w:sz w:val="24"/>
        </w:rPr>
        <w:t>Служба за одржавање и информатичко</w:t>
      </w:r>
      <w:r>
        <w:rPr>
          <w:rFonts w:ascii="Times New Roman" w:hAnsi="Times New Roman"/>
          <w:b/>
          <w:sz w:val="24"/>
        </w:rPr>
        <w:t>-</w:t>
      </w:r>
      <w:r>
        <w:rPr>
          <w:rFonts w:ascii="Times New Roman" w:hAnsi="Times New Roman"/>
          <w:b/>
          <w:sz w:val="24"/>
        </w:rPr>
        <w:t>комуникационе технологије </w:t>
      </w:r>
      <w:r>
        <w:rPr>
          <w:rFonts w:ascii="Times New Roman" w:hAnsi="Times New Roman"/>
          <w:b/>
          <w:sz w:val="24"/>
        </w:rPr>
        <w:t>- </w:t>
      </w:r>
      <w:r>
        <w:rPr>
          <w:rFonts w:ascii="Times New Roman" w:hAnsi="Times New Roman"/>
          <w:sz w:val="24"/>
        </w:rPr>
        <w:t>Исказан је издатак у износу од </w:t>
      </w:r>
      <w:r>
        <w:rPr>
          <w:rFonts w:ascii="Times New Roman" w:hAnsi="Times New Roman"/>
          <w:sz w:val="24"/>
        </w:rPr>
        <w:t>777 </w:t>
      </w:r>
      <w:r>
        <w:rPr>
          <w:rFonts w:ascii="Times New Roman" w:hAnsi="Times New Roman"/>
          <w:sz w:val="24"/>
        </w:rPr>
        <w:t>хиљада динара из средстава буџета града, који се у целости односе на директног буџетског</w:t>
      </w:r>
      <w:r>
        <w:rPr>
          <w:rFonts w:ascii="Times New Roman" w:hAnsi="Times New Roman"/>
          <w:spacing w:val="-19"/>
          <w:sz w:val="24"/>
        </w:rPr>
        <w:t> </w:t>
      </w:r>
      <w:r>
        <w:rPr>
          <w:rFonts w:ascii="Times New Roman" w:hAnsi="Times New Roman"/>
          <w:sz w:val="24"/>
        </w:rPr>
        <w:t>корисника.</w:t>
      </w:r>
    </w:p>
    <w:p>
      <w:pPr>
        <w:pStyle w:val="BodyText"/>
        <w:spacing w:line="240" w:lineRule="auto"/>
        <w:ind w:right="214" w:firstLine="566"/>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Лиценце, субаналитички конто 515192 </w:t>
      </w:r>
      <w:r>
        <w:rPr/>
      </w:r>
      <w:r>
        <w:rPr>
          <w:rFonts w:ascii="Times New Roman" w:hAnsi="Times New Roman"/>
          <w:i/>
        </w:rPr>
        <w:t>- </w:t>
      </w:r>
      <w:r>
        <w:rPr/>
        <w:t>Исказан је издатак у износу од 777 хиљада динара</w:t>
      </w:r>
      <w:r>
        <w:rPr>
          <w:rFonts w:ascii="Times New Roman" w:hAnsi="Times New Roman"/>
        </w:rPr>
        <w:t>.</w:t>
      </w:r>
    </w:p>
    <w:p>
      <w:pPr>
        <w:pStyle w:val="BodyText"/>
        <w:spacing w:line="240" w:lineRule="auto"/>
        <w:ind w:left="726" w:right="160"/>
        <w:jc w:val="left"/>
      </w:pPr>
      <w:r>
        <w:rPr/>
        <w:t>На основу ревизије узорковане документације нису утврђене</w:t>
      </w:r>
      <w:r>
        <w:rPr>
          <w:spacing w:val="-18"/>
        </w:rPr>
        <w:t> </w:t>
      </w:r>
      <w:r>
        <w:rPr/>
        <w:t>неправилности.</w:t>
      </w:r>
    </w:p>
    <w:p>
      <w:pPr>
        <w:pStyle w:val="ListParagraph"/>
        <w:numPr>
          <w:ilvl w:val="4"/>
          <w:numId w:val="52"/>
        </w:numPr>
        <w:tabs>
          <w:tab w:pos="1013" w:val="left" w:leader="none"/>
        </w:tabs>
        <w:spacing w:line="240" w:lineRule="auto" w:before="139" w:after="0"/>
        <w:ind w:left="160" w:right="218" w:firstLine="566"/>
        <w:jc w:val="both"/>
        <w:rPr>
          <w:rFonts w:ascii="Times New Roman" w:hAnsi="Times New Roman" w:cs="Times New Roman" w:eastAsia="Times New Roman" w:hint="default"/>
          <w:sz w:val="24"/>
          <w:szCs w:val="24"/>
        </w:rPr>
      </w:pPr>
      <w:r>
        <w:rPr>
          <w:rFonts w:ascii="Times New Roman" w:hAnsi="Times New Roman"/>
          <w:b/>
          <w:sz w:val="24"/>
        </w:rPr>
        <w:t>Управа за културу </w:t>
      </w:r>
      <w:r>
        <w:rPr>
          <w:rFonts w:ascii="Times New Roman" w:hAnsi="Times New Roman"/>
          <w:b/>
          <w:sz w:val="24"/>
        </w:rPr>
        <w:t>- </w:t>
      </w:r>
      <w:r>
        <w:rPr>
          <w:rFonts w:ascii="Times New Roman" w:hAnsi="Times New Roman"/>
          <w:sz w:val="24"/>
        </w:rPr>
        <w:t>Исказан је издатак у износу од 448 хиљаде динара и то из средстава буџета града у износу од 392 хиљаде динара и из осталих извора у износу од 56 хиљада динара. Исказани издатак у износу од 49 хиљада динара односи се на индиректне буџетске кориснике, и то: износ од 42 хиљаде динара на Галерију савремене ликовне уметности, износ од две хиљаде динара на Народни музеј, износ од 5 хиљада динара на Историјски архив Ниш и износ од 399 хиљада динара на Народну библиотеку Стеван Сремац.</w:t>
      </w:r>
    </w:p>
    <w:p>
      <w:pPr>
        <w:spacing w:before="0"/>
        <w:ind w:left="160" w:right="218"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2а) Народна библиотека Стеван Сремац – </w:t>
      </w:r>
      <w:r>
        <w:rPr>
          <w:rFonts w:ascii="Times New Roman" w:hAnsi="Times New Roman" w:cs="Times New Roman" w:eastAsia="Times New Roman" w:hint="default"/>
          <w:sz w:val="24"/>
          <w:szCs w:val="24"/>
        </w:rPr>
        <w:t>Исказан је издатак у износу од 399 хиљада динара од чега је износ од 392 хиљаде динара из буџета града, а износ од седам хиљада динара из осталих</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извора.</w:t>
      </w:r>
    </w:p>
    <w:p>
      <w:pPr>
        <w:pStyle w:val="BodyText"/>
        <w:spacing w:line="240" w:lineRule="auto"/>
        <w:ind w:right="160" w:firstLine="719"/>
        <w:jc w:val="left"/>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Књиге у библиотеци, субаналитички конто 515121 </w:t>
      </w:r>
      <w:r>
        <w:rPr/>
      </w:r>
      <w:r>
        <w:rPr>
          <w:rFonts w:ascii="Times New Roman" w:hAnsi="Times New Roman"/>
          <w:i/>
        </w:rPr>
        <w:t>- </w:t>
      </w:r>
      <w:r>
        <w:rPr/>
        <w:t>Исказани су издаци у износу од </w:t>
      </w:r>
      <w:r>
        <w:rPr>
          <w:rFonts w:ascii="Times New Roman" w:hAnsi="Times New Roman"/>
        </w:rPr>
        <w:t>392 </w:t>
      </w:r>
      <w:r>
        <w:rPr/>
        <w:t>хиљаде</w:t>
      </w:r>
      <w:r>
        <w:rPr>
          <w:spacing w:val="-3"/>
        </w:rPr>
        <w:t> </w:t>
      </w:r>
      <w:r>
        <w:rPr/>
        <w:t>динара</w:t>
      </w:r>
      <w:r>
        <w:rPr>
          <w:rFonts w:ascii="Times New Roman" w:hAnsi="Times New Roman"/>
        </w:rPr>
        <w:t>.</w:t>
      </w:r>
    </w:p>
    <w:p>
      <w:pPr>
        <w:pStyle w:val="BodyText"/>
        <w:spacing w:line="240" w:lineRule="auto"/>
        <w:ind w:left="880" w:right="160"/>
        <w:jc w:val="left"/>
      </w:pPr>
      <w:r>
        <w:rPr/>
        <w:t>Ревизијом узоркованих докумената нису утврђене</w:t>
      </w:r>
      <w:r>
        <w:rPr>
          <w:spacing w:val="-25"/>
        </w:rPr>
        <w:t> </w:t>
      </w:r>
      <w:r>
        <w:rPr/>
        <w:t>неправилности.</w:t>
      </w:r>
    </w:p>
    <w:p>
      <w:pPr>
        <w:spacing w:line="240" w:lineRule="auto" w:before="5"/>
        <w:rPr>
          <w:rFonts w:ascii="Times New Roman" w:hAnsi="Times New Roman" w:cs="Times New Roman" w:eastAsia="Times New Roman" w:hint="default"/>
          <w:sz w:val="24"/>
          <w:szCs w:val="24"/>
        </w:rPr>
      </w:pPr>
    </w:p>
    <w:p>
      <w:pPr>
        <w:pStyle w:val="Heading1"/>
        <w:numPr>
          <w:ilvl w:val="3"/>
          <w:numId w:val="52"/>
        </w:numPr>
        <w:tabs>
          <w:tab w:pos="941" w:val="left" w:leader="none"/>
        </w:tabs>
        <w:spacing w:line="274" w:lineRule="exact" w:before="0" w:after="0"/>
        <w:ind w:left="940" w:right="0" w:hanging="780"/>
        <w:jc w:val="left"/>
        <w:rPr>
          <w:rFonts w:ascii="Times New Roman" w:hAnsi="Times New Roman" w:cs="Times New Roman" w:eastAsia="Times New Roman" w:hint="default"/>
          <w:b w:val="0"/>
          <w:bCs w:val="0"/>
        </w:rPr>
      </w:pPr>
      <w:bookmarkStart w:name="_bookmark42" w:id="74"/>
      <w:bookmarkEnd w:id="74"/>
      <w:r>
        <w:rPr>
          <w:b w:val="0"/>
        </w:rPr>
      </w:r>
      <w:bookmarkStart w:name="_bookmark42" w:id="75"/>
      <w:bookmarkEnd w:id="75"/>
      <w:r>
        <w:rPr/>
        <w:t>Зали</w:t>
      </w:r>
      <w:r>
        <w:rPr/>
        <w:t>хе робе за даљу продају, група</w:t>
      </w:r>
      <w:r>
        <w:rPr>
          <w:spacing w:val="52"/>
        </w:rPr>
        <w:t> </w:t>
      </w:r>
      <w:r>
        <w:rPr>
          <w:rFonts w:ascii="Times New Roman" w:hAnsi="Times New Roman"/>
        </w:rPr>
        <w:t>523000</w:t>
      </w:r>
      <w:r>
        <w:rPr>
          <w:rFonts w:ascii="Times New Roman" w:hAnsi="Times New Roman"/>
          <w:b w:val="0"/>
        </w:rPr>
      </w:r>
    </w:p>
    <w:p>
      <w:pPr>
        <w:pStyle w:val="BodyText"/>
        <w:spacing w:line="274" w:lineRule="exact"/>
        <w:ind w:left="726" w:right="160"/>
        <w:jc w:val="left"/>
        <w:rPr>
          <w:rFonts w:ascii="Times New Roman" w:hAnsi="Times New Roman" w:cs="Times New Roman" w:eastAsia="Times New Roman" w:hint="default"/>
        </w:rPr>
      </w:pPr>
      <w:r>
        <w:rPr/>
        <w:t>Група 5</w:t>
      </w:r>
      <w:r>
        <w:rPr>
          <w:rFonts w:ascii="Times New Roman" w:hAnsi="Times New Roman"/>
        </w:rPr>
        <w:t>23</w:t>
      </w:r>
      <w:r>
        <w:rPr/>
        <w:t>000 обухвата синтетички конто залихе робе за даљу</w:t>
      </w:r>
      <w:r>
        <w:rPr>
          <w:spacing w:val="-21"/>
        </w:rPr>
        <w:t> </w:t>
      </w:r>
      <w:r>
        <w:rPr/>
        <w:t>продају</w:t>
      </w:r>
      <w:r>
        <w:rPr>
          <w:rFonts w:ascii="Times New Roman" w:hAnsi="Times New Roman"/>
        </w:rPr>
        <w:t>.</w:t>
      </w:r>
    </w:p>
    <w:p>
      <w:pPr>
        <w:spacing w:before="5" w:after="30"/>
        <w:ind w:left="0" w:right="212" w:firstLine="0"/>
        <w:jc w:val="right"/>
        <w:rPr>
          <w:rFonts w:ascii="Times New Roman" w:hAnsi="Times New Roman" w:cs="Times New Roman" w:eastAsia="Times New Roman" w:hint="default"/>
          <w:sz w:val="16"/>
          <w:szCs w:val="16"/>
        </w:rPr>
      </w:pPr>
      <w:r>
        <w:rPr>
          <w:rFonts w:ascii="Times New Roman" w:hAnsi="Times New Roman"/>
          <w:sz w:val="16"/>
        </w:rPr>
        <w:t>(у хиљадама</w:t>
      </w:r>
      <w:r>
        <w:rPr>
          <w:rFonts w:ascii="Times New Roman" w:hAnsi="Times New Roman"/>
          <w:spacing w:val="-4"/>
          <w:sz w:val="16"/>
        </w:rPr>
        <w:t> </w:t>
      </w:r>
      <w:r>
        <w:rPr>
          <w:rFonts w:ascii="Times New Roman" w:hAnsi="Times New Roman"/>
          <w:sz w:val="16"/>
        </w:rPr>
        <w:t>динара</w:t>
      </w:r>
      <w:r>
        <w:rPr>
          <w:rFonts w:ascii="Times New Roman" w:hAnsi="Times New Roman"/>
          <w:sz w:val="16"/>
        </w:rPr>
        <w:t>)</w:t>
      </w:r>
    </w:p>
    <w:tbl>
      <w:tblPr>
        <w:tblW w:w="0" w:type="auto"/>
        <w:jc w:val="left"/>
        <w:tblInd w:w="141" w:type="dxa"/>
        <w:tblLayout w:type="fixed"/>
        <w:tblCellMar>
          <w:top w:w="0" w:type="dxa"/>
          <w:left w:w="0" w:type="dxa"/>
          <w:bottom w:w="0" w:type="dxa"/>
          <w:right w:w="0" w:type="dxa"/>
        </w:tblCellMar>
        <w:tblLook w:val="01E0"/>
      </w:tblPr>
      <w:tblGrid>
        <w:gridCol w:w="722"/>
        <w:gridCol w:w="2554"/>
        <w:gridCol w:w="960"/>
        <w:gridCol w:w="1442"/>
        <w:gridCol w:w="1045"/>
        <w:gridCol w:w="936"/>
        <w:gridCol w:w="848"/>
        <w:gridCol w:w="845"/>
      </w:tblGrid>
      <w:tr>
        <w:trPr>
          <w:trHeight w:val="504"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87" w:right="102" w:hanging="75"/>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4"/>
              <w:ind w:left="467"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8"/>
                <w:sz w:val="18"/>
              </w:rPr>
              <w:t> </w:t>
            </w:r>
            <w:r>
              <w:rPr>
                <w:rFonts w:ascii="Times New Roman" w:hAnsi="Times New Roman"/>
                <w:b/>
                <w:sz w:val="18"/>
              </w:rPr>
              <w:t>корисник</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4"/>
              <w:ind w:right="103"/>
              <w:jc w:val="right"/>
              <w:rPr>
                <w:rFonts w:ascii="Times New Roman" w:hAnsi="Times New Roman" w:cs="Times New Roman" w:eastAsia="Times New Roman" w:hint="default"/>
                <w:sz w:val="18"/>
                <w:szCs w:val="18"/>
              </w:rPr>
            </w:pPr>
            <w:r>
              <w:rPr>
                <w:rFonts w:ascii="Times New Roman" w:hAnsi="Times New Roman"/>
                <w:b/>
                <w:spacing w:val="-1"/>
                <w:sz w:val="18"/>
              </w:rPr>
              <w:t>Ребаланс</w:t>
            </w:r>
            <w:r>
              <w:rPr>
                <w:rFonts w:ascii="Times New Roman" w:hAnsi="Times New Roman"/>
                <w:spacing w:val="-1"/>
                <w:sz w:val="18"/>
              </w:rPr>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03" w:right="94" w:firstLine="132"/>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реалокацијама</w:t>
            </w:r>
            <w:r>
              <w:rPr>
                <w:rFonts w:ascii="Times New Roman" w:hAnsi="Times New Roman"/>
                <w:sz w:val="18"/>
              </w:rPr>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03" w:right="93"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15" w:right="104"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02" w:right="110"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299" w:right="110"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49"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326" w:right="0"/>
              <w:jc w:val="left"/>
              <w:rPr>
                <w:rFonts w:ascii="Times New Roman" w:hAnsi="Times New Roman" w:cs="Times New Roman" w:eastAsia="Times New Roman" w:hint="default"/>
                <w:sz w:val="12"/>
                <w:szCs w:val="12"/>
              </w:rPr>
            </w:pPr>
            <w:r>
              <w:rPr>
                <w:rFonts w:ascii="Times New Roman"/>
                <w:sz w:val="12"/>
              </w:rPr>
              <w:t>1</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1"/>
              <w:jc w:val="center"/>
              <w:rPr>
                <w:rFonts w:ascii="Times New Roman" w:hAnsi="Times New Roman" w:cs="Times New Roman" w:eastAsia="Times New Roman" w:hint="default"/>
                <w:sz w:val="12"/>
                <w:szCs w:val="12"/>
              </w:rPr>
            </w:pPr>
            <w:r>
              <w:rPr>
                <w:rFonts w:ascii="Times New Roman"/>
                <w:sz w:val="12"/>
              </w:rPr>
              <w:t>2</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3</w:t>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2"/>
              <w:jc w:val="center"/>
              <w:rPr>
                <w:rFonts w:ascii="Times New Roman" w:hAnsi="Times New Roman" w:cs="Times New Roman" w:eastAsia="Times New Roman" w:hint="default"/>
                <w:sz w:val="12"/>
                <w:szCs w:val="12"/>
              </w:rPr>
            </w:pPr>
            <w:r>
              <w:rPr>
                <w:rFonts w:ascii="Times New Roman"/>
                <w:sz w:val="12"/>
              </w:rPr>
              <w:t>4</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487" w:right="0"/>
              <w:jc w:val="left"/>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6</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8</w:t>
            </w:r>
          </w:p>
        </w:tc>
      </w:tr>
      <w:tr>
        <w:trPr>
          <w:trHeight w:val="264"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311" w:right="0"/>
              <w:jc w:val="left"/>
              <w:rPr>
                <w:rFonts w:ascii="Times New Roman" w:hAnsi="Times New Roman" w:cs="Times New Roman" w:eastAsia="Times New Roman" w:hint="default"/>
                <w:sz w:val="18"/>
                <w:szCs w:val="18"/>
              </w:rPr>
            </w:pPr>
            <w:r>
              <w:rPr>
                <w:rFonts w:ascii="Times New Roman"/>
                <w:sz w:val="18"/>
              </w:rPr>
              <w:t>1</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7"/>
                <w:sz w:val="18"/>
              </w:rPr>
              <w:t> </w:t>
            </w:r>
            <w:r>
              <w:rPr>
                <w:rFonts w:ascii="Times New Roman" w:hAnsi="Times New Roman"/>
                <w:sz w:val="18"/>
              </w:rPr>
              <w:t>планирање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pacing w:val="-1"/>
                <w:sz w:val="18"/>
              </w:rPr>
              <w:t>91.000</w:t>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8"/>
                <w:szCs w:val="18"/>
              </w:rPr>
            </w:pPr>
            <w:r>
              <w:rPr>
                <w:rFonts w:ascii="Times New Roman"/>
                <w:spacing w:val="-1"/>
                <w:sz w:val="18"/>
              </w:rPr>
              <w:t>91.000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436" w:right="0"/>
              <w:jc w:val="left"/>
              <w:rPr>
                <w:rFonts w:ascii="Times New Roman" w:hAnsi="Times New Roman" w:cs="Times New Roman" w:eastAsia="Times New Roman" w:hint="default"/>
                <w:sz w:val="18"/>
                <w:szCs w:val="18"/>
              </w:rPr>
            </w:pPr>
            <w:r>
              <w:rPr>
                <w:rFonts w:ascii="Times New Roman"/>
                <w:sz w:val="18"/>
              </w:rPr>
              <w:t>59.072</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pacing w:val="-1"/>
                <w:sz w:val="18"/>
              </w:rPr>
              <w:t>78.540</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201" w:right="201"/>
              <w:jc w:val="center"/>
              <w:rPr>
                <w:rFonts w:ascii="Times New Roman" w:hAnsi="Times New Roman" w:cs="Times New Roman" w:eastAsia="Times New Roman" w:hint="default"/>
                <w:sz w:val="18"/>
                <w:szCs w:val="18"/>
              </w:rPr>
            </w:pPr>
            <w:r>
              <w:rPr>
                <w:rFonts w:ascii="Times New Roman"/>
                <w:sz w:val="18"/>
              </w:rPr>
              <w:t>86,31</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53" w:right="155"/>
              <w:jc w:val="center"/>
              <w:rPr>
                <w:rFonts w:ascii="Times New Roman" w:hAnsi="Times New Roman" w:cs="Times New Roman" w:eastAsia="Times New Roman" w:hint="default"/>
                <w:sz w:val="18"/>
                <w:szCs w:val="18"/>
              </w:rPr>
            </w:pPr>
            <w:r>
              <w:rPr>
                <w:rFonts w:ascii="Times New Roman"/>
                <w:sz w:val="18"/>
              </w:rPr>
              <w:t>132,96</w:t>
            </w:r>
          </w:p>
        </w:tc>
      </w:tr>
      <w:tr>
        <w:trPr>
          <w:trHeight w:val="26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6"/>
              <w:jc w:val="right"/>
              <w:rPr>
                <w:rFonts w:ascii="Times New Roman" w:hAnsi="Times New Roman" w:cs="Times New Roman" w:eastAsia="Times New Roman" w:hint="default"/>
                <w:sz w:val="18"/>
                <w:szCs w:val="18"/>
              </w:rPr>
            </w:pPr>
            <w:r>
              <w:rPr>
                <w:rFonts w:ascii="Times New Roman" w:hAnsi="Times New Roman"/>
                <w:sz w:val="18"/>
              </w:rPr>
              <w:t>1а</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03" w:right="0"/>
              <w:jc w:val="left"/>
              <w:rPr>
                <w:rFonts w:ascii="Times New Roman" w:hAnsi="Times New Roman" w:cs="Times New Roman" w:eastAsia="Times New Roman" w:hint="default"/>
                <w:sz w:val="18"/>
                <w:szCs w:val="18"/>
              </w:rPr>
            </w:pPr>
            <w:r>
              <w:rPr>
                <w:rFonts w:ascii="Times New Roman" w:hAnsi="Times New Roman"/>
                <w:sz w:val="18"/>
              </w:rPr>
              <w:t>ЈП Градска стамбена</w:t>
            </w:r>
            <w:r>
              <w:rPr>
                <w:rFonts w:ascii="Times New Roman" w:hAnsi="Times New Roman"/>
                <w:spacing w:val="-10"/>
                <w:sz w:val="18"/>
              </w:rPr>
              <w:t> </w:t>
            </w:r>
            <w:r>
              <w:rPr>
                <w:rFonts w:ascii="Times New Roman" w:hAnsi="Times New Roman"/>
                <w:sz w:val="18"/>
              </w:rPr>
              <w:t>агенција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pacing w:val="-1"/>
                <w:sz w:val="18"/>
              </w:rPr>
              <w:t>91.000</w:t>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8"/>
                <w:szCs w:val="18"/>
              </w:rPr>
            </w:pPr>
            <w:r>
              <w:rPr>
                <w:rFonts w:ascii="Times New Roman"/>
                <w:spacing w:val="-1"/>
                <w:sz w:val="18"/>
              </w:rPr>
              <w:t>91.000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436" w:right="0"/>
              <w:jc w:val="left"/>
              <w:rPr>
                <w:rFonts w:ascii="Times New Roman" w:hAnsi="Times New Roman" w:cs="Times New Roman" w:eastAsia="Times New Roman" w:hint="default"/>
                <w:sz w:val="18"/>
                <w:szCs w:val="18"/>
              </w:rPr>
            </w:pPr>
            <w:r>
              <w:rPr>
                <w:rFonts w:ascii="Times New Roman"/>
                <w:sz w:val="18"/>
              </w:rPr>
              <w:t>59.072</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pacing w:val="-1"/>
                <w:sz w:val="18"/>
              </w:rPr>
              <w:t>78.540</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201" w:right="201"/>
              <w:jc w:val="center"/>
              <w:rPr>
                <w:rFonts w:ascii="Times New Roman" w:hAnsi="Times New Roman" w:cs="Times New Roman" w:eastAsia="Times New Roman" w:hint="default"/>
                <w:sz w:val="18"/>
                <w:szCs w:val="18"/>
              </w:rPr>
            </w:pPr>
            <w:r>
              <w:rPr>
                <w:rFonts w:ascii="Times New Roman"/>
                <w:sz w:val="18"/>
              </w:rPr>
              <w:t>86,31</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53" w:right="155"/>
              <w:jc w:val="center"/>
              <w:rPr>
                <w:rFonts w:ascii="Times New Roman" w:hAnsi="Times New Roman" w:cs="Times New Roman" w:eastAsia="Times New Roman" w:hint="default"/>
                <w:sz w:val="18"/>
                <w:szCs w:val="18"/>
              </w:rPr>
            </w:pPr>
            <w:r>
              <w:rPr>
                <w:rFonts w:ascii="Times New Roman"/>
                <w:sz w:val="18"/>
              </w:rPr>
              <w:t>132,96</w:t>
            </w:r>
          </w:p>
        </w:tc>
      </w:tr>
      <w:tr>
        <w:trPr>
          <w:trHeight w:val="264"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311" w:right="0"/>
              <w:jc w:val="left"/>
              <w:rPr>
                <w:rFonts w:ascii="Times New Roman" w:hAnsi="Times New Roman" w:cs="Times New Roman" w:eastAsia="Times New Roman" w:hint="default"/>
                <w:sz w:val="18"/>
                <w:szCs w:val="18"/>
              </w:rPr>
            </w:pPr>
            <w:r>
              <w:rPr>
                <w:rFonts w:ascii="Times New Roman"/>
                <w:sz w:val="18"/>
              </w:rPr>
              <w:t>2</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5"/>
                <w:sz w:val="18"/>
              </w:rPr>
              <w:t> </w:t>
            </w:r>
            <w:r>
              <w:rPr>
                <w:rFonts w:ascii="Times New Roman" w:hAnsi="Times New Roman"/>
                <w:sz w:val="18"/>
              </w:rPr>
              <w:t>образовање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pacing w:val="-1"/>
                <w:sz w:val="18"/>
              </w:rPr>
              <w:t>30.600</w:t>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8"/>
                <w:szCs w:val="18"/>
              </w:rPr>
            </w:pPr>
            <w:r>
              <w:rPr>
                <w:rFonts w:ascii="Times New Roman"/>
                <w:spacing w:val="-1"/>
                <w:sz w:val="18"/>
              </w:rPr>
              <w:t>30.600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436" w:right="0"/>
              <w:jc w:val="left"/>
              <w:rPr>
                <w:rFonts w:ascii="Times New Roman" w:hAnsi="Times New Roman" w:cs="Times New Roman" w:eastAsia="Times New Roman" w:hint="default"/>
                <w:sz w:val="18"/>
                <w:szCs w:val="18"/>
              </w:rPr>
            </w:pPr>
            <w:r>
              <w:rPr>
                <w:rFonts w:ascii="Times New Roman"/>
                <w:sz w:val="18"/>
              </w:rPr>
              <w:t>21.565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pacing w:val="-1"/>
                <w:sz w:val="18"/>
              </w:rPr>
              <w:t>21.565</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201" w:right="201"/>
              <w:jc w:val="center"/>
              <w:rPr>
                <w:rFonts w:ascii="Times New Roman" w:hAnsi="Times New Roman" w:cs="Times New Roman" w:eastAsia="Times New Roman" w:hint="default"/>
                <w:sz w:val="18"/>
                <w:szCs w:val="18"/>
              </w:rPr>
            </w:pPr>
            <w:r>
              <w:rPr>
                <w:rFonts w:ascii="Times New Roman"/>
                <w:sz w:val="18"/>
              </w:rPr>
              <w:t>70,47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53" w:right="155"/>
              <w:jc w:val="center"/>
              <w:rPr>
                <w:rFonts w:ascii="Times New Roman" w:hAnsi="Times New Roman" w:cs="Times New Roman" w:eastAsia="Times New Roman" w:hint="default"/>
                <w:sz w:val="18"/>
                <w:szCs w:val="18"/>
              </w:rPr>
            </w:pPr>
            <w:r>
              <w:rPr>
                <w:rFonts w:ascii="Times New Roman"/>
                <w:sz w:val="18"/>
              </w:rPr>
              <w:t>100,00</w:t>
            </w:r>
          </w:p>
        </w:tc>
      </w:tr>
      <w:tr>
        <w:trPr>
          <w:trHeight w:val="265"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6"/>
              <w:jc w:val="right"/>
              <w:rPr>
                <w:rFonts w:ascii="Times New Roman" w:hAnsi="Times New Roman" w:cs="Times New Roman" w:eastAsia="Times New Roman" w:hint="default"/>
                <w:sz w:val="18"/>
                <w:szCs w:val="18"/>
              </w:rPr>
            </w:pPr>
            <w:r>
              <w:rPr>
                <w:rFonts w:ascii="Times New Roman" w:hAnsi="Times New Roman"/>
                <w:sz w:val="18"/>
              </w:rPr>
              <w:t>2а</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03" w:right="0"/>
              <w:jc w:val="left"/>
              <w:rPr>
                <w:rFonts w:ascii="Times New Roman" w:hAnsi="Times New Roman" w:cs="Times New Roman" w:eastAsia="Times New Roman" w:hint="default"/>
                <w:sz w:val="18"/>
                <w:szCs w:val="18"/>
              </w:rPr>
            </w:pPr>
            <w:r>
              <w:rPr>
                <w:rFonts w:ascii="Times New Roman" w:hAnsi="Times New Roman"/>
                <w:sz w:val="18"/>
              </w:rPr>
              <w:t>ПУ</w:t>
            </w:r>
            <w:r>
              <w:rPr>
                <w:rFonts w:ascii="Times New Roman" w:hAnsi="Times New Roman"/>
                <w:spacing w:val="-5"/>
                <w:sz w:val="18"/>
              </w:rPr>
              <w:t> </w:t>
            </w:r>
            <w:r>
              <w:rPr>
                <w:rFonts w:ascii="Times New Roman" w:hAnsi="Times New Roman"/>
                <w:sz w:val="18"/>
              </w:rPr>
              <w:t>Пчелица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pacing w:val="-1"/>
                <w:sz w:val="18"/>
              </w:rPr>
              <w:t>30.000</w:t>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8"/>
                <w:szCs w:val="18"/>
              </w:rPr>
            </w:pPr>
            <w:r>
              <w:rPr>
                <w:rFonts w:ascii="Times New Roman"/>
                <w:spacing w:val="-1"/>
                <w:sz w:val="18"/>
              </w:rPr>
              <w:t>30.000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436" w:right="0"/>
              <w:jc w:val="left"/>
              <w:rPr>
                <w:rFonts w:ascii="Times New Roman" w:hAnsi="Times New Roman" w:cs="Times New Roman" w:eastAsia="Times New Roman" w:hint="default"/>
                <w:sz w:val="18"/>
                <w:szCs w:val="18"/>
              </w:rPr>
            </w:pPr>
            <w:r>
              <w:rPr>
                <w:rFonts w:ascii="Times New Roman"/>
                <w:sz w:val="18"/>
              </w:rPr>
              <w:t>20.996</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pacing w:val="-1"/>
                <w:sz w:val="18"/>
              </w:rPr>
              <w:t>20.996</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201" w:right="201"/>
              <w:jc w:val="center"/>
              <w:rPr>
                <w:rFonts w:ascii="Times New Roman" w:hAnsi="Times New Roman" w:cs="Times New Roman" w:eastAsia="Times New Roman" w:hint="default"/>
                <w:sz w:val="18"/>
                <w:szCs w:val="18"/>
              </w:rPr>
            </w:pPr>
            <w:r>
              <w:rPr>
                <w:rFonts w:ascii="Times New Roman"/>
                <w:sz w:val="18"/>
              </w:rPr>
              <w:t>69,99</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53" w:right="155"/>
              <w:jc w:val="center"/>
              <w:rPr>
                <w:rFonts w:ascii="Times New Roman" w:hAnsi="Times New Roman" w:cs="Times New Roman" w:eastAsia="Times New Roman" w:hint="default"/>
                <w:sz w:val="18"/>
                <w:szCs w:val="18"/>
              </w:rPr>
            </w:pPr>
            <w:r>
              <w:rPr>
                <w:rFonts w:ascii="Times New Roman"/>
                <w:sz w:val="18"/>
              </w:rPr>
              <w:t>100,00</w:t>
            </w:r>
          </w:p>
        </w:tc>
      </w:tr>
      <w:tr>
        <w:trPr>
          <w:trHeight w:val="266"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650" w:right="0"/>
              <w:jc w:val="left"/>
              <w:rPr>
                <w:rFonts w:ascii="Times New Roman" w:hAnsi="Times New Roman" w:cs="Times New Roman" w:eastAsia="Times New Roman" w:hint="default"/>
                <w:sz w:val="18"/>
                <w:szCs w:val="18"/>
              </w:rPr>
            </w:pPr>
            <w:r>
              <w:rPr>
                <w:rFonts w:ascii="Times New Roman" w:hAnsi="Times New Roman"/>
                <w:b/>
                <w:sz w:val="18"/>
              </w:rPr>
              <w:t>Укупно корисници</w:t>
            </w:r>
            <w:r>
              <w:rPr>
                <w:rFonts w:ascii="Times New Roman" w:hAnsi="Times New Roman"/>
                <w:b/>
                <w:spacing w:val="-2"/>
                <w:sz w:val="18"/>
              </w:rPr>
              <w:t> </w:t>
            </w:r>
            <w:r>
              <w:rPr>
                <w:rFonts w:ascii="Times New Roman" w:hAnsi="Times New Roman"/>
                <w:b/>
                <w:sz w:val="18"/>
              </w:rPr>
              <w:t>(1</w:t>
            </w:r>
            <w:r>
              <w:rPr>
                <w:rFonts w:ascii="Times New Roman" w:hAnsi="Times New Roman"/>
                <w:b/>
                <w:sz w:val="18"/>
              </w:rPr>
              <w:t>-2)</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101"/>
              <w:jc w:val="right"/>
              <w:rPr>
                <w:rFonts w:ascii="Times New Roman" w:hAnsi="Times New Roman" w:cs="Times New Roman" w:eastAsia="Times New Roman" w:hint="default"/>
                <w:sz w:val="18"/>
                <w:szCs w:val="18"/>
              </w:rPr>
            </w:pPr>
            <w:r>
              <w:rPr>
                <w:rFonts w:ascii="Times New Roman"/>
                <w:b/>
                <w:spacing w:val="-1"/>
                <w:sz w:val="18"/>
              </w:rPr>
              <w:t>121.600</w:t>
            </w:r>
            <w:r>
              <w:rPr>
                <w:rFonts w:ascii="Times New Roman"/>
                <w:spacing w:val="-1"/>
                <w:sz w:val="18"/>
              </w:rPr>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103"/>
              <w:jc w:val="right"/>
              <w:rPr>
                <w:rFonts w:ascii="Times New Roman" w:hAnsi="Times New Roman" w:cs="Times New Roman" w:eastAsia="Times New Roman" w:hint="default"/>
                <w:sz w:val="18"/>
                <w:szCs w:val="18"/>
              </w:rPr>
            </w:pPr>
            <w:r>
              <w:rPr>
                <w:rFonts w:ascii="Times New Roman"/>
                <w:b/>
                <w:spacing w:val="-1"/>
                <w:sz w:val="18"/>
              </w:rPr>
              <w:t>121.600</w:t>
            </w:r>
            <w:r>
              <w:rPr>
                <w:rFonts w:ascii="Times New Roman"/>
                <w:spacing w:val="-1"/>
                <w:sz w:val="18"/>
              </w:rPr>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436" w:right="0"/>
              <w:jc w:val="left"/>
              <w:rPr>
                <w:rFonts w:ascii="Times New Roman" w:hAnsi="Times New Roman" w:cs="Times New Roman" w:eastAsia="Times New Roman" w:hint="default"/>
                <w:sz w:val="18"/>
                <w:szCs w:val="18"/>
              </w:rPr>
            </w:pPr>
            <w:r>
              <w:rPr>
                <w:rFonts w:ascii="Times New Roman"/>
                <w:b/>
                <w:sz w:val="18"/>
              </w:rPr>
              <w:t>80.637</w:t>
            </w:r>
            <w:r>
              <w:rPr>
                <w:rFonts w:asci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100"/>
              <w:jc w:val="right"/>
              <w:rPr>
                <w:rFonts w:ascii="Times New Roman" w:hAnsi="Times New Roman" w:cs="Times New Roman" w:eastAsia="Times New Roman" w:hint="default"/>
                <w:sz w:val="18"/>
                <w:szCs w:val="18"/>
              </w:rPr>
            </w:pPr>
            <w:r>
              <w:rPr>
                <w:rFonts w:ascii="Times New Roman"/>
                <w:b/>
                <w:spacing w:val="-1"/>
                <w:sz w:val="18"/>
              </w:rPr>
              <w:t>100.105</w:t>
            </w:r>
            <w:r>
              <w:rPr>
                <w:rFonts w:ascii="Times New Roman"/>
                <w:spacing w:val="-1"/>
                <w:sz w:val="18"/>
              </w:rPr>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201" w:right="201"/>
              <w:jc w:val="center"/>
              <w:rPr>
                <w:rFonts w:ascii="Times New Roman" w:hAnsi="Times New Roman" w:cs="Times New Roman" w:eastAsia="Times New Roman" w:hint="default"/>
                <w:sz w:val="18"/>
                <w:szCs w:val="18"/>
              </w:rPr>
            </w:pPr>
            <w:r>
              <w:rPr>
                <w:rFonts w:ascii="Times New Roman"/>
                <w:b/>
                <w:sz w:val="18"/>
              </w:rPr>
              <w:t>82,32</w:t>
            </w:r>
            <w:r>
              <w:rPr>
                <w:rFonts w:asci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153" w:right="155"/>
              <w:jc w:val="center"/>
              <w:rPr>
                <w:rFonts w:ascii="Times New Roman" w:hAnsi="Times New Roman" w:cs="Times New Roman" w:eastAsia="Times New Roman" w:hint="default"/>
                <w:sz w:val="18"/>
                <w:szCs w:val="18"/>
              </w:rPr>
            </w:pPr>
            <w:r>
              <w:rPr>
                <w:rFonts w:ascii="Times New Roman"/>
                <w:b/>
                <w:sz w:val="18"/>
              </w:rPr>
              <w:t>124,14</w:t>
            </w:r>
            <w:r>
              <w:rPr>
                <w:rFonts w:ascii="Times New Roman"/>
                <w:sz w:val="18"/>
              </w:rPr>
            </w:r>
          </w:p>
        </w:tc>
      </w:tr>
      <w:tr>
        <w:trPr>
          <w:trHeight w:val="264"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left="499" w:right="0"/>
              <w:jc w:val="left"/>
              <w:rPr>
                <w:rFonts w:ascii="Times New Roman" w:hAnsi="Times New Roman" w:cs="Times New Roman" w:eastAsia="Times New Roman" w:hint="default"/>
                <w:sz w:val="18"/>
                <w:szCs w:val="18"/>
              </w:rPr>
            </w:pPr>
            <w:r>
              <w:rPr>
                <w:rFonts w:ascii="Times New Roman" w:hAnsi="Times New Roman"/>
                <w:b/>
                <w:sz w:val="18"/>
              </w:rPr>
              <w:t>Укупно Град </w:t>
            </w:r>
            <w:r>
              <w:rPr>
                <w:rFonts w:ascii="Times New Roman" w:hAnsi="Times New Roman"/>
                <w:b/>
                <w:sz w:val="18"/>
              </w:rPr>
              <w:t>- </w:t>
            </w:r>
            <w:r>
              <w:rPr>
                <w:rFonts w:ascii="Times New Roman" w:hAnsi="Times New Roman"/>
                <w:b/>
                <w:sz w:val="18"/>
              </w:rPr>
              <w:t>група</w:t>
            </w:r>
            <w:r>
              <w:rPr>
                <w:rFonts w:ascii="Times New Roman" w:hAnsi="Times New Roman"/>
                <w:b/>
                <w:spacing w:val="-5"/>
                <w:sz w:val="18"/>
              </w:rPr>
              <w:t> </w:t>
            </w:r>
            <w:r>
              <w:rPr>
                <w:rFonts w:ascii="Times New Roman" w:hAnsi="Times New Roman"/>
                <w:b/>
                <w:sz w:val="18"/>
              </w:rPr>
              <w:t>523000</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1"/>
              <w:jc w:val="right"/>
              <w:rPr>
                <w:rFonts w:ascii="Times New Roman" w:hAnsi="Times New Roman" w:cs="Times New Roman" w:eastAsia="Times New Roman" w:hint="default"/>
                <w:sz w:val="18"/>
                <w:szCs w:val="18"/>
              </w:rPr>
            </w:pPr>
            <w:r>
              <w:rPr>
                <w:rFonts w:ascii="Times New Roman"/>
                <w:b/>
                <w:spacing w:val="-1"/>
                <w:sz w:val="18"/>
              </w:rPr>
              <w:t>129.212</w:t>
            </w:r>
            <w:r>
              <w:rPr>
                <w:rFonts w:ascii="Times New Roman"/>
                <w:spacing w:val="-1"/>
                <w:sz w:val="18"/>
              </w:rPr>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3"/>
              <w:jc w:val="right"/>
              <w:rPr>
                <w:rFonts w:ascii="Times New Roman" w:hAnsi="Times New Roman" w:cs="Times New Roman" w:eastAsia="Times New Roman" w:hint="default"/>
                <w:sz w:val="18"/>
                <w:szCs w:val="18"/>
              </w:rPr>
            </w:pPr>
            <w:r>
              <w:rPr>
                <w:rFonts w:ascii="Times New Roman"/>
                <w:b/>
                <w:spacing w:val="-1"/>
                <w:sz w:val="18"/>
              </w:rPr>
              <w:t>129.212</w:t>
            </w:r>
            <w:r>
              <w:rPr>
                <w:rFonts w:ascii="Times New Roman"/>
                <w:spacing w:val="-1"/>
                <w:sz w:val="18"/>
              </w:rPr>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left="436" w:right="0"/>
              <w:jc w:val="left"/>
              <w:rPr>
                <w:rFonts w:ascii="Times New Roman" w:hAnsi="Times New Roman" w:cs="Times New Roman" w:eastAsia="Times New Roman" w:hint="default"/>
                <w:sz w:val="18"/>
                <w:szCs w:val="18"/>
              </w:rPr>
            </w:pPr>
            <w:r>
              <w:rPr>
                <w:rFonts w:ascii="Times New Roman"/>
                <w:b/>
                <w:sz w:val="18"/>
              </w:rPr>
              <w:t>83.229</w:t>
            </w:r>
            <w:r>
              <w:rPr>
                <w:rFonts w:asci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0"/>
              <w:jc w:val="right"/>
              <w:rPr>
                <w:rFonts w:ascii="Times New Roman" w:hAnsi="Times New Roman" w:cs="Times New Roman" w:eastAsia="Times New Roman" w:hint="default"/>
                <w:sz w:val="18"/>
                <w:szCs w:val="18"/>
              </w:rPr>
            </w:pPr>
            <w:r>
              <w:rPr>
                <w:rFonts w:ascii="Times New Roman"/>
                <w:b/>
                <w:spacing w:val="-1"/>
                <w:sz w:val="18"/>
              </w:rPr>
              <w:t>102.697</w:t>
            </w:r>
            <w:r>
              <w:rPr>
                <w:rFonts w:ascii="Times New Roman"/>
                <w:spacing w:val="-1"/>
                <w:sz w:val="18"/>
              </w:rPr>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left="201" w:right="201"/>
              <w:jc w:val="center"/>
              <w:rPr>
                <w:rFonts w:ascii="Times New Roman" w:hAnsi="Times New Roman" w:cs="Times New Roman" w:eastAsia="Times New Roman" w:hint="default"/>
                <w:sz w:val="18"/>
                <w:szCs w:val="18"/>
              </w:rPr>
            </w:pPr>
            <w:r>
              <w:rPr>
                <w:rFonts w:ascii="Times New Roman"/>
                <w:b/>
                <w:sz w:val="18"/>
              </w:rPr>
              <w:t>79,48</w:t>
            </w:r>
            <w:r>
              <w:rPr>
                <w:rFonts w:asci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left="153" w:right="155"/>
              <w:jc w:val="center"/>
              <w:rPr>
                <w:rFonts w:ascii="Times New Roman" w:hAnsi="Times New Roman" w:cs="Times New Roman" w:eastAsia="Times New Roman" w:hint="default"/>
                <w:sz w:val="18"/>
                <w:szCs w:val="18"/>
              </w:rPr>
            </w:pPr>
            <w:r>
              <w:rPr>
                <w:rFonts w:ascii="Times New Roman"/>
                <w:b/>
                <w:sz w:val="18"/>
              </w:rPr>
              <w:t>123,39</w:t>
            </w:r>
            <w:r>
              <w:rPr>
                <w:rFonts w:ascii="Times New Roman"/>
                <w:sz w:val="18"/>
              </w:rPr>
            </w:r>
          </w:p>
        </w:tc>
      </w:tr>
    </w:tbl>
    <w:p>
      <w:pPr>
        <w:pStyle w:val="BodyText"/>
        <w:spacing w:line="240" w:lineRule="auto"/>
        <w:ind w:right="217" w:firstLine="566"/>
        <w:jc w:val="both"/>
      </w:pPr>
      <w:r>
        <w:rPr/>
        <w:t>Исказано је извршење у износу од </w:t>
      </w:r>
      <w:r>
        <w:rPr>
          <w:rFonts w:ascii="Times New Roman" w:hAnsi="Times New Roman"/>
        </w:rPr>
        <w:t>83.229 </w:t>
      </w:r>
      <w:r>
        <w:rPr/>
        <w:t>хиљада динара и то из средстава буџета Града у износу од 59.072 хиљаде динара и износ од 24.157 хиљада динара из сопствених средстава.</w:t>
      </w:r>
    </w:p>
    <w:p>
      <w:pPr>
        <w:pStyle w:val="ListParagraph"/>
        <w:numPr>
          <w:ilvl w:val="4"/>
          <w:numId w:val="52"/>
        </w:numPr>
        <w:tabs>
          <w:tab w:pos="1013" w:val="left" w:leader="none"/>
        </w:tabs>
        <w:spacing w:line="240" w:lineRule="auto" w:before="0" w:after="0"/>
        <w:ind w:left="160" w:right="217"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Управа за планирање и изградњу </w:t>
      </w:r>
      <w:r>
        <w:rPr>
          <w:rFonts w:ascii="Times New Roman" w:hAnsi="Times New Roman" w:cs="Times New Roman" w:eastAsia="Times New Roman" w:hint="default"/>
          <w:b/>
          <w:bCs/>
          <w:sz w:val="24"/>
          <w:szCs w:val="24"/>
        </w:rPr>
        <w:t>- </w:t>
      </w:r>
      <w:r>
        <w:rPr>
          <w:rFonts w:ascii="Times New Roman" w:hAnsi="Times New Roman" w:cs="Times New Roman" w:eastAsia="Times New Roman" w:hint="default"/>
          <w:sz w:val="24"/>
          <w:szCs w:val="24"/>
        </w:rPr>
        <w:t>Исказан је издатак у износу од 59.072 хиљаде динара из средстава буџета града, који се у целости односе на индиректног буџетског корисника ЈП „Градска стамбена</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агенција“.</w:t>
      </w:r>
    </w:p>
    <w:p>
      <w:pPr>
        <w:spacing w:before="0"/>
        <w:ind w:left="160" w:right="214"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1а) ЈП Градска стамбена агенција – </w:t>
      </w:r>
      <w:r>
        <w:rPr>
          <w:rFonts w:ascii="Times New Roman" w:hAnsi="Times New Roman" w:cs="Times New Roman" w:eastAsia="Times New Roman" w:hint="default"/>
          <w:sz w:val="24"/>
          <w:szCs w:val="24"/>
        </w:rPr>
        <w:t>Исказан је издатак у износу од </w:t>
      </w:r>
      <w:r>
        <w:rPr>
          <w:rFonts w:ascii="Times New Roman" w:hAnsi="Times New Roman" w:cs="Times New Roman" w:eastAsia="Times New Roman" w:hint="default"/>
          <w:sz w:val="24"/>
          <w:szCs w:val="24"/>
        </w:rPr>
        <w:t>59.072 </w:t>
      </w:r>
      <w:r>
        <w:rPr>
          <w:rFonts w:ascii="Times New Roman" w:hAnsi="Times New Roman" w:cs="Times New Roman" w:eastAsia="Times New Roman" w:hint="default"/>
          <w:sz w:val="24"/>
          <w:szCs w:val="24"/>
        </w:rPr>
        <w:t>хиљад</w:t>
      </w:r>
      <w:r>
        <w:rPr>
          <w:rFonts w:ascii="Times New Roman" w:hAnsi="Times New Roman" w:cs="Times New Roman" w:eastAsia="Times New Roman" w:hint="default"/>
          <w:sz w:val="24"/>
          <w:szCs w:val="24"/>
        </w:rPr>
        <w:t>e </w:t>
      </w:r>
      <w:r>
        <w:rPr>
          <w:rFonts w:ascii="Times New Roman" w:hAnsi="Times New Roman" w:cs="Times New Roman" w:eastAsia="Times New Roman" w:hint="default"/>
          <w:sz w:val="24"/>
          <w:szCs w:val="24"/>
        </w:rPr>
        <w:t>динара из средстава буџета</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града.</w:t>
      </w:r>
    </w:p>
    <w:p>
      <w:pPr>
        <w:pStyle w:val="BodyText"/>
        <w:spacing w:line="240" w:lineRule="auto"/>
        <w:ind w:right="210" w:firstLine="566"/>
        <w:jc w:val="both"/>
      </w:pPr>
      <w:r>
        <w:rPr>
          <w:rFonts w:ascii="Times New Roman" w:hAnsi="Times New Roman" w:cs="Times New Roman" w:eastAsia="Times New Roman" w:hint="default"/>
        </w:rPr>
      </w:r>
      <w:r>
        <w:rPr>
          <w:rFonts w:ascii="Times New Roman" w:hAnsi="Times New Roman" w:cs="Times New Roman" w:eastAsia="Times New Roman" w:hint="default"/>
          <w:spacing w:val="-60"/>
          <w:u w:val="single" w:color="000000"/>
        </w:rPr>
        <w:t> </w:t>
      </w:r>
      <w:r>
        <w:rPr>
          <w:u w:val="single" w:color="000000"/>
        </w:rPr>
        <w:t>Залихе робе за даљу продају, субаналитички конто </w:t>
      </w:r>
      <w:r>
        <w:rPr>
          <w:rFonts w:ascii="Times New Roman" w:hAnsi="Times New Roman" w:cs="Times New Roman" w:eastAsia="Times New Roman" w:hint="default"/>
          <w:u w:val="single" w:color="000000"/>
        </w:rPr>
        <w:t>523111 </w:t>
      </w:r>
      <w:r>
        <w:rPr>
          <w:rFonts w:ascii="Times New Roman" w:hAnsi="Times New Roman" w:cs="Times New Roman" w:eastAsia="Times New Roman" w:hint="default"/>
        </w:rPr>
      </w:r>
      <w:r>
        <w:rPr>
          <w:rFonts w:ascii="Times New Roman" w:hAnsi="Times New Roman" w:cs="Times New Roman" w:eastAsia="Times New Roman" w:hint="default"/>
          <w:i/>
        </w:rPr>
        <w:t>- </w:t>
      </w:r>
      <w:r>
        <w:rPr/>
        <w:t>Исказан је издатак у износу од </w:t>
      </w:r>
      <w:r>
        <w:rPr>
          <w:rFonts w:ascii="Times New Roman" w:hAnsi="Times New Roman" w:cs="Times New Roman" w:eastAsia="Times New Roman" w:hint="default"/>
        </w:rPr>
        <w:t>59.0</w:t>
      </w:r>
      <w:r>
        <w:rPr/>
        <w:t>72 хиљаде динара по основу Уговора о извођењу радова број 01</w:t>
      </w:r>
      <w:r>
        <w:rPr>
          <w:rFonts w:ascii="Times New Roman" w:hAnsi="Times New Roman" w:cs="Times New Roman" w:eastAsia="Times New Roman" w:hint="default"/>
        </w:rPr>
        <w:t>-</w:t>
      </w:r>
      <w:r>
        <w:rPr/>
        <w:t>236 од 03.02.2014.  године,  закљученог  са  ГП  „Тончев  градња“  доо  Сурдулица  за  </w:t>
      </w:r>
      <w:r>
        <w:rPr>
          <w:spacing w:val="21"/>
        </w:rPr>
        <w:t> </w:t>
      </w:r>
      <w:r>
        <w:rPr/>
        <w:t>изградњу</w:t>
      </w:r>
    </w:p>
    <w:p>
      <w:pPr>
        <w:spacing w:after="0" w:line="240" w:lineRule="auto"/>
        <w:jc w:val="both"/>
        <w:sectPr>
          <w:pgSz w:w="12240" w:h="15840"/>
          <w:pgMar w:header="740" w:footer="1274" w:top="1280" w:bottom="1460" w:left="1400" w:right="1220"/>
        </w:sectPr>
      </w:pPr>
    </w:p>
    <w:p>
      <w:pPr>
        <w:pStyle w:val="BodyText"/>
        <w:spacing w:line="240" w:lineRule="auto" w:before="122"/>
        <w:ind w:right="173"/>
        <w:jc w:val="both"/>
      </w:pPr>
      <w:r>
        <w:rPr/>
        <w:t>станова за социјално становање у ламелама Л5 и Л6 на локацији улице Мајаковског у Нишу по систему „кључ у руке“. Уговорена вредност радова је 159.701 хиљада динара без ПДВ, односно 191.641 хиљада динара са</w:t>
      </w:r>
      <w:r>
        <w:rPr>
          <w:spacing w:val="-11"/>
        </w:rPr>
        <w:t> </w:t>
      </w:r>
      <w:r>
        <w:rPr/>
        <w:t>ПДВ.</w:t>
      </w:r>
    </w:p>
    <w:p>
      <w:pPr>
        <w:pStyle w:val="Heading1"/>
        <w:spacing w:line="275" w:lineRule="exact"/>
        <w:ind w:right="141"/>
        <w:jc w:val="left"/>
        <w:rPr>
          <w:b w:val="0"/>
          <w:bCs w:val="0"/>
        </w:rPr>
      </w:pPr>
      <w:r>
        <w:rPr/>
        <w:t>На основу ревизије узорковане документације утврђено</w:t>
      </w:r>
      <w:r>
        <w:rPr>
          <w:spacing w:val="-15"/>
        </w:rPr>
        <w:t> </w:t>
      </w:r>
      <w:r>
        <w:rPr/>
        <w:t>је:</w:t>
      </w:r>
      <w:r>
        <w:rPr>
          <w:b w:val="0"/>
        </w:rPr>
      </w:r>
    </w:p>
    <w:p>
      <w:pPr>
        <w:pStyle w:val="ListParagraph"/>
        <w:numPr>
          <w:ilvl w:val="0"/>
          <w:numId w:val="9"/>
        </w:numPr>
        <w:tabs>
          <w:tab w:pos="341" w:val="left" w:leader="none"/>
        </w:tabs>
        <w:spacing w:line="237" w:lineRule="auto" w:before="1" w:after="0"/>
        <w:ind w:left="160" w:right="173" w:firstLine="17"/>
        <w:jc w:val="both"/>
        <w:rPr>
          <w:rFonts w:ascii="Times New Roman" w:hAnsi="Times New Roman" w:cs="Times New Roman" w:eastAsia="Times New Roman" w:hint="default"/>
          <w:sz w:val="24"/>
          <w:szCs w:val="24"/>
        </w:rPr>
      </w:pPr>
      <w:r>
        <w:rPr>
          <w:rFonts w:ascii="Times New Roman" w:hAnsi="Times New Roman"/>
          <w:sz w:val="24"/>
        </w:rPr>
        <w:t>Трансакције и остали пословни догађаји нису евидентирани у тренутку када су се готовинска средства исплатила, односно нису евидентирани по готовинској основи</w:t>
      </w:r>
      <w:r>
        <w:rPr>
          <w:rFonts w:ascii="Times New Roman" w:hAnsi="Times New Roman"/>
          <w:sz w:val="24"/>
        </w:rPr>
        <w:t>, </w:t>
      </w:r>
      <w:r>
        <w:rPr>
          <w:rFonts w:ascii="Times New Roman" w:hAnsi="Times New Roman"/>
          <w:sz w:val="24"/>
        </w:rPr>
        <w:t>што је супротно члану 5. и 9. Уредбе о буџетском</w:t>
      </w:r>
      <w:r>
        <w:rPr>
          <w:rFonts w:ascii="Times New Roman" w:hAnsi="Times New Roman"/>
          <w:spacing w:val="-19"/>
          <w:sz w:val="24"/>
        </w:rPr>
        <w:t> </w:t>
      </w:r>
      <w:r>
        <w:rPr>
          <w:rFonts w:ascii="Times New Roman" w:hAnsi="Times New Roman"/>
          <w:sz w:val="24"/>
        </w:rPr>
        <w:t>рачуноводству.</w:t>
      </w:r>
    </w:p>
    <w:p>
      <w:pPr>
        <w:pStyle w:val="ListParagraph"/>
        <w:numPr>
          <w:ilvl w:val="0"/>
          <w:numId w:val="9"/>
        </w:numPr>
        <w:tabs>
          <w:tab w:pos="341"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Неправилно је евидентиран износ </w:t>
      </w:r>
      <w:r>
        <w:rPr>
          <w:rFonts w:ascii="Times New Roman" w:hAnsi="Times New Roman"/>
          <w:spacing w:val="-4"/>
          <w:sz w:val="24"/>
        </w:rPr>
        <w:t>од </w:t>
      </w:r>
      <w:r>
        <w:rPr>
          <w:rFonts w:ascii="Times New Roman" w:hAnsi="Times New Roman"/>
          <w:sz w:val="24"/>
        </w:rPr>
        <w:t>100 хиљада динара за услуге електричне енергије, </w:t>
      </w:r>
      <w:r>
        <w:rPr>
          <w:rFonts w:ascii="Times New Roman" w:hAnsi="Times New Roman"/>
          <w:sz w:val="24"/>
        </w:rPr>
        <w:t>уместо на групи 421000</w:t>
      </w:r>
      <w:r>
        <w:rPr>
          <w:rFonts w:ascii="Times New Roman" w:hAnsi="Times New Roman"/>
          <w:sz w:val="24"/>
        </w:rPr>
        <w:t>- </w:t>
      </w:r>
      <w:r>
        <w:rPr>
          <w:rFonts w:ascii="Times New Roman" w:hAnsi="Times New Roman"/>
          <w:sz w:val="24"/>
        </w:rPr>
        <w:t>стални трошкови, </w:t>
      </w:r>
      <w:r>
        <w:rPr>
          <w:rFonts w:ascii="Times New Roman" w:hAnsi="Times New Roman"/>
          <w:spacing w:val="-3"/>
          <w:sz w:val="24"/>
        </w:rPr>
        <w:t>што </w:t>
      </w:r>
      <w:r>
        <w:rPr>
          <w:rFonts w:ascii="Times New Roman" w:hAnsi="Times New Roman"/>
          <w:sz w:val="24"/>
        </w:rPr>
        <w:t>је супротно члану 9. Уредбе о буџетском </w:t>
      </w:r>
      <w:r>
        <w:rPr>
          <w:rFonts w:ascii="Times New Roman" w:hAnsi="Times New Roman"/>
          <w:sz w:val="24"/>
        </w:rPr>
        <w:t>рачуноводству и Правилнику о стандардном класификационом оквиру и контном плану за буџетски</w:t>
      </w:r>
      <w:r>
        <w:rPr>
          <w:rFonts w:ascii="Times New Roman" w:hAnsi="Times New Roman"/>
          <w:spacing w:val="-10"/>
          <w:sz w:val="24"/>
        </w:rPr>
        <w:t> </w:t>
      </w:r>
      <w:r>
        <w:rPr>
          <w:rFonts w:ascii="Times New Roman" w:hAnsi="Times New Roman"/>
          <w:sz w:val="24"/>
        </w:rPr>
        <w:t>систем.</w:t>
      </w:r>
    </w:p>
    <w:p>
      <w:pPr>
        <w:pStyle w:val="ListParagraph"/>
        <w:numPr>
          <w:ilvl w:val="0"/>
          <w:numId w:val="9"/>
        </w:numPr>
        <w:tabs>
          <w:tab w:pos="341" w:val="left" w:leader="none"/>
        </w:tabs>
        <w:spacing w:line="237" w:lineRule="auto" w:before="5"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Издатак за залихе робе за даљу продају исказан је у мањем износу за </w:t>
      </w:r>
      <w:r>
        <w:rPr>
          <w:rFonts w:ascii="Times New Roman" w:hAnsi="Times New Roman"/>
          <w:sz w:val="24"/>
        </w:rPr>
        <w:t>19.568 </w:t>
      </w:r>
      <w:r>
        <w:rPr>
          <w:rFonts w:ascii="Times New Roman" w:hAnsi="Times New Roman"/>
          <w:sz w:val="24"/>
        </w:rPr>
        <w:t>хиљада динара</w:t>
      </w:r>
      <w:r>
        <w:rPr>
          <w:rFonts w:ascii="Times New Roman" w:hAnsi="Times New Roman"/>
          <w:sz w:val="24"/>
        </w:rPr>
        <w:t>, </w:t>
      </w:r>
      <w:r>
        <w:rPr>
          <w:rFonts w:ascii="Times New Roman" w:hAnsi="Times New Roman"/>
          <w:sz w:val="24"/>
        </w:rPr>
        <w:t>јер издатак за изградњу станова за социјално становања у Л5 и Л6 на локацији улице Мајаковског у Нишу није правилно евидентиран и исказан, што је супротно </w:t>
      </w:r>
      <w:r>
        <w:rPr>
          <w:rFonts w:ascii="Times New Roman" w:hAnsi="Times New Roman"/>
          <w:spacing w:val="20"/>
          <w:sz w:val="24"/>
        </w:rPr>
        <w:t> </w:t>
      </w:r>
      <w:r>
        <w:rPr>
          <w:rFonts w:ascii="Times New Roman" w:hAnsi="Times New Roman"/>
          <w:sz w:val="24"/>
        </w:rPr>
        <w:t>члану</w:t>
      </w:r>
    </w:p>
    <w:p>
      <w:pPr>
        <w:pStyle w:val="BodyText"/>
        <w:spacing w:line="240" w:lineRule="auto"/>
        <w:ind w:right="176"/>
        <w:jc w:val="both"/>
      </w:pPr>
      <w:r>
        <w:rPr/>
        <w:t>9. Уредбе о буџетском рачуноводству и Правилнику о стандардном класификационом оквиру и контном плану за буџетски</w:t>
      </w:r>
      <w:r>
        <w:rPr>
          <w:spacing w:val="-21"/>
        </w:rPr>
        <w:t> </w:t>
      </w:r>
      <w:r>
        <w:rPr/>
        <w:t>систем.</w:t>
      </w:r>
    </w:p>
    <w:p>
      <w:pPr>
        <w:pStyle w:val="Heading2"/>
        <w:spacing w:line="240" w:lineRule="auto"/>
        <w:ind w:right="173"/>
        <w:jc w:val="both"/>
        <w:rPr>
          <w:b w:val="0"/>
          <w:bCs w:val="0"/>
          <w:i w:val="0"/>
        </w:rPr>
      </w:pPr>
      <w:r>
        <w:rPr>
          <w:i/>
        </w:rPr>
        <w:t>Препоручује се одговорним лицима да обезбеде правилну примену  одредби  Закона о планирању и изградњи</w:t>
      </w:r>
      <w:r>
        <w:rPr>
          <w:rFonts w:ascii="Times New Roman" w:hAnsi="Times New Roman"/>
          <w:i/>
        </w:rPr>
        <w:t>, </w:t>
      </w:r>
      <w:r>
        <w:rPr>
          <w:i/>
        </w:rPr>
        <w:t>Уредбе о буџетском рачуноводству и Правилника о стандардном класификационом оквиру и контном плану за буџетски</w:t>
      </w:r>
      <w:r>
        <w:rPr>
          <w:i/>
          <w:spacing w:val="-28"/>
        </w:rPr>
        <w:t> </w:t>
      </w:r>
      <w:r>
        <w:rPr>
          <w:i/>
        </w:rPr>
        <w:t>систем.</w:t>
      </w:r>
      <w:r>
        <w:rPr>
          <w:b w:val="0"/>
          <w:i w:val="0"/>
        </w:rPr>
      </w:r>
    </w:p>
    <w:p>
      <w:pPr>
        <w:pStyle w:val="ListParagraph"/>
        <w:numPr>
          <w:ilvl w:val="4"/>
          <w:numId w:val="52"/>
        </w:numPr>
        <w:tabs>
          <w:tab w:pos="1013" w:val="left" w:leader="none"/>
        </w:tabs>
        <w:spacing w:line="240" w:lineRule="auto" w:before="134" w:after="0"/>
        <w:ind w:left="160" w:right="176" w:firstLine="566"/>
        <w:jc w:val="both"/>
        <w:rPr>
          <w:rFonts w:ascii="Times New Roman" w:hAnsi="Times New Roman" w:cs="Times New Roman" w:eastAsia="Times New Roman" w:hint="default"/>
          <w:sz w:val="24"/>
          <w:szCs w:val="24"/>
        </w:rPr>
      </w:pPr>
      <w:r>
        <w:rPr>
          <w:rFonts w:ascii="Times New Roman" w:hAnsi="Times New Roman"/>
          <w:b/>
          <w:sz w:val="24"/>
        </w:rPr>
        <w:t>Управа за образовање </w:t>
      </w:r>
      <w:r>
        <w:rPr>
          <w:rFonts w:ascii="Times New Roman" w:hAnsi="Times New Roman"/>
          <w:b/>
          <w:sz w:val="24"/>
        </w:rPr>
        <w:t>- </w:t>
      </w:r>
      <w:r>
        <w:rPr>
          <w:rFonts w:ascii="Times New Roman" w:hAnsi="Times New Roman"/>
          <w:sz w:val="24"/>
        </w:rPr>
        <w:t>Исказан је издатак у износу од </w:t>
      </w:r>
      <w:r>
        <w:rPr>
          <w:rFonts w:ascii="Times New Roman" w:hAnsi="Times New Roman"/>
          <w:sz w:val="24"/>
        </w:rPr>
        <w:t>21.565 </w:t>
      </w:r>
      <w:r>
        <w:rPr>
          <w:rFonts w:ascii="Times New Roman" w:hAnsi="Times New Roman"/>
          <w:sz w:val="24"/>
        </w:rPr>
        <w:t>хиљада динара из осталих извора. Исказани издатак се односи на: ПУ Пчелица у износу од 20.996 хиљада динара и Дечији центар у износу од 569 хиљада</w:t>
      </w:r>
      <w:r>
        <w:rPr>
          <w:rFonts w:ascii="Times New Roman" w:hAnsi="Times New Roman"/>
          <w:spacing w:val="-17"/>
          <w:sz w:val="24"/>
        </w:rPr>
        <w:t> </w:t>
      </w:r>
      <w:r>
        <w:rPr>
          <w:rFonts w:ascii="Times New Roman" w:hAnsi="Times New Roman"/>
          <w:sz w:val="24"/>
        </w:rPr>
        <w:t>динара</w:t>
      </w:r>
      <w:r>
        <w:rPr>
          <w:rFonts w:ascii="Times New Roman" w:hAnsi="Times New Roman"/>
          <w:sz w:val="24"/>
        </w:rPr>
        <w:t>.</w:t>
      </w:r>
    </w:p>
    <w:p>
      <w:pPr>
        <w:spacing w:before="0"/>
        <w:ind w:left="726" w:right="141" w:firstLine="0"/>
        <w:jc w:val="left"/>
        <w:rPr>
          <w:rFonts w:ascii="Times New Roman" w:hAnsi="Times New Roman" w:cs="Times New Roman" w:eastAsia="Times New Roman" w:hint="default"/>
          <w:sz w:val="24"/>
          <w:szCs w:val="24"/>
        </w:rPr>
      </w:pPr>
      <w:r>
        <w:rPr>
          <w:rFonts w:ascii="Times New Roman" w:hAnsi="Times New Roman"/>
          <w:b/>
          <w:sz w:val="24"/>
        </w:rPr>
        <w:t>2а) ПУ Пчелица </w:t>
      </w:r>
      <w:r>
        <w:rPr>
          <w:rFonts w:ascii="Times New Roman" w:hAnsi="Times New Roman"/>
          <w:b/>
          <w:sz w:val="24"/>
        </w:rPr>
        <w:t>- </w:t>
      </w:r>
      <w:r>
        <w:rPr>
          <w:rFonts w:ascii="Times New Roman" w:hAnsi="Times New Roman"/>
          <w:sz w:val="24"/>
        </w:rPr>
        <w:t>Исказан је издатак у износу од 20.996 хиљада</w:t>
      </w:r>
      <w:r>
        <w:rPr>
          <w:rFonts w:ascii="Times New Roman" w:hAnsi="Times New Roman"/>
          <w:spacing w:val="-16"/>
          <w:sz w:val="24"/>
        </w:rPr>
        <w:t> </w:t>
      </w:r>
      <w:r>
        <w:rPr>
          <w:rFonts w:ascii="Times New Roman" w:hAnsi="Times New Roman"/>
          <w:sz w:val="24"/>
        </w:rPr>
        <w:t>динара</w:t>
      </w:r>
      <w:r>
        <w:rPr>
          <w:rFonts w:ascii="Times New Roman" w:hAnsi="Times New Roman"/>
          <w:sz w:val="24"/>
        </w:rPr>
        <w:t>.</w:t>
      </w:r>
    </w:p>
    <w:p>
      <w:pPr>
        <w:pStyle w:val="BodyText"/>
        <w:spacing w:line="240" w:lineRule="auto"/>
        <w:ind w:right="177" w:firstLine="626"/>
        <w:jc w:val="both"/>
      </w:pPr>
      <w:r>
        <w:rPr>
          <w:rFonts w:ascii="Times New Roman" w:hAnsi="Times New Roman"/>
        </w:rPr>
      </w:r>
      <w:r>
        <w:rPr>
          <w:rFonts w:ascii="Times New Roman" w:hAnsi="Times New Roman"/>
          <w:spacing w:val="-60"/>
          <w:u w:val="single" w:color="000000"/>
        </w:rPr>
        <w:t> </w:t>
      </w:r>
      <w:r>
        <w:rPr>
          <w:u w:val="single" w:color="000000"/>
        </w:rPr>
        <w:t>Залихе робе за даљу продају, субаналитички конто 523111 </w:t>
      </w:r>
      <w:r>
        <w:rPr/>
      </w:r>
      <w:r>
        <w:rPr>
          <w:rFonts w:ascii="Times New Roman" w:hAnsi="Times New Roman"/>
          <w:i/>
        </w:rPr>
        <w:t>- </w:t>
      </w:r>
      <w:r>
        <w:rPr/>
        <w:t>Исказан је издатак у износу од 20.996 хиљада динара из осталих</w:t>
      </w:r>
      <w:r>
        <w:rPr>
          <w:spacing w:val="-18"/>
        </w:rPr>
        <w:t> </w:t>
      </w:r>
      <w:r>
        <w:rPr/>
        <w:t>извора.</w:t>
      </w:r>
    </w:p>
    <w:p>
      <w:pPr>
        <w:pStyle w:val="Heading1"/>
        <w:spacing w:line="275" w:lineRule="exact"/>
        <w:ind w:right="141"/>
        <w:jc w:val="left"/>
        <w:rPr>
          <w:b w:val="0"/>
          <w:bCs w:val="0"/>
        </w:rPr>
      </w:pPr>
      <w:r>
        <w:rPr/>
        <w:t>На основу ревизије узорковане документације утврђено</w:t>
      </w:r>
      <w:r>
        <w:rPr>
          <w:spacing w:val="-18"/>
        </w:rPr>
        <w:t> </w:t>
      </w:r>
      <w:r>
        <w:rPr/>
        <w:t>је:</w:t>
      </w:r>
      <w:r>
        <w:rPr>
          <w:b w:val="0"/>
        </w:rPr>
      </w:r>
    </w:p>
    <w:p>
      <w:pPr>
        <w:pStyle w:val="ListParagraph"/>
        <w:numPr>
          <w:ilvl w:val="0"/>
          <w:numId w:val="9"/>
        </w:numPr>
        <w:tabs>
          <w:tab w:pos="303"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Плаћање се не врши на основу конкретне рачуноводствене исправе, већ по основу више исправа. У случајевима где се од једног добављача набављају намирнице за потребе вртића и роба за даљу продају, нисмо се уверили да је плаћање вршено по рачуноводственим исправама које су издате за набављену робу за даљу продају. Праћење реализације уговора није адекватно и постоји ризик да се буџетским средствима плате обавезе проистекле обављањем комерцијалне</w:t>
      </w:r>
      <w:r>
        <w:rPr>
          <w:rFonts w:ascii="Times New Roman" w:hAnsi="Times New Roman"/>
          <w:spacing w:val="-16"/>
          <w:sz w:val="24"/>
        </w:rPr>
        <w:t> </w:t>
      </w:r>
      <w:r>
        <w:rPr>
          <w:rFonts w:ascii="Times New Roman" w:hAnsi="Times New Roman"/>
          <w:sz w:val="24"/>
        </w:rPr>
        <w:t>делатности.</w:t>
      </w:r>
    </w:p>
    <w:p>
      <w:pPr>
        <w:pStyle w:val="ListParagraph"/>
        <w:numPr>
          <w:ilvl w:val="0"/>
          <w:numId w:val="9"/>
        </w:numPr>
        <w:tabs>
          <w:tab w:pos="303" w:val="left" w:leader="none"/>
        </w:tabs>
        <w:spacing w:line="240" w:lineRule="auto" w:before="2"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Нисмо се уверили у тачност података о износима извршених набавки залиха робе за даљу продају по појединачним Уговорима, због неадекватног система праћења извршења уговора о јавним набавкама, већег броја закључених Уговора са једним добављачем по више партија и плаћањима по обавезама из више</w:t>
      </w:r>
      <w:r>
        <w:rPr>
          <w:rFonts w:ascii="Times New Roman" w:hAnsi="Times New Roman"/>
          <w:spacing w:val="-15"/>
          <w:sz w:val="24"/>
        </w:rPr>
        <w:t> </w:t>
      </w:r>
      <w:r>
        <w:rPr>
          <w:rFonts w:ascii="Times New Roman" w:hAnsi="Times New Roman"/>
          <w:sz w:val="24"/>
        </w:rPr>
        <w:t>година.</w:t>
      </w:r>
    </w:p>
    <w:p>
      <w:pPr>
        <w:pStyle w:val="Heading2"/>
        <w:spacing w:line="240" w:lineRule="auto"/>
        <w:ind w:right="183"/>
        <w:jc w:val="both"/>
        <w:rPr>
          <w:b w:val="0"/>
          <w:bCs w:val="0"/>
          <w:i w:val="0"/>
        </w:rPr>
      </w:pPr>
      <w:r>
        <w:rPr>
          <w:i/>
        </w:rPr>
        <w:t>Препоручује се одговорним лицима да интерним контролним поступцима и процедурама обезбеде праћење извршења закључених уговора и тачно извештавање о извршењу</w:t>
      </w:r>
      <w:r>
        <w:rPr>
          <w:i/>
          <w:spacing w:val="-2"/>
        </w:rPr>
        <w:t> </w:t>
      </w:r>
      <w:r>
        <w:rPr>
          <w:i/>
        </w:rPr>
        <w:t>истих.</w:t>
      </w:r>
      <w:r>
        <w:rPr>
          <w:b w:val="0"/>
          <w:i w:val="0"/>
        </w:rPr>
      </w:r>
    </w:p>
    <w:p>
      <w:pPr>
        <w:pStyle w:val="Heading1"/>
        <w:numPr>
          <w:ilvl w:val="3"/>
          <w:numId w:val="52"/>
        </w:numPr>
        <w:tabs>
          <w:tab w:pos="941" w:val="left" w:leader="none"/>
        </w:tabs>
        <w:spacing w:line="272" w:lineRule="exact" w:before="201" w:after="0"/>
        <w:ind w:left="940" w:right="0" w:hanging="780"/>
        <w:jc w:val="both"/>
        <w:rPr>
          <w:rFonts w:ascii="Times New Roman" w:hAnsi="Times New Roman" w:cs="Times New Roman" w:eastAsia="Times New Roman" w:hint="default"/>
          <w:b w:val="0"/>
          <w:bCs w:val="0"/>
        </w:rPr>
      </w:pPr>
      <w:bookmarkStart w:name="_bookmark43" w:id="76"/>
      <w:bookmarkEnd w:id="76"/>
      <w:r>
        <w:rPr>
          <w:b w:val="0"/>
        </w:rPr>
      </w:r>
      <w:bookmarkStart w:name="_bookmark43" w:id="77"/>
      <w:bookmarkEnd w:id="77"/>
      <w:r>
        <w:rPr/>
        <w:t>Зе</w:t>
      </w:r>
      <w:r>
        <w:rPr/>
        <w:t>мљиште, група</w:t>
      </w:r>
      <w:r>
        <w:rPr>
          <w:spacing w:val="57"/>
        </w:rPr>
        <w:t> </w:t>
      </w:r>
      <w:r>
        <w:rPr>
          <w:rFonts w:ascii="Times New Roman" w:hAnsi="Times New Roman"/>
        </w:rPr>
        <w:t>541000</w:t>
      </w:r>
      <w:r>
        <w:rPr>
          <w:rFonts w:ascii="Times New Roman" w:hAnsi="Times New Roman"/>
          <w:b w:val="0"/>
        </w:rPr>
      </w:r>
    </w:p>
    <w:p>
      <w:pPr>
        <w:pStyle w:val="BodyText"/>
        <w:spacing w:line="272" w:lineRule="exact"/>
        <w:ind w:left="726" w:right="141"/>
        <w:jc w:val="left"/>
        <w:rPr>
          <w:rFonts w:ascii="Times New Roman" w:hAnsi="Times New Roman" w:cs="Times New Roman" w:eastAsia="Times New Roman" w:hint="default"/>
        </w:rPr>
      </w:pPr>
      <w:r>
        <w:rPr/>
        <w:t>Група 541000 – Земљиште садржи синтетичка конта  за набавку</w:t>
      </w:r>
      <w:r>
        <w:rPr>
          <w:spacing w:val="-20"/>
        </w:rPr>
        <w:t> </w:t>
      </w:r>
      <w:r>
        <w:rPr/>
        <w:t>земљишта</w:t>
      </w:r>
      <w:r>
        <w:rPr>
          <w:rFonts w:ascii="Times New Roman" w:hAnsi="Times New Roman" w:cs="Times New Roman" w:eastAsia="Times New Roman" w:hint="default"/>
        </w:rPr>
        <w:t>.</w:t>
      </w:r>
    </w:p>
    <w:p>
      <w:pPr>
        <w:spacing w:after="0" w:line="272" w:lineRule="exact"/>
        <w:jc w:val="left"/>
        <w:rPr>
          <w:rFonts w:ascii="Times New Roman" w:hAnsi="Times New Roman" w:cs="Times New Roman" w:eastAsia="Times New Roman" w:hint="default"/>
        </w:rPr>
        <w:sectPr>
          <w:pgSz w:w="12240" w:h="15840"/>
          <w:pgMar w:header="740" w:footer="1274" w:top="1280" w:bottom="1460" w:left="1400" w:right="1260"/>
        </w:sectPr>
      </w:pPr>
    </w:p>
    <w:p>
      <w:pPr>
        <w:spacing w:before="124" w:after="4"/>
        <w:ind w:left="0" w:right="173" w:firstLine="0"/>
        <w:jc w:val="right"/>
        <w:rPr>
          <w:rFonts w:ascii="Times New Roman" w:hAnsi="Times New Roman" w:cs="Times New Roman" w:eastAsia="Times New Roman" w:hint="default"/>
          <w:sz w:val="16"/>
          <w:szCs w:val="16"/>
        </w:rPr>
      </w:pPr>
      <w:r>
        <w:rPr>
          <w:rFonts w:ascii="Times New Roman" w:hAnsi="Times New Roman"/>
          <w:sz w:val="16"/>
        </w:rPr>
        <w:t>(у хиљадама</w:t>
      </w:r>
      <w:r>
        <w:rPr>
          <w:rFonts w:ascii="Times New Roman" w:hAnsi="Times New Roman"/>
          <w:spacing w:val="-5"/>
          <w:sz w:val="16"/>
        </w:rPr>
        <w:t> </w:t>
      </w:r>
      <w:r>
        <w:rPr>
          <w:rFonts w:ascii="Times New Roman" w:hAnsi="Times New Roman"/>
          <w:sz w:val="16"/>
        </w:rPr>
        <w:t>динара)</w:t>
      </w:r>
    </w:p>
    <w:tbl>
      <w:tblPr>
        <w:tblW w:w="0" w:type="auto"/>
        <w:jc w:val="left"/>
        <w:tblInd w:w="141" w:type="dxa"/>
        <w:tblLayout w:type="fixed"/>
        <w:tblCellMar>
          <w:top w:w="0" w:type="dxa"/>
          <w:left w:w="0" w:type="dxa"/>
          <w:bottom w:w="0" w:type="dxa"/>
          <w:right w:w="0" w:type="dxa"/>
        </w:tblCellMar>
        <w:tblLook w:val="01E0"/>
      </w:tblPr>
      <w:tblGrid>
        <w:gridCol w:w="722"/>
        <w:gridCol w:w="2554"/>
        <w:gridCol w:w="960"/>
        <w:gridCol w:w="1351"/>
        <w:gridCol w:w="1047"/>
        <w:gridCol w:w="936"/>
        <w:gridCol w:w="845"/>
        <w:gridCol w:w="847"/>
      </w:tblGrid>
      <w:tr>
        <w:trPr>
          <w:trHeight w:val="50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3"/>
              <w:ind w:left="187" w:right="102" w:hanging="75"/>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6"/>
              <w:ind w:left="467"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8"/>
                <w:sz w:val="18"/>
              </w:rPr>
              <w:t> </w:t>
            </w:r>
            <w:r>
              <w:rPr>
                <w:rFonts w:ascii="Times New Roman" w:hAnsi="Times New Roman"/>
                <w:b/>
                <w:sz w:val="18"/>
              </w:rPr>
              <w:t>корисник</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6"/>
              <w:ind w:right="103"/>
              <w:jc w:val="right"/>
              <w:rPr>
                <w:rFonts w:ascii="Times New Roman" w:hAnsi="Times New Roman" w:cs="Times New Roman" w:eastAsia="Times New Roman" w:hint="default"/>
                <w:sz w:val="18"/>
                <w:szCs w:val="18"/>
              </w:rPr>
            </w:pPr>
            <w:r>
              <w:rPr>
                <w:rFonts w:ascii="Times New Roman" w:hAnsi="Times New Roman"/>
                <w:b/>
                <w:spacing w:val="-1"/>
                <w:sz w:val="18"/>
              </w:rPr>
              <w:t>Ребаланс</w:t>
            </w:r>
            <w:r>
              <w:rPr>
                <w:rFonts w:ascii="Times New Roman" w:hAns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3"/>
              <w:ind w:left="103" w:right="93" w:firstLine="88"/>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реалокацијом</w:t>
            </w:r>
            <w:r>
              <w:rPr>
                <w:rFonts w:ascii="Times New Roman" w:hAns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3"/>
              <w:ind w:left="103" w:right="95"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3"/>
              <w:ind w:left="112" w:right="107"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3"/>
              <w:ind w:left="299" w:right="110"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3"/>
              <w:ind w:left="302" w:right="109"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75"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left="326" w:right="0"/>
              <w:jc w:val="left"/>
              <w:rPr>
                <w:rFonts w:ascii="Times New Roman" w:hAnsi="Times New Roman" w:cs="Times New Roman" w:eastAsia="Times New Roman" w:hint="default"/>
                <w:sz w:val="12"/>
                <w:szCs w:val="12"/>
              </w:rPr>
            </w:pPr>
            <w:r>
              <w:rPr>
                <w:rFonts w:ascii="Times New Roman"/>
                <w:sz w:val="12"/>
              </w:rPr>
              <w:t>1</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right="1"/>
              <w:jc w:val="center"/>
              <w:rPr>
                <w:rFonts w:ascii="Times New Roman" w:hAnsi="Times New Roman" w:cs="Times New Roman" w:eastAsia="Times New Roman" w:hint="default"/>
                <w:sz w:val="12"/>
                <w:szCs w:val="12"/>
              </w:rPr>
            </w:pPr>
            <w:r>
              <w:rPr>
                <w:rFonts w:ascii="Times New Roman"/>
                <w:sz w:val="12"/>
              </w:rPr>
              <w:t>2</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right="0"/>
              <w:jc w:val="center"/>
              <w:rPr>
                <w:rFonts w:ascii="Times New Roman" w:hAnsi="Times New Roman" w:cs="Times New Roman" w:eastAsia="Times New Roman" w:hint="default"/>
                <w:sz w:val="12"/>
                <w:szCs w:val="12"/>
              </w:rPr>
            </w:pPr>
            <w:r>
              <w:rPr>
                <w:rFonts w:ascii="Times New Roman"/>
                <w:sz w:val="12"/>
              </w:rPr>
              <w:t>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right="0"/>
              <w:jc w:val="center"/>
              <w:rPr>
                <w:rFonts w:ascii="Times New Roman" w:hAnsi="Times New Roman" w:cs="Times New Roman" w:eastAsia="Times New Roman" w:hint="default"/>
                <w:sz w:val="12"/>
                <w:szCs w:val="12"/>
              </w:rPr>
            </w:pPr>
            <w:r>
              <w:rPr>
                <w:rFonts w:ascii="Times New Roman"/>
                <w:sz w:val="12"/>
              </w:rPr>
              <w:t>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right="2"/>
              <w:jc w:val="center"/>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right="5"/>
              <w:jc w:val="center"/>
              <w:rPr>
                <w:rFonts w:ascii="Times New Roman" w:hAnsi="Times New Roman" w:cs="Times New Roman" w:eastAsia="Times New Roman" w:hint="default"/>
                <w:sz w:val="12"/>
                <w:szCs w:val="12"/>
              </w:rPr>
            </w:pPr>
            <w:r>
              <w:rPr>
                <w:rFonts w:ascii="Times New Roman"/>
                <w:sz w:val="12"/>
              </w:rPr>
              <w:t>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right="0"/>
              <w:jc w:val="center"/>
              <w:rPr>
                <w:rFonts w:ascii="Times New Roman" w:hAnsi="Times New Roman" w:cs="Times New Roman" w:eastAsia="Times New Roman" w:hint="default"/>
                <w:sz w:val="12"/>
                <w:szCs w:val="12"/>
              </w:rPr>
            </w:pPr>
            <w:r>
              <w:rPr>
                <w:rFonts w:ascii="Times New Roman"/>
                <w:sz w:val="12"/>
              </w:rPr>
              <w:t>7</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left="388" w:right="0"/>
              <w:jc w:val="left"/>
              <w:rPr>
                <w:rFonts w:ascii="Times New Roman" w:hAnsi="Times New Roman" w:cs="Times New Roman" w:eastAsia="Times New Roman" w:hint="default"/>
                <w:sz w:val="12"/>
                <w:szCs w:val="12"/>
              </w:rPr>
            </w:pPr>
            <w:r>
              <w:rPr>
                <w:rFonts w:ascii="Times New Roman"/>
                <w:sz w:val="12"/>
              </w:rPr>
              <w:t>8</w:t>
            </w:r>
          </w:p>
        </w:tc>
      </w:tr>
      <w:tr>
        <w:trPr>
          <w:trHeight w:val="218"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11" w:right="0"/>
              <w:jc w:val="left"/>
              <w:rPr>
                <w:rFonts w:ascii="Times New Roman" w:hAnsi="Times New Roman" w:cs="Times New Roman" w:eastAsia="Times New Roman" w:hint="default"/>
                <w:sz w:val="18"/>
                <w:szCs w:val="18"/>
              </w:rPr>
            </w:pPr>
            <w:r>
              <w:rPr>
                <w:rFonts w:ascii="Times New Roman"/>
                <w:sz w:val="18"/>
              </w:rPr>
              <w:t>1</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6"/>
                <w:sz w:val="18"/>
              </w:rPr>
              <w:t> </w:t>
            </w:r>
            <w:r>
              <w:rPr>
                <w:rFonts w:ascii="Times New Roman" w:hAnsi="Times New Roman"/>
                <w:sz w:val="18"/>
              </w:rPr>
              <w:t>имовину</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150.108</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177.504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177.504</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167.485</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94,36</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28" w:right="0"/>
              <w:jc w:val="left"/>
              <w:rPr>
                <w:rFonts w:ascii="Times New Roman" w:hAnsi="Times New Roman" w:cs="Times New Roman" w:eastAsia="Times New Roman" w:hint="default"/>
                <w:sz w:val="18"/>
                <w:szCs w:val="18"/>
              </w:rPr>
            </w:pPr>
            <w:r>
              <w:rPr>
                <w:rFonts w:ascii="Times New Roman"/>
                <w:sz w:val="18"/>
              </w:rPr>
              <w:t>94,36</w:t>
            </w:r>
          </w:p>
        </w:tc>
      </w:tr>
      <w:tr>
        <w:trPr>
          <w:trHeight w:val="21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11" w:right="0"/>
              <w:jc w:val="left"/>
              <w:rPr>
                <w:rFonts w:ascii="Times New Roman" w:hAnsi="Times New Roman" w:cs="Times New Roman" w:eastAsia="Times New Roman" w:hint="default"/>
                <w:sz w:val="18"/>
                <w:szCs w:val="18"/>
              </w:rPr>
            </w:pPr>
            <w:r>
              <w:rPr>
                <w:rFonts w:ascii="Times New Roman"/>
                <w:sz w:val="18"/>
              </w:rPr>
              <w:t>2</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ГЈП</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4"/>
              <w:jc w:val="right"/>
              <w:rPr>
                <w:rFonts w:ascii="Times New Roman" w:hAnsi="Times New Roman" w:cs="Times New Roman" w:eastAsia="Times New Roman" w:hint="default"/>
                <w:sz w:val="18"/>
                <w:szCs w:val="18"/>
              </w:rPr>
            </w:pPr>
            <w:r>
              <w:rPr>
                <w:rFonts w:ascii="Times New Roman"/>
                <w:sz w:val="18"/>
              </w:rPr>
              <w:t>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2631</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0,00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419" w:right="0"/>
              <w:jc w:val="left"/>
              <w:rPr>
                <w:rFonts w:ascii="Times New Roman" w:hAnsi="Times New Roman" w:cs="Times New Roman" w:eastAsia="Times New Roman" w:hint="default"/>
                <w:sz w:val="18"/>
                <w:szCs w:val="18"/>
              </w:rPr>
            </w:pPr>
            <w:r>
              <w:rPr>
                <w:rFonts w:ascii="Times New Roman"/>
                <w:sz w:val="18"/>
              </w:rPr>
              <w:t>0,00</w:t>
            </w:r>
          </w:p>
        </w:tc>
      </w:tr>
      <w:tr>
        <w:trPr>
          <w:trHeight w:val="216"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11" w:right="0"/>
              <w:jc w:val="left"/>
              <w:rPr>
                <w:rFonts w:ascii="Times New Roman" w:hAnsi="Times New Roman" w:cs="Times New Roman" w:eastAsia="Times New Roman" w:hint="default"/>
                <w:sz w:val="18"/>
                <w:szCs w:val="18"/>
              </w:rPr>
            </w:pPr>
            <w:r>
              <w:rPr>
                <w:rFonts w:ascii="Times New Roman"/>
                <w:sz w:val="18"/>
              </w:rPr>
              <w:t>3</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 ком.</w:t>
            </w:r>
            <w:r>
              <w:rPr>
                <w:rFonts w:ascii="Times New Roman" w:hAnsi="Times New Roman"/>
                <w:spacing w:val="-10"/>
                <w:sz w:val="18"/>
              </w:rPr>
              <w:t> </w:t>
            </w:r>
            <w:r>
              <w:rPr>
                <w:rFonts w:ascii="Times New Roman" w:hAnsi="Times New Roman"/>
                <w:sz w:val="18"/>
              </w:rPr>
              <w:t>делатн.</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4"/>
              <w:jc w:val="right"/>
              <w:rPr>
                <w:rFonts w:ascii="Times New Roman" w:hAnsi="Times New Roman" w:cs="Times New Roman" w:eastAsia="Times New Roman" w:hint="default"/>
                <w:sz w:val="18"/>
                <w:szCs w:val="18"/>
              </w:rPr>
            </w:pPr>
            <w:r>
              <w:rPr>
                <w:rFonts w:ascii="Times New Roman"/>
                <w:sz w:val="18"/>
              </w:rPr>
              <w:t>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3883</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0,00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419" w:right="0"/>
              <w:jc w:val="left"/>
              <w:rPr>
                <w:rFonts w:ascii="Times New Roman" w:hAnsi="Times New Roman" w:cs="Times New Roman" w:eastAsia="Times New Roman" w:hint="default"/>
                <w:sz w:val="18"/>
                <w:szCs w:val="18"/>
              </w:rPr>
            </w:pPr>
            <w:r>
              <w:rPr>
                <w:rFonts w:ascii="Times New Roman"/>
                <w:sz w:val="18"/>
              </w:rPr>
              <w:t>0,00</w:t>
            </w:r>
          </w:p>
        </w:tc>
      </w:tr>
      <w:tr>
        <w:trPr>
          <w:trHeight w:val="218" w:hRule="exact"/>
        </w:trPr>
        <w:tc>
          <w:tcPr>
            <w:tcW w:w="72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441" w:right="0"/>
              <w:jc w:val="left"/>
              <w:rPr>
                <w:rFonts w:ascii="Times New Roman" w:hAnsi="Times New Roman" w:cs="Times New Roman" w:eastAsia="Times New Roman" w:hint="default"/>
                <w:sz w:val="18"/>
                <w:szCs w:val="18"/>
              </w:rPr>
            </w:pPr>
            <w:r>
              <w:rPr>
                <w:rFonts w:ascii="Times New Roman" w:hAnsi="Times New Roman"/>
                <w:sz w:val="18"/>
              </w:rPr>
              <w:t>3а</w:t>
            </w:r>
          </w:p>
        </w:tc>
        <w:tc>
          <w:tcPr>
            <w:tcW w:w="255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ЈП</w:t>
            </w:r>
            <w:r>
              <w:rPr>
                <w:rFonts w:ascii="Times New Roman" w:hAnsi="Times New Roman"/>
                <w:spacing w:val="-6"/>
                <w:sz w:val="18"/>
              </w:rPr>
              <w:t> </w:t>
            </w:r>
            <w:r>
              <w:rPr>
                <w:rFonts w:ascii="Times New Roman" w:hAnsi="Times New Roman"/>
                <w:sz w:val="18"/>
              </w:rPr>
              <w:t>Дирекција</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4"/>
              <w:jc w:val="right"/>
              <w:rPr>
                <w:rFonts w:ascii="Times New Roman" w:hAnsi="Times New Roman" w:cs="Times New Roman" w:eastAsia="Times New Roman" w:hint="default"/>
                <w:sz w:val="18"/>
                <w:szCs w:val="18"/>
              </w:rPr>
            </w:pPr>
            <w:r>
              <w:rPr>
                <w:rFonts w:ascii="Times New Roman"/>
                <w:sz w:val="18"/>
              </w:rPr>
              <w:t>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3883</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0,00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419" w:right="0"/>
              <w:jc w:val="left"/>
              <w:rPr>
                <w:rFonts w:ascii="Times New Roman" w:hAnsi="Times New Roman" w:cs="Times New Roman" w:eastAsia="Times New Roman" w:hint="default"/>
                <w:sz w:val="18"/>
                <w:szCs w:val="18"/>
              </w:rPr>
            </w:pPr>
            <w:r>
              <w:rPr>
                <w:rFonts w:ascii="Times New Roman"/>
                <w:sz w:val="18"/>
              </w:rPr>
              <w:t>0,00</w:t>
            </w:r>
          </w:p>
        </w:tc>
      </w:tr>
      <w:tr>
        <w:trPr>
          <w:trHeight w:val="216"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657" w:right="0"/>
              <w:jc w:val="left"/>
              <w:rPr>
                <w:rFonts w:ascii="Times New Roman" w:hAnsi="Times New Roman" w:cs="Times New Roman" w:eastAsia="Times New Roman" w:hint="default"/>
                <w:sz w:val="18"/>
                <w:szCs w:val="18"/>
              </w:rPr>
            </w:pPr>
            <w:r>
              <w:rPr>
                <w:rFonts w:ascii="Times New Roman" w:hAnsi="Times New Roman"/>
                <w:b/>
                <w:sz w:val="18"/>
              </w:rPr>
              <w:t>Укупно корисника</w:t>
            </w:r>
            <w:r>
              <w:rPr>
                <w:rFonts w:ascii="Times New Roman" w:hAnsi="Times New Roman"/>
                <w:b/>
                <w:spacing w:val="-1"/>
                <w:sz w:val="18"/>
              </w:rPr>
              <w:t> </w:t>
            </w:r>
            <w:r>
              <w:rPr>
                <w:rFonts w:ascii="Times New Roman" w:hAnsi="Times New Roman"/>
                <w:b/>
                <w:sz w:val="18"/>
              </w:rPr>
              <w:t>(1</w:t>
            </w:r>
            <w:r>
              <w:rPr>
                <w:rFonts w:ascii="Times New Roman" w:hAnsi="Times New Roman"/>
                <w:b/>
                <w:sz w:val="18"/>
              </w:rPr>
              <w:t>-3)</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pacing w:val="-1"/>
                <w:sz w:val="18"/>
              </w:rPr>
              <w:t>150.108</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177.504</w:t>
            </w:r>
            <w:r>
              <w:rPr>
                <w:rFonts w:ascii="Times New Roman"/>
                <w:spacing w:val="-1"/>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3"/>
              <w:jc w:val="right"/>
              <w:rPr>
                <w:rFonts w:ascii="Times New Roman" w:hAnsi="Times New Roman" w:cs="Times New Roman" w:eastAsia="Times New Roman" w:hint="default"/>
                <w:sz w:val="18"/>
                <w:szCs w:val="18"/>
              </w:rPr>
            </w:pPr>
            <w:r>
              <w:rPr>
                <w:rFonts w:ascii="Times New Roman"/>
                <w:b/>
                <w:spacing w:val="-1"/>
                <w:sz w:val="18"/>
              </w:rPr>
              <w:t>177.504</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3"/>
              <w:jc w:val="right"/>
              <w:rPr>
                <w:rFonts w:ascii="Times New Roman" w:hAnsi="Times New Roman" w:cs="Times New Roman" w:eastAsia="Times New Roman" w:hint="default"/>
                <w:sz w:val="18"/>
                <w:szCs w:val="18"/>
              </w:rPr>
            </w:pPr>
            <w:r>
              <w:rPr>
                <w:rFonts w:ascii="Times New Roman"/>
                <w:b/>
                <w:spacing w:val="-1"/>
                <w:sz w:val="18"/>
              </w:rPr>
              <w:t>173.999</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98,03</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328" w:right="0"/>
              <w:jc w:val="left"/>
              <w:rPr>
                <w:rFonts w:ascii="Times New Roman" w:hAnsi="Times New Roman" w:cs="Times New Roman" w:eastAsia="Times New Roman" w:hint="default"/>
                <w:sz w:val="18"/>
                <w:szCs w:val="18"/>
              </w:rPr>
            </w:pPr>
            <w:r>
              <w:rPr>
                <w:rFonts w:ascii="Times New Roman"/>
                <w:b/>
                <w:sz w:val="18"/>
              </w:rPr>
              <w:t>98,03</w:t>
            </w:r>
            <w:r>
              <w:rPr>
                <w:rFonts w:ascii="Times New Roman"/>
                <w:sz w:val="18"/>
              </w:rPr>
            </w:r>
          </w:p>
        </w:tc>
      </w:tr>
      <w:tr>
        <w:trPr>
          <w:trHeight w:val="218"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477" w:right="0"/>
              <w:jc w:val="left"/>
              <w:rPr>
                <w:rFonts w:ascii="Times New Roman" w:hAnsi="Times New Roman" w:cs="Times New Roman" w:eastAsia="Times New Roman" w:hint="default"/>
                <w:sz w:val="18"/>
                <w:szCs w:val="18"/>
              </w:rPr>
            </w:pPr>
            <w:r>
              <w:rPr>
                <w:rFonts w:ascii="Times New Roman" w:hAnsi="Times New Roman"/>
                <w:b/>
                <w:sz w:val="18"/>
              </w:rPr>
              <w:t>Укупно  Град </w:t>
            </w:r>
            <w:r>
              <w:rPr>
                <w:rFonts w:ascii="Times New Roman" w:hAnsi="Times New Roman"/>
                <w:b/>
                <w:sz w:val="18"/>
              </w:rPr>
              <w:t>- </w:t>
            </w:r>
            <w:r>
              <w:rPr>
                <w:rFonts w:ascii="Times New Roman" w:hAnsi="Times New Roman"/>
                <w:b/>
                <w:sz w:val="18"/>
              </w:rPr>
              <w:t>група</w:t>
            </w:r>
            <w:r>
              <w:rPr>
                <w:rFonts w:ascii="Times New Roman" w:hAnsi="Times New Roman"/>
                <w:b/>
                <w:spacing w:val="-8"/>
                <w:sz w:val="18"/>
              </w:rPr>
              <w:t> </w:t>
            </w:r>
            <w:r>
              <w:rPr>
                <w:rFonts w:ascii="Times New Roman" w:hAnsi="Times New Roman"/>
                <w:b/>
                <w:sz w:val="18"/>
              </w:rPr>
              <w:t>541000</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pacing w:val="-1"/>
                <w:sz w:val="18"/>
              </w:rPr>
              <w:t>150.108</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177.504</w:t>
            </w:r>
            <w:r>
              <w:rPr>
                <w:rFonts w:ascii="Times New Roman"/>
                <w:spacing w:val="-1"/>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3"/>
              <w:jc w:val="right"/>
              <w:rPr>
                <w:rFonts w:ascii="Times New Roman" w:hAnsi="Times New Roman" w:cs="Times New Roman" w:eastAsia="Times New Roman" w:hint="default"/>
                <w:sz w:val="18"/>
                <w:szCs w:val="18"/>
              </w:rPr>
            </w:pPr>
            <w:r>
              <w:rPr>
                <w:rFonts w:ascii="Times New Roman"/>
                <w:b/>
                <w:spacing w:val="-1"/>
                <w:sz w:val="18"/>
              </w:rPr>
              <w:t>177.504</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3"/>
              <w:jc w:val="right"/>
              <w:rPr>
                <w:rFonts w:ascii="Times New Roman" w:hAnsi="Times New Roman" w:cs="Times New Roman" w:eastAsia="Times New Roman" w:hint="default"/>
                <w:sz w:val="18"/>
                <w:szCs w:val="18"/>
              </w:rPr>
            </w:pPr>
            <w:r>
              <w:rPr>
                <w:rFonts w:ascii="Times New Roman"/>
                <w:b/>
                <w:spacing w:val="-1"/>
                <w:sz w:val="18"/>
              </w:rPr>
              <w:t>173.999</w:t>
            </w:r>
            <w:r>
              <w:rPr>
                <w:rFonts w:ascii="Times New Roman"/>
                <w:spacing w:val="-1"/>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98,03</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328" w:right="0"/>
              <w:jc w:val="left"/>
              <w:rPr>
                <w:rFonts w:ascii="Times New Roman" w:hAnsi="Times New Roman" w:cs="Times New Roman" w:eastAsia="Times New Roman" w:hint="default"/>
                <w:sz w:val="18"/>
                <w:szCs w:val="18"/>
              </w:rPr>
            </w:pPr>
            <w:r>
              <w:rPr>
                <w:rFonts w:ascii="Times New Roman"/>
                <w:b/>
                <w:sz w:val="18"/>
              </w:rPr>
              <w:t>98,03</w:t>
            </w:r>
            <w:r>
              <w:rPr>
                <w:rFonts w:ascii="Times New Roman"/>
                <w:sz w:val="18"/>
              </w:rPr>
            </w:r>
          </w:p>
        </w:tc>
      </w:tr>
    </w:tbl>
    <w:p>
      <w:pPr>
        <w:pStyle w:val="BodyText"/>
        <w:spacing w:line="240" w:lineRule="auto"/>
        <w:ind w:right="177" w:firstLine="566"/>
        <w:jc w:val="both"/>
      </w:pPr>
      <w:r>
        <w:rPr/>
        <w:t>Исказано је извршење у износу од </w:t>
      </w:r>
      <w:r>
        <w:rPr>
          <w:rFonts w:ascii="Times New Roman" w:hAnsi="Times New Roman"/>
        </w:rPr>
        <w:t>177.504 </w:t>
      </w:r>
      <w:r>
        <w:rPr/>
        <w:t>хиљаде динара и то из средстава буџета града.</w:t>
      </w:r>
    </w:p>
    <w:p>
      <w:pPr>
        <w:pStyle w:val="ListParagraph"/>
        <w:numPr>
          <w:ilvl w:val="4"/>
          <w:numId w:val="52"/>
        </w:numPr>
        <w:tabs>
          <w:tab w:pos="1010" w:val="left" w:leader="none"/>
        </w:tabs>
        <w:spacing w:line="240" w:lineRule="auto" w:before="137" w:after="0"/>
        <w:ind w:left="1010" w:right="0" w:hanging="284"/>
        <w:jc w:val="left"/>
        <w:rPr>
          <w:rFonts w:ascii="Times New Roman" w:hAnsi="Times New Roman" w:cs="Times New Roman" w:eastAsia="Times New Roman" w:hint="default"/>
          <w:sz w:val="24"/>
          <w:szCs w:val="24"/>
        </w:rPr>
      </w:pPr>
      <w:r>
        <w:rPr>
          <w:rFonts w:ascii="Times New Roman" w:hAnsi="Times New Roman"/>
          <w:b/>
          <w:sz w:val="24"/>
        </w:rPr>
        <w:t>Управа</w:t>
      </w:r>
      <w:r>
        <w:rPr>
          <w:rFonts w:ascii="Times New Roman" w:hAnsi="Times New Roman"/>
          <w:b/>
          <w:spacing w:val="22"/>
          <w:sz w:val="24"/>
        </w:rPr>
        <w:t> </w:t>
      </w:r>
      <w:r>
        <w:rPr>
          <w:rFonts w:ascii="Times New Roman" w:hAnsi="Times New Roman"/>
          <w:b/>
          <w:sz w:val="24"/>
        </w:rPr>
        <w:t>за</w:t>
      </w:r>
      <w:r>
        <w:rPr>
          <w:rFonts w:ascii="Times New Roman" w:hAnsi="Times New Roman"/>
          <w:b/>
          <w:spacing w:val="22"/>
          <w:sz w:val="24"/>
        </w:rPr>
        <w:t> </w:t>
      </w:r>
      <w:r>
        <w:rPr>
          <w:rFonts w:ascii="Times New Roman" w:hAnsi="Times New Roman"/>
          <w:b/>
          <w:sz w:val="24"/>
        </w:rPr>
        <w:t>имовину</w:t>
      </w:r>
      <w:r>
        <w:rPr>
          <w:rFonts w:ascii="Times New Roman" w:hAnsi="Times New Roman"/>
          <w:b/>
          <w:spacing w:val="22"/>
          <w:sz w:val="24"/>
        </w:rPr>
        <w:t> </w:t>
      </w:r>
      <w:r>
        <w:rPr>
          <w:rFonts w:ascii="Times New Roman" w:hAnsi="Times New Roman"/>
          <w:b/>
          <w:sz w:val="24"/>
        </w:rPr>
        <w:t>и</w:t>
      </w:r>
      <w:r>
        <w:rPr>
          <w:rFonts w:ascii="Times New Roman" w:hAnsi="Times New Roman"/>
          <w:b/>
          <w:spacing w:val="23"/>
          <w:sz w:val="24"/>
        </w:rPr>
        <w:t> </w:t>
      </w:r>
      <w:r>
        <w:rPr>
          <w:rFonts w:ascii="Times New Roman" w:hAnsi="Times New Roman"/>
          <w:b/>
          <w:sz w:val="24"/>
        </w:rPr>
        <w:t>инспекцијске</w:t>
      </w:r>
      <w:r>
        <w:rPr>
          <w:rFonts w:ascii="Times New Roman" w:hAnsi="Times New Roman"/>
          <w:b/>
          <w:spacing w:val="21"/>
          <w:sz w:val="24"/>
        </w:rPr>
        <w:t> </w:t>
      </w:r>
      <w:r>
        <w:rPr>
          <w:rFonts w:ascii="Times New Roman" w:hAnsi="Times New Roman"/>
          <w:b/>
          <w:sz w:val="24"/>
        </w:rPr>
        <w:t>послове</w:t>
      </w:r>
      <w:r>
        <w:rPr>
          <w:rFonts w:ascii="Times New Roman" w:hAnsi="Times New Roman"/>
          <w:b/>
          <w:spacing w:val="27"/>
          <w:sz w:val="24"/>
        </w:rPr>
        <w:t> </w:t>
      </w:r>
      <w:r>
        <w:rPr>
          <w:rFonts w:ascii="Times New Roman" w:hAnsi="Times New Roman"/>
          <w:b/>
          <w:sz w:val="24"/>
        </w:rPr>
        <w:t>-</w:t>
      </w:r>
      <w:r>
        <w:rPr>
          <w:rFonts w:ascii="Times New Roman" w:hAnsi="Times New Roman"/>
          <w:b/>
          <w:spacing w:val="22"/>
          <w:sz w:val="24"/>
        </w:rPr>
        <w:t> </w:t>
      </w:r>
      <w:r>
        <w:rPr>
          <w:rFonts w:ascii="Times New Roman" w:hAnsi="Times New Roman"/>
          <w:sz w:val="24"/>
        </w:rPr>
        <w:t>Исказан</w:t>
      </w:r>
      <w:r>
        <w:rPr>
          <w:rFonts w:ascii="Times New Roman" w:hAnsi="Times New Roman"/>
          <w:spacing w:val="23"/>
          <w:sz w:val="24"/>
        </w:rPr>
        <w:t> </w:t>
      </w:r>
      <w:r>
        <w:rPr>
          <w:rFonts w:ascii="Times New Roman" w:hAnsi="Times New Roman"/>
          <w:sz w:val="24"/>
        </w:rPr>
        <w:t>је</w:t>
      </w:r>
      <w:r>
        <w:rPr>
          <w:rFonts w:ascii="Times New Roman" w:hAnsi="Times New Roman"/>
          <w:spacing w:val="22"/>
          <w:sz w:val="24"/>
        </w:rPr>
        <w:t> </w:t>
      </w:r>
      <w:r>
        <w:rPr>
          <w:rFonts w:ascii="Times New Roman" w:hAnsi="Times New Roman"/>
          <w:sz w:val="24"/>
        </w:rPr>
        <w:t>издатак</w:t>
      </w:r>
      <w:r>
        <w:rPr>
          <w:rFonts w:ascii="Times New Roman" w:hAnsi="Times New Roman"/>
          <w:spacing w:val="25"/>
          <w:sz w:val="24"/>
        </w:rPr>
        <w:t> </w:t>
      </w:r>
      <w:r>
        <w:rPr>
          <w:rFonts w:ascii="Times New Roman" w:hAnsi="Times New Roman"/>
          <w:sz w:val="24"/>
        </w:rPr>
        <w:t>у</w:t>
      </w:r>
      <w:r>
        <w:rPr>
          <w:rFonts w:ascii="Times New Roman" w:hAnsi="Times New Roman"/>
          <w:spacing w:val="17"/>
          <w:sz w:val="24"/>
        </w:rPr>
        <w:t> </w:t>
      </w:r>
      <w:r>
        <w:rPr>
          <w:rFonts w:ascii="Times New Roman" w:hAnsi="Times New Roman"/>
          <w:sz w:val="24"/>
        </w:rPr>
        <w:t>износу</w:t>
      </w:r>
      <w:r>
        <w:rPr>
          <w:rFonts w:ascii="Times New Roman" w:hAnsi="Times New Roman"/>
          <w:spacing w:val="17"/>
          <w:sz w:val="24"/>
        </w:rPr>
        <w:t> </w:t>
      </w:r>
      <w:r>
        <w:rPr>
          <w:rFonts w:ascii="Times New Roman" w:hAnsi="Times New Roman"/>
          <w:sz w:val="24"/>
        </w:rPr>
        <w:t>од</w:t>
      </w:r>
    </w:p>
    <w:p>
      <w:pPr>
        <w:pStyle w:val="BodyText"/>
        <w:spacing w:line="240" w:lineRule="auto"/>
        <w:ind w:right="141"/>
        <w:jc w:val="left"/>
      </w:pPr>
      <w:r>
        <w:rPr/>
        <w:t>177.504 хиљаде динара из средстава буџета града. Исказани издатак се у целости односи на директног буџетског</w:t>
      </w:r>
      <w:r>
        <w:rPr>
          <w:spacing w:val="-14"/>
        </w:rPr>
        <w:t> </w:t>
      </w:r>
      <w:r>
        <w:rPr/>
        <w:t>корисника.</w:t>
      </w:r>
    </w:p>
    <w:p>
      <w:pPr>
        <w:pStyle w:val="BodyText"/>
        <w:spacing w:line="240" w:lineRule="auto"/>
        <w:ind w:right="172" w:firstLine="566"/>
        <w:jc w:val="both"/>
      </w:pPr>
      <w:r>
        <w:rPr>
          <w:rFonts w:ascii="Times New Roman" w:hAnsi="Times New Roman"/>
        </w:rPr>
      </w:r>
      <w:r>
        <w:rPr>
          <w:rFonts w:ascii="Times New Roman" w:hAnsi="Times New Roman"/>
          <w:spacing w:val="-60"/>
          <w:u w:val="single" w:color="000000"/>
        </w:rPr>
        <w:t> </w:t>
      </w:r>
      <w:r>
        <w:rPr>
          <w:u w:val="single" w:color="000000"/>
        </w:rPr>
        <w:t>Набавка пољопривредног замљишта, субаналитички конто 541111 </w:t>
      </w:r>
      <w:r>
        <w:rPr/>
      </w:r>
      <w:r>
        <w:rPr>
          <w:rFonts w:ascii="Times New Roman" w:hAnsi="Times New Roman"/>
          <w:i/>
        </w:rPr>
        <w:t>- </w:t>
      </w:r>
      <w:r>
        <w:rPr/>
        <w:t>Исказан је издатак у износу од </w:t>
      </w:r>
      <w:r>
        <w:rPr>
          <w:rFonts w:ascii="Times New Roman" w:hAnsi="Times New Roman"/>
        </w:rPr>
        <w:t>141.306 </w:t>
      </w:r>
      <w:r>
        <w:rPr/>
        <w:t>хиљада динара, за набавку пољопривредног земљишта</w:t>
      </w:r>
      <w:r>
        <w:rPr>
          <w:rFonts w:ascii="Times New Roman" w:hAnsi="Times New Roman"/>
        </w:rPr>
        <w:t>, </w:t>
      </w:r>
      <w:r>
        <w:rPr/>
        <w:t>на основу правоснажних </w:t>
      </w:r>
      <w:r>
        <w:rPr>
          <w:rFonts w:ascii="Times New Roman" w:hAnsi="Times New Roman"/>
        </w:rPr>
        <w:t>1</w:t>
      </w:r>
      <w:r>
        <w:rPr/>
        <w:t>7 решења о</w:t>
      </w:r>
      <w:r>
        <w:rPr>
          <w:spacing w:val="-15"/>
        </w:rPr>
        <w:t> </w:t>
      </w:r>
      <w:r>
        <w:rPr/>
        <w:t>извршењу.</w:t>
      </w:r>
    </w:p>
    <w:p>
      <w:pPr>
        <w:pStyle w:val="BodyText"/>
        <w:spacing w:line="240" w:lineRule="auto"/>
        <w:ind w:right="171" w:firstLine="566"/>
        <w:jc w:val="both"/>
      </w:pPr>
      <w:r>
        <w:rPr>
          <w:rFonts w:ascii="Times New Roman" w:hAnsi="Times New Roman" w:cs="Times New Roman" w:eastAsia="Times New Roman" w:hint="default"/>
          <w:b/>
          <w:bCs/>
        </w:rPr>
        <w:t>На </w:t>
      </w:r>
      <w:r>
        <w:rPr>
          <w:rFonts w:ascii="Times New Roman" w:hAnsi="Times New Roman" w:cs="Times New Roman" w:eastAsia="Times New Roman" w:hint="default"/>
          <w:b/>
          <w:bCs/>
          <w:spacing w:val="-3"/>
        </w:rPr>
        <w:t>основу </w:t>
      </w:r>
      <w:r>
        <w:rPr>
          <w:rFonts w:ascii="Times New Roman" w:hAnsi="Times New Roman" w:cs="Times New Roman" w:eastAsia="Times New Roman" w:hint="default"/>
          <w:b/>
          <w:bCs/>
        </w:rPr>
        <w:t>ревизије узорковане документације утврђено је </w:t>
      </w:r>
      <w:r>
        <w:rPr/>
        <w:t>да је неправилно као вредност земљишта исказан износ </w:t>
      </w:r>
      <w:r>
        <w:rPr>
          <w:spacing w:val="-4"/>
        </w:rPr>
        <w:t>од</w:t>
      </w:r>
      <w:r>
        <w:rPr>
          <w:spacing w:val="52"/>
        </w:rPr>
        <w:t> </w:t>
      </w:r>
      <w:r>
        <w:rPr/>
        <w:t>8.638 хиљада динара по основу трошкова </w:t>
      </w:r>
      <w:r>
        <w:rPr/>
        <w:t>парничног поступка у износу од 1.730 хиљада динара и трошкова </w:t>
      </w:r>
      <w:r>
        <w:rPr>
          <w:spacing w:val="-3"/>
        </w:rPr>
        <w:t>камате </w:t>
      </w:r>
      <w:r>
        <w:rPr/>
        <w:t>за нередовно </w:t>
      </w:r>
      <w:r>
        <w:rPr/>
        <w:t>плаћање у износу </w:t>
      </w:r>
      <w:r>
        <w:rPr>
          <w:spacing w:val="-4"/>
        </w:rPr>
        <w:t>од </w:t>
      </w:r>
      <w:r>
        <w:rPr/>
        <w:t>6.908 хиљада динара, уместо на групи 483000 – новчане казне и </w:t>
      </w:r>
      <w:r>
        <w:rPr/>
        <w:t>пенали по решењу </w:t>
      </w:r>
      <w:r>
        <w:rPr>
          <w:spacing w:val="-4"/>
        </w:rPr>
        <w:t>судова,</w:t>
      </w:r>
      <w:r>
        <w:rPr>
          <w:spacing w:val="52"/>
        </w:rPr>
        <w:t> </w:t>
      </w:r>
      <w:r>
        <w:rPr/>
        <w:t>што није у складу са чланом 9. </w:t>
      </w:r>
      <w:r>
        <w:rPr>
          <w:spacing w:val="-5"/>
        </w:rPr>
        <w:t>Уредбе </w:t>
      </w:r>
      <w:r>
        <w:rPr/>
        <w:t>о </w:t>
      </w:r>
      <w:r>
        <w:rPr>
          <w:spacing w:val="-4"/>
        </w:rPr>
        <w:t>буџетском </w:t>
      </w:r>
      <w:r>
        <w:rPr>
          <w:spacing w:val="-4"/>
        </w:rPr>
      </w:r>
      <w:r>
        <w:rPr>
          <w:spacing w:val="-3"/>
        </w:rPr>
        <w:t>рачуноводству </w:t>
      </w:r>
      <w:r>
        <w:rPr/>
        <w:t>и Правилником о стандардном класификационом оквиру и </w:t>
      </w:r>
      <w:r>
        <w:rPr>
          <w:spacing w:val="-3"/>
        </w:rPr>
        <w:t>контном </w:t>
      </w:r>
      <w:r>
        <w:rPr>
          <w:spacing w:val="2"/>
        </w:rPr>
        <w:t>плану </w:t>
      </w:r>
      <w:r>
        <w:rPr>
          <w:spacing w:val="2"/>
        </w:rPr>
      </w:r>
      <w:r>
        <w:rPr/>
        <w:t>за буџетски систем. У Билансу стања нефинансијска имовина и капитал су више исказани </w:t>
      </w:r>
      <w:r>
        <w:rPr/>
        <w:t>у износу </w:t>
      </w:r>
      <w:r>
        <w:rPr>
          <w:spacing w:val="-4"/>
        </w:rPr>
        <w:t>од </w:t>
      </w:r>
      <w:r>
        <w:rPr/>
        <w:t>8.638 хиљада</w:t>
      </w:r>
      <w:r>
        <w:rPr>
          <w:spacing w:val="-1"/>
        </w:rPr>
        <w:t> </w:t>
      </w:r>
      <w:r>
        <w:rPr/>
        <w:t>динара.</w:t>
      </w:r>
    </w:p>
    <w:p>
      <w:pPr>
        <w:pStyle w:val="Heading2"/>
        <w:spacing w:line="240" w:lineRule="auto"/>
        <w:ind w:right="178"/>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i/>
        </w:rPr>
        <w:t>.</w:t>
      </w:r>
      <w:r>
        <w:rPr>
          <w:rFonts w:ascii="Times New Roman" w:hAnsi="Times New Roman"/>
          <w:b w:val="0"/>
          <w:i w:val="0"/>
        </w:rPr>
      </w:r>
    </w:p>
    <w:p>
      <w:pPr>
        <w:pStyle w:val="BodyText"/>
        <w:spacing w:line="240" w:lineRule="auto"/>
        <w:ind w:right="174" w:firstLine="566"/>
        <w:jc w:val="both"/>
      </w:pPr>
      <w:r>
        <w:rPr>
          <w:rFonts w:ascii="Times New Roman" w:hAnsi="Times New Roman"/>
        </w:rPr>
      </w:r>
      <w:r>
        <w:rPr>
          <w:rFonts w:ascii="Times New Roman" w:hAnsi="Times New Roman"/>
          <w:spacing w:val="-60"/>
          <w:u w:val="single" w:color="000000"/>
        </w:rPr>
        <w:t> </w:t>
      </w:r>
      <w:r>
        <w:rPr>
          <w:u w:val="single" w:color="000000"/>
        </w:rPr>
        <w:t>Набавка грађевинског земљишта, субаналитички конто 541112 </w:t>
      </w:r>
      <w:r>
        <w:rPr/>
      </w:r>
      <w:r>
        <w:rPr>
          <w:rFonts w:ascii="Times New Roman" w:hAnsi="Times New Roman"/>
          <w:i/>
        </w:rPr>
        <w:t>- </w:t>
      </w:r>
      <w:r>
        <w:rPr/>
        <w:t>Исказан је издатак у износу од </w:t>
      </w:r>
      <w:r>
        <w:rPr>
          <w:rFonts w:ascii="Times New Roman" w:hAnsi="Times New Roman"/>
        </w:rPr>
        <w:t>36.198 </w:t>
      </w:r>
      <w:r>
        <w:rPr/>
        <w:t>хиљада динара за набавку грађевинског земљишта</w:t>
      </w:r>
      <w:r>
        <w:rPr>
          <w:rFonts w:ascii="Times New Roman" w:hAnsi="Times New Roman"/>
        </w:rPr>
        <w:t>, </w:t>
      </w:r>
      <w:r>
        <w:rPr/>
        <w:t>по основу три вансудска</w:t>
      </w:r>
      <w:r>
        <w:rPr>
          <w:spacing w:val="-9"/>
        </w:rPr>
        <w:t> </w:t>
      </w:r>
      <w:r>
        <w:rPr/>
        <w:t>поравнања.</w:t>
      </w:r>
    </w:p>
    <w:p>
      <w:pPr>
        <w:pStyle w:val="BodyText"/>
        <w:spacing w:line="240" w:lineRule="auto"/>
        <w:ind w:right="173" w:firstLine="566"/>
        <w:jc w:val="both"/>
      </w:pPr>
      <w:r>
        <w:rPr>
          <w:rFonts w:ascii="Times New Roman" w:hAnsi="Times New Roman" w:cs="Times New Roman" w:eastAsia="Times New Roman" w:hint="default"/>
          <w:b/>
          <w:bCs/>
        </w:rPr>
        <w:t>На </w:t>
      </w:r>
      <w:r>
        <w:rPr>
          <w:rFonts w:ascii="Times New Roman" w:hAnsi="Times New Roman" w:cs="Times New Roman" w:eastAsia="Times New Roman" w:hint="default"/>
          <w:b/>
          <w:bCs/>
          <w:spacing w:val="-3"/>
        </w:rPr>
        <w:t>основу </w:t>
      </w:r>
      <w:r>
        <w:rPr>
          <w:rFonts w:ascii="Times New Roman" w:hAnsi="Times New Roman" w:cs="Times New Roman" w:eastAsia="Times New Roman" w:hint="default"/>
          <w:b/>
          <w:bCs/>
        </w:rPr>
        <w:t>ревизије узорковане документације утврђено је </w:t>
      </w:r>
      <w:r>
        <w:rPr/>
        <w:t>да је неправилно као вредност земљишта исказан износ </w:t>
      </w:r>
      <w:r>
        <w:rPr>
          <w:spacing w:val="-4"/>
        </w:rPr>
        <w:t>од </w:t>
      </w:r>
      <w:r>
        <w:rPr/>
        <w:t>1.381 хиљадe по основу </w:t>
      </w:r>
      <w:r>
        <w:rPr>
          <w:spacing w:val="-3"/>
        </w:rPr>
        <w:t>расхода </w:t>
      </w:r>
      <w:r>
        <w:rPr/>
        <w:t>за </w:t>
      </w:r>
      <w:r>
        <w:rPr>
          <w:spacing w:val="-3"/>
        </w:rPr>
        <w:t>камату, </w:t>
      </w:r>
      <w:r>
        <w:rPr/>
        <w:t>уместо </w:t>
      </w:r>
      <w:r>
        <w:rPr/>
        <w:t>на групи 482000 – порези, обавезне таксе, казне и пенали, што није у складу са чланом 9. </w:t>
      </w:r>
      <w:r>
        <w:rPr>
          <w:spacing w:val="-5"/>
        </w:rPr>
        <w:t>Уредбе </w:t>
      </w:r>
      <w:r>
        <w:rPr/>
        <w:t>о </w:t>
      </w:r>
      <w:r>
        <w:rPr>
          <w:spacing w:val="-4"/>
        </w:rPr>
        <w:t>буџетском </w:t>
      </w:r>
      <w:r>
        <w:rPr>
          <w:spacing w:val="-3"/>
        </w:rPr>
        <w:t>рачуноводству </w:t>
      </w:r>
      <w:r>
        <w:rPr/>
        <w:t>и Правилником о стандардном класификационом </w:t>
      </w:r>
      <w:r>
        <w:rPr/>
        <w:t>оквиру и </w:t>
      </w:r>
      <w:r>
        <w:rPr>
          <w:spacing w:val="-3"/>
        </w:rPr>
        <w:t>контном </w:t>
      </w:r>
      <w:r>
        <w:rPr/>
        <w:t>плану за буџетски систем. У Билансу стања нефинансијска имовина и </w:t>
      </w:r>
      <w:r>
        <w:rPr/>
        <w:t>капитал су више исказани у износу </w:t>
      </w:r>
      <w:r>
        <w:rPr>
          <w:spacing w:val="-4"/>
        </w:rPr>
        <w:t>од </w:t>
      </w:r>
      <w:r>
        <w:rPr/>
        <w:t>1.381 хиљаде</w:t>
      </w:r>
      <w:r>
        <w:rPr>
          <w:spacing w:val="-17"/>
        </w:rPr>
        <w:t> </w:t>
      </w:r>
      <w:r>
        <w:rPr/>
        <w:t>динара.</w:t>
      </w:r>
    </w:p>
    <w:p>
      <w:pPr>
        <w:pStyle w:val="Heading2"/>
        <w:spacing w:line="240" w:lineRule="auto"/>
        <w:ind w:right="172"/>
        <w:jc w:val="both"/>
        <w:rPr>
          <w:b w:val="0"/>
          <w:bCs w:val="0"/>
          <w:i w:val="0"/>
        </w:rPr>
      </w:pPr>
      <w:r>
        <w:rPr>
          <w:i/>
        </w:rPr>
        <w:t>Препоручује се одговорним лицима да обезбеде правилну примену одрдеби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Heading1"/>
        <w:spacing w:line="272" w:lineRule="exact" w:before="201"/>
        <w:ind w:left="160" w:right="141"/>
        <w:jc w:val="left"/>
        <w:rPr>
          <w:b w:val="0"/>
          <w:bCs w:val="0"/>
        </w:rPr>
      </w:pPr>
      <w:bookmarkStart w:name="_bookmark44" w:id="78"/>
      <w:bookmarkEnd w:id="78"/>
      <w:r>
        <w:rPr>
          <w:b w:val="0"/>
        </w:rPr>
      </w:r>
      <w:r>
        <w:rPr>
          <w:rFonts w:ascii="Times New Roman" w:hAnsi="Times New Roman"/>
        </w:rPr>
        <w:t>4.1.5.7</w:t>
      </w:r>
      <w:r>
        <w:rPr/>
        <w:t>. Отплата главнице домаћим кредиторима, група</w:t>
      </w:r>
      <w:r>
        <w:rPr>
          <w:spacing w:val="-16"/>
        </w:rPr>
        <w:t> </w:t>
      </w:r>
      <w:r>
        <w:rPr/>
        <w:t>611000</w:t>
      </w:r>
      <w:r>
        <w:rPr>
          <w:b w:val="0"/>
        </w:rPr>
      </w:r>
    </w:p>
    <w:p>
      <w:pPr>
        <w:pStyle w:val="BodyText"/>
        <w:spacing w:line="240" w:lineRule="auto"/>
        <w:ind w:right="178" w:firstLine="566"/>
        <w:jc w:val="both"/>
      </w:pPr>
      <w:r>
        <w:rPr/>
        <w:t>Група 611000</w:t>
      </w:r>
      <w:r>
        <w:rPr>
          <w:rFonts w:ascii="Times New Roman" w:hAnsi="Times New Roman"/>
        </w:rPr>
        <w:t>-</w:t>
      </w:r>
      <w:r>
        <w:rPr/>
        <w:t>отплата главнице домаћим кредиторима садржи синтетичка конта на којима се евидентирају издаци за отплату: главнице на домаће хартије од вредности, изузев акција, главнице осталим нивоима власти, главнице домаћим  јавним финансијским институцијама, главнице домаћим пословним банкама, главнице  </w:t>
      </w:r>
      <w:r>
        <w:rPr>
          <w:spacing w:val="37"/>
        </w:rPr>
        <w:t> </w:t>
      </w:r>
      <w:r>
        <w:rPr/>
        <w:t>осталим</w:t>
      </w:r>
    </w:p>
    <w:p>
      <w:pPr>
        <w:spacing w:after="0" w:line="240" w:lineRule="auto"/>
        <w:jc w:val="both"/>
        <w:sectPr>
          <w:footerReference w:type="default" r:id="rId79"/>
          <w:pgSz w:w="12240" w:h="15840"/>
          <w:pgMar w:footer="1274" w:header="740" w:top="1280" w:bottom="1460" w:left="1400" w:right="1260"/>
          <w:pgNumType w:start="210"/>
        </w:sectPr>
      </w:pPr>
    </w:p>
    <w:p>
      <w:pPr>
        <w:pStyle w:val="BodyText"/>
        <w:spacing w:line="240" w:lineRule="auto" w:before="122"/>
        <w:ind w:right="141"/>
        <w:jc w:val="left"/>
      </w:pPr>
      <w:r>
        <w:rPr/>
        <w:t>домаћим кредиторима, домаћинствима у земљи, главнице на домаће финансијске деривате, домаћих меница и исправка унутрашњег</w:t>
      </w:r>
      <w:r>
        <w:rPr>
          <w:spacing w:val="-19"/>
        </w:rPr>
        <w:t> </w:t>
      </w:r>
      <w:r>
        <w:rPr/>
        <w:t>дуга.</w:t>
      </w:r>
    </w:p>
    <w:p>
      <w:pPr>
        <w:spacing w:before="2" w:after="4"/>
        <w:ind w:left="0" w:right="173" w:firstLine="0"/>
        <w:jc w:val="right"/>
        <w:rPr>
          <w:rFonts w:ascii="Times New Roman" w:hAnsi="Times New Roman" w:cs="Times New Roman" w:eastAsia="Times New Roman" w:hint="default"/>
          <w:sz w:val="16"/>
          <w:szCs w:val="16"/>
        </w:rPr>
      </w:pPr>
      <w:r>
        <w:rPr>
          <w:rFonts w:ascii="Times New Roman" w:hAnsi="Times New Roman"/>
          <w:sz w:val="16"/>
        </w:rPr>
        <w:t>(у хиљадама</w:t>
      </w:r>
      <w:r>
        <w:rPr>
          <w:rFonts w:ascii="Times New Roman" w:hAnsi="Times New Roman"/>
          <w:spacing w:val="-5"/>
          <w:sz w:val="16"/>
        </w:rPr>
        <w:t> </w:t>
      </w:r>
      <w:r>
        <w:rPr>
          <w:rFonts w:ascii="Times New Roman" w:hAnsi="Times New Roman"/>
          <w:sz w:val="16"/>
        </w:rPr>
        <w:t>динара)</w:t>
      </w:r>
    </w:p>
    <w:tbl>
      <w:tblPr>
        <w:tblW w:w="0" w:type="auto"/>
        <w:jc w:val="left"/>
        <w:tblInd w:w="141" w:type="dxa"/>
        <w:tblLayout w:type="fixed"/>
        <w:tblCellMar>
          <w:top w:w="0" w:type="dxa"/>
          <w:left w:w="0" w:type="dxa"/>
          <w:bottom w:w="0" w:type="dxa"/>
          <w:right w:w="0" w:type="dxa"/>
        </w:tblCellMar>
        <w:tblLook w:val="01E0"/>
      </w:tblPr>
      <w:tblGrid>
        <w:gridCol w:w="876"/>
        <w:gridCol w:w="2401"/>
        <w:gridCol w:w="960"/>
        <w:gridCol w:w="1351"/>
        <w:gridCol w:w="1047"/>
        <w:gridCol w:w="936"/>
        <w:gridCol w:w="845"/>
        <w:gridCol w:w="847"/>
      </w:tblGrid>
      <w:tr>
        <w:trPr>
          <w:trHeight w:val="475"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7"/>
              <w:ind w:left="280" w:right="209" w:hanging="68"/>
              <w:jc w:val="left"/>
              <w:rPr>
                <w:rFonts w:ascii="Times New Roman" w:hAnsi="Times New Roman" w:cs="Times New Roman" w:eastAsia="Times New Roman" w:hint="default"/>
                <w:sz w:val="16"/>
                <w:szCs w:val="16"/>
              </w:rPr>
            </w:pPr>
            <w:r>
              <w:rPr>
                <w:rFonts w:ascii="Times New Roman" w:hAnsi="Times New Roman"/>
                <w:b/>
                <w:sz w:val="16"/>
              </w:rPr>
              <w:t>Редни број</w:t>
            </w:r>
            <w:r>
              <w:rPr>
                <w:rFonts w:ascii="Times New Roman" w:hAnsi="Times New Roman"/>
                <w:sz w:val="16"/>
              </w:rPr>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9"/>
              <w:ind w:left="393"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8"/>
                <w:sz w:val="18"/>
              </w:rPr>
              <w:t> </w:t>
            </w:r>
            <w:r>
              <w:rPr>
                <w:rFonts w:ascii="Times New Roman" w:hAnsi="Times New Roman"/>
                <w:b/>
                <w:sz w:val="18"/>
              </w:rPr>
              <w:t>корисник</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8"/>
              <w:ind w:right="140"/>
              <w:jc w:val="right"/>
              <w:rPr>
                <w:rFonts w:ascii="Times New Roman" w:hAnsi="Times New Roman" w:cs="Times New Roman" w:eastAsia="Times New Roman" w:hint="default"/>
                <w:sz w:val="16"/>
                <w:szCs w:val="16"/>
              </w:rPr>
            </w:pPr>
            <w:r>
              <w:rPr>
                <w:rFonts w:ascii="Times New Roman" w:hAnsi="Times New Roman"/>
                <w:b/>
                <w:spacing w:val="-1"/>
                <w:sz w:val="16"/>
              </w:rPr>
              <w:t>Ребаланс</w:t>
            </w:r>
            <w:r>
              <w:rPr>
                <w:rFonts w:ascii="Times New Roman" w:hAnsi="Times New Roman"/>
                <w:spacing w:val="-1"/>
                <w:sz w:val="16"/>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7"/>
              <w:ind w:left="165" w:right="157" w:firstLine="76"/>
              <w:jc w:val="left"/>
              <w:rPr>
                <w:rFonts w:ascii="Times New Roman" w:hAnsi="Times New Roman" w:cs="Times New Roman" w:eastAsia="Times New Roman" w:hint="default"/>
                <w:sz w:val="16"/>
                <w:szCs w:val="16"/>
              </w:rPr>
            </w:pPr>
            <w:r>
              <w:rPr>
                <w:rFonts w:ascii="Times New Roman" w:hAnsi="Times New Roman"/>
                <w:b/>
                <w:sz w:val="16"/>
              </w:rPr>
              <w:t>Ребаланс са реалокацијом</w:t>
            </w:r>
            <w:r>
              <w:rPr>
                <w:rFonts w:ascii="Times New Roman" w:hAnsi="Times New Roman"/>
                <w:sz w:val="16"/>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7"/>
              <w:ind w:left="148" w:right="142" w:firstLine="24"/>
              <w:jc w:val="left"/>
              <w:rPr>
                <w:rFonts w:ascii="Times New Roman" w:hAnsi="Times New Roman" w:cs="Times New Roman" w:eastAsia="Times New Roman" w:hint="default"/>
                <w:sz w:val="16"/>
                <w:szCs w:val="16"/>
              </w:rPr>
            </w:pPr>
            <w:r>
              <w:rPr>
                <w:rFonts w:ascii="Times New Roman" w:hAnsi="Times New Roman"/>
                <w:b/>
                <w:sz w:val="16"/>
              </w:rPr>
              <w:t>Исказано извршење</w:t>
            </w:r>
            <w:r>
              <w:rPr>
                <w:rFonts w:ascii="Times New Roman" w:hAnsi="Times New Roman"/>
                <w:sz w:val="16"/>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7"/>
              <w:ind w:left="151" w:right="145" w:firstLine="88"/>
              <w:jc w:val="left"/>
              <w:rPr>
                <w:rFonts w:ascii="Times New Roman" w:hAnsi="Times New Roman" w:cs="Times New Roman" w:eastAsia="Times New Roman" w:hint="default"/>
                <w:sz w:val="16"/>
                <w:szCs w:val="16"/>
              </w:rPr>
            </w:pPr>
            <w:r>
              <w:rPr>
                <w:rFonts w:ascii="Times New Roman" w:hAnsi="Times New Roman"/>
                <w:b/>
                <w:sz w:val="16"/>
              </w:rPr>
              <w:t>Налаз ревизије</w:t>
            </w:r>
            <w:r>
              <w:rPr>
                <w:rFonts w:ascii="Times New Roman" w:hAnsi="Times New Roman"/>
                <w:sz w:val="16"/>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7"/>
              <w:ind w:left="314" w:right="145" w:hanging="166"/>
              <w:jc w:val="left"/>
              <w:rPr>
                <w:rFonts w:ascii="Times New Roman" w:hAnsi="Times New Roman" w:cs="Times New Roman" w:eastAsia="Times New Roman" w:hint="default"/>
                <w:sz w:val="16"/>
                <w:szCs w:val="16"/>
              </w:rPr>
            </w:pPr>
            <w:r>
              <w:rPr>
                <w:rFonts w:ascii="Times New Roman" w:hAnsi="Times New Roman"/>
                <w:b/>
                <w:sz w:val="16"/>
              </w:rPr>
              <w:t>Индекс </w:t>
            </w:r>
            <w:r>
              <w:rPr>
                <w:rFonts w:ascii="Times New Roman" w:hAnsi="Times New Roman"/>
                <w:b/>
                <w:sz w:val="16"/>
              </w:rPr>
              <w:t>6/4</w:t>
            </w:r>
            <w:r>
              <w:rPr>
                <w:rFonts w:ascii="Times New Roman" w:hAnsi="Times New Roman"/>
                <w:sz w:val="16"/>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7"/>
              <w:ind w:left="316" w:right="145" w:hanging="166"/>
              <w:jc w:val="left"/>
              <w:rPr>
                <w:rFonts w:ascii="Times New Roman" w:hAnsi="Times New Roman" w:cs="Times New Roman" w:eastAsia="Times New Roman" w:hint="default"/>
                <w:sz w:val="16"/>
                <w:szCs w:val="16"/>
              </w:rPr>
            </w:pPr>
            <w:r>
              <w:rPr>
                <w:rFonts w:ascii="Times New Roman" w:hAnsi="Times New Roman"/>
                <w:b/>
                <w:sz w:val="16"/>
              </w:rPr>
              <w:t>Индекс </w:t>
            </w:r>
            <w:r>
              <w:rPr>
                <w:rFonts w:ascii="Times New Roman" w:hAnsi="Times New Roman"/>
                <w:b/>
                <w:sz w:val="16"/>
              </w:rPr>
              <w:t>6/5</w:t>
            </w:r>
            <w:r>
              <w:rPr>
                <w:rFonts w:ascii="Times New Roman" w:hAnsi="Times New Roman"/>
                <w:sz w:val="16"/>
              </w:rPr>
            </w:r>
          </w:p>
        </w:tc>
      </w:tr>
      <w:tr>
        <w:trPr>
          <w:trHeight w:val="149"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0"/>
              <w:jc w:val="center"/>
              <w:rPr>
                <w:rFonts w:ascii="Times New Roman" w:hAnsi="Times New Roman" w:cs="Times New Roman" w:eastAsia="Times New Roman" w:hint="default"/>
                <w:sz w:val="12"/>
                <w:szCs w:val="12"/>
              </w:rPr>
            </w:pPr>
            <w:r>
              <w:rPr>
                <w:rFonts w:ascii="Times New Roman"/>
                <w:sz w:val="12"/>
              </w:rPr>
              <w:t>1</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1"/>
              <w:jc w:val="center"/>
              <w:rPr>
                <w:rFonts w:ascii="Times New Roman" w:hAnsi="Times New Roman" w:cs="Times New Roman" w:eastAsia="Times New Roman" w:hint="default"/>
                <w:sz w:val="12"/>
                <w:szCs w:val="12"/>
              </w:rPr>
            </w:pPr>
            <w:r>
              <w:rPr>
                <w:rFonts w:ascii="Times New Roman"/>
                <w:sz w:val="12"/>
              </w:rPr>
              <w:t>2</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0"/>
              <w:jc w:val="center"/>
              <w:rPr>
                <w:rFonts w:ascii="Times New Roman" w:hAnsi="Times New Roman" w:cs="Times New Roman" w:eastAsia="Times New Roman" w:hint="default"/>
                <w:sz w:val="12"/>
                <w:szCs w:val="12"/>
              </w:rPr>
            </w:pPr>
            <w:r>
              <w:rPr>
                <w:rFonts w:ascii="Times New Roman"/>
                <w:sz w:val="12"/>
              </w:rPr>
              <w:t>3</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left="640" w:right="0"/>
              <w:jc w:val="left"/>
              <w:rPr>
                <w:rFonts w:ascii="Times New Roman" w:hAnsi="Times New Roman" w:cs="Times New Roman" w:eastAsia="Times New Roman" w:hint="default"/>
                <w:sz w:val="12"/>
                <w:szCs w:val="12"/>
              </w:rPr>
            </w:pPr>
            <w:r>
              <w:rPr>
                <w:rFonts w:ascii="Times New Roman"/>
                <w:sz w:val="12"/>
              </w:rPr>
              <w:t>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2"/>
              <w:jc w:val="center"/>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5"/>
              <w:jc w:val="center"/>
              <w:rPr>
                <w:rFonts w:ascii="Times New Roman" w:hAnsi="Times New Roman" w:cs="Times New Roman" w:eastAsia="Times New Roman" w:hint="default"/>
                <w:sz w:val="12"/>
                <w:szCs w:val="12"/>
              </w:rPr>
            </w:pPr>
            <w:r>
              <w:rPr>
                <w:rFonts w:ascii="Times New Roman"/>
                <w:sz w:val="12"/>
              </w:rPr>
              <w:t>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0"/>
              <w:jc w:val="center"/>
              <w:rPr>
                <w:rFonts w:ascii="Times New Roman" w:hAnsi="Times New Roman" w:cs="Times New Roman" w:eastAsia="Times New Roman" w:hint="default"/>
                <w:sz w:val="12"/>
                <w:szCs w:val="12"/>
              </w:rPr>
            </w:pPr>
            <w:r>
              <w:rPr>
                <w:rFonts w:ascii="Times New Roman"/>
                <w:sz w:val="12"/>
              </w:rPr>
              <w:t>7</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0"/>
              <w:jc w:val="center"/>
              <w:rPr>
                <w:rFonts w:ascii="Times New Roman" w:hAnsi="Times New Roman" w:cs="Times New Roman" w:eastAsia="Times New Roman" w:hint="default"/>
                <w:sz w:val="12"/>
                <w:szCs w:val="12"/>
              </w:rPr>
            </w:pPr>
            <w:r>
              <w:rPr>
                <w:rFonts w:ascii="Times New Roman"/>
                <w:sz w:val="12"/>
              </w:rPr>
              <w:t>8</w:t>
            </w:r>
          </w:p>
        </w:tc>
      </w:tr>
      <w:tr>
        <w:trPr>
          <w:trHeight w:val="264"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
              <w:jc w:val="center"/>
              <w:rPr>
                <w:rFonts w:ascii="Times New Roman" w:hAnsi="Times New Roman" w:cs="Times New Roman" w:eastAsia="Times New Roman" w:hint="default"/>
                <w:sz w:val="18"/>
                <w:szCs w:val="18"/>
              </w:rPr>
            </w:pPr>
            <w:r>
              <w:rPr>
                <w:rFonts w:ascii="Times New Roman"/>
                <w:sz w:val="18"/>
              </w:rPr>
              <w:t>1</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8"/>
                <w:sz w:val="18"/>
              </w:rPr>
              <w:t> </w:t>
            </w:r>
            <w:r>
              <w:rPr>
                <w:rFonts w:ascii="Times New Roman" w:hAnsi="Times New Roman"/>
                <w:sz w:val="18"/>
              </w:rPr>
              <w:t>финансије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1"/>
              <w:jc w:val="right"/>
              <w:rPr>
                <w:rFonts w:ascii="Times New Roman" w:hAnsi="Times New Roman" w:cs="Times New Roman" w:eastAsia="Times New Roman" w:hint="default"/>
                <w:sz w:val="18"/>
                <w:szCs w:val="18"/>
              </w:rPr>
            </w:pPr>
            <w:r>
              <w:rPr>
                <w:rFonts w:ascii="Times New Roman"/>
                <w:spacing w:val="-1"/>
                <w:sz w:val="18"/>
              </w:rPr>
              <w:t>653.380</w:t>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652" w:right="0"/>
              <w:jc w:val="left"/>
              <w:rPr>
                <w:rFonts w:ascii="Times New Roman" w:hAnsi="Times New Roman" w:cs="Times New Roman" w:eastAsia="Times New Roman" w:hint="default"/>
                <w:sz w:val="18"/>
                <w:szCs w:val="18"/>
              </w:rPr>
            </w:pPr>
            <w:r>
              <w:rPr>
                <w:rFonts w:ascii="Times New Roman"/>
                <w:sz w:val="18"/>
              </w:rPr>
              <w:t>653.603</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3"/>
              <w:jc w:val="right"/>
              <w:rPr>
                <w:rFonts w:ascii="Times New Roman" w:hAnsi="Times New Roman" w:cs="Times New Roman" w:eastAsia="Times New Roman" w:hint="default"/>
                <w:sz w:val="18"/>
                <w:szCs w:val="18"/>
              </w:rPr>
            </w:pPr>
            <w:r>
              <w:rPr>
                <w:rFonts w:ascii="Times New Roman"/>
                <w:spacing w:val="-1"/>
                <w:sz w:val="18"/>
              </w:rPr>
              <w:t>653.602</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200" w:right="70"/>
              <w:jc w:val="center"/>
              <w:rPr>
                <w:rFonts w:ascii="Times New Roman" w:hAnsi="Times New Roman" w:cs="Times New Roman" w:eastAsia="Times New Roman" w:hint="default"/>
                <w:sz w:val="18"/>
                <w:szCs w:val="18"/>
              </w:rPr>
            </w:pPr>
            <w:r>
              <w:rPr>
                <w:rFonts w:ascii="Times New Roman"/>
                <w:sz w:val="18"/>
              </w:rPr>
              <w:t>653.602</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8"/>
                <w:szCs w:val="18"/>
              </w:rPr>
            </w:pPr>
            <w:r>
              <w:rPr>
                <w:rFonts w:ascii="Times New Roman"/>
                <w:spacing w:val="-1"/>
                <w:sz w:val="18"/>
              </w:rPr>
              <w:t>100,00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8"/>
                <w:szCs w:val="18"/>
              </w:rPr>
            </w:pPr>
            <w:r>
              <w:rPr>
                <w:rFonts w:ascii="Times New Roman"/>
                <w:spacing w:val="-1"/>
                <w:sz w:val="18"/>
              </w:rPr>
              <w:t>100,00</w:t>
            </w:r>
          </w:p>
        </w:tc>
      </w:tr>
      <w:tr>
        <w:trPr>
          <w:trHeight w:val="235"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left="671" w:right="0"/>
              <w:jc w:val="left"/>
              <w:rPr>
                <w:rFonts w:ascii="Times New Roman" w:hAnsi="Times New Roman" w:cs="Times New Roman" w:eastAsia="Times New Roman" w:hint="default"/>
                <w:sz w:val="18"/>
                <w:szCs w:val="18"/>
              </w:rPr>
            </w:pPr>
            <w:r>
              <w:rPr>
                <w:rFonts w:ascii="Times New Roman" w:hAnsi="Times New Roman"/>
                <w:b/>
                <w:sz w:val="18"/>
              </w:rPr>
              <w:t>Укупно корисници</w:t>
            </w:r>
            <w:r>
              <w:rPr>
                <w:rFonts w:ascii="Times New Roman" w:hAnsi="Times New Roman"/>
                <w:b/>
                <w:spacing w:val="-3"/>
                <w:sz w:val="18"/>
              </w:rPr>
              <w:t> </w:t>
            </w:r>
            <w:r>
              <w:rPr>
                <w:rFonts w:ascii="Times New Roman" w:hAnsi="Times New Roman"/>
                <w:b/>
                <w:sz w:val="18"/>
              </w:rPr>
              <w:t>(1</w:t>
            </w:r>
            <w:r>
              <w:rPr>
                <w:rFonts w:ascii="Times New Roman" w:hAnsi="Times New Roman"/>
                <w:b/>
                <w:sz w:val="18"/>
              </w:rPr>
              <w:t>-1)</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101"/>
              <w:jc w:val="right"/>
              <w:rPr>
                <w:rFonts w:ascii="Times New Roman" w:hAnsi="Times New Roman" w:cs="Times New Roman" w:eastAsia="Times New Roman" w:hint="default"/>
                <w:sz w:val="18"/>
                <w:szCs w:val="18"/>
              </w:rPr>
            </w:pPr>
            <w:r>
              <w:rPr>
                <w:rFonts w:ascii="Times New Roman"/>
                <w:b/>
                <w:spacing w:val="-1"/>
                <w:sz w:val="18"/>
              </w:rPr>
              <w:t>653.380</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left="652" w:right="0"/>
              <w:jc w:val="left"/>
              <w:rPr>
                <w:rFonts w:ascii="Times New Roman" w:hAnsi="Times New Roman" w:cs="Times New Roman" w:eastAsia="Times New Roman" w:hint="default"/>
                <w:sz w:val="18"/>
                <w:szCs w:val="18"/>
              </w:rPr>
            </w:pPr>
            <w:r>
              <w:rPr>
                <w:rFonts w:ascii="Times New Roman"/>
                <w:b/>
                <w:sz w:val="18"/>
              </w:rPr>
              <w:t>653.603</w:t>
            </w:r>
            <w:r>
              <w:rPr>
                <w:rFonts w:asci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103"/>
              <w:jc w:val="right"/>
              <w:rPr>
                <w:rFonts w:ascii="Times New Roman" w:hAnsi="Times New Roman" w:cs="Times New Roman" w:eastAsia="Times New Roman" w:hint="default"/>
                <w:sz w:val="18"/>
                <w:szCs w:val="18"/>
              </w:rPr>
            </w:pPr>
            <w:r>
              <w:rPr>
                <w:rFonts w:ascii="Times New Roman"/>
                <w:b/>
                <w:spacing w:val="-1"/>
                <w:sz w:val="18"/>
              </w:rPr>
              <w:t>653.602</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left="200" w:right="70"/>
              <w:jc w:val="center"/>
              <w:rPr>
                <w:rFonts w:ascii="Times New Roman" w:hAnsi="Times New Roman" w:cs="Times New Roman" w:eastAsia="Times New Roman" w:hint="default"/>
                <w:sz w:val="18"/>
                <w:szCs w:val="18"/>
              </w:rPr>
            </w:pPr>
            <w:r>
              <w:rPr>
                <w:rFonts w:ascii="Times New Roman"/>
                <w:b/>
                <w:sz w:val="18"/>
              </w:rPr>
              <w:t>653.602</w:t>
            </w:r>
            <w:r>
              <w:rPr>
                <w:rFonts w:asci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102"/>
              <w:jc w:val="right"/>
              <w:rPr>
                <w:rFonts w:ascii="Times New Roman" w:hAnsi="Times New Roman" w:cs="Times New Roman" w:eastAsia="Times New Roman" w:hint="default"/>
                <w:sz w:val="18"/>
                <w:szCs w:val="18"/>
              </w:rPr>
            </w:pPr>
            <w:r>
              <w:rPr>
                <w:rFonts w:ascii="Times New Roman"/>
                <w:b/>
                <w:spacing w:val="-1"/>
                <w:sz w:val="18"/>
              </w:rPr>
              <w:t>100,00</w:t>
            </w:r>
            <w:r>
              <w:rPr>
                <w:rFonts w:ascii="Times New Roman"/>
                <w:spacing w:val="-1"/>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100"/>
              <w:jc w:val="right"/>
              <w:rPr>
                <w:rFonts w:ascii="Times New Roman" w:hAnsi="Times New Roman" w:cs="Times New Roman" w:eastAsia="Times New Roman" w:hint="default"/>
                <w:sz w:val="18"/>
                <w:szCs w:val="18"/>
              </w:rPr>
            </w:pPr>
            <w:r>
              <w:rPr>
                <w:rFonts w:ascii="Times New Roman"/>
                <w:b/>
                <w:spacing w:val="-1"/>
                <w:sz w:val="18"/>
              </w:rPr>
              <w:t>100,00</w:t>
            </w:r>
            <w:r>
              <w:rPr>
                <w:rFonts w:ascii="Times New Roman"/>
                <w:spacing w:val="-1"/>
                <w:sz w:val="18"/>
              </w:rPr>
            </w:r>
          </w:p>
        </w:tc>
      </w:tr>
      <w:tr>
        <w:trPr>
          <w:trHeight w:val="218"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477" w:right="0"/>
              <w:jc w:val="left"/>
              <w:rPr>
                <w:rFonts w:ascii="Times New Roman" w:hAnsi="Times New Roman" w:cs="Times New Roman" w:eastAsia="Times New Roman" w:hint="default"/>
                <w:sz w:val="18"/>
                <w:szCs w:val="18"/>
              </w:rPr>
            </w:pPr>
            <w:r>
              <w:rPr>
                <w:rFonts w:ascii="Times New Roman" w:hAnsi="Times New Roman"/>
                <w:b/>
                <w:sz w:val="18"/>
              </w:rPr>
              <w:t>Укупно  Град </w:t>
            </w:r>
            <w:r>
              <w:rPr>
                <w:rFonts w:ascii="Times New Roman" w:hAnsi="Times New Roman"/>
                <w:b/>
                <w:sz w:val="18"/>
              </w:rPr>
              <w:t>- </w:t>
            </w:r>
            <w:r>
              <w:rPr>
                <w:rFonts w:ascii="Times New Roman" w:hAnsi="Times New Roman"/>
                <w:b/>
                <w:sz w:val="18"/>
              </w:rPr>
              <w:t>група</w:t>
            </w:r>
            <w:r>
              <w:rPr>
                <w:rFonts w:ascii="Times New Roman" w:hAnsi="Times New Roman"/>
                <w:b/>
                <w:spacing w:val="-8"/>
                <w:sz w:val="18"/>
              </w:rPr>
              <w:t> </w:t>
            </w:r>
            <w:r>
              <w:rPr>
                <w:rFonts w:ascii="Times New Roman" w:hAnsi="Times New Roman"/>
                <w:b/>
                <w:sz w:val="18"/>
              </w:rPr>
              <w:t>611000</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1"/>
              <w:jc w:val="right"/>
              <w:rPr>
                <w:rFonts w:ascii="Times New Roman" w:hAnsi="Times New Roman" w:cs="Times New Roman" w:eastAsia="Times New Roman" w:hint="default"/>
                <w:sz w:val="18"/>
                <w:szCs w:val="18"/>
              </w:rPr>
            </w:pPr>
            <w:r>
              <w:rPr>
                <w:rFonts w:ascii="Times New Roman"/>
                <w:b/>
                <w:spacing w:val="-1"/>
                <w:sz w:val="18"/>
              </w:rPr>
              <w:t>653.380</w:t>
            </w:r>
            <w:r>
              <w:rPr>
                <w:rFonts w:ascii="Times New Roman"/>
                <w:spacing w:val="-1"/>
                <w:sz w:val="18"/>
              </w:rPr>
            </w:r>
          </w:p>
        </w:tc>
        <w:tc>
          <w:tcPr>
            <w:tcW w:w="13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652" w:right="0"/>
              <w:jc w:val="left"/>
              <w:rPr>
                <w:rFonts w:ascii="Times New Roman" w:hAnsi="Times New Roman" w:cs="Times New Roman" w:eastAsia="Times New Roman" w:hint="default"/>
                <w:sz w:val="18"/>
                <w:szCs w:val="18"/>
              </w:rPr>
            </w:pPr>
            <w:r>
              <w:rPr>
                <w:rFonts w:ascii="Times New Roman"/>
                <w:b/>
                <w:sz w:val="18"/>
              </w:rPr>
              <w:t>653.603</w:t>
            </w:r>
            <w:r>
              <w:rPr>
                <w:rFonts w:asci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3"/>
              <w:jc w:val="right"/>
              <w:rPr>
                <w:rFonts w:ascii="Times New Roman" w:hAnsi="Times New Roman" w:cs="Times New Roman" w:eastAsia="Times New Roman" w:hint="default"/>
                <w:sz w:val="18"/>
                <w:szCs w:val="18"/>
              </w:rPr>
            </w:pPr>
            <w:r>
              <w:rPr>
                <w:rFonts w:ascii="Times New Roman"/>
                <w:b/>
                <w:spacing w:val="-1"/>
                <w:sz w:val="18"/>
              </w:rPr>
              <w:t>653.602</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200" w:right="70"/>
              <w:jc w:val="center"/>
              <w:rPr>
                <w:rFonts w:ascii="Times New Roman" w:hAnsi="Times New Roman" w:cs="Times New Roman" w:eastAsia="Times New Roman" w:hint="default"/>
                <w:sz w:val="18"/>
                <w:szCs w:val="18"/>
              </w:rPr>
            </w:pPr>
            <w:r>
              <w:rPr>
                <w:rFonts w:ascii="Times New Roman"/>
                <w:b/>
                <w:sz w:val="18"/>
              </w:rPr>
              <w:t>653.602</w:t>
            </w:r>
            <w:r>
              <w:rPr>
                <w:rFonts w:asci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2"/>
              <w:jc w:val="right"/>
              <w:rPr>
                <w:rFonts w:ascii="Times New Roman" w:hAnsi="Times New Roman" w:cs="Times New Roman" w:eastAsia="Times New Roman" w:hint="default"/>
                <w:sz w:val="18"/>
                <w:szCs w:val="18"/>
              </w:rPr>
            </w:pPr>
            <w:r>
              <w:rPr>
                <w:rFonts w:ascii="Times New Roman"/>
                <w:b/>
                <w:spacing w:val="-1"/>
                <w:sz w:val="18"/>
              </w:rPr>
              <w:t>100,00</w:t>
            </w:r>
            <w:r>
              <w:rPr>
                <w:rFonts w:ascii="Times New Roman"/>
                <w:spacing w:val="-1"/>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b/>
                <w:spacing w:val="-1"/>
                <w:sz w:val="18"/>
              </w:rPr>
              <w:t>100,00</w:t>
            </w:r>
            <w:r>
              <w:rPr>
                <w:rFonts w:ascii="Times New Roman"/>
                <w:spacing w:val="-1"/>
                <w:sz w:val="18"/>
              </w:rPr>
            </w:r>
          </w:p>
        </w:tc>
      </w:tr>
    </w:tbl>
    <w:p>
      <w:pPr>
        <w:spacing w:line="240" w:lineRule="auto" w:before="7"/>
        <w:rPr>
          <w:rFonts w:ascii="Times New Roman" w:hAnsi="Times New Roman" w:cs="Times New Roman" w:eastAsia="Times New Roman" w:hint="default"/>
          <w:sz w:val="5"/>
          <w:szCs w:val="5"/>
        </w:rPr>
      </w:pPr>
    </w:p>
    <w:p>
      <w:pPr>
        <w:spacing w:line="237" w:lineRule="auto" w:before="71"/>
        <w:ind w:left="160" w:right="174" w:firstLine="566"/>
        <w:jc w:val="both"/>
        <w:rPr>
          <w:rFonts w:ascii="Times New Roman" w:hAnsi="Times New Roman" w:cs="Times New Roman" w:eastAsia="Times New Roman" w:hint="default"/>
          <w:sz w:val="24"/>
          <w:szCs w:val="24"/>
        </w:rPr>
      </w:pPr>
      <w:r>
        <w:rPr>
          <w:rFonts w:ascii="Times New Roman" w:hAnsi="Times New Roman"/>
          <w:b/>
          <w:sz w:val="24"/>
        </w:rPr>
        <w:t>Управа за финансије, изворне приходе локалне самоуправе и јавне набавке </w:t>
      </w:r>
      <w:r>
        <w:rPr>
          <w:rFonts w:ascii="Times New Roman" w:hAnsi="Times New Roman"/>
          <w:b/>
          <w:sz w:val="24"/>
        </w:rPr>
        <w:t>- </w:t>
      </w:r>
      <w:r>
        <w:rPr>
          <w:rFonts w:ascii="Times New Roman" w:hAnsi="Times New Roman"/>
          <w:sz w:val="24"/>
        </w:rPr>
        <w:t>Исказано је извршење у укупном износу од </w:t>
      </w:r>
      <w:r>
        <w:rPr>
          <w:rFonts w:ascii="Times New Roman" w:hAnsi="Times New Roman"/>
          <w:sz w:val="24"/>
        </w:rPr>
        <w:t>653.602 </w:t>
      </w:r>
      <w:r>
        <w:rPr>
          <w:rFonts w:ascii="Times New Roman" w:hAnsi="Times New Roman"/>
          <w:sz w:val="24"/>
        </w:rPr>
        <w:t>хиљаде динара на терет буџета града за отплату главнице домаћим</w:t>
      </w:r>
      <w:r>
        <w:rPr>
          <w:rFonts w:ascii="Times New Roman" w:hAnsi="Times New Roman"/>
          <w:spacing w:val="-13"/>
          <w:sz w:val="24"/>
        </w:rPr>
        <w:t> </w:t>
      </w:r>
      <w:r>
        <w:rPr>
          <w:rFonts w:ascii="Times New Roman" w:hAnsi="Times New Roman"/>
          <w:sz w:val="24"/>
        </w:rPr>
        <w:t>кредиторима</w:t>
      </w:r>
      <w:r>
        <w:rPr>
          <w:rFonts w:ascii="Times New Roman" w:hAnsi="Times New Roman"/>
          <w:sz w:val="24"/>
        </w:rPr>
        <w:t>.</w:t>
      </w:r>
    </w:p>
    <w:p>
      <w:pPr>
        <w:pStyle w:val="BodyText"/>
        <w:spacing w:line="240" w:lineRule="auto" w:before="1"/>
        <w:ind w:right="174" w:firstLine="566"/>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Отплата главнице домаћим пословним банкама, субаналитички конто 611411 </w:t>
      </w:r>
      <w:r>
        <w:rPr/>
      </w:r>
      <w:r>
        <w:rPr>
          <w:rFonts w:ascii="Times New Roman" w:hAnsi="Times New Roman"/>
        </w:rPr>
        <w:t>- </w:t>
      </w:r>
      <w:r>
        <w:rPr/>
        <w:t>Исказани су издаци у износу од </w:t>
      </w:r>
      <w:r>
        <w:rPr>
          <w:rFonts w:ascii="Times New Roman" w:hAnsi="Times New Roman"/>
        </w:rPr>
        <w:t>653.602 </w:t>
      </w:r>
      <w:r>
        <w:rPr/>
        <w:t>хиљаде</w:t>
      </w:r>
      <w:r>
        <w:rPr>
          <w:spacing w:val="-15"/>
        </w:rPr>
        <w:t> </w:t>
      </w:r>
      <w:r>
        <w:rPr/>
        <w:t>динара</w:t>
      </w:r>
      <w:r>
        <w:rPr>
          <w:rFonts w:ascii="Times New Roman" w:hAnsi="Times New Roman"/>
        </w:rPr>
        <w:t>.</w:t>
      </w:r>
    </w:p>
    <w:p>
      <w:pPr>
        <w:pStyle w:val="Heading1"/>
        <w:spacing w:line="275" w:lineRule="exact"/>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1"/>
        </w:rPr>
        <w:t> </w:t>
      </w:r>
      <w:r>
        <w:rPr/>
        <w:t>је</w:t>
      </w:r>
      <w:r>
        <w:rPr>
          <w:rFonts w:ascii="Times New Roman" w:hAnsi="Times New Roman"/>
        </w:rPr>
        <w:t>:</w:t>
      </w:r>
      <w:r>
        <w:rPr>
          <w:rFonts w:ascii="Times New Roman" w:hAnsi="Times New Roman"/>
          <w:b w:val="0"/>
        </w:rPr>
      </w:r>
    </w:p>
    <w:p>
      <w:pPr>
        <w:pStyle w:val="BodyText"/>
        <w:spacing w:line="240" w:lineRule="auto"/>
        <w:ind w:right="177" w:firstLine="4"/>
        <w:jc w:val="both"/>
      </w:pPr>
      <w:r>
        <w:rPr>
          <w:rFonts w:ascii="Symbol" w:hAnsi="Symbol" w:cs="Symbol" w:eastAsia="Symbol" w:hint="default"/>
          <w:spacing w:val="2"/>
        </w:rPr>
        <w:t></w:t>
      </w:r>
      <w:r>
        <w:rPr>
          <w:spacing w:val="2"/>
        </w:rPr>
        <w:t>Неправилно </w:t>
      </w:r>
      <w:r>
        <w:rPr/>
        <w:t>је евидентирана отплата главнице Фонду за развој у износу од 81.428 </w:t>
      </w:r>
      <w:r>
        <w:rPr/>
        <w:t>хиљада динара, уместо на конту 611300 – отплате главнице домаћим јавним финансијским институцијама, што није у складу са Правилником о стандардном класификационом оквиру и контном плану за буџетски</w:t>
      </w:r>
      <w:r>
        <w:rPr>
          <w:spacing w:val="-31"/>
        </w:rPr>
        <w:t> </w:t>
      </w:r>
      <w:r>
        <w:rPr/>
        <w:t>систем.</w:t>
      </w:r>
    </w:p>
    <w:p>
      <w:pPr>
        <w:pStyle w:val="ListParagraph"/>
        <w:numPr>
          <w:ilvl w:val="0"/>
          <w:numId w:val="9"/>
        </w:numPr>
        <w:tabs>
          <w:tab w:pos="341" w:val="left" w:leader="none"/>
        </w:tabs>
        <w:spacing w:line="240" w:lineRule="auto" w:before="2" w:after="0"/>
        <w:ind w:left="160" w:right="177" w:firstLine="5"/>
        <w:jc w:val="both"/>
        <w:rPr>
          <w:rFonts w:ascii="Times New Roman" w:hAnsi="Times New Roman" w:cs="Times New Roman" w:eastAsia="Times New Roman" w:hint="default"/>
          <w:sz w:val="24"/>
          <w:szCs w:val="24"/>
        </w:rPr>
      </w:pPr>
      <w:r>
        <w:rPr>
          <w:rFonts w:ascii="Times New Roman" w:hAnsi="Times New Roman"/>
          <w:sz w:val="24"/>
        </w:rPr>
        <w:t>Обавезе су евидентиране на крају текуће године, што је последица неуспостављених евиденција и/или нетачног и неажурног евидентирања пословних промена и догађаја који такође повећава ризик од нетачног исказивања пословних промена, што је у супротности са чланом 9. Уредбе о буџетском рачуноводству и Правилником о стандардном класификационом оквиру и контном плану за буџетски</w:t>
      </w:r>
      <w:r>
        <w:rPr>
          <w:rFonts w:ascii="Times New Roman" w:hAnsi="Times New Roman"/>
          <w:spacing w:val="-23"/>
          <w:sz w:val="24"/>
        </w:rPr>
        <w:t> </w:t>
      </w:r>
      <w:r>
        <w:rPr>
          <w:rFonts w:ascii="Times New Roman" w:hAnsi="Times New Roman"/>
          <w:sz w:val="24"/>
        </w:rPr>
        <w:t>систем</w:t>
      </w:r>
      <w:r>
        <w:rPr>
          <w:rFonts w:ascii="Times New Roman" w:hAnsi="Times New Roman"/>
          <w:sz w:val="24"/>
        </w:rPr>
        <w:t>.</w:t>
      </w:r>
    </w:p>
    <w:p>
      <w:pPr>
        <w:pStyle w:val="Heading2"/>
        <w:spacing w:line="240" w:lineRule="auto"/>
        <w:ind w:right="172"/>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spacing w:line="272" w:lineRule="exact" w:before="201"/>
        <w:ind w:left="160" w:right="0" w:firstLine="0"/>
        <w:jc w:val="both"/>
        <w:rPr>
          <w:rFonts w:ascii="Times New Roman" w:hAnsi="Times New Roman" w:cs="Times New Roman" w:eastAsia="Times New Roman" w:hint="default"/>
          <w:sz w:val="24"/>
          <w:szCs w:val="24"/>
        </w:rPr>
      </w:pPr>
      <w:bookmarkStart w:name="_bookmark45" w:id="79"/>
      <w:bookmarkEnd w:id="79"/>
      <w:r>
        <w:rPr/>
      </w:r>
      <w:r>
        <w:rPr>
          <w:rFonts w:ascii="Times New Roman" w:hAnsi="Times New Roman"/>
          <w:b/>
          <w:sz w:val="24"/>
        </w:rPr>
        <w:t>4.1.5.8 </w:t>
      </w:r>
      <w:r>
        <w:rPr>
          <w:rFonts w:ascii="Times New Roman" w:hAnsi="Times New Roman"/>
          <w:b/>
          <w:sz w:val="24"/>
        </w:rPr>
        <w:t>Отплата главнице страним кредиторима, група</w:t>
      </w:r>
      <w:r>
        <w:rPr>
          <w:rFonts w:ascii="Times New Roman" w:hAnsi="Times New Roman"/>
          <w:b/>
          <w:spacing w:val="-14"/>
          <w:sz w:val="24"/>
        </w:rPr>
        <w:t> </w:t>
      </w:r>
      <w:r>
        <w:rPr>
          <w:rFonts w:ascii="Times New Roman" w:hAnsi="Times New Roman"/>
          <w:b/>
          <w:sz w:val="24"/>
        </w:rPr>
        <w:t>612000</w:t>
      </w:r>
      <w:r>
        <w:rPr>
          <w:rFonts w:ascii="Times New Roman" w:hAnsi="Times New Roman"/>
          <w:sz w:val="24"/>
        </w:rPr>
      </w:r>
    </w:p>
    <w:p>
      <w:pPr>
        <w:pStyle w:val="BodyText"/>
        <w:tabs>
          <w:tab w:pos="7803" w:val="left" w:leader="none"/>
        </w:tabs>
        <w:spacing w:line="240" w:lineRule="auto" w:after="8"/>
        <w:ind w:right="178" w:firstLine="566"/>
        <w:jc w:val="both"/>
        <w:rPr>
          <w:rFonts w:ascii="Times New Roman" w:hAnsi="Times New Roman" w:cs="Times New Roman" w:eastAsia="Times New Roman" w:hint="default"/>
          <w:sz w:val="18"/>
          <w:szCs w:val="18"/>
        </w:rPr>
      </w:pPr>
      <w:r>
        <w:rPr/>
        <w:t>Група 612000 </w:t>
      </w:r>
      <w:r>
        <w:rPr>
          <w:rFonts w:ascii="Times New Roman" w:hAnsi="Times New Roman"/>
        </w:rPr>
        <w:t>- </w:t>
      </w:r>
      <w:r>
        <w:rPr/>
        <w:t>Отплата главнице страним кредиторима садржи синтетички конто отплата </w:t>
      </w:r>
      <w:r>
        <w:rPr>
          <w:spacing w:val="3"/>
        </w:rPr>
        <w:t> </w:t>
      </w:r>
      <w:r>
        <w:rPr/>
        <w:t>главнице </w:t>
      </w:r>
      <w:r>
        <w:rPr>
          <w:spacing w:val="5"/>
        </w:rPr>
        <w:t> </w:t>
      </w:r>
      <w:r>
        <w:rPr/>
        <w:t>ЕБРД.</w:t>
        <w:tab/>
      </w:r>
      <w:r>
        <w:rPr>
          <w:rFonts w:ascii="Times New Roman" w:hAnsi="Times New Roman"/>
          <w:sz w:val="16"/>
        </w:rPr>
        <w:t>(</w:t>
      </w:r>
      <w:r>
        <w:rPr>
          <w:sz w:val="16"/>
        </w:rPr>
        <w:t>у хиљадама</w:t>
      </w:r>
      <w:r>
        <w:rPr>
          <w:spacing w:val="-4"/>
          <w:sz w:val="16"/>
        </w:rPr>
        <w:t> </w:t>
      </w:r>
      <w:r>
        <w:rPr>
          <w:sz w:val="16"/>
        </w:rPr>
        <w:t>динара</w:t>
      </w:r>
      <w:r>
        <w:rPr>
          <w:rFonts w:ascii="Times New Roman" w:hAnsi="Times New Roman"/>
          <w:sz w:val="18"/>
        </w:rPr>
        <w:t>)</w:t>
      </w:r>
    </w:p>
    <w:tbl>
      <w:tblPr>
        <w:tblW w:w="0" w:type="auto"/>
        <w:jc w:val="left"/>
        <w:tblInd w:w="141" w:type="dxa"/>
        <w:tblLayout w:type="fixed"/>
        <w:tblCellMar>
          <w:top w:w="0" w:type="dxa"/>
          <w:left w:w="0" w:type="dxa"/>
          <w:bottom w:w="0" w:type="dxa"/>
          <w:right w:w="0" w:type="dxa"/>
        </w:tblCellMar>
        <w:tblLook w:val="01E0"/>
      </w:tblPr>
      <w:tblGrid>
        <w:gridCol w:w="876"/>
        <w:gridCol w:w="2259"/>
        <w:gridCol w:w="960"/>
        <w:gridCol w:w="1440"/>
        <w:gridCol w:w="1047"/>
        <w:gridCol w:w="936"/>
        <w:gridCol w:w="845"/>
        <w:gridCol w:w="847"/>
      </w:tblGrid>
      <w:tr>
        <w:trPr>
          <w:trHeight w:val="504"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261" w:right="178" w:hanging="72"/>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2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4"/>
              <w:ind w:left="321"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7"/>
                <w:sz w:val="18"/>
              </w:rPr>
              <w:t> </w:t>
            </w:r>
            <w:r>
              <w:rPr>
                <w:rFonts w:ascii="Times New Roman" w:hAnsi="Times New Roman"/>
                <w:b/>
                <w:sz w:val="18"/>
              </w:rPr>
              <w:t>корисник</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4"/>
              <w:ind w:right="103"/>
              <w:jc w:val="right"/>
              <w:rPr>
                <w:rFonts w:ascii="Times New Roman" w:hAnsi="Times New Roman" w:cs="Times New Roman" w:eastAsia="Times New Roman" w:hint="default"/>
                <w:sz w:val="18"/>
                <w:szCs w:val="18"/>
              </w:rPr>
            </w:pPr>
            <w:r>
              <w:rPr>
                <w:rFonts w:ascii="Times New Roman" w:hAnsi="Times New Roman"/>
                <w:b/>
                <w:spacing w:val="-1"/>
                <w:sz w:val="18"/>
              </w:rPr>
              <w:t>Ребаланс</w:t>
            </w:r>
            <w:r>
              <w:rPr>
                <w:rFonts w:ascii="Times New Roman" w:hAnsi="Times New Roman"/>
                <w:spacing w:val="-1"/>
                <w:sz w:val="18"/>
              </w:rPr>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03" w:right="92" w:firstLine="132"/>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реалокацијама</w:t>
            </w:r>
            <w:r>
              <w:rPr>
                <w:rFonts w:ascii="Times New Roman" w:hAnsi="Times New Roman"/>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03" w:right="95"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115" w:right="104"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02" w:right="107"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0"/>
              <w:ind w:left="302" w:right="109"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49"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0"/>
              <w:jc w:val="center"/>
              <w:rPr>
                <w:rFonts w:ascii="Times New Roman" w:hAnsi="Times New Roman" w:cs="Times New Roman" w:eastAsia="Times New Roman" w:hint="default"/>
                <w:sz w:val="12"/>
                <w:szCs w:val="12"/>
              </w:rPr>
            </w:pPr>
            <w:r>
              <w:rPr>
                <w:rFonts w:ascii="Times New Roman"/>
                <w:sz w:val="12"/>
              </w:rPr>
              <w:t>1</w:t>
            </w:r>
          </w:p>
        </w:tc>
        <w:tc>
          <w:tcPr>
            <w:tcW w:w="2259"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2"/>
              <w:jc w:val="center"/>
              <w:rPr>
                <w:rFonts w:ascii="Times New Roman" w:hAnsi="Times New Roman" w:cs="Times New Roman" w:eastAsia="Times New Roman" w:hint="default"/>
                <w:sz w:val="12"/>
                <w:szCs w:val="12"/>
              </w:rPr>
            </w:pPr>
            <w:r>
              <w:rPr>
                <w:rFonts w:ascii="Times New Roman"/>
                <w:sz w:val="12"/>
              </w:rPr>
              <w:t>2</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0"/>
              <w:jc w:val="center"/>
              <w:rPr>
                <w:rFonts w:ascii="Times New Roman" w:hAnsi="Times New Roman" w:cs="Times New Roman" w:eastAsia="Times New Roman" w:hint="default"/>
                <w:sz w:val="12"/>
                <w:szCs w:val="12"/>
              </w:rPr>
            </w:pPr>
            <w:r>
              <w:rPr>
                <w:rFonts w:ascii="Times New Roman"/>
                <w:sz w:val="12"/>
              </w:rPr>
              <w:t>3</w:t>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0"/>
              <w:jc w:val="center"/>
              <w:rPr>
                <w:rFonts w:ascii="Times New Roman" w:hAnsi="Times New Roman" w:cs="Times New Roman" w:eastAsia="Times New Roman" w:hint="default"/>
                <w:sz w:val="12"/>
                <w:szCs w:val="12"/>
              </w:rPr>
            </w:pPr>
            <w:r>
              <w:rPr>
                <w:rFonts w:ascii="Times New Roman"/>
                <w:sz w:val="12"/>
              </w:rPr>
              <w:t>4</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left="487" w:right="0"/>
              <w:jc w:val="left"/>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0"/>
              <w:jc w:val="center"/>
              <w:rPr>
                <w:rFonts w:ascii="Times New Roman" w:hAnsi="Times New Roman" w:cs="Times New Roman" w:eastAsia="Times New Roman" w:hint="default"/>
                <w:sz w:val="12"/>
                <w:szCs w:val="12"/>
              </w:rPr>
            </w:pPr>
            <w:r>
              <w:rPr>
                <w:rFonts w:ascii="Times New Roman"/>
                <w:sz w:val="12"/>
              </w:rPr>
              <w:t>6</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left="2" w:right="0"/>
              <w:jc w:val="center"/>
              <w:rPr>
                <w:rFonts w:ascii="Times New Roman" w:hAnsi="Times New Roman" w:cs="Times New Roman" w:eastAsia="Times New Roman" w:hint="default"/>
                <w:sz w:val="12"/>
                <w:szCs w:val="12"/>
              </w:rPr>
            </w:pPr>
            <w:r>
              <w:rPr>
                <w:rFonts w:ascii="Times New Roman"/>
                <w:sz w:val="12"/>
              </w:rPr>
              <w:t>7</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0"/>
              <w:jc w:val="center"/>
              <w:rPr>
                <w:rFonts w:ascii="Times New Roman" w:hAnsi="Times New Roman" w:cs="Times New Roman" w:eastAsia="Times New Roman" w:hint="default"/>
                <w:sz w:val="12"/>
                <w:szCs w:val="12"/>
              </w:rPr>
            </w:pPr>
            <w:r>
              <w:rPr>
                <w:rFonts w:ascii="Times New Roman"/>
                <w:sz w:val="12"/>
              </w:rPr>
              <w:t>8</w:t>
            </w:r>
          </w:p>
        </w:tc>
      </w:tr>
      <w:tr>
        <w:trPr>
          <w:trHeight w:val="217"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
              <w:jc w:val="center"/>
              <w:rPr>
                <w:rFonts w:ascii="Times New Roman" w:hAnsi="Times New Roman" w:cs="Times New Roman" w:eastAsia="Times New Roman" w:hint="default"/>
                <w:sz w:val="18"/>
                <w:szCs w:val="18"/>
              </w:rPr>
            </w:pPr>
            <w:r>
              <w:rPr>
                <w:rFonts w:ascii="Times New Roman"/>
                <w:sz w:val="18"/>
              </w:rPr>
              <w:t>1</w:t>
            </w:r>
          </w:p>
        </w:tc>
        <w:tc>
          <w:tcPr>
            <w:tcW w:w="2259"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8"/>
                <w:sz w:val="18"/>
              </w:rPr>
              <w:t> </w:t>
            </w:r>
            <w:r>
              <w:rPr>
                <w:rFonts w:ascii="Times New Roman" w:hAnsi="Times New Roman"/>
                <w:sz w:val="18"/>
              </w:rPr>
              <w:t>финансије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pacing w:val="-1"/>
                <w:sz w:val="18"/>
              </w:rPr>
              <w:t>57.485</w:t>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pacing w:val="-1"/>
                <w:sz w:val="18"/>
              </w:rPr>
              <w:t>57.485</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436" w:right="0"/>
              <w:jc w:val="left"/>
              <w:rPr>
                <w:rFonts w:ascii="Times New Roman" w:hAnsi="Times New Roman" w:cs="Times New Roman" w:eastAsia="Times New Roman" w:hint="default"/>
                <w:sz w:val="18"/>
                <w:szCs w:val="18"/>
              </w:rPr>
            </w:pPr>
            <w:r>
              <w:rPr>
                <w:rFonts w:ascii="Times New Roman"/>
                <w:sz w:val="18"/>
              </w:rPr>
              <w:t>34.485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90" w:right="90"/>
              <w:jc w:val="center"/>
              <w:rPr>
                <w:rFonts w:ascii="Times New Roman" w:hAnsi="Times New Roman" w:cs="Times New Roman" w:eastAsia="Times New Roman" w:hint="default"/>
                <w:sz w:val="18"/>
                <w:szCs w:val="18"/>
              </w:rPr>
            </w:pPr>
            <w:r>
              <w:rPr>
                <w:rFonts w:ascii="Times New Roman"/>
                <w:sz w:val="18"/>
              </w:rPr>
              <w:t>34.485</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54" w:right="152"/>
              <w:jc w:val="center"/>
              <w:rPr>
                <w:rFonts w:ascii="Times New Roman" w:hAnsi="Times New Roman" w:cs="Times New Roman" w:eastAsia="Times New Roman" w:hint="default"/>
                <w:sz w:val="18"/>
                <w:szCs w:val="18"/>
              </w:rPr>
            </w:pPr>
            <w:r>
              <w:rPr>
                <w:rFonts w:ascii="Times New Roman"/>
                <w:sz w:val="18"/>
              </w:rPr>
              <w:t>59,99</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87" w:right="88"/>
              <w:jc w:val="center"/>
              <w:rPr>
                <w:rFonts w:ascii="Times New Roman" w:hAnsi="Times New Roman" w:cs="Times New Roman" w:eastAsia="Times New Roman" w:hint="default"/>
                <w:sz w:val="18"/>
                <w:szCs w:val="18"/>
              </w:rPr>
            </w:pPr>
            <w:r>
              <w:rPr>
                <w:rFonts w:ascii="Times New Roman"/>
                <w:sz w:val="18"/>
              </w:rPr>
              <w:t>100,00</w:t>
            </w:r>
          </w:p>
        </w:tc>
      </w:tr>
      <w:tr>
        <w:trPr>
          <w:trHeight w:val="266" w:hRule="exact"/>
        </w:trPr>
        <w:tc>
          <w:tcPr>
            <w:tcW w:w="3135"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631" w:right="0"/>
              <w:jc w:val="left"/>
              <w:rPr>
                <w:rFonts w:ascii="Times New Roman" w:hAnsi="Times New Roman" w:cs="Times New Roman" w:eastAsia="Times New Roman" w:hint="default"/>
                <w:sz w:val="18"/>
                <w:szCs w:val="18"/>
              </w:rPr>
            </w:pPr>
            <w:r>
              <w:rPr>
                <w:rFonts w:ascii="Times New Roman" w:hAnsi="Times New Roman"/>
                <w:b/>
                <w:sz w:val="18"/>
              </w:rPr>
              <w:t>Укупно корисник</w:t>
            </w:r>
            <w:r>
              <w:rPr>
                <w:rFonts w:ascii="Times New Roman" w:hAnsi="Times New Roman"/>
                <w:b/>
                <w:spacing w:val="-1"/>
                <w:sz w:val="18"/>
              </w:rPr>
              <w:t> </w:t>
            </w:r>
            <w:r>
              <w:rPr>
                <w:rFonts w:ascii="Times New Roman" w:hAnsi="Times New Roman"/>
                <w:b/>
                <w:sz w:val="18"/>
              </w:rPr>
              <w:t>(1-1)</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100"/>
              <w:jc w:val="right"/>
              <w:rPr>
                <w:rFonts w:ascii="Times New Roman" w:hAnsi="Times New Roman" w:cs="Times New Roman" w:eastAsia="Times New Roman" w:hint="default"/>
                <w:sz w:val="18"/>
                <w:szCs w:val="18"/>
              </w:rPr>
            </w:pPr>
            <w:r>
              <w:rPr>
                <w:rFonts w:ascii="Times New Roman"/>
                <w:b/>
                <w:spacing w:val="-1"/>
                <w:sz w:val="18"/>
              </w:rPr>
              <w:t>57.485</w:t>
            </w:r>
            <w:r>
              <w:rPr>
                <w:rFonts w:ascii="Times New Roman"/>
                <w:spacing w:val="-1"/>
                <w:sz w:val="18"/>
              </w:rPr>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100"/>
              <w:jc w:val="right"/>
              <w:rPr>
                <w:rFonts w:ascii="Times New Roman" w:hAnsi="Times New Roman" w:cs="Times New Roman" w:eastAsia="Times New Roman" w:hint="default"/>
                <w:sz w:val="18"/>
                <w:szCs w:val="18"/>
              </w:rPr>
            </w:pPr>
            <w:r>
              <w:rPr>
                <w:rFonts w:ascii="Times New Roman"/>
                <w:b/>
                <w:spacing w:val="-1"/>
                <w:sz w:val="18"/>
              </w:rPr>
              <w:t>57.485</w:t>
            </w:r>
            <w:r>
              <w:rPr>
                <w:rFonts w:ascii="Times New Roman"/>
                <w:spacing w:val="-1"/>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436" w:right="0"/>
              <w:jc w:val="left"/>
              <w:rPr>
                <w:rFonts w:ascii="Times New Roman" w:hAnsi="Times New Roman" w:cs="Times New Roman" w:eastAsia="Times New Roman" w:hint="default"/>
                <w:sz w:val="18"/>
                <w:szCs w:val="18"/>
              </w:rPr>
            </w:pPr>
            <w:r>
              <w:rPr>
                <w:rFonts w:ascii="Times New Roman"/>
                <w:b/>
                <w:sz w:val="18"/>
              </w:rPr>
              <w:t>34.485</w:t>
            </w:r>
            <w:r>
              <w:rPr>
                <w:rFonts w:asci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90" w:right="90"/>
              <w:jc w:val="center"/>
              <w:rPr>
                <w:rFonts w:ascii="Times New Roman" w:hAnsi="Times New Roman" w:cs="Times New Roman" w:eastAsia="Times New Roman" w:hint="default"/>
                <w:sz w:val="18"/>
                <w:szCs w:val="18"/>
              </w:rPr>
            </w:pPr>
            <w:r>
              <w:rPr>
                <w:rFonts w:ascii="Times New Roman"/>
                <w:b/>
                <w:sz w:val="18"/>
              </w:rPr>
              <w:t>34.485</w:t>
            </w:r>
            <w:r>
              <w:rPr>
                <w:rFonts w:asci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154" w:right="152"/>
              <w:jc w:val="center"/>
              <w:rPr>
                <w:rFonts w:ascii="Times New Roman" w:hAnsi="Times New Roman" w:cs="Times New Roman" w:eastAsia="Times New Roman" w:hint="default"/>
                <w:sz w:val="18"/>
                <w:szCs w:val="18"/>
              </w:rPr>
            </w:pPr>
            <w:r>
              <w:rPr>
                <w:rFonts w:ascii="Times New Roman"/>
                <w:b/>
                <w:sz w:val="18"/>
              </w:rPr>
              <w:t>59,99</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87" w:right="88"/>
              <w:jc w:val="center"/>
              <w:rPr>
                <w:rFonts w:ascii="Times New Roman" w:hAnsi="Times New Roman" w:cs="Times New Roman" w:eastAsia="Times New Roman" w:hint="default"/>
                <w:sz w:val="18"/>
                <w:szCs w:val="18"/>
              </w:rPr>
            </w:pPr>
            <w:r>
              <w:rPr>
                <w:rFonts w:ascii="Times New Roman"/>
                <w:b/>
                <w:sz w:val="18"/>
              </w:rPr>
              <w:t>100,00</w:t>
            </w:r>
            <w:r>
              <w:rPr>
                <w:rFonts w:ascii="Times New Roman"/>
                <w:sz w:val="18"/>
              </w:rPr>
            </w:r>
          </w:p>
        </w:tc>
      </w:tr>
      <w:tr>
        <w:trPr>
          <w:trHeight w:val="264" w:hRule="exact"/>
        </w:trPr>
        <w:tc>
          <w:tcPr>
            <w:tcW w:w="3135"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left="415" w:right="0"/>
              <w:jc w:val="left"/>
              <w:rPr>
                <w:rFonts w:ascii="Times New Roman" w:hAnsi="Times New Roman" w:cs="Times New Roman" w:eastAsia="Times New Roman" w:hint="default"/>
                <w:sz w:val="18"/>
                <w:szCs w:val="18"/>
              </w:rPr>
            </w:pPr>
            <w:r>
              <w:rPr>
                <w:rFonts w:ascii="Times New Roman" w:hAnsi="Times New Roman" w:cs="Times New Roman" w:eastAsia="Times New Roman" w:hint="default"/>
                <w:b/>
                <w:bCs/>
                <w:sz w:val="18"/>
                <w:szCs w:val="18"/>
              </w:rPr>
              <w:t>Укупно Град – група</w:t>
            </w:r>
            <w:r>
              <w:rPr>
                <w:rFonts w:ascii="Times New Roman" w:hAnsi="Times New Roman" w:cs="Times New Roman" w:eastAsia="Times New Roman" w:hint="default"/>
                <w:b/>
                <w:bCs/>
                <w:spacing w:val="-6"/>
                <w:sz w:val="18"/>
                <w:szCs w:val="18"/>
              </w:rPr>
              <w:t> </w:t>
            </w:r>
            <w:r>
              <w:rPr>
                <w:rFonts w:ascii="Times New Roman" w:hAnsi="Times New Roman" w:cs="Times New Roman" w:eastAsia="Times New Roman" w:hint="default"/>
                <w:b/>
                <w:bCs/>
                <w:sz w:val="18"/>
                <w:szCs w:val="18"/>
              </w:rPr>
              <w:t>612000</w:t>
            </w:r>
            <w:r>
              <w:rPr>
                <w:rFonts w:ascii="Times New Roman" w:hAnsi="Times New Roman" w:cs="Times New Roman" w:eastAsia="Times New Roman" w:hint="default"/>
                <w:sz w:val="18"/>
                <w:szCs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0"/>
              <w:jc w:val="right"/>
              <w:rPr>
                <w:rFonts w:ascii="Times New Roman" w:hAnsi="Times New Roman" w:cs="Times New Roman" w:eastAsia="Times New Roman" w:hint="default"/>
                <w:sz w:val="18"/>
                <w:szCs w:val="18"/>
              </w:rPr>
            </w:pPr>
            <w:r>
              <w:rPr>
                <w:rFonts w:ascii="Times New Roman"/>
                <w:b/>
                <w:spacing w:val="-1"/>
                <w:sz w:val="18"/>
              </w:rPr>
              <w:t>57.485</w:t>
            </w:r>
            <w:r>
              <w:rPr>
                <w:rFonts w:ascii="Times New Roman"/>
                <w:spacing w:val="-1"/>
                <w:sz w:val="18"/>
              </w:rPr>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0"/>
              <w:jc w:val="right"/>
              <w:rPr>
                <w:rFonts w:ascii="Times New Roman" w:hAnsi="Times New Roman" w:cs="Times New Roman" w:eastAsia="Times New Roman" w:hint="default"/>
                <w:sz w:val="18"/>
                <w:szCs w:val="18"/>
              </w:rPr>
            </w:pPr>
            <w:r>
              <w:rPr>
                <w:rFonts w:ascii="Times New Roman"/>
                <w:b/>
                <w:spacing w:val="-1"/>
                <w:sz w:val="18"/>
              </w:rPr>
              <w:t>57.485</w:t>
            </w:r>
            <w:r>
              <w:rPr>
                <w:rFonts w:ascii="Times New Roman"/>
                <w:spacing w:val="-1"/>
                <w:sz w:val="18"/>
              </w:rPr>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left="436" w:right="0"/>
              <w:jc w:val="left"/>
              <w:rPr>
                <w:rFonts w:ascii="Times New Roman" w:hAnsi="Times New Roman" w:cs="Times New Roman" w:eastAsia="Times New Roman" w:hint="default"/>
                <w:sz w:val="18"/>
                <w:szCs w:val="18"/>
              </w:rPr>
            </w:pPr>
            <w:r>
              <w:rPr>
                <w:rFonts w:ascii="Times New Roman"/>
                <w:b/>
                <w:sz w:val="18"/>
              </w:rPr>
              <w:t>34.485</w:t>
            </w:r>
            <w:r>
              <w:rPr>
                <w:rFonts w:asci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left="90" w:right="90"/>
              <w:jc w:val="center"/>
              <w:rPr>
                <w:rFonts w:ascii="Times New Roman" w:hAnsi="Times New Roman" w:cs="Times New Roman" w:eastAsia="Times New Roman" w:hint="default"/>
                <w:sz w:val="18"/>
                <w:szCs w:val="18"/>
              </w:rPr>
            </w:pPr>
            <w:r>
              <w:rPr>
                <w:rFonts w:ascii="Times New Roman"/>
                <w:b/>
                <w:sz w:val="18"/>
              </w:rPr>
              <w:t>34.485</w:t>
            </w:r>
            <w:r>
              <w:rPr>
                <w:rFonts w:asci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left="154" w:right="152"/>
              <w:jc w:val="center"/>
              <w:rPr>
                <w:rFonts w:ascii="Times New Roman" w:hAnsi="Times New Roman" w:cs="Times New Roman" w:eastAsia="Times New Roman" w:hint="default"/>
                <w:sz w:val="18"/>
                <w:szCs w:val="18"/>
              </w:rPr>
            </w:pPr>
            <w:r>
              <w:rPr>
                <w:rFonts w:ascii="Times New Roman"/>
                <w:b/>
                <w:sz w:val="18"/>
              </w:rPr>
              <w:t>59,99</w:t>
            </w:r>
            <w:r>
              <w:rPr>
                <w:rFonts w:ascii="Times New Roman"/>
                <w:sz w:val="18"/>
              </w:rPr>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left="87" w:right="88"/>
              <w:jc w:val="center"/>
              <w:rPr>
                <w:rFonts w:ascii="Times New Roman" w:hAnsi="Times New Roman" w:cs="Times New Roman" w:eastAsia="Times New Roman" w:hint="default"/>
                <w:sz w:val="18"/>
                <w:szCs w:val="18"/>
              </w:rPr>
            </w:pPr>
            <w:r>
              <w:rPr>
                <w:rFonts w:ascii="Times New Roman"/>
                <w:b/>
                <w:sz w:val="18"/>
              </w:rPr>
              <w:t>100,00</w:t>
            </w:r>
            <w:r>
              <w:rPr>
                <w:rFonts w:ascii="Times New Roman"/>
                <w:sz w:val="18"/>
              </w:rPr>
            </w:r>
          </w:p>
        </w:tc>
      </w:tr>
    </w:tbl>
    <w:p>
      <w:pPr>
        <w:spacing w:line="240" w:lineRule="auto" w:before="9"/>
        <w:rPr>
          <w:rFonts w:ascii="Times New Roman" w:hAnsi="Times New Roman" w:cs="Times New Roman" w:eastAsia="Times New Roman" w:hint="default"/>
          <w:sz w:val="5"/>
          <w:szCs w:val="5"/>
        </w:rPr>
      </w:pPr>
    </w:p>
    <w:p>
      <w:pPr>
        <w:spacing w:line="237" w:lineRule="auto" w:before="71"/>
        <w:ind w:left="160" w:right="174" w:firstLine="566"/>
        <w:jc w:val="both"/>
        <w:rPr>
          <w:rFonts w:ascii="Times New Roman" w:hAnsi="Times New Roman" w:cs="Times New Roman" w:eastAsia="Times New Roman" w:hint="default"/>
          <w:sz w:val="24"/>
          <w:szCs w:val="24"/>
        </w:rPr>
      </w:pPr>
      <w:r>
        <w:rPr>
          <w:rFonts w:ascii="Times New Roman" w:hAnsi="Times New Roman"/>
          <w:b/>
          <w:sz w:val="24"/>
        </w:rPr>
        <w:t>Управа за финансије, изворне приходе локалне самоуправе и јавне набавке </w:t>
      </w:r>
      <w:r>
        <w:rPr>
          <w:rFonts w:ascii="Times New Roman" w:hAnsi="Times New Roman"/>
          <w:b/>
          <w:sz w:val="24"/>
        </w:rPr>
        <w:t>- </w:t>
      </w:r>
      <w:r>
        <w:rPr>
          <w:rFonts w:ascii="Times New Roman" w:hAnsi="Times New Roman"/>
          <w:sz w:val="24"/>
        </w:rPr>
        <w:t>Исказано је извршење у укупном износу од </w:t>
      </w:r>
      <w:r>
        <w:rPr>
          <w:rFonts w:ascii="Times New Roman" w:hAnsi="Times New Roman"/>
          <w:sz w:val="24"/>
        </w:rPr>
        <w:t>34.485 </w:t>
      </w:r>
      <w:r>
        <w:rPr>
          <w:rFonts w:ascii="Times New Roman" w:hAnsi="Times New Roman"/>
          <w:sz w:val="24"/>
        </w:rPr>
        <w:t>хиљада динара на терет буџета града  за отплату главнице страним</w:t>
      </w:r>
      <w:r>
        <w:rPr>
          <w:rFonts w:ascii="Times New Roman" w:hAnsi="Times New Roman"/>
          <w:spacing w:val="-12"/>
          <w:sz w:val="24"/>
        </w:rPr>
        <w:t> </w:t>
      </w:r>
      <w:r>
        <w:rPr>
          <w:rFonts w:ascii="Times New Roman" w:hAnsi="Times New Roman"/>
          <w:sz w:val="24"/>
        </w:rPr>
        <w:t>кредиторима</w:t>
      </w:r>
      <w:r>
        <w:rPr>
          <w:rFonts w:ascii="Times New Roman" w:hAnsi="Times New Roman"/>
          <w:sz w:val="24"/>
        </w:rPr>
        <w:t>.</w:t>
      </w:r>
    </w:p>
    <w:p>
      <w:pPr>
        <w:pStyle w:val="BodyText"/>
        <w:spacing w:line="240" w:lineRule="auto"/>
        <w:ind w:right="170" w:firstLine="566"/>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Отплата главнице ЕБРД, субаналитички конто 612331 </w:t>
      </w:r>
      <w:r>
        <w:rPr/>
      </w:r>
      <w:r>
        <w:rPr>
          <w:rFonts w:ascii="Times New Roman" w:hAnsi="Times New Roman"/>
        </w:rPr>
        <w:t>- </w:t>
      </w:r>
      <w:r>
        <w:rPr/>
        <w:t>Исказани су издаци у износу од </w:t>
      </w:r>
      <w:r>
        <w:rPr>
          <w:rFonts w:ascii="Times New Roman" w:hAnsi="Times New Roman"/>
        </w:rPr>
        <w:t>34.485 </w:t>
      </w:r>
      <w:r>
        <w:rPr/>
        <w:t>хиљада</w:t>
      </w:r>
      <w:r>
        <w:rPr>
          <w:spacing w:val="-9"/>
        </w:rPr>
        <w:t> </w:t>
      </w:r>
      <w:r>
        <w:rPr/>
        <w:t>динара</w:t>
      </w:r>
      <w:r>
        <w:rPr>
          <w:rFonts w:ascii="Times New Roman" w:hAnsi="Times New Roman"/>
        </w:rPr>
        <w:t>.</w:t>
      </w:r>
    </w:p>
    <w:p>
      <w:pPr>
        <w:pStyle w:val="Heading1"/>
        <w:spacing w:line="275" w:lineRule="exact"/>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1"/>
        </w:rPr>
        <w:t> </w:t>
      </w:r>
      <w:r>
        <w:rPr/>
        <w:t>је</w:t>
      </w:r>
      <w:r>
        <w:rPr>
          <w:rFonts w:ascii="Times New Roman" w:hAnsi="Times New Roman"/>
        </w:rPr>
        <w:t>:</w:t>
      </w:r>
      <w:r>
        <w:rPr>
          <w:rFonts w:ascii="Times New Roman" w:hAnsi="Times New Roman"/>
          <w:b w:val="0"/>
        </w:rPr>
      </w:r>
    </w:p>
    <w:p>
      <w:pPr>
        <w:pStyle w:val="ListParagraph"/>
        <w:numPr>
          <w:ilvl w:val="0"/>
          <w:numId w:val="9"/>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Град Ниш не поштује одредбе уговора прописане одељком 2.02. Уговора о зајму закљученог са Европском банком за реконструкцију и развој дана 27.06.2002. године, у коме су прописани ануитети враћања кредита (22.03. и 22.09. у години у којој ануитет доспева). Град је извршио уплате по основу главнице у износу од 34.484 хиљаде динара уместо 63.221 хиљаде динара, што је супротно одељку 2.02. Уговора о</w:t>
      </w:r>
      <w:r>
        <w:rPr>
          <w:rFonts w:ascii="Times New Roman" w:hAnsi="Times New Roman"/>
          <w:spacing w:val="-16"/>
          <w:sz w:val="24"/>
        </w:rPr>
        <w:t> </w:t>
      </w:r>
      <w:r>
        <w:rPr>
          <w:rFonts w:ascii="Times New Roman" w:hAnsi="Times New Roman"/>
          <w:sz w:val="24"/>
        </w:rPr>
        <w:t>зајму.</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ListParagraph"/>
        <w:numPr>
          <w:ilvl w:val="0"/>
          <w:numId w:val="9"/>
        </w:numPr>
        <w:tabs>
          <w:tab w:pos="303" w:val="left" w:leader="none"/>
        </w:tabs>
        <w:spacing w:line="240" w:lineRule="auto" w:before="124" w:after="0"/>
        <w:ind w:left="160" w:right="215" w:firstLine="0"/>
        <w:jc w:val="both"/>
        <w:rPr>
          <w:rFonts w:ascii="Times New Roman" w:hAnsi="Times New Roman" w:cs="Times New Roman" w:eastAsia="Times New Roman" w:hint="default"/>
          <w:sz w:val="24"/>
          <w:szCs w:val="24"/>
        </w:rPr>
      </w:pPr>
      <w:r>
        <w:rPr>
          <w:rFonts w:ascii="Times New Roman" w:hAnsi="Times New Roman"/>
          <w:sz w:val="24"/>
        </w:rPr>
        <w:t>Обавезе по основу разлика по ИОС обрасцима су евидентиране на крају текуће године</w:t>
      </w:r>
      <w:r>
        <w:rPr>
          <w:rFonts w:ascii="Times New Roman" w:hAnsi="Times New Roman"/>
          <w:sz w:val="24"/>
        </w:rPr>
        <w:t>, </w:t>
      </w:r>
      <w:r>
        <w:rPr>
          <w:rFonts w:ascii="Times New Roman" w:hAnsi="Times New Roman"/>
          <w:sz w:val="24"/>
        </w:rPr>
        <w:t>што је последица неуспостављених евиденција и/или нетачног и  неажурног евидентирања пословних промена и догађаја који такође повећава ризик од нетачног исказивања пословних промена,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spacing w:val="-8"/>
          <w:sz w:val="24"/>
        </w:rPr>
        <w:t> </w:t>
      </w:r>
      <w:r>
        <w:rPr>
          <w:rFonts w:ascii="Times New Roman" w:hAnsi="Times New Roman"/>
          <w:sz w:val="24"/>
        </w:rPr>
        <w:t>систем</w:t>
      </w:r>
      <w:r>
        <w:rPr>
          <w:rFonts w:ascii="Times New Roman" w:hAnsi="Times New Roman"/>
          <w:sz w:val="24"/>
        </w:rPr>
        <w:t>.</w:t>
      </w:r>
    </w:p>
    <w:p>
      <w:pPr>
        <w:pStyle w:val="Heading2"/>
        <w:spacing w:line="240" w:lineRule="auto"/>
        <w:ind w:right="214"/>
        <w:jc w:val="both"/>
        <w:rPr>
          <w:rFonts w:ascii="Times New Roman" w:hAnsi="Times New Roman" w:cs="Times New Roman" w:eastAsia="Times New Roman" w:hint="default"/>
          <w:b w:val="0"/>
          <w:bCs w:val="0"/>
          <w:i w:val="0"/>
        </w:rPr>
      </w:pPr>
      <w:r>
        <w:rPr>
          <w:i/>
        </w:rPr>
        <w:t>Препоручује се одговорним лицима да примењују одредбе закључених  уговора како би избегли плаћање додатних трошкова и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rFonts w:ascii="Times New Roman" w:hAnsi="Times New Roman"/>
          <w:i/>
        </w:rPr>
        <w:t>.</w:t>
      </w:r>
      <w:r>
        <w:rPr>
          <w:rFonts w:ascii="Times New Roman" w:hAnsi="Times New Roman"/>
          <w:b w:val="0"/>
          <w:i w:val="0"/>
        </w:rPr>
      </w:r>
    </w:p>
    <w:p>
      <w:pPr>
        <w:spacing w:line="272" w:lineRule="exact" w:before="202"/>
        <w:ind w:left="160" w:right="0" w:firstLine="0"/>
        <w:jc w:val="both"/>
        <w:rPr>
          <w:rFonts w:ascii="Times New Roman" w:hAnsi="Times New Roman" w:cs="Times New Roman" w:eastAsia="Times New Roman" w:hint="default"/>
          <w:sz w:val="24"/>
          <w:szCs w:val="24"/>
        </w:rPr>
      </w:pPr>
      <w:bookmarkStart w:name="_bookmark46" w:id="80"/>
      <w:bookmarkEnd w:id="80"/>
      <w:r>
        <w:rPr/>
      </w:r>
      <w:r>
        <w:rPr>
          <w:rFonts w:ascii="Times New Roman" w:hAnsi="Times New Roman"/>
          <w:b/>
          <w:sz w:val="24"/>
        </w:rPr>
        <w:t>4.1.5.9. </w:t>
      </w:r>
      <w:r>
        <w:rPr>
          <w:rFonts w:ascii="Times New Roman" w:hAnsi="Times New Roman"/>
          <w:b/>
          <w:sz w:val="24"/>
        </w:rPr>
        <w:t>Набавка домаће финансијске имовине, група</w:t>
      </w:r>
      <w:r>
        <w:rPr>
          <w:rFonts w:ascii="Times New Roman" w:hAnsi="Times New Roman"/>
          <w:b/>
          <w:spacing w:val="-10"/>
          <w:sz w:val="24"/>
        </w:rPr>
        <w:t> </w:t>
      </w:r>
      <w:r>
        <w:rPr>
          <w:rFonts w:ascii="Times New Roman" w:hAnsi="Times New Roman"/>
          <w:b/>
          <w:sz w:val="24"/>
        </w:rPr>
        <w:t>621000</w:t>
      </w:r>
      <w:r>
        <w:rPr>
          <w:rFonts w:ascii="Times New Roman" w:hAnsi="Times New Roman"/>
          <w:sz w:val="24"/>
        </w:rPr>
      </w:r>
    </w:p>
    <w:p>
      <w:pPr>
        <w:pStyle w:val="BodyText"/>
        <w:spacing w:line="240" w:lineRule="auto"/>
        <w:ind w:right="216" w:firstLine="566"/>
        <w:jc w:val="both"/>
        <w:rPr>
          <w:rFonts w:ascii="Times New Roman" w:hAnsi="Times New Roman" w:cs="Times New Roman" w:eastAsia="Times New Roman" w:hint="default"/>
        </w:rPr>
      </w:pPr>
      <w:r>
        <w:rPr/>
        <w:t>Група 621000 – Набавка домаће финансијске имовине садржи синтетички конто учешће капитала у домаћим нефинансијским јавним предузећима и</w:t>
      </w:r>
      <w:r>
        <w:rPr>
          <w:spacing w:val="-26"/>
        </w:rPr>
        <w:t> </w:t>
      </w:r>
      <w:r>
        <w:rPr/>
        <w:t>институцијама</w:t>
      </w:r>
      <w:r>
        <w:rPr>
          <w:rFonts w:ascii="Times New Roman" w:hAnsi="Times New Roman" w:cs="Times New Roman" w:eastAsia="Times New Roman" w:hint="default"/>
        </w:rPr>
        <w:t>.</w:t>
      </w:r>
    </w:p>
    <w:p>
      <w:pPr>
        <w:spacing w:before="3" w:after="4"/>
        <w:ind w:left="0" w:right="219" w:firstLine="0"/>
        <w:jc w:val="right"/>
        <w:rPr>
          <w:rFonts w:ascii="Times New Roman" w:hAnsi="Times New Roman" w:cs="Times New Roman" w:eastAsia="Times New Roman" w:hint="default"/>
          <w:sz w:val="18"/>
          <w:szCs w:val="18"/>
        </w:rPr>
      </w:pPr>
      <w:r>
        <w:rPr>
          <w:rFonts w:ascii="Times New Roman" w:hAnsi="Times New Roman"/>
          <w:sz w:val="18"/>
        </w:rPr>
        <w:t>(у хиљадама</w:t>
      </w:r>
      <w:r>
        <w:rPr>
          <w:rFonts w:ascii="Times New Roman" w:hAnsi="Times New Roman"/>
          <w:spacing w:val="-9"/>
          <w:sz w:val="18"/>
        </w:rPr>
        <w:t> </w:t>
      </w:r>
      <w:r>
        <w:rPr>
          <w:rFonts w:ascii="Times New Roman" w:hAnsi="Times New Roman"/>
          <w:sz w:val="18"/>
        </w:rPr>
        <w:t>динара)</w:t>
      </w:r>
    </w:p>
    <w:tbl>
      <w:tblPr>
        <w:tblW w:w="0" w:type="auto"/>
        <w:jc w:val="left"/>
        <w:tblInd w:w="141" w:type="dxa"/>
        <w:tblLayout w:type="fixed"/>
        <w:tblCellMar>
          <w:top w:w="0" w:type="dxa"/>
          <w:left w:w="0" w:type="dxa"/>
          <w:bottom w:w="0" w:type="dxa"/>
          <w:right w:w="0" w:type="dxa"/>
        </w:tblCellMar>
        <w:tblLook w:val="01E0"/>
      </w:tblPr>
      <w:tblGrid>
        <w:gridCol w:w="876"/>
        <w:gridCol w:w="2401"/>
        <w:gridCol w:w="960"/>
        <w:gridCol w:w="1442"/>
        <w:gridCol w:w="1045"/>
        <w:gridCol w:w="936"/>
        <w:gridCol w:w="848"/>
        <w:gridCol w:w="845"/>
      </w:tblGrid>
      <w:tr>
        <w:trPr>
          <w:trHeight w:val="439"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left="261" w:right="178" w:hanging="72"/>
              <w:jc w:val="left"/>
              <w:rPr>
                <w:rFonts w:ascii="Times New Roman" w:hAnsi="Times New Roman" w:cs="Times New Roman" w:eastAsia="Times New Roman" w:hint="default"/>
                <w:sz w:val="18"/>
                <w:szCs w:val="18"/>
              </w:rPr>
            </w:pPr>
            <w:r>
              <w:rPr>
                <w:rFonts w:ascii="Times New Roman" w:hAnsi="Times New Roman"/>
                <w:b/>
                <w:sz w:val="18"/>
              </w:rPr>
              <w:t>Редни број</w:t>
            </w:r>
            <w:r>
              <w:rPr>
                <w:rFonts w:ascii="Times New Roman" w:hAnsi="Times New Roman"/>
                <w:sz w:val="18"/>
              </w:rPr>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2"/>
              <w:ind w:left="393" w:right="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8"/>
                <w:sz w:val="18"/>
              </w:rPr>
              <w:t> </w:t>
            </w:r>
            <w:r>
              <w:rPr>
                <w:rFonts w:ascii="Times New Roman" w:hAnsi="Times New Roman"/>
                <w:b/>
                <w:sz w:val="18"/>
              </w:rPr>
              <w:t>корисник</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2"/>
              <w:ind w:right="103"/>
              <w:jc w:val="right"/>
              <w:rPr>
                <w:rFonts w:ascii="Times New Roman" w:hAnsi="Times New Roman" w:cs="Times New Roman" w:eastAsia="Times New Roman" w:hint="default"/>
                <w:sz w:val="18"/>
                <w:szCs w:val="18"/>
              </w:rPr>
            </w:pPr>
            <w:r>
              <w:rPr>
                <w:rFonts w:ascii="Times New Roman" w:hAnsi="Times New Roman"/>
                <w:b/>
                <w:spacing w:val="-1"/>
                <w:sz w:val="18"/>
              </w:rPr>
              <w:t>Ребаланс</w:t>
            </w:r>
            <w:r>
              <w:rPr>
                <w:rFonts w:ascii="Times New Roman" w:hAnsi="Times New Roman"/>
                <w:spacing w:val="-1"/>
                <w:sz w:val="18"/>
              </w:rPr>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left="103" w:right="94" w:firstLine="132"/>
              <w:jc w:val="left"/>
              <w:rPr>
                <w:rFonts w:ascii="Times New Roman" w:hAnsi="Times New Roman" w:cs="Times New Roman" w:eastAsia="Times New Roman" w:hint="default"/>
                <w:sz w:val="18"/>
                <w:szCs w:val="18"/>
              </w:rPr>
            </w:pPr>
            <w:r>
              <w:rPr>
                <w:rFonts w:ascii="Times New Roman" w:hAnsi="Times New Roman"/>
                <w:b/>
                <w:sz w:val="18"/>
              </w:rPr>
              <w:t>Ребаланс са реалокацијама</w:t>
            </w:r>
            <w:r>
              <w:rPr>
                <w:rFonts w:ascii="Times New Roman" w:hAnsi="Times New Roman"/>
                <w:sz w:val="18"/>
              </w:rPr>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left="103" w:right="93" w:firstLine="28"/>
              <w:jc w:val="left"/>
              <w:rPr>
                <w:rFonts w:ascii="Times New Roman" w:hAnsi="Times New Roman" w:cs="Times New Roman" w:eastAsia="Times New Roman" w:hint="default"/>
                <w:sz w:val="18"/>
                <w:szCs w:val="18"/>
              </w:rPr>
            </w:pPr>
            <w:r>
              <w:rPr>
                <w:rFonts w:ascii="Times New Roman" w:hAnsi="Times New Roman"/>
                <w:b/>
                <w:sz w:val="18"/>
              </w:rPr>
              <w:t>Исказано извршење</w:t>
            </w:r>
            <w:r>
              <w:rPr>
                <w:rFonts w:ascii="Times New Roman" w:hAns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left="115" w:right="104" w:firstLine="100"/>
              <w:jc w:val="left"/>
              <w:rPr>
                <w:rFonts w:ascii="Times New Roman" w:hAnsi="Times New Roman" w:cs="Times New Roman" w:eastAsia="Times New Roman" w:hint="default"/>
                <w:sz w:val="18"/>
                <w:szCs w:val="18"/>
              </w:rPr>
            </w:pPr>
            <w:r>
              <w:rPr>
                <w:rFonts w:ascii="Times New Roman" w:hAnsi="Times New Roman"/>
                <w:b/>
                <w:sz w:val="18"/>
              </w:rPr>
              <w:t>Налаз ревизије</w:t>
            </w:r>
            <w:r>
              <w:rPr>
                <w:rFonts w:ascii="Times New Roman" w:hAnsi="Times New Roman"/>
                <w:sz w:val="18"/>
              </w:rPr>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left="302" w:right="110"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6/4</w:t>
            </w:r>
            <w:r>
              <w:rPr>
                <w:rFonts w:ascii="Times New Roman" w:hAns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left="299" w:right="110" w:hanging="183"/>
              <w:jc w:val="left"/>
              <w:rPr>
                <w:rFonts w:ascii="Times New Roman" w:hAnsi="Times New Roman" w:cs="Times New Roman" w:eastAsia="Times New Roman" w:hint="default"/>
                <w:sz w:val="18"/>
                <w:szCs w:val="18"/>
              </w:rPr>
            </w:pPr>
            <w:r>
              <w:rPr>
                <w:rFonts w:ascii="Times New Roman" w:hAnsi="Times New Roman"/>
                <w:b/>
                <w:sz w:val="18"/>
              </w:rPr>
              <w:t>Индекс </w:t>
            </w:r>
            <w:r>
              <w:rPr>
                <w:rFonts w:ascii="Times New Roman" w:hAnsi="Times New Roman"/>
                <w:b/>
                <w:sz w:val="18"/>
              </w:rPr>
              <w:t>6/5</w:t>
            </w:r>
            <w:r>
              <w:rPr>
                <w:rFonts w:ascii="Times New Roman" w:hAnsi="Times New Roman"/>
                <w:sz w:val="18"/>
              </w:rPr>
            </w:r>
          </w:p>
        </w:tc>
      </w:tr>
      <w:tr>
        <w:trPr>
          <w:trHeight w:val="149"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0"/>
              <w:jc w:val="center"/>
              <w:rPr>
                <w:rFonts w:ascii="Times New Roman" w:hAnsi="Times New Roman" w:cs="Times New Roman" w:eastAsia="Times New Roman" w:hint="default"/>
                <w:sz w:val="12"/>
                <w:szCs w:val="12"/>
              </w:rPr>
            </w:pPr>
            <w:r>
              <w:rPr>
                <w:rFonts w:ascii="Times New Roman"/>
                <w:sz w:val="12"/>
              </w:rPr>
              <w:t>1</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1"/>
              <w:jc w:val="center"/>
              <w:rPr>
                <w:rFonts w:ascii="Times New Roman" w:hAnsi="Times New Roman" w:cs="Times New Roman" w:eastAsia="Times New Roman" w:hint="default"/>
                <w:sz w:val="12"/>
                <w:szCs w:val="12"/>
              </w:rPr>
            </w:pPr>
            <w:r>
              <w:rPr>
                <w:rFonts w:ascii="Times New Roman"/>
                <w:sz w:val="12"/>
              </w:rPr>
              <w:t>2</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0"/>
              <w:jc w:val="center"/>
              <w:rPr>
                <w:rFonts w:ascii="Times New Roman" w:hAnsi="Times New Roman" w:cs="Times New Roman" w:eastAsia="Times New Roman" w:hint="default"/>
                <w:sz w:val="12"/>
                <w:szCs w:val="12"/>
              </w:rPr>
            </w:pPr>
            <w:r>
              <w:rPr>
                <w:rFonts w:ascii="Times New Roman"/>
                <w:sz w:val="12"/>
              </w:rPr>
              <w:t>3</w:t>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2"/>
              <w:jc w:val="center"/>
              <w:rPr>
                <w:rFonts w:ascii="Times New Roman" w:hAnsi="Times New Roman" w:cs="Times New Roman" w:eastAsia="Times New Roman" w:hint="default"/>
                <w:sz w:val="12"/>
                <w:szCs w:val="12"/>
              </w:rPr>
            </w:pPr>
            <w:r>
              <w:rPr>
                <w:rFonts w:ascii="Times New Roman"/>
                <w:sz w:val="12"/>
              </w:rPr>
              <w:t>4</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left="487" w:right="0"/>
              <w:jc w:val="left"/>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right="0"/>
              <w:jc w:val="center"/>
              <w:rPr>
                <w:rFonts w:ascii="Times New Roman" w:hAnsi="Times New Roman" w:cs="Times New Roman" w:eastAsia="Times New Roman" w:hint="default"/>
                <w:sz w:val="12"/>
                <w:szCs w:val="12"/>
              </w:rPr>
            </w:pPr>
            <w:r>
              <w:rPr>
                <w:rFonts w:ascii="Times New Roman"/>
                <w:sz w:val="12"/>
              </w:rPr>
              <w:t>6</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left="388" w:right="0"/>
              <w:jc w:val="left"/>
              <w:rPr>
                <w:rFonts w:ascii="Times New Roman" w:hAnsi="Times New Roman" w:cs="Times New Roman" w:eastAsia="Times New Roman" w:hint="default"/>
                <w:sz w:val="12"/>
                <w:szCs w:val="12"/>
              </w:rPr>
            </w:pPr>
            <w:r>
              <w:rPr>
                <w:rFonts w:ascii="Times New Roman"/>
                <w:sz w:val="12"/>
              </w:rPr>
              <w:t>7</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136" w:lineRule="exact"/>
              <w:ind w:left="386" w:right="0"/>
              <w:jc w:val="left"/>
              <w:rPr>
                <w:rFonts w:ascii="Times New Roman" w:hAnsi="Times New Roman" w:cs="Times New Roman" w:eastAsia="Times New Roman" w:hint="default"/>
                <w:sz w:val="12"/>
                <w:szCs w:val="12"/>
              </w:rPr>
            </w:pPr>
            <w:r>
              <w:rPr>
                <w:rFonts w:ascii="Times New Roman"/>
                <w:sz w:val="12"/>
              </w:rPr>
              <w:t>8</w:t>
            </w:r>
          </w:p>
        </w:tc>
      </w:tr>
      <w:tr>
        <w:trPr>
          <w:trHeight w:val="216" w:hRule="exact"/>
        </w:trPr>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
              <w:jc w:val="center"/>
              <w:rPr>
                <w:rFonts w:ascii="Times New Roman" w:hAnsi="Times New Roman" w:cs="Times New Roman" w:eastAsia="Times New Roman" w:hint="default"/>
                <w:sz w:val="18"/>
                <w:szCs w:val="18"/>
              </w:rPr>
            </w:pPr>
            <w:r>
              <w:rPr>
                <w:rFonts w:ascii="Times New Roman"/>
                <w:sz w:val="18"/>
              </w:rPr>
              <w:t>1</w:t>
            </w:r>
          </w:p>
        </w:tc>
        <w:tc>
          <w:tcPr>
            <w:tcW w:w="24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8"/>
                <w:sz w:val="18"/>
              </w:rPr>
              <w:t> </w:t>
            </w:r>
            <w:r>
              <w:rPr>
                <w:rFonts w:ascii="Times New Roman" w:hAnsi="Times New Roman"/>
                <w:sz w:val="18"/>
              </w:rPr>
              <w:t>финансије</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2.000</w:t>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2.000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526" w:right="0"/>
              <w:jc w:val="left"/>
              <w:rPr>
                <w:rFonts w:ascii="Times New Roman" w:hAnsi="Times New Roman" w:cs="Times New Roman" w:eastAsia="Times New Roman" w:hint="default"/>
                <w:sz w:val="18"/>
                <w:szCs w:val="18"/>
              </w:rPr>
            </w:pPr>
            <w:r>
              <w:rPr>
                <w:rFonts w:ascii="Times New Roman"/>
                <w:sz w:val="18"/>
              </w:rPr>
              <w:t>1.700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50</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419" w:right="0"/>
              <w:jc w:val="left"/>
              <w:rPr>
                <w:rFonts w:ascii="Times New Roman" w:hAnsi="Times New Roman" w:cs="Times New Roman" w:eastAsia="Times New Roman" w:hint="default"/>
                <w:sz w:val="18"/>
                <w:szCs w:val="18"/>
              </w:rPr>
            </w:pPr>
            <w:r>
              <w:rPr>
                <w:rFonts w:ascii="Times New Roman"/>
                <w:sz w:val="18"/>
              </w:rPr>
              <w:t>2,50</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417" w:right="0"/>
              <w:jc w:val="left"/>
              <w:rPr>
                <w:rFonts w:ascii="Times New Roman" w:hAnsi="Times New Roman" w:cs="Times New Roman" w:eastAsia="Times New Roman" w:hint="default"/>
                <w:sz w:val="18"/>
                <w:szCs w:val="18"/>
              </w:rPr>
            </w:pPr>
            <w:r>
              <w:rPr>
                <w:rFonts w:ascii="Times New Roman"/>
                <w:sz w:val="18"/>
              </w:rPr>
              <w:t>2,94</w:t>
            </w:r>
          </w:p>
        </w:tc>
      </w:tr>
      <w:tr>
        <w:trPr>
          <w:trHeight w:val="218"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700" w:right="0"/>
              <w:jc w:val="left"/>
              <w:rPr>
                <w:rFonts w:ascii="Times New Roman" w:hAnsi="Times New Roman" w:cs="Times New Roman" w:eastAsia="Times New Roman" w:hint="default"/>
                <w:sz w:val="18"/>
                <w:szCs w:val="18"/>
              </w:rPr>
            </w:pPr>
            <w:r>
              <w:rPr>
                <w:rFonts w:ascii="Times New Roman" w:hAnsi="Times New Roman"/>
                <w:b/>
                <w:sz w:val="18"/>
              </w:rPr>
              <w:t>Укупно корисник</w:t>
            </w:r>
            <w:r>
              <w:rPr>
                <w:rFonts w:ascii="Times New Roman" w:hAnsi="Times New Roman"/>
                <w:b/>
                <w:spacing w:val="-1"/>
                <w:sz w:val="18"/>
              </w:rPr>
              <w:t> </w:t>
            </w:r>
            <w:r>
              <w:rPr>
                <w:rFonts w:ascii="Times New Roman" w:hAnsi="Times New Roman"/>
                <w:b/>
                <w:sz w:val="18"/>
              </w:rPr>
              <w:t>(1</w:t>
            </w:r>
            <w:r>
              <w:rPr>
                <w:rFonts w:ascii="Times New Roman" w:hAnsi="Times New Roman"/>
                <w:b/>
                <w:sz w:val="18"/>
              </w:rPr>
              <w:t>-1)</w:t>
            </w:r>
            <w:r>
              <w:rPr>
                <w:rFonts w:ascii="Times New Roman" w:hAnsi="Times New Roman"/>
                <w:sz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b/>
                <w:sz w:val="18"/>
              </w:rPr>
              <w:t>2.000</w:t>
            </w:r>
            <w:r>
              <w:rPr>
                <w:rFonts w:ascii="Times New Roman"/>
                <w:sz w:val="18"/>
              </w:rPr>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2"/>
              <w:jc w:val="right"/>
              <w:rPr>
                <w:rFonts w:ascii="Times New Roman" w:hAnsi="Times New Roman" w:cs="Times New Roman" w:eastAsia="Times New Roman" w:hint="default"/>
                <w:sz w:val="18"/>
                <w:szCs w:val="18"/>
              </w:rPr>
            </w:pPr>
            <w:r>
              <w:rPr>
                <w:rFonts w:ascii="Times New Roman"/>
                <w:b/>
                <w:sz w:val="18"/>
              </w:rPr>
              <w:t>2.000</w:t>
            </w:r>
            <w:r>
              <w:rPr>
                <w:rFonts w:ascii="Times New Roman"/>
                <w:sz w:val="18"/>
              </w:rPr>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526" w:right="0"/>
              <w:jc w:val="left"/>
              <w:rPr>
                <w:rFonts w:ascii="Times New Roman" w:hAnsi="Times New Roman" w:cs="Times New Roman" w:eastAsia="Times New Roman" w:hint="default"/>
                <w:sz w:val="18"/>
                <w:szCs w:val="18"/>
              </w:rPr>
            </w:pPr>
            <w:r>
              <w:rPr>
                <w:rFonts w:ascii="Times New Roman"/>
                <w:b/>
                <w:sz w:val="18"/>
              </w:rPr>
              <w:t>1.700</w:t>
            </w:r>
            <w:r>
              <w:rPr>
                <w:rFonts w:asci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98"/>
              <w:jc w:val="right"/>
              <w:rPr>
                <w:rFonts w:ascii="Times New Roman" w:hAnsi="Times New Roman" w:cs="Times New Roman" w:eastAsia="Times New Roman" w:hint="default"/>
                <w:sz w:val="18"/>
                <w:szCs w:val="18"/>
              </w:rPr>
            </w:pPr>
            <w:r>
              <w:rPr>
                <w:rFonts w:ascii="Times New Roman"/>
                <w:b/>
                <w:sz w:val="18"/>
              </w:rPr>
              <w:t>50</w:t>
            </w:r>
            <w:r>
              <w:rPr>
                <w:rFonts w:ascii="Times New Roman"/>
                <w:sz w:val="18"/>
              </w:rPr>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419" w:right="0"/>
              <w:jc w:val="left"/>
              <w:rPr>
                <w:rFonts w:ascii="Times New Roman" w:hAnsi="Times New Roman" w:cs="Times New Roman" w:eastAsia="Times New Roman" w:hint="default"/>
                <w:sz w:val="18"/>
                <w:szCs w:val="18"/>
              </w:rPr>
            </w:pPr>
            <w:r>
              <w:rPr>
                <w:rFonts w:ascii="Times New Roman"/>
                <w:b/>
                <w:sz w:val="18"/>
              </w:rPr>
              <w:t>2,50</w:t>
            </w:r>
            <w:r>
              <w:rPr>
                <w:rFonts w:asci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417" w:right="0"/>
              <w:jc w:val="left"/>
              <w:rPr>
                <w:rFonts w:ascii="Times New Roman" w:hAnsi="Times New Roman" w:cs="Times New Roman" w:eastAsia="Times New Roman" w:hint="default"/>
                <w:sz w:val="18"/>
                <w:szCs w:val="18"/>
              </w:rPr>
            </w:pPr>
            <w:r>
              <w:rPr>
                <w:rFonts w:ascii="Times New Roman"/>
                <w:b/>
                <w:sz w:val="18"/>
              </w:rPr>
              <w:t>2,94</w:t>
            </w:r>
            <w:r>
              <w:rPr>
                <w:rFonts w:ascii="Times New Roman"/>
                <w:sz w:val="18"/>
              </w:rPr>
            </w:r>
          </w:p>
        </w:tc>
      </w:tr>
      <w:tr>
        <w:trPr>
          <w:trHeight w:val="264" w:hRule="exact"/>
        </w:trPr>
        <w:tc>
          <w:tcPr>
            <w:tcW w:w="3277"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left="484" w:right="0"/>
              <w:jc w:val="left"/>
              <w:rPr>
                <w:rFonts w:ascii="Times New Roman" w:hAnsi="Times New Roman" w:cs="Times New Roman" w:eastAsia="Times New Roman" w:hint="default"/>
                <w:sz w:val="18"/>
                <w:szCs w:val="18"/>
              </w:rPr>
            </w:pPr>
            <w:r>
              <w:rPr>
                <w:rFonts w:ascii="Times New Roman" w:hAnsi="Times New Roman" w:cs="Times New Roman" w:eastAsia="Times New Roman" w:hint="default"/>
                <w:b/>
                <w:bCs/>
                <w:sz w:val="18"/>
                <w:szCs w:val="18"/>
              </w:rPr>
              <w:t>Укупно Град – група</w:t>
            </w:r>
            <w:r>
              <w:rPr>
                <w:rFonts w:ascii="Times New Roman" w:hAnsi="Times New Roman" w:cs="Times New Roman" w:eastAsia="Times New Roman" w:hint="default"/>
                <w:b/>
                <w:bCs/>
                <w:spacing w:val="-6"/>
                <w:sz w:val="18"/>
                <w:szCs w:val="18"/>
              </w:rPr>
              <w:t> </w:t>
            </w:r>
            <w:r>
              <w:rPr>
                <w:rFonts w:ascii="Times New Roman" w:hAnsi="Times New Roman" w:cs="Times New Roman" w:eastAsia="Times New Roman" w:hint="default"/>
                <w:b/>
                <w:bCs/>
                <w:sz w:val="18"/>
                <w:szCs w:val="18"/>
              </w:rPr>
              <w:t>621000</w:t>
            </w:r>
            <w:r>
              <w:rPr>
                <w:rFonts w:ascii="Times New Roman" w:hAnsi="Times New Roman" w:cs="Times New Roman" w:eastAsia="Times New Roman" w:hint="default"/>
                <w:sz w:val="18"/>
                <w:szCs w:val="18"/>
              </w:rPr>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0"/>
              <w:jc w:val="right"/>
              <w:rPr>
                <w:rFonts w:ascii="Times New Roman" w:hAnsi="Times New Roman" w:cs="Times New Roman" w:eastAsia="Times New Roman" w:hint="default"/>
                <w:sz w:val="18"/>
                <w:szCs w:val="18"/>
              </w:rPr>
            </w:pPr>
            <w:r>
              <w:rPr>
                <w:rFonts w:ascii="Times New Roman"/>
                <w:b/>
                <w:sz w:val="18"/>
              </w:rPr>
              <w:t>2.000</w:t>
            </w:r>
            <w:r>
              <w:rPr>
                <w:rFonts w:ascii="Times New Roman"/>
                <w:sz w:val="18"/>
              </w:rPr>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2"/>
              <w:jc w:val="right"/>
              <w:rPr>
                <w:rFonts w:ascii="Times New Roman" w:hAnsi="Times New Roman" w:cs="Times New Roman" w:eastAsia="Times New Roman" w:hint="default"/>
                <w:sz w:val="18"/>
                <w:szCs w:val="18"/>
              </w:rPr>
            </w:pPr>
            <w:r>
              <w:rPr>
                <w:rFonts w:ascii="Times New Roman"/>
                <w:b/>
                <w:sz w:val="18"/>
              </w:rPr>
              <w:t>2.000</w:t>
            </w:r>
            <w:r>
              <w:rPr>
                <w:rFonts w:ascii="Times New Roman"/>
                <w:sz w:val="18"/>
              </w:rPr>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left="526" w:right="0"/>
              <w:jc w:val="left"/>
              <w:rPr>
                <w:rFonts w:ascii="Times New Roman" w:hAnsi="Times New Roman" w:cs="Times New Roman" w:eastAsia="Times New Roman" w:hint="default"/>
                <w:sz w:val="18"/>
                <w:szCs w:val="18"/>
              </w:rPr>
            </w:pPr>
            <w:r>
              <w:rPr>
                <w:rFonts w:ascii="Times New Roman"/>
                <w:b/>
                <w:sz w:val="18"/>
              </w:rPr>
              <w:t>1.700</w:t>
            </w:r>
            <w:r>
              <w:rPr>
                <w:rFonts w:ascii="Times New Roman"/>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98"/>
              <w:jc w:val="right"/>
              <w:rPr>
                <w:rFonts w:ascii="Times New Roman" w:hAnsi="Times New Roman" w:cs="Times New Roman" w:eastAsia="Times New Roman" w:hint="default"/>
                <w:sz w:val="18"/>
                <w:szCs w:val="18"/>
              </w:rPr>
            </w:pPr>
            <w:r>
              <w:rPr>
                <w:rFonts w:ascii="Times New Roman"/>
                <w:b/>
                <w:sz w:val="18"/>
              </w:rPr>
              <w:t>50</w:t>
            </w:r>
            <w:r>
              <w:rPr>
                <w:rFonts w:ascii="Times New Roman"/>
                <w:sz w:val="18"/>
              </w:rPr>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left="419" w:right="0"/>
              <w:jc w:val="left"/>
              <w:rPr>
                <w:rFonts w:ascii="Times New Roman" w:hAnsi="Times New Roman" w:cs="Times New Roman" w:eastAsia="Times New Roman" w:hint="default"/>
                <w:sz w:val="18"/>
                <w:szCs w:val="18"/>
              </w:rPr>
            </w:pPr>
            <w:r>
              <w:rPr>
                <w:rFonts w:ascii="Times New Roman"/>
                <w:b/>
                <w:sz w:val="18"/>
              </w:rPr>
              <w:t>2,50</w:t>
            </w:r>
            <w:r>
              <w:rPr>
                <w:rFonts w:ascii="Times New Roman"/>
                <w:sz w:val="18"/>
              </w:rPr>
            </w:r>
          </w:p>
        </w:tc>
        <w:tc>
          <w:tcPr>
            <w:tcW w:w="8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left="417" w:right="0"/>
              <w:jc w:val="left"/>
              <w:rPr>
                <w:rFonts w:ascii="Times New Roman" w:hAnsi="Times New Roman" w:cs="Times New Roman" w:eastAsia="Times New Roman" w:hint="default"/>
                <w:sz w:val="18"/>
                <w:szCs w:val="18"/>
              </w:rPr>
            </w:pPr>
            <w:r>
              <w:rPr>
                <w:rFonts w:ascii="Times New Roman"/>
                <w:b/>
                <w:sz w:val="18"/>
              </w:rPr>
              <w:t>2,94</w:t>
            </w:r>
            <w:r>
              <w:rPr>
                <w:rFonts w:ascii="Times New Roman"/>
                <w:sz w:val="18"/>
              </w:rPr>
            </w:r>
          </w:p>
        </w:tc>
      </w:tr>
    </w:tbl>
    <w:p>
      <w:pPr>
        <w:spacing w:line="240" w:lineRule="auto" w:before="5"/>
        <w:rPr>
          <w:rFonts w:ascii="Times New Roman" w:hAnsi="Times New Roman" w:cs="Times New Roman" w:eastAsia="Times New Roman" w:hint="default"/>
          <w:sz w:val="5"/>
          <w:szCs w:val="5"/>
        </w:rPr>
      </w:pPr>
    </w:p>
    <w:p>
      <w:pPr>
        <w:spacing w:before="69"/>
        <w:ind w:left="160" w:right="214" w:firstLine="566"/>
        <w:jc w:val="both"/>
        <w:rPr>
          <w:rFonts w:ascii="Times New Roman" w:hAnsi="Times New Roman" w:cs="Times New Roman" w:eastAsia="Times New Roman" w:hint="default"/>
          <w:sz w:val="24"/>
          <w:szCs w:val="24"/>
        </w:rPr>
      </w:pPr>
      <w:r>
        <w:rPr>
          <w:rFonts w:ascii="Times New Roman" w:hAnsi="Times New Roman"/>
          <w:b/>
          <w:sz w:val="24"/>
        </w:rPr>
        <w:t>Управа за финансије, изворне приходе локалне самоуправе и јавне набавке </w:t>
      </w:r>
      <w:r>
        <w:rPr>
          <w:rFonts w:ascii="Times New Roman" w:hAnsi="Times New Roman"/>
          <w:sz w:val="24"/>
        </w:rPr>
        <w:t>- </w:t>
      </w:r>
      <w:r>
        <w:rPr>
          <w:rFonts w:ascii="Times New Roman" w:hAnsi="Times New Roman"/>
          <w:sz w:val="24"/>
        </w:rPr>
        <w:t>Исказано је извршење у укупном износу од 1.700 хиљада динара на терет буџета</w:t>
      </w:r>
      <w:r>
        <w:rPr>
          <w:rFonts w:ascii="Times New Roman" w:hAnsi="Times New Roman"/>
          <w:spacing w:val="-20"/>
          <w:sz w:val="24"/>
        </w:rPr>
        <w:t> </w:t>
      </w:r>
      <w:r>
        <w:rPr>
          <w:rFonts w:ascii="Times New Roman" w:hAnsi="Times New Roman"/>
          <w:sz w:val="24"/>
        </w:rPr>
        <w:t>града.</w:t>
      </w:r>
    </w:p>
    <w:p>
      <w:pPr>
        <w:pStyle w:val="Heading1"/>
        <w:spacing w:line="275" w:lineRule="exact"/>
        <w:ind w:right="160"/>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2"/>
        </w:rPr>
        <w:t> </w:t>
      </w:r>
      <w:r>
        <w:rPr/>
        <w:t>је</w:t>
      </w:r>
      <w:r>
        <w:rPr>
          <w:rFonts w:ascii="Times New Roman" w:hAnsi="Times New Roman"/>
        </w:rPr>
        <w:t>:</w:t>
      </w:r>
      <w:r>
        <w:rPr>
          <w:rFonts w:ascii="Times New Roman" w:hAnsi="Times New Roman"/>
          <w:b w:val="0"/>
        </w:rPr>
      </w:r>
    </w:p>
    <w:p>
      <w:pPr>
        <w:pStyle w:val="ListParagraph"/>
        <w:numPr>
          <w:ilvl w:val="0"/>
          <w:numId w:val="9"/>
        </w:numPr>
        <w:tabs>
          <w:tab w:pos="341" w:val="left" w:leader="none"/>
        </w:tabs>
        <w:spacing w:line="240" w:lineRule="auto" w:before="0" w:after="0"/>
        <w:ind w:left="160" w:right="21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Неправилно је евидентиран износ од 1.650 хиљада динара на групи 621000, уместо на групи 454000 – субвенције приватним предузећима, јер је град Ниш у 2014. години Слободној зони Југ доо Ниш, пренео средства у износу од 1.650 хиљада динара, а по основу Уговора о додели бесповратних средстава број 1348/2012</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опредељених за почетак рада а не као учешће у капиталу предузећа, што је супротно члану 9. Уредбе о буџетском рачуноводству и Правилнику о стандардном класификационом оквиру и контном плану за буџетски систем. У Билансу стања града Ниша више је исказана финансијска имовина и капитал у истом</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износу.</w:t>
      </w:r>
    </w:p>
    <w:p>
      <w:pPr>
        <w:pStyle w:val="ListParagraph"/>
        <w:numPr>
          <w:ilvl w:val="0"/>
          <w:numId w:val="9"/>
        </w:numPr>
        <w:tabs>
          <w:tab w:pos="341" w:val="left" w:leader="none"/>
        </w:tabs>
        <w:spacing w:line="240" w:lineRule="auto" w:before="2" w:after="0"/>
        <w:ind w:left="160" w:right="214" w:firstLine="0"/>
        <w:jc w:val="both"/>
        <w:rPr>
          <w:rFonts w:ascii="Times New Roman" w:hAnsi="Times New Roman" w:cs="Times New Roman" w:eastAsia="Times New Roman" w:hint="default"/>
          <w:sz w:val="24"/>
          <w:szCs w:val="24"/>
        </w:rPr>
      </w:pPr>
      <w:r>
        <w:rPr>
          <w:rFonts w:ascii="Times New Roman" w:hAnsi="Times New Roman"/>
          <w:sz w:val="24"/>
        </w:rPr>
        <w:t>Обавезе, финансијска имовина и капитал евидентирани су на крају текуће године, што је последица неуспостављених евиденција и/или нетачног и неажурног евидентирања пословних промена и догађаја који такође повећава ризик од нетачног исказивања пословних промена, што је супротно члану 9. Уредбе о буџетском рачуноводству и Правилнику о стандардном класификационом оквиру и контном плану за буџетски систем</w:t>
      </w:r>
      <w:r>
        <w:rPr>
          <w:rFonts w:ascii="Times New Roman" w:hAnsi="Times New Roman"/>
          <w:sz w:val="24"/>
        </w:rPr>
        <w:t>.</w:t>
      </w:r>
    </w:p>
    <w:p>
      <w:pPr>
        <w:pStyle w:val="Heading2"/>
        <w:spacing w:line="240" w:lineRule="auto"/>
        <w:ind w:right="212"/>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i/>
        </w:rPr>
        <w:t>.</w:t>
      </w:r>
      <w:r>
        <w:rPr>
          <w:rFonts w:ascii="Times New Roman" w:hAnsi="Times New Roman"/>
          <w:b w:val="0"/>
          <w:i w:val="0"/>
        </w:rPr>
      </w:r>
    </w:p>
    <w:p>
      <w:pPr>
        <w:spacing w:after="0" w:line="240" w:lineRule="auto"/>
        <w:jc w:val="both"/>
        <w:rPr>
          <w:rFonts w:ascii="Times New Roman" w:hAnsi="Times New Roman" w:cs="Times New Roman" w:eastAsia="Times New Roman" w:hint="default"/>
        </w:rPr>
        <w:sectPr>
          <w:pgSz w:w="12240" w:h="15840"/>
          <w:pgMar w:header="740" w:footer="1274" w:top="1280" w:bottom="1460" w:left="1400" w:right="1220"/>
        </w:sectPr>
      </w:pPr>
    </w:p>
    <w:p>
      <w:pPr>
        <w:spacing w:before="124"/>
        <w:ind w:left="540" w:right="364" w:firstLine="719"/>
        <w:jc w:val="left"/>
        <w:rPr>
          <w:rFonts w:ascii="Times New Roman" w:hAnsi="Times New Roman" w:cs="Times New Roman" w:eastAsia="Times New Roman" w:hint="default"/>
          <w:sz w:val="22"/>
          <w:szCs w:val="22"/>
        </w:rPr>
      </w:pPr>
      <w:r>
        <w:rPr>
          <w:rFonts w:ascii="Times New Roman" w:hAnsi="Times New Roman"/>
          <w:w w:val="100"/>
          <w:sz w:val="22"/>
        </w:rPr>
      </w:r>
      <w:r>
        <w:rPr>
          <w:rFonts w:ascii="Times New Roman" w:hAnsi="Times New Roman"/>
          <w:spacing w:val="-56"/>
          <w:w w:val="100"/>
          <w:sz w:val="22"/>
          <w:u w:val="thick" w:color="000000"/>
        </w:rPr>
        <w:t> </w:t>
      </w:r>
      <w:r>
        <w:rPr>
          <w:rFonts w:ascii="Times New Roman" w:hAnsi="Times New Roman"/>
          <w:b/>
          <w:sz w:val="22"/>
          <w:u w:val="thick" w:color="000000"/>
        </w:rPr>
        <w:t>Табела </w:t>
      </w:r>
      <w:r>
        <w:rPr>
          <w:rFonts w:ascii="Times New Roman" w:hAnsi="Times New Roman"/>
          <w:b/>
          <w:sz w:val="22"/>
        </w:rPr>
      </w:r>
      <w:r>
        <w:rPr>
          <w:rFonts w:ascii="Times New Roman" w:hAnsi="Times New Roman"/>
          <w:sz w:val="22"/>
        </w:rPr>
        <w:t>планираних и извршених расхода и издатака исказаних у финансијским извештајима Града и по налазу ревизије, као и утврђена њихова</w:t>
      </w:r>
      <w:r>
        <w:rPr>
          <w:rFonts w:ascii="Times New Roman" w:hAnsi="Times New Roman"/>
          <w:spacing w:val="-15"/>
          <w:sz w:val="22"/>
        </w:rPr>
        <w:t> </w:t>
      </w:r>
      <w:r>
        <w:rPr>
          <w:rFonts w:ascii="Times New Roman" w:hAnsi="Times New Roman"/>
          <w:sz w:val="22"/>
        </w:rPr>
        <w:t>разлика:</w:t>
      </w:r>
    </w:p>
    <w:p>
      <w:pPr>
        <w:spacing w:before="2" w:after="4"/>
        <w:ind w:left="0" w:right="513" w:firstLine="0"/>
        <w:jc w:val="right"/>
        <w:rPr>
          <w:rFonts w:ascii="Times New Roman" w:hAnsi="Times New Roman" w:cs="Times New Roman" w:eastAsia="Times New Roman" w:hint="default"/>
          <w:sz w:val="16"/>
          <w:szCs w:val="16"/>
        </w:rPr>
      </w:pPr>
      <w:r>
        <w:rPr>
          <w:rFonts w:ascii="Times New Roman" w:hAnsi="Times New Roman"/>
          <w:sz w:val="16"/>
        </w:rPr>
        <w:t>(у хиљадама</w:t>
      </w:r>
      <w:r>
        <w:rPr>
          <w:rFonts w:ascii="Times New Roman" w:hAnsi="Times New Roman"/>
          <w:spacing w:val="-5"/>
          <w:sz w:val="16"/>
        </w:rPr>
        <w:t> </w:t>
      </w:r>
      <w:r>
        <w:rPr>
          <w:rFonts w:ascii="Times New Roman" w:hAnsi="Times New Roman"/>
          <w:sz w:val="16"/>
        </w:rPr>
        <w:t>динара)</w:t>
      </w:r>
    </w:p>
    <w:tbl>
      <w:tblPr>
        <w:tblW w:w="0" w:type="auto"/>
        <w:jc w:val="left"/>
        <w:tblInd w:w="108" w:type="dxa"/>
        <w:tblLayout w:type="fixed"/>
        <w:tblCellMar>
          <w:top w:w="0" w:type="dxa"/>
          <w:left w:w="0" w:type="dxa"/>
          <w:bottom w:w="0" w:type="dxa"/>
          <w:right w:w="0" w:type="dxa"/>
        </w:tblCellMar>
        <w:tblLook w:val="01E0"/>
      </w:tblPr>
      <w:tblGrid>
        <w:gridCol w:w="854"/>
        <w:gridCol w:w="3534"/>
        <w:gridCol w:w="1219"/>
        <w:gridCol w:w="1285"/>
        <w:gridCol w:w="1260"/>
        <w:gridCol w:w="936"/>
        <w:gridCol w:w="970"/>
      </w:tblGrid>
      <w:tr>
        <w:trPr>
          <w:trHeight w:val="451"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left="122" w:right="117" w:firstLine="84"/>
              <w:jc w:val="left"/>
              <w:rPr>
                <w:rFonts w:ascii="Times New Roman" w:hAnsi="Times New Roman" w:cs="Times New Roman" w:eastAsia="Times New Roman" w:hint="default"/>
                <w:sz w:val="18"/>
                <w:szCs w:val="18"/>
              </w:rPr>
            </w:pPr>
            <w:r>
              <w:rPr>
                <w:rFonts w:ascii="Times New Roman" w:hAnsi="Times New Roman"/>
                <w:sz w:val="18"/>
              </w:rPr>
              <w:t>Екон. класиф.</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2"/>
              <w:ind w:left="1543" w:right="1547"/>
              <w:jc w:val="center"/>
              <w:rPr>
                <w:rFonts w:ascii="Times New Roman" w:hAnsi="Times New Roman" w:cs="Times New Roman" w:eastAsia="Times New Roman" w:hint="default"/>
                <w:sz w:val="18"/>
                <w:szCs w:val="18"/>
              </w:rPr>
            </w:pPr>
            <w:r>
              <w:rPr>
                <w:rFonts w:ascii="Times New Roman" w:hAnsi="Times New Roman"/>
                <w:sz w:val="18"/>
              </w:rPr>
              <w:t>Опис</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2"/>
              <w:ind w:left="254" w:right="0"/>
              <w:jc w:val="left"/>
              <w:rPr>
                <w:rFonts w:ascii="Times New Roman" w:hAnsi="Times New Roman" w:cs="Times New Roman" w:eastAsia="Times New Roman" w:hint="default"/>
                <w:sz w:val="18"/>
                <w:szCs w:val="18"/>
              </w:rPr>
            </w:pPr>
            <w:r>
              <w:rPr>
                <w:rFonts w:ascii="Times New Roman" w:hAnsi="Times New Roman"/>
                <w:sz w:val="18"/>
              </w:rPr>
              <w:t>Ребаланс</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left="153" w:right="147" w:firstLine="33"/>
              <w:jc w:val="left"/>
              <w:rPr>
                <w:rFonts w:ascii="Times New Roman" w:hAnsi="Times New Roman" w:cs="Times New Roman" w:eastAsia="Times New Roman" w:hint="default"/>
                <w:sz w:val="18"/>
                <w:szCs w:val="18"/>
              </w:rPr>
            </w:pPr>
            <w:r>
              <w:rPr>
                <w:rFonts w:ascii="Times New Roman" w:hAnsi="Times New Roman"/>
                <w:sz w:val="18"/>
              </w:rPr>
              <w:t>Ребаланс са релокацијом</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2"/>
              <w:ind w:left="223" w:right="0"/>
              <w:jc w:val="left"/>
              <w:rPr>
                <w:rFonts w:ascii="Times New Roman" w:hAnsi="Times New Roman" w:cs="Times New Roman" w:eastAsia="Times New Roman" w:hint="default"/>
                <w:sz w:val="18"/>
                <w:szCs w:val="18"/>
              </w:rPr>
            </w:pPr>
            <w:r>
              <w:rPr>
                <w:rFonts w:ascii="Times New Roman" w:hAnsi="Times New Roman"/>
                <w:sz w:val="18"/>
              </w:rPr>
              <w:t>Извршење</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left="139" w:right="128" w:firstLine="98"/>
              <w:jc w:val="left"/>
              <w:rPr>
                <w:rFonts w:ascii="Times New Roman" w:hAnsi="Times New Roman" w:cs="Times New Roman" w:eastAsia="Times New Roman" w:hint="default"/>
                <w:sz w:val="18"/>
                <w:szCs w:val="18"/>
              </w:rPr>
            </w:pPr>
            <w:r>
              <w:rPr>
                <w:rFonts w:ascii="Times New Roman" w:hAnsi="Times New Roman"/>
                <w:sz w:val="18"/>
              </w:rPr>
              <w:t>Налаз ревизије</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left="297" w:right="177" w:hanging="123"/>
              <w:jc w:val="left"/>
              <w:rPr>
                <w:rFonts w:ascii="Times New Roman" w:hAnsi="Times New Roman" w:cs="Times New Roman" w:eastAsia="Times New Roman" w:hint="default"/>
                <w:sz w:val="18"/>
                <w:szCs w:val="18"/>
              </w:rPr>
            </w:pPr>
            <w:r>
              <w:rPr>
                <w:rFonts w:ascii="Times New Roman" w:hAnsi="Times New Roman"/>
                <w:sz w:val="18"/>
              </w:rPr>
              <w:t>Разлика </w:t>
            </w:r>
            <w:r>
              <w:rPr>
                <w:rFonts w:ascii="Times New Roman" w:hAnsi="Times New Roman"/>
                <w:sz w:val="18"/>
              </w:rPr>
              <w:t>(6-5)</w:t>
            </w:r>
          </w:p>
        </w:tc>
      </w:tr>
      <w:tr>
        <w:trPr>
          <w:trHeight w:val="149"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1</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5"/>
              <w:jc w:val="center"/>
              <w:rPr>
                <w:rFonts w:ascii="Times New Roman" w:hAnsi="Times New Roman" w:cs="Times New Roman" w:eastAsia="Times New Roman" w:hint="default"/>
                <w:sz w:val="12"/>
                <w:szCs w:val="12"/>
              </w:rPr>
            </w:pPr>
            <w:r>
              <w:rPr>
                <w:rFonts w:ascii="Times New Roman"/>
                <w:sz w:val="12"/>
              </w:rPr>
              <w:t>2</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3</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4</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6</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7</w:t>
            </w:r>
          </w:p>
        </w:tc>
      </w:tr>
      <w:tr>
        <w:trPr>
          <w:trHeight w:val="216"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411000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0" w:right="0"/>
              <w:jc w:val="left"/>
              <w:rPr>
                <w:rFonts w:ascii="Times New Roman" w:hAnsi="Times New Roman" w:cs="Times New Roman" w:eastAsia="Times New Roman" w:hint="default"/>
                <w:sz w:val="18"/>
                <w:szCs w:val="18"/>
              </w:rPr>
            </w:pPr>
            <w:r>
              <w:rPr>
                <w:rFonts w:ascii="Times New Roman" w:hAnsi="Times New Roman"/>
                <w:sz w:val="18"/>
              </w:rPr>
              <w:t>Плате, додаци и накнаде</w:t>
            </w:r>
            <w:r>
              <w:rPr>
                <w:rFonts w:ascii="Times New Roman" w:hAnsi="Times New Roman"/>
                <w:spacing w:val="-12"/>
                <w:sz w:val="18"/>
              </w:rPr>
              <w:t> </w:t>
            </w:r>
            <w:r>
              <w:rPr>
                <w:rFonts w:ascii="Times New Roman" w:hAnsi="Times New Roman"/>
                <w:sz w:val="18"/>
              </w:rPr>
              <w:t>запослених</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1.845.512</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1.836.677</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1.763.820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1.765.661</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-1.841</w:t>
            </w:r>
          </w:p>
        </w:tc>
      </w:tr>
      <w:tr>
        <w:trPr>
          <w:trHeight w:val="257"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8"/>
                <w:szCs w:val="18"/>
              </w:rPr>
            </w:pPr>
            <w:r>
              <w:rPr>
                <w:rFonts w:ascii="Times New Roman"/>
                <w:spacing w:val="-1"/>
                <w:sz w:val="18"/>
              </w:rPr>
              <w:t>412000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left="100" w:right="0"/>
              <w:jc w:val="left"/>
              <w:rPr>
                <w:rFonts w:ascii="Times New Roman" w:hAnsi="Times New Roman" w:cs="Times New Roman" w:eastAsia="Times New Roman" w:hint="default"/>
                <w:sz w:val="18"/>
                <w:szCs w:val="18"/>
              </w:rPr>
            </w:pPr>
            <w:r>
              <w:rPr>
                <w:rFonts w:ascii="Times New Roman" w:hAnsi="Times New Roman"/>
                <w:sz w:val="18"/>
              </w:rPr>
              <w:t>Социјални доприноси на терет</w:t>
            </w:r>
            <w:r>
              <w:rPr>
                <w:rFonts w:ascii="Times New Roman" w:hAnsi="Times New Roman"/>
                <w:spacing w:val="-14"/>
                <w:sz w:val="18"/>
              </w:rPr>
              <w:t> </w:t>
            </w:r>
            <w:r>
              <w:rPr>
                <w:rFonts w:ascii="Times New Roman" w:hAnsi="Times New Roman"/>
                <w:sz w:val="18"/>
              </w:rPr>
              <w:t>послодавца</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8"/>
                <w:szCs w:val="18"/>
              </w:rPr>
            </w:pPr>
            <w:r>
              <w:rPr>
                <w:rFonts w:ascii="Times New Roman"/>
                <w:spacing w:val="-1"/>
                <w:sz w:val="18"/>
              </w:rPr>
              <w:t>330.987</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1"/>
              <w:jc w:val="right"/>
              <w:rPr>
                <w:rFonts w:ascii="Times New Roman" w:hAnsi="Times New Roman" w:cs="Times New Roman" w:eastAsia="Times New Roman" w:hint="default"/>
                <w:sz w:val="18"/>
                <w:szCs w:val="18"/>
              </w:rPr>
            </w:pPr>
            <w:r>
              <w:rPr>
                <w:rFonts w:ascii="Times New Roman"/>
                <w:spacing w:val="-1"/>
                <w:sz w:val="18"/>
              </w:rPr>
              <w:t>329.401</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8"/>
                <w:szCs w:val="18"/>
              </w:rPr>
            </w:pPr>
            <w:r>
              <w:rPr>
                <w:rFonts w:ascii="Times New Roman"/>
                <w:spacing w:val="-1"/>
                <w:sz w:val="18"/>
              </w:rPr>
              <w:t>316.863</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1"/>
              <w:jc w:val="right"/>
              <w:rPr>
                <w:rFonts w:ascii="Times New Roman" w:hAnsi="Times New Roman" w:cs="Times New Roman" w:eastAsia="Times New Roman" w:hint="default"/>
                <w:sz w:val="18"/>
                <w:szCs w:val="18"/>
              </w:rPr>
            </w:pPr>
            <w:r>
              <w:rPr>
                <w:rFonts w:ascii="Times New Roman"/>
                <w:spacing w:val="-1"/>
                <w:sz w:val="18"/>
              </w:rPr>
              <w:t>317.172</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8"/>
                <w:szCs w:val="18"/>
              </w:rPr>
            </w:pPr>
            <w:r>
              <w:rPr>
                <w:rFonts w:ascii="Times New Roman"/>
                <w:spacing w:val="-1"/>
                <w:sz w:val="18"/>
              </w:rPr>
              <w:t>-309</w:t>
            </w:r>
          </w:p>
        </w:tc>
      </w:tr>
      <w:tr>
        <w:trPr>
          <w:trHeight w:val="216"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413000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0" w:right="0"/>
              <w:jc w:val="left"/>
              <w:rPr>
                <w:rFonts w:ascii="Times New Roman" w:hAnsi="Times New Roman" w:cs="Times New Roman" w:eastAsia="Times New Roman" w:hint="default"/>
                <w:sz w:val="18"/>
                <w:szCs w:val="18"/>
              </w:rPr>
            </w:pPr>
            <w:r>
              <w:rPr>
                <w:rFonts w:ascii="Times New Roman" w:hAnsi="Times New Roman"/>
                <w:sz w:val="18"/>
              </w:rPr>
              <w:t>Накнаде у</w:t>
            </w:r>
            <w:r>
              <w:rPr>
                <w:rFonts w:ascii="Times New Roman" w:hAnsi="Times New Roman"/>
                <w:spacing w:val="-10"/>
                <w:sz w:val="18"/>
              </w:rPr>
              <w:t> </w:t>
            </w:r>
            <w:r>
              <w:rPr>
                <w:rFonts w:ascii="Times New Roman" w:hAnsi="Times New Roman"/>
                <w:sz w:val="18"/>
              </w:rPr>
              <w:t>натури</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133.510</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133.510</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98.845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98.845</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r>
      <w:tr>
        <w:trPr>
          <w:trHeight w:val="216"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414000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0" w:right="0"/>
              <w:jc w:val="left"/>
              <w:rPr>
                <w:rFonts w:ascii="Times New Roman" w:hAnsi="Times New Roman" w:cs="Times New Roman" w:eastAsia="Times New Roman" w:hint="default"/>
                <w:sz w:val="18"/>
                <w:szCs w:val="18"/>
              </w:rPr>
            </w:pPr>
            <w:r>
              <w:rPr>
                <w:rFonts w:ascii="Times New Roman" w:hAnsi="Times New Roman"/>
                <w:sz w:val="18"/>
              </w:rPr>
              <w:t>Социјална давања</w:t>
            </w:r>
            <w:r>
              <w:rPr>
                <w:rFonts w:ascii="Times New Roman" w:hAnsi="Times New Roman"/>
                <w:spacing w:val="-9"/>
                <w:sz w:val="18"/>
              </w:rPr>
              <w:t> </w:t>
            </w:r>
            <w:r>
              <w:rPr>
                <w:rFonts w:ascii="Times New Roman" w:hAnsi="Times New Roman"/>
                <w:sz w:val="18"/>
              </w:rPr>
              <w:t>запосленима</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53.629</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50.090</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38.889</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39.445</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-556</w:t>
            </w:r>
          </w:p>
        </w:tc>
      </w:tr>
      <w:tr>
        <w:trPr>
          <w:trHeight w:val="240"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102"/>
              <w:jc w:val="right"/>
              <w:rPr>
                <w:rFonts w:ascii="Times New Roman" w:hAnsi="Times New Roman" w:cs="Times New Roman" w:eastAsia="Times New Roman" w:hint="default"/>
                <w:sz w:val="18"/>
                <w:szCs w:val="18"/>
              </w:rPr>
            </w:pPr>
            <w:r>
              <w:rPr>
                <w:rFonts w:ascii="Times New Roman"/>
                <w:spacing w:val="-1"/>
                <w:sz w:val="18"/>
              </w:rPr>
              <w:t>415000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left="100" w:right="0"/>
              <w:jc w:val="left"/>
              <w:rPr>
                <w:rFonts w:ascii="Times New Roman" w:hAnsi="Times New Roman" w:cs="Times New Roman" w:eastAsia="Times New Roman" w:hint="default"/>
                <w:sz w:val="18"/>
                <w:szCs w:val="18"/>
              </w:rPr>
            </w:pPr>
            <w:r>
              <w:rPr>
                <w:rFonts w:ascii="Times New Roman" w:hAnsi="Times New Roman"/>
                <w:sz w:val="18"/>
              </w:rPr>
              <w:t>Накнаде трошкова за</w:t>
            </w:r>
            <w:r>
              <w:rPr>
                <w:rFonts w:ascii="Times New Roman" w:hAnsi="Times New Roman"/>
                <w:spacing w:val="-13"/>
                <w:sz w:val="18"/>
              </w:rPr>
              <w:t> </w:t>
            </w:r>
            <w:r>
              <w:rPr>
                <w:rFonts w:ascii="Times New Roman" w:hAnsi="Times New Roman"/>
                <w:sz w:val="18"/>
              </w:rPr>
              <w:t>запослене</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6.417</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z w:val="18"/>
              </w:rPr>
              <w:t>6.417</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6.011</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6.011</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0</w:t>
            </w:r>
          </w:p>
        </w:tc>
      </w:tr>
      <w:tr>
        <w:trPr>
          <w:trHeight w:val="422"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8"/>
              <w:ind w:right="102"/>
              <w:jc w:val="right"/>
              <w:rPr>
                <w:rFonts w:ascii="Times New Roman" w:hAnsi="Times New Roman" w:cs="Times New Roman" w:eastAsia="Times New Roman" w:hint="default"/>
                <w:sz w:val="18"/>
                <w:szCs w:val="18"/>
              </w:rPr>
            </w:pPr>
            <w:r>
              <w:rPr>
                <w:rFonts w:ascii="Times New Roman"/>
                <w:spacing w:val="-1"/>
                <w:sz w:val="18"/>
              </w:rPr>
              <w:t>416000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0" w:right="393"/>
              <w:jc w:val="left"/>
              <w:rPr>
                <w:rFonts w:ascii="Times New Roman" w:hAnsi="Times New Roman" w:cs="Times New Roman" w:eastAsia="Times New Roman" w:hint="default"/>
                <w:sz w:val="18"/>
                <w:szCs w:val="18"/>
              </w:rPr>
            </w:pPr>
            <w:r>
              <w:rPr>
                <w:rFonts w:ascii="Times New Roman" w:hAnsi="Times New Roman"/>
                <w:sz w:val="18"/>
              </w:rPr>
              <w:t>Награде запосленима и остали посебни расходи</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8"/>
              <w:ind w:right="100"/>
              <w:jc w:val="right"/>
              <w:rPr>
                <w:rFonts w:ascii="Times New Roman" w:hAnsi="Times New Roman" w:cs="Times New Roman" w:eastAsia="Times New Roman" w:hint="default"/>
                <w:sz w:val="18"/>
                <w:szCs w:val="18"/>
              </w:rPr>
            </w:pPr>
            <w:r>
              <w:rPr>
                <w:rFonts w:ascii="Times New Roman"/>
                <w:spacing w:val="-1"/>
                <w:sz w:val="18"/>
              </w:rPr>
              <w:t>22.217</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8"/>
              <w:ind w:right="101"/>
              <w:jc w:val="right"/>
              <w:rPr>
                <w:rFonts w:ascii="Times New Roman" w:hAnsi="Times New Roman" w:cs="Times New Roman" w:eastAsia="Times New Roman" w:hint="default"/>
                <w:sz w:val="18"/>
                <w:szCs w:val="18"/>
              </w:rPr>
            </w:pPr>
            <w:r>
              <w:rPr>
                <w:rFonts w:ascii="Times New Roman"/>
                <w:spacing w:val="-1"/>
                <w:sz w:val="18"/>
              </w:rPr>
              <w:t>22.245</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8"/>
              <w:ind w:right="100"/>
              <w:jc w:val="right"/>
              <w:rPr>
                <w:rFonts w:ascii="Times New Roman" w:hAnsi="Times New Roman" w:cs="Times New Roman" w:eastAsia="Times New Roman" w:hint="default"/>
                <w:sz w:val="18"/>
                <w:szCs w:val="18"/>
              </w:rPr>
            </w:pPr>
            <w:r>
              <w:rPr>
                <w:rFonts w:ascii="Times New Roman"/>
                <w:spacing w:val="-1"/>
                <w:sz w:val="18"/>
              </w:rPr>
              <w:t>17.706</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8"/>
              <w:ind w:right="100"/>
              <w:jc w:val="right"/>
              <w:rPr>
                <w:rFonts w:ascii="Times New Roman" w:hAnsi="Times New Roman" w:cs="Times New Roman" w:eastAsia="Times New Roman" w:hint="default"/>
                <w:sz w:val="18"/>
                <w:szCs w:val="18"/>
              </w:rPr>
            </w:pPr>
            <w:r>
              <w:rPr>
                <w:rFonts w:ascii="Times New Roman"/>
                <w:spacing w:val="-1"/>
                <w:sz w:val="18"/>
              </w:rPr>
              <w:t>23.340</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8"/>
              <w:ind w:right="100"/>
              <w:jc w:val="right"/>
              <w:rPr>
                <w:rFonts w:ascii="Times New Roman" w:hAnsi="Times New Roman" w:cs="Times New Roman" w:eastAsia="Times New Roman" w:hint="default"/>
                <w:sz w:val="18"/>
                <w:szCs w:val="18"/>
              </w:rPr>
            </w:pPr>
            <w:r>
              <w:rPr>
                <w:rFonts w:ascii="Times New Roman"/>
                <w:sz w:val="18"/>
              </w:rPr>
              <w:t>-5.634</w:t>
            </w:r>
          </w:p>
        </w:tc>
      </w:tr>
      <w:tr>
        <w:trPr>
          <w:trHeight w:val="233"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102"/>
              <w:jc w:val="right"/>
              <w:rPr>
                <w:rFonts w:ascii="Times New Roman" w:hAnsi="Times New Roman" w:cs="Times New Roman" w:eastAsia="Times New Roman" w:hint="default"/>
                <w:sz w:val="18"/>
                <w:szCs w:val="18"/>
              </w:rPr>
            </w:pPr>
            <w:r>
              <w:rPr>
                <w:rFonts w:ascii="Times New Roman"/>
                <w:spacing w:val="-1"/>
                <w:sz w:val="18"/>
              </w:rPr>
              <w:t>417000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left="100" w:right="0"/>
              <w:jc w:val="left"/>
              <w:rPr>
                <w:rFonts w:ascii="Times New Roman" w:hAnsi="Times New Roman" w:cs="Times New Roman" w:eastAsia="Times New Roman" w:hint="default"/>
                <w:sz w:val="18"/>
                <w:szCs w:val="18"/>
              </w:rPr>
            </w:pPr>
            <w:r>
              <w:rPr>
                <w:rFonts w:ascii="Times New Roman" w:hAnsi="Times New Roman"/>
                <w:sz w:val="18"/>
              </w:rPr>
              <w:t>Посланички</w:t>
            </w:r>
            <w:r>
              <w:rPr>
                <w:rFonts w:ascii="Times New Roman" w:hAnsi="Times New Roman"/>
                <w:spacing w:val="-8"/>
                <w:sz w:val="18"/>
              </w:rPr>
              <w:t> </w:t>
            </w:r>
            <w:r>
              <w:rPr>
                <w:rFonts w:ascii="Times New Roman" w:hAnsi="Times New Roman"/>
                <w:sz w:val="18"/>
              </w:rPr>
              <w:t>додатак</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100"/>
              <w:jc w:val="right"/>
              <w:rPr>
                <w:rFonts w:ascii="Times New Roman" w:hAnsi="Times New Roman" w:cs="Times New Roman" w:eastAsia="Times New Roman" w:hint="default"/>
                <w:sz w:val="18"/>
                <w:szCs w:val="18"/>
              </w:rPr>
            </w:pPr>
            <w:r>
              <w:rPr>
                <w:rFonts w:ascii="Times New Roman"/>
                <w:spacing w:val="-1"/>
                <w:sz w:val="18"/>
              </w:rPr>
              <w:t>27.369</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101"/>
              <w:jc w:val="right"/>
              <w:rPr>
                <w:rFonts w:ascii="Times New Roman" w:hAnsi="Times New Roman" w:cs="Times New Roman" w:eastAsia="Times New Roman" w:hint="default"/>
                <w:sz w:val="18"/>
                <w:szCs w:val="18"/>
              </w:rPr>
            </w:pPr>
            <w:r>
              <w:rPr>
                <w:rFonts w:ascii="Times New Roman"/>
                <w:spacing w:val="-1"/>
                <w:sz w:val="18"/>
              </w:rPr>
              <w:t>27.869</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100"/>
              <w:jc w:val="right"/>
              <w:rPr>
                <w:rFonts w:ascii="Times New Roman" w:hAnsi="Times New Roman" w:cs="Times New Roman" w:eastAsia="Times New Roman" w:hint="default"/>
                <w:sz w:val="18"/>
                <w:szCs w:val="18"/>
              </w:rPr>
            </w:pPr>
            <w:r>
              <w:rPr>
                <w:rFonts w:ascii="Times New Roman"/>
                <w:spacing w:val="-1"/>
                <w:sz w:val="18"/>
              </w:rPr>
              <w:t>26.526</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100"/>
              <w:jc w:val="right"/>
              <w:rPr>
                <w:rFonts w:ascii="Times New Roman" w:hAnsi="Times New Roman" w:cs="Times New Roman" w:eastAsia="Times New Roman" w:hint="default"/>
                <w:sz w:val="18"/>
                <w:szCs w:val="18"/>
              </w:rPr>
            </w:pPr>
            <w:r>
              <w:rPr>
                <w:rFonts w:ascii="Times New Roman"/>
                <w:spacing w:val="-1"/>
                <w:sz w:val="18"/>
              </w:rPr>
              <w:t>26.526</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102"/>
              <w:jc w:val="right"/>
              <w:rPr>
                <w:rFonts w:ascii="Times New Roman" w:hAnsi="Times New Roman" w:cs="Times New Roman" w:eastAsia="Times New Roman" w:hint="default"/>
                <w:sz w:val="18"/>
                <w:szCs w:val="18"/>
              </w:rPr>
            </w:pPr>
            <w:r>
              <w:rPr>
                <w:rFonts w:ascii="Times New Roman"/>
                <w:sz w:val="18"/>
              </w:rPr>
              <w:t>0</w:t>
            </w:r>
          </w:p>
        </w:tc>
      </w:tr>
      <w:tr>
        <w:trPr>
          <w:trHeight w:val="247"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102"/>
              <w:jc w:val="right"/>
              <w:rPr>
                <w:rFonts w:ascii="Times New Roman" w:hAnsi="Times New Roman" w:cs="Times New Roman" w:eastAsia="Times New Roman" w:hint="default"/>
                <w:sz w:val="18"/>
                <w:szCs w:val="18"/>
              </w:rPr>
            </w:pPr>
            <w:r>
              <w:rPr>
                <w:rFonts w:ascii="Times New Roman"/>
                <w:spacing w:val="-1"/>
                <w:sz w:val="18"/>
              </w:rPr>
              <w:t>421000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left="100" w:right="0"/>
              <w:jc w:val="left"/>
              <w:rPr>
                <w:rFonts w:ascii="Times New Roman" w:hAnsi="Times New Roman" w:cs="Times New Roman" w:eastAsia="Times New Roman" w:hint="default"/>
                <w:sz w:val="18"/>
                <w:szCs w:val="18"/>
              </w:rPr>
            </w:pPr>
            <w:r>
              <w:rPr>
                <w:rFonts w:ascii="Times New Roman" w:hAnsi="Times New Roman"/>
                <w:sz w:val="18"/>
              </w:rPr>
              <w:t>Стални</w:t>
            </w:r>
            <w:r>
              <w:rPr>
                <w:rFonts w:ascii="Times New Roman" w:hAnsi="Times New Roman"/>
                <w:spacing w:val="-4"/>
                <w:sz w:val="18"/>
              </w:rPr>
              <w:t> </w:t>
            </w:r>
            <w:r>
              <w:rPr>
                <w:rFonts w:ascii="Times New Roman" w:hAnsi="Times New Roman"/>
                <w:sz w:val="18"/>
              </w:rPr>
              <w:t>трошкови</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100"/>
              <w:jc w:val="right"/>
              <w:rPr>
                <w:rFonts w:ascii="Times New Roman" w:hAnsi="Times New Roman" w:cs="Times New Roman" w:eastAsia="Times New Roman" w:hint="default"/>
                <w:sz w:val="18"/>
                <w:szCs w:val="18"/>
              </w:rPr>
            </w:pPr>
            <w:r>
              <w:rPr>
                <w:rFonts w:ascii="Times New Roman"/>
                <w:spacing w:val="-1"/>
                <w:sz w:val="18"/>
              </w:rPr>
              <w:t>421.483</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101"/>
              <w:jc w:val="right"/>
              <w:rPr>
                <w:rFonts w:ascii="Times New Roman" w:hAnsi="Times New Roman" w:cs="Times New Roman" w:eastAsia="Times New Roman" w:hint="default"/>
                <w:sz w:val="18"/>
                <w:szCs w:val="18"/>
              </w:rPr>
            </w:pPr>
            <w:r>
              <w:rPr>
                <w:rFonts w:ascii="Times New Roman"/>
                <w:spacing w:val="-1"/>
                <w:sz w:val="18"/>
              </w:rPr>
              <w:t>420.933</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100"/>
              <w:jc w:val="right"/>
              <w:rPr>
                <w:rFonts w:ascii="Times New Roman" w:hAnsi="Times New Roman" w:cs="Times New Roman" w:eastAsia="Times New Roman" w:hint="default"/>
                <w:sz w:val="18"/>
                <w:szCs w:val="18"/>
              </w:rPr>
            </w:pPr>
            <w:r>
              <w:rPr>
                <w:rFonts w:ascii="Times New Roman"/>
                <w:spacing w:val="-1"/>
                <w:sz w:val="18"/>
              </w:rPr>
              <w:t>237.386</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101"/>
              <w:jc w:val="right"/>
              <w:rPr>
                <w:rFonts w:ascii="Times New Roman" w:hAnsi="Times New Roman" w:cs="Times New Roman" w:eastAsia="Times New Roman" w:hint="default"/>
                <w:sz w:val="18"/>
                <w:szCs w:val="18"/>
              </w:rPr>
            </w:pPr>
            <w:r>
              <w:rPr>
                <w:rFonts w:ascii="Times New Roman"/>
                <w:spacing w:val="-1"/>
                <w:sz w:val="18"/>
              </w:rPr>
              <w:t>573.549</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100"/>
              <w:jc w:val="right"/>
              <w:rPr>
                <w:rFonts w:ascii="Times New Roman" w:hAnsi="Times New Roman" w:cs="Times New Roman" w:eastAsia="Times New Roman" w:hint="default"/>
                <w:sz w:val="18"/>
                <w:szCs w:val="18"/>
              </w:rPr>
            </w:pPr>
            <w:r>
              <w:rPr>
                <w:rFonts w:ascii="Times New Roman"/>
                <w:spacing w:val="-1"/>
                <w:sz w:val="18"/>
              </w:rPr>
              <w:t>-336.163</w:t>
            </w:r>
          </w:p>
        </w:tc>
      </w:tr>
      <w:tr>
        <w:trPr>
          <w:trHeight w:val="218"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422000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0" w:right="0"/>
              <w:jc w:val="left"/>
              <w:rPr>
                <w:rFonts w:ascii="Times New Roman" w:hAnsi="Times New Roman" w:cs="Times New Roman" w:eastAsia="Times New Roman" w:hint="default"/>
                <w:sz w:val="18"/>
                <w:szCs w:val="18"/>
              </w:rPr>
            </w:pPr>
            <w:r>
              <w:rPr>
                <w:rFonts w:ascii="Times New Roman" w:hAnsi="Times New Roman"/>
                <w:sz w:val="18"/>
              </w:rPr>
              <w:t>Трошкови</w:t>
            </w:r>
            <w:r>
              <w:rPr>
                <w:rFonts w:ascii="Times New Roman" w:hAnsi="Times New Roman"/>
                <w:spacing w:val="-6"/>
                <w:sz w:val="18"/>
              </w:rPr>
              <w:t> </w:t>
            </w:r>
            <w:r>
              <w:rPr>
                <w:rFonts w:ascii="Times New Roman" w:hAnsi="Times New Roman"/>
                <w:sz w:val="18"/>
              </w:rPr>
              <w:t>путовања</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17.709</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18.059</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11.277</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10.898</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379</w:t>
            </w:r>
          </w:p>
        </w:tc>
      </w:tr>
      <w:tr>
        <w:trPr>
          <w:trHeight w:val="216"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423000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0" w:right="0"/>
              <w:jc w:val="left"/>
              <w:rPr>
                <w:rFonts w:ascii="Times New Roman" w:hAnsi="Times New Roman" w:cs="Times New Roman" w:eastAsia="Times New Roman" w:hint="default"/>
                <w:sz w:val="18"/>
                <w:szCs w:val="18"/>
              </w:rPr>
            </w:pPr>
            <w:r>
              <w:rPr>
                <w:rFonts w:ascii="Times New Roman" w:hAnsi="Times New Roman"/>
                <w:sz w:val="18"/>
              </w:rPr>
              <w:t>Услуге по</w:t>
            </w:r>
            <w:r>
              <w:rPr>
                <w:rFonts w:ascii="Times New Roman" w:hAnsi="Times New Roman"/>
                <w:spacing w:val="-5"/>
                <w:sz w:val="18"/>
              </w:rPr>
              <w:t> </w:t>
            </w:r>
            <w:r>
              <w:rPr>
                <w:rFonts w:ascii="Times New Roman" w:hAnsi="Times New Roman"/>
                <w:sz w:val="18"/>
              </w:rPr>
              <w:t>уговору</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696.755</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702.190</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480.108</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472.496</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7.612</w:t>
            </w:r>
          </w:p>
        </w:tc>
      </w:tr>
      <w:tr>
        <w:trPr>
          <w:trHeight w:val="259"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8"/>
                <w:szCs w:val="18"/>
              </w:rPr>
            </w:pPr>
            <w:r>
              <w:rPr>
                <w:rFonts w:ascii="Times New Roman"/>
                <w:spacing w:val="-1"/>
                <w:sz w:val="18"/>
              </w:rPr>
              <w:t>424000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0" w:right="0"/>
              <w:jc w:val="left"/>
              <w:rPr>
                <w:rFonts w:ascii="Times New Roman" w:hAnsi="Times New Roman" w:cs="Times New Roman" w:eastAsia="Times New Roman" w:hint="default"/>
                <w:sz w:val="18"/>
                <w:szCs w:val="18"/>
              </w:rPr>
            </w:pPr>
            <w:r>
              <w:rPr>
                <w:rFonts w:ascii="Times New Roman" w:hAnsi="Times New Roman"/>
                <w:sz w:val="18"/>
              </w:rPr>
              <w:t>Специјализоване</w:t>
            </w:r>
            <w:r>
              <w:rPr>
                <w:rFonts w:ascii="Times New Roman" w:hAnsi="Times New Roman"/>
                <w:spacing w:val="-9"/>
                <w:sz w:val="18"/>
              </w:rPr>
              <w:t> </w:t>
            </w:r>
            <w:r>
              <w:rPr>
                <w:rFonts w:ascii="Times New Roman" w:hAnsi="Times New Roman"/>
                <w:sz w:val="18"/>
              </w:rPr>
              <w:t>услуге</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8"/>
                <w:szCs w:val="18"/>
              </w:rPr>
            </w:pPr>
            <w:r>
              <w:rPr>
                <w:rFonts w:ascii="Times New Roman"/>
                <w:spacing w:val="-1"/>
                <w:sz w:val="18"/>
              </w:rPr>
              <w:t>1.176.502</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8"/>
                <w:szCs w:val="18"/>
              </w:rPr>
            </w:pPr>
            <w:r>
              <w:rPr>
                <w:rFonts w:ascii="Times New Roman"/>
                <w:spacing w:val="-1"/>
                <w:sz w:val="18"/>
              </w:rPr>
              <w:t>1.175.362</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8"/>
                <w:szCs w:val="18"/>
              </w:rPr>
            </w:pPr>
            <w:r>
              <w:rPr>
                <w:rFonts w:ascii="Times New Roman"/>
                <w:spacing w:val="-1"/>
                <w:sz w:val="18"/>
              </w:rPr>
              <w:t>663.657</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8"/>
                <w:szCs w:val="18"/>
              </w:rPr>
            </w:pPr>
            <w:r>
              <w:rPr>
                <w:rFonts w:ascii="Times New Roman"/>
                <w:spacing w:val="-1"/>
                <w:sz w:val="18"/>
              </w:rPr>
              <w:t>371.615</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8"/>
                <w:szCs w:val="18"/>
              </w:rPr>
            </w:pPr>
            <w:r>
              <w:rPr>
                <w:rFonts w:ascii="Times New Roman"/>
                <w:spacing w:val="-1"/>
                <w:sz w:val="18"/>
              </w:rPr>
              <w:t>292.042</w:t>
            </w:r>
          </w:p>
        </w:tc>
      </w:tr>
      <w:tr>
        <w:trPr>
          <w:trHeight w:val="216"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425000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0" w:right="0"/>
              <w:jc w:val="left"/>
              <w:rPr>
                <w:rFonts w:ascii="Times New Roman" w:hAnsi="Times New Roman" w:cs="Times New Roman" w:eastAsia="Times New Roman" w:hint="default"/>
                <w:sz w:val="18"/>
                <w:szCs w:val="18"/>
              </w:rPr>
            </w:pPr>
            <w:r>
              <w:rPr>
                <w:rFonts w:ascii="Times New Roman" w:hAnsi="Times New Roman"/>
                <w:sz w:val="18"/>
              </w:rPr>
              <w:t>Текуће поправке и</w:t>
            </w:r>
            <w:r>
              <w:rPr>
                <w:rFonts w:ascii="Times New Roman" w:hAnsi="Times New Roman"/>
                <w:spacing w:val="-11"/>
                <w:sz w:val="18"/>
              </w:rPr>
              <w:t> </w:t>
            </w:r>
            <w:r>
              <w:rPr>
                <w:rFonts w:ascii="Times New Roman" w:hAnsi="Times New Roman"/>
                <w:sz w:val="18"/>
              </w:rPr>
              <w:t>одржавање</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787.073</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790.372</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459.457</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339.276</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120.181</w:t>
            </w:r>
          </w:p>
        </w:tc>
      </w:tr>
      <w:tr>
        <w:trPr>
          <w:trHeight w:val="218"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426000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0" w:right="0"/>
              <w:jc w:val="left"/>
              <w:rPr>
                <w:rFonts w:ascii="Times New Roman" w:hAnsi="Times New Roman" w:cs="Times New Roman" w:eastAsia="Times New Roman" w:hint="default"/>
                <w:sz w:val="18"/>
                <w:szCs w:val="18"/>
              </w:rPr>
            </w:pPr>
            <w:r>
              <w:rPr>
                <w:rFonts w:ascii="Times New Roman" w:hAnsi="Times New Roman"/>
                <w:sz w:val="18"/>
              </w:rPr>
              <w:t>Материјал</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245.800</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247.935</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188.863</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193.104</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-4.241</w:t>
            </w:r>
          </w:p>
        </w:tc>
      </w:tr>
      <w:tr>
        <w:trPr>
          <w:trHeight w:val="254"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8"/>
                <w:szCs w:val="18"/>
              </w:rPr>
            </w:pPr>
            <w:r>
              <w:rPr>
                <w:rFonts w:ascii="Times New Roman"/>
                <w:spacing w:val="-1"/>
                <w:sz w:val="18"/>
              </w:rPr>
              <w:t>431000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left="100" w:right="0"/>
              <w:jc w:val="left"/>
              <w:rPr>
                <w:rFonts w:ascii="Times New Roman" w:hAnsi="Times New Roman" w:cs="Times New Roman" w:eastAsia="Times New Roman" w:hint="default"/>
                <w:sz w:val="18"/>
                <w:szCs w:val="18"/>
              </w:rPr>
            </w:pPr>
            <w:r>
              <w:rPr>
                <w:rFonts w:ascii="Times New Roman" w:hAnsi="Times New Roman"/>
                <w:sz w:val="18"/>
              </w:rPr>
              <w:t>Амортизација некретнине и</w:t>
            </w:r>
            <w:r>
              <w:rPr>
                <w:rFonts w:ascii="Times New Roman" w:hAnsi="Times New Roman"/>
                <w:spacing w:val="-8"/>
                <w:sz w:val="18"/>
              </w:rPr>
              <w:t> </w:t>
            </w:r>
            <w:r>
              <w:rPr>
                <w:rFonts w:ascii="Times New Roman" w:hAnsi="Times New Roman"/>
                <w:sz w:val="18"/>
              </w:rPr>
              <w:t>опреме</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8"/>
                <w:szCs w:val="18"/>
              </w:rPr>
            </w:pPr>
            <w:r>
              <w:rPr>
                <w:rFonts w:ascii="Times New Roman"/>
                <w:sz w:val="18"/>
              </w:rPr>
              <w:t>2.140</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1"/>
              <w:jc w:val="right"/>
              <w:rPr>
                <w:rFonts w:ascii="Times New Roman" w:hAnsi="Times New Roman" w:cs="Times New Roman" w:eastAsia="Times New Roman" w:hint="default"/>
                <w:sz w:val="18"/>
                <w:szCs w:val="18"/>
              </w:rPr>
            </w:pPr>
            <w:r>
              <w:rPr>
                <w:rFonts w:ascii="Times New Roman"/>
                <w:sz w:val="18"/>
              </w:rPr>
              <w:t>2.140</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98"/>
              <w:jc w:val="right"/>
              <w:rPr>
                <w:rFonts w:ascii="Times New Roman" w:hAnsi="Times New Roman" w:cs="Times New Roman" w:eastAsia="Times New Roman" w:hint="default"/>
                <w:sz w:val="18"/>
                <w:szCs w:val="18"/>
              </w:rPr>
            </w:pPr>
            <w:r>
              <w:rPr>
                <w:rFonts w:ascii="Times New Roman"/>
                <w:sz w:val="18"/>
              </w:rPr>
              <w:t>360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99"/>
              <w:jc w:val="right"/>
              <w:rPr>
                <w:rFonts w:ascii="Times New Roman" w:hAnsi="Times New Roman" w:cs="Times New Roman" w:eastAsia="Times New Roman" w:hint="default"/>
                <w:sz w:val="18"/>
                <w:szCs w:val="18"/>
              </w:rPr>
            </w:pPr>
            <w:r>
              <w:rPr>
                <w:rFonts w:ascii="Times New Roman"/>
                <w:sz w:val="18"/>
              </w:rPr>
              <w:t>360</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8"/>
                <w:szCs w:val="18"/>
              </w:rPr>
            </w:pPr>
            <w:r>
              <w:rPr>
                <w:rFonts w:ascii="Times New Roman"/>
                <w:sz w:val="18"/>
              </w:rPr>
              <w:t>0</w:t>
            </w:r>
          </w:p>
        </w:tc>
      </w:tr>
      <w:tr>
        <w:trPr>
          <w:trHeight w:val="218"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pacing w:val="-1"/>
                <w:sz w:val="18"/>
              </w:rPr>
              <w:t>435000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0" w:right="0"/>
              <w:jc w:val="left"/>
              <w:rPr>
                <w:rFonts w:ascii="Times New Roman" w:hAnsi="Times New Roman" w:cs="Times New Roman" w:eastAsia="Times New Roman" w:hint="default"/>
                <w:sz w:val="18"/>
                <w:szCs w:val="18"/>
              </w:rPr>
            </w:pPr>
            <w:r>
              <w:rPr>
                <w:rFonts w:ascii="Times New Roman" w:hAnsi="Times New Roman"/>
                <w:sz w:val="18"/>
              </w:rPr>
              <w:t>Амортизација нематеријалне</w:t>
            </w:r>
            <w:r>
              <w:rPr>
                <w:rFonts w:ascii="Times New Roman" w:hAnsi="Times New Roman"/>
                <w:spacing w:val="-11"/>
                <w:sz w:val="18"/>
              </w:rPr>
              <w:t> </w:t>
            </w:r>
            <w:r>
              <w:rPr>
                <w:rFonts w:ascii="Times New Roman" w:hAnsi="Times New Roman"/>
                <w:sz w:val="18"/>
              </w:rPr>
              <w:t>имовине</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1</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1</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0</w:t>
            </w:r>
          </w:p>
        </w:tc>
      </w:tr>
      <w:tr>
        <w:trPr>
          <w:trHeight w:val="216"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441000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0" w:right="0"/>
              <w:jc w:val="left"/>
              <w:rPr>
                <w:rFonts w:ascii="Times New Roman" w:hAnsi="Times New Roman" w:cs="Times New Roman" w:eastAsia="Times New Roman" w:hint="default"/>
                <w:sz w:val="18"/>
                <w:szCs w:val="18"/>
              </w:rPr>
            </w:pPr>
            <w:r>
              <w:rPr>
                <w:rFonts w:ascii="Times New Roman" w:hAnsi="Times New Roman"/>
                <w:sz w:val="18"/>
              </w:rPr>
              <w:t>Отплата домаћих</w:t>
            </w:r>
            <w:r>
              <w:rPr>
                <w:rFonts w:ascii="Times New Roman" w:hAnsi="Times New Roman"/>
                <w:spacing w:val="-7"/>
                <w:sz w:val="18"/>
              </w:rPr>
              <w:t> </w:t>
            </w:r>
            <w:r>
              <w:rPr>
                <w:rFonts w:ascii="Times New Roman" w:hAnsi="Times New Roman"/>
                <w:sz w:val="18"/>
              </w:rPr>
              <w:t>камата</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170.627</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170.627</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139.022</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128.222</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10.800</w:t>
            </w:r>
          </w:p>
        </w:tc>
      </w:tr>
      <w:tr>
        <w:trPr>
          <w:trHeight w:val="238"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102"/>
              <w:jc w:val="right"/>
              <w:rPr>
                <w:rFonts w:ascii="Times New Roman" w:hAnsi="Times New Roman" w:cs="Times New Roman" w:eastAsia="Times New Roman" w:hint="default"/>
                <w:sz w:val="18"/>
                <w:szCs w:val="18"/>
              </w:rPr>
            </w:pPr>
            <w:r>
              <w:rPr>
                <w:rFonts w:ascii="Times New Roman"/>
                <w:spacing w:val="-1"/>
                <w:sz w:val="18"/>
              </w:rPr>
              <w:t>442000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left="100" w:right="0"/>
              <w:jc w:val="left"/>
              <w:rPr>
                <w:rFonts w:ascii="Times New Roman" w:hAnsi="Times New Roman" w:cs="Times New Roman" w:eastAsia="Times New Roman" w:hint="default"/>
                <w:sz w:val="18"/>
                <w:szCs w:val="18"/>
              </w:rPr>
            </w:pPr>
            <w:r>
              <w:rPr>
                <w:rFonts w:ascii="Times New Roman" w:hAnsi="Times New Roman"/>
                <w:sz w:val="18"/>
              </w:rPr>
              <w:t>Отплата страних</w:t>
            </w:r>
            <w:r>
              <w:rPr>
                <w:rFonts w:ascii="Times New Roman" w:hAnsi="Times New Roman"/>
                <w:spacing w:val="-5"/>
                <w:sz w:val="18"/>
              </w:rPr>
              <w:t> </w:t>
            </w:r>
            <w:r>
              <w:rPr>
                <w:rFonts w:ascii="Times New Roman" w:hAnsi="Times New Roman"/>
                <w:sz w:val="18"/>
              </w:rPr>
              <w:t>камата</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100"/>
              <w:jc w:val="right"/>
              <w:rPr>
                <w:rFonts w:ascii="Times New Roman" w:hAnsi="Times New Roman" w:cs="Times New Roman" w:eastAsia="Times New Roman" w:hint="default"/>
                <w:sz w:val="18"/>
                <w:szCs w:val="18"/>
              </w:rPr>
            </w:pPr>
            <w:r>
              <w:rPr>
                <w:rFonts w:ascii="Times New Roman"/>
                <w:sz w:val="18"/>
              </w:rPr>
              <w:t>1.813</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101"/>
              <w:jc w:val="right"/>
              <w:rPr>
                <w:rFonts w:ascii="Times New Roman" w:hAnsi="Times New Roman" w:cs="Times New Roman" w:eastAsia="Times New Roman" w:hint="default"/>
                <w:sz w:val="18"/>
                <w:szCs w:val="18"/>
              </w:rPr>
            </w:pPr>
            <w:r>
              <w:rPr>
                <w:rFonts w:ascii="Times New Roman"/>
                <w:sz w:val="18"/>
              </w:rPr>
              <w:t>1.813</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98"/>
              <w:jc w:val="right"/>
              <w:rPr>
                <w:rFonts w:ascii="Times New Roman" w:hAnsi="Times New Roman" w:cs="Times New Roman" w:eastAsia="Times New Roman" w:hint="default"/>
                <w:sz w:val="18"/>
                <w:szCs w:val="18"/>
              </w:rPr>
            </w:pPr>
            <w:r>
              <w:rPr>
                <w:rFonts w:ascii="Times New Roman"/>
                <w:sz w:val="18"/>
              </w:rPr>
              <w:t>813</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99"/>
              <w:jc w:val="right"/>
              <w:rPr>
                <w:rFonts w:ascii="Times New Roman" w:hAnsi="Times New Roman" w:cs="Times New Roman" w:eastAsia="Times New Roman" w:hint="default"/>
                <w:sz w:val="18"/>
                <w:szCs w:val="18"/>
              </w:rPr>
            </w:pPr>
            <w:r>
              <w:rPr>
                <w:rFonts w:ascii="Times New Roman"/>
                <w:sz w:val="18"/>
              </w:rPr>
              <w:t>813</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102"/>
              <w:jc w:val="right"/>
              <w:rPr>
                <w:rFonts w:ascii="Times New Roman" w:hAnsi="Times New Roman" w:cs="Times New Roman" w:eastAsia="Times New Roman" w:hint="default"/>
                <w:sz w:val="18"/>
                <w:szCs w:val="18"/>
              </w:rPr>
            </w:pPr>
            <w:r>
              <w:rPr>
                <w:rFonts w:ascii="Times New Roman"/>
                <w:sz w:val="18"/>
              </w:rPr>
              <w:t>0</w:t>
            </w:r>
          </w:p>
        </w:tc>
      </w:tr>
      <w:tr>
        <w:trPr>
          <w:trHeight w:val="218"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pacing w:val="-1"/>
                <w:sz w:val="18"/>
              </w:rPr>
              <w:t>444000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0" w:right="0"/>
              <w:jc w:val="left"/>
              <w:rPr>
                <w:rFonts w:ascii="Times New Roman" w:hAnsi="Times New Roman" w:cs="Times New Roman" w:eastAsia="Times New Roman" w:hint="default"/>
                <w:sz w:val="18"/>
                <w:szCs w:val="18"/>
              </w:rPr>
            </w:pPr>
            <w:r>
              <w:rPr>
                <w:rFonts w:ascii="Times New Roman" w:hAnsi="Times New Roman"/>
                <w:sz w:val="18"/>
              </w:rPr>
              <w:t>Пратећи трошкови</w:t>
            </w:r>
            <w:r>
              <w:rPr>
                <w:rFonts w:ascii="Times New Roman" w:hAnsi="Times New Roman"/>
                <w:spacing w:val="-8"/>
                <w:sz w:val="18"/>
              </w:rPr>
              <w:t> </w:t>
            </w:r>
            <w:r>
              <w:rPr>
                <w:rFonts w:ascii="Times New Roman" w:hAnsi="Times New Roman"/>
                <w:sz w:val="18"/>
              </w:rPr>
              <w:t>задуживања</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9.816</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z w:val="18"/>
              </w:rPr>
              <w:t>9.816</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10.794</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12.012</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-1.218</w:t>
            </w:r>
          </w:p>
        </w:tc>
      </w:tr>
      <w:tr>
        <w:trPr>
          <w:trHeight w:val="423"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8"/>
              <w:ind w:right="102"/>
              <w:jc w:val="right"/>
              <w:rPr>
                <w:rFonts w:ascii="Times New Roman" w:hAnsi="Times New Roman" w:cs="Times New Roman" w:eastAsia="Times New Roman" w:hint="default"/>
                <w:sz w:val="18"/>
                <w:szCs w:val="18"/>
              </w:rPr>
            </w:pPr>
            <w:r>
              <w:rPr>
                <w:rFonts w:ascii="Times New Roman"/>
                <w:spacing w:val="-1"/>
                <w:sz w:val="18"/>
              </w:rPr>
              <w:t>451000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0" w:right="651"/>
              <w:jc w:val="left"/>
              <w:rPr>
                <w:rFonts w:ascii="Times New Roman" w:hAnsi="Times New Roman" w:cs="Times New Roman" w:eastAsia="Times New Roman" w:hint="default"/>
                <w:sz w:val="18"/>
                <w:szCs w:val="18"/>
              </w:rPr>
            </w:pPr>
            <w:r>
              <w:rPr>
                <w:rFonts w:ascii="Times New Roman" w:hAnsi="Times New Roman"/>
                <w:sz w:val="18"/>
              </w:rPr>
              <w:t>Субвенције јавним нефинансијским предузећима и</w:t>
            </w:r>
            <w:r>
              <w:rPr>
                <w:rFonts w:ascii="Times New Roman" w:hAnsi="Times New Roman"/>
                <w:spacing w:val="-11"/>
                <w:sz w:val="18"/>
              </w:rPr>
              <w:t> </w:t>
            </w:r>
            <w:r>
              <w:rPr>
                <w:rFonts w:ascii="Times New Roman" w:hAnsi="Times New Roman"/>
                <w:sz w:val="18"/>
              </w:rPr>
              <w:t>организацијама</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8"/>
              <w:ind w:right="100"/>
              <w:jc w:val="right"/>
              <w:rPr>
                <w:rFonts w:ascii="Times New Roman" w:hAnsi="Times New Roman" w:cs="Times New Roman" w:eastAsia="Times New Roman" w:hint="default"/>
                <w:sz w:val="18"/>
                <w:szCs w:val="18"/>
              </w:rPr>
            </w:pPr>
            <w:r>
              <w:rPr>
                <w:rFonts w:ascii="Times New Roman"/>
                <w:spacing w:val="-1"/>
                <w:sz w:val="18"/>
              </w:rPr>
              <w:t>345.538</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8"/>
              <w:ind w:right="101"/>
              <w:jc w:val="right"/>
              <w:rPr>
                <w:rFonts w:ascii="Times New Roman" w:hAnsi="Times New Roman" w:cs="Times New Roman" w:eastAsia="Times New Roman" w:hint="default"/>
                <w:sz w:val="18"/>
                <w:szCs w:val="18"/>
              </w:rPr>
            </w:pPr>
            <w:r>
              <w:rPr>
                <w:rFonts w:ascii="Times New Roman"/>
                <w:spacing w:val="-1"/>
                <w:sz w:val="18"/>
              </w:rPr>
              <w:t>355.353</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8"/>
              <w:ind w:right="100"/>
              <w:jc w:val="right"/>
              <w:rPr>
                <w:rFonts w:ascii="Times New Roman" w:hAnsi="Times New Roman" w:cs="Times New Roman" w:eastAsia="Times New Roman" w:hint="default"/>
                <w:sz w:val="18"/>
                <w:szCs w:val="18"/>
              </w:rPr>
            </w:pPr>
            <w:r>
              <w:rPr>
                <w:rFonts w:ascii="Times New Roman"/>
                <w:spacing w:val="-1"/>
                <w:sz w:val="18"/>
              </w:rPr>
              <w:t>328.311</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8"/>
              <w:ind w:right="101"/>
              <w:jc w:val="right"/>
              <w:rPr>
                <w:rFonts w:ascii="Times New Roman" w:hAnsi="Times New Roman" w:cs="Times New Roman" w:eastAsia="Times New Roman" w:hint="default"/>
                <w:sz w:val="18"/>
                <w:szCs w:val="18"/>
              </w:rPr>
            </w:pPr>
            <w:r>
              <w:rPr>
                <w:rFonts w:ascii="Times New Roman"/>
                <w:spacing w:val="-1"/>
                <w:sz w:val="18"/>
              </w:rPr>
              <w:t>326.951</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8"/>
              <w:ind w:right="100"/>
              <w:jc w:val="right"/>
              <w:rPr>
                <w:rFonts w:ascii="Times New Roman" w:hAnsi="Times New Roman" w:cs="Times New Roman" w:eastAsia="Times New Roman" w:hint="default"/>
                <w:sz w:val="18"/>
                <w:szCs w:val="18"/>
              </w:rPr>
            </w:pPr>
            <w:r>
              <w:rPr>
                <w:rFonts w:ascii="Times New Roman"/>
                <w:sz w:val="18"/>
              </w:rPr>
              <w:t>1.360</w:t>
            </w:r>
          </w:p>
        </w:tc>
      </w:tr>
      <w:tr>
        <w:trPr>
          <w:trHeight w:val="218"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pacing w:val="-1"/>
                <w:sz w:val="18"/>
              </w:rPr>
              <w:t>454000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0" w:right="0"/>
              <w:jc w:val="left"/>
              <w:rPr>
                <w:rFonts w:ascii="Times New Roman" w:hAnsi="Times New Roman" w:cs="Times New Roman" w:eastAsia="Times New Roman" w:hint="default"/>
                <w:sz w:val="18"/>
                <w:szCs w:val="18"/>
              </w:rPr>
            </w:pPr>
            <w:r>
              <w:rPr>
                <w:rFonts w:ascii="Times New Roman" w:hAnsi="Times New Roman"/>
                <w:sz w:val="18"/>
              </w:rPr>
              <w:t>Субвенције приватним</w:t>
            </w:r>
            <w:r>
              <w:rPr>
                <w:rFonts w:ascii="Times New Roman" w:hAnsi="Times New Roman"/>
                <w:spacing w:val="-11"/>
                <w:sz w:val="18"/>
              </w:rPr>
              <w:t> </w:t>
            </w:r>
            <w:r>
              <w:rPr>
                <w:rFonts w:ascii="Times New Roman" w:hAnsi="Times New Roman"/>
                <w:sz w:val="18"/>
              </w:rPr>
              <w:t>предузећима</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28.873</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-28.873</w:t>
            </w:r>
          </w:p>
        </w:tc>
      </w:tr>
      <w:tr>
        <w:trPr>
          <w:trHeight w:val="240"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102"/>
              <w:jc w:val="right"/>
              <w:rPr>
                <w:rFonts w:ascii="Times New Roman" w:hAnsi="Times New Roman" w:cs="Times New Roman" w:eastAsia="Times New Roman" w:hint="default"/>
                <w:sz w:val="18"/>
                <w:szCs w:val="18"/>
              </w:rPr>
            </w:pPr>
            <w:r>
              <w:rPr>
                <w:rFonts w:ascii="Times New Roman"/>
                <w:spacing w:val="-1"/>
                <w:sz w:val="18"/>
              </w:rPr>
              <w:t>462000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left="100" w:right="0"/>
              <w:jc w:val="left"/>
              <w:rPr>
                <w:rFonts w:ascii="Times New Roman" w:hAnsi="Times New Roman" w:cs="Times New Roman" w:eastAsia="Times New Roman" w:hint="default"/>
                <w:sz w:val="18"/>
                <w:szCs w:val="18"/>
              </w:rPr>
            </w:pPr>
            <w:r>
              <w:rPr>
                <w:rFonts w:ascii="Times New Roman" w:hAnsi="Times New Roman"/>
                <w:sz w:val="18"/>
              </w:rPr>
              <w:t>Дотације међународним</w:t>
            </w:r>
            <w:r>
              <w:rPr>
                <w:rFonts w:ascii="Times New Roman" w:hAnsi="Times New Roman"/>
                <w:spacing w:val="-11"/>
                <w:sz w:val="18"/>
              </w:rPr>
              <w:t> </w:t>
            </w:r>
            <w:r>
              <w:rPr>
                <w:rFonts w:ascii="Times New Roman" w:hAnsi="Times New Roman"/>
                <w:sz w:val="18"/>
              </w:rPr>
              <w:t>организацијама</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100"/>
              <w:jc w:val="right"/>
              <w:rPr>
                <w:rFonts w:ascii="Times New Roman" w:hAnsi="Times New Roman" w:cs="Times New Roman" w:eastAsia="Times New Roman" w:hint="default"/>
                <w:sz w:val="18"/>
                <w:szCs w:val="18"/>
              </w:rPr>
            </w:pPr>
            <w:r>
              <w:rPr>
                <w:rFonts w:ascii="Times New Roman"/>
                <w:sz w:val="18"/>
              </w:rPr>
              <w:t>1.870</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101"/>
              <w:jc w:val="right"/>
              <w:rPr>
                <w:rFonts w:ascii="Times New Roman" w:hAnsi="Times New Roman" w:cs="Times New Roman" w:eastAsia="Times New Roman" w:hint="default"/>
                <w:sz w:val="18"/>
                <w:szCs w:val="18"/>
              </w:rPr>
            </w:pPr>
            <w:r>
              <w:rPr>
                <w:rFonts w:ascii="Times New Roman"/>
                <w:sz w:val="18"/>
              </w:rPr>
              <w:t>1.870</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102"/>
              <w:jc w:val="right"/>
              <w:rPr>
                <w:rFonts w:ascii="Times New Roman" w:hAnsi="Times New Roman" w:cs="Times New Roman" w:eastAsia="Times New Roman" w:hint="default"/>
                <w:sz w:val="18"/>
                <w:szCs w:val="18"/>
              </w:rPr>
            </w:pPr>
            <w:r>
              <w:rPr>
                <w:rFonts w:ascii="Times New Roman"/>
                <w:sz w:val="18"/>
              </w:rPr>
              <w:t>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102"/>
              <w:jc w:val="right"/>
              <w:rPr>
                <w:rFonts w:ascii="Times New Roman" w:hAnsi="Times New Roman" w:cs="Times New Roman" w:eastAsia="Times New Roman" w:hint="default"/>
                <w:sz w:val="18"/>
                <w:szCs w:val="18"/>
              </w:rPr>
            </w:pPr>
            <w:r>
              <w:rPr>
                <w:rFonts w:ascii="Times New Roman"/>
                <w:sz w:val="18"/>
              </w:rPr>
              <w:t>0</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102"/>
              <w:jc w:val="right"/>
              <w:rPr>
                <w:rFonts w:ascii="Times New Roman" w:hAnsi="Times New Roman" w:cs="Times New Roman" w:eastAsia="Times New Roman" w:hint="default"/>
                <w:sz w:val="18"/>
                <w:szCs w:val="18"/>
              </w:rPr>
            </w:pPr>
            <w:r>
              <w:rPr>
                <w:rFonts w:ascii="Times New Roman"/>
                <w:sz w:val="18"/>
              </w:rPr>
              <w:t>0</w:t>
            </w:r>
          </w:p>
        </w:tc>
      </w:tr>
      <w:tr>
        <w:trPr>
          <w:trHeight w:val="271"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right="102"/>
              <w:jc w:val="right"/>
              <w:rPr>
                <w:rFonts w:ascii="Times New Roman" w:hAnsi="Times New Roman" w:cs="Times New Roman" w:eastAsia="Times New Roman" w:hint="default"/>
                <w:sz w:val="18"/>
                <w:szCs w:val="18"/>
              </w:rPr>
            </w:pPr>
            <w:r>
              <w:rPr>
                <w:rFonts w:ascii="Times New Roman"/>
                <w:spacing w:val="-1"/>
                <w:sz w:val="18"/>
              </w:rPr>
              <w:t>463000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left="100" w:right="0"/>
              <w:jc w:val="left"/>
              <w:rPr>
                <w:rFonts w:ascii="Times New Roman" w:hAnsi="Times New Roman" w:cs="Times New Roman" w:eastAsia="Times New Roman" w:hint="default"/>
                <w:sz w:val="18"/>
                <w:szCs w:val="18"/>
              </w:rPr>
            </w:pPr>
            <w:r>
              <w:rPr>
                <w:rFonts w:ascii="Times New Roman" w:hAnsi="Times New Roman"/>
                <w:sz w:val="18"/>
              </w:rPr>
              <w:t>Трансфери осталим нивоима</w:t>
            </w:r>
            <w:r>
              <w:rPr>
                <w:rFonts w:ascii="Times New Roman" w:hAnsi="Times New Roman"/>
                <w:spacing w:val="-10"/>
                <w:sz w:val="18"/>
              </w:rPr>
              <w:t> </w:t>
            </w:r>
            <w:r>
              <w:rPr>
                <w:rFonts w:ascii="Times New Roman" w:hAnsi="Times New Roman"/>
                <w:sz w:val="18"/>
              </w:rPr>
              <w:t>власти</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right="100"/>
              <w:jc w:val="right"/>
              <w:rPr>
                <w:rFonts w:ascii="Times New Roman" w:hAnsi="Times New Roman" w:cs="Times New Roman" w:eastAsia="Times New Roman" w:hint="default"/>
                <w:sz w:val="18"/>
                <w:szCs w:val="18"/>
              </w:rPr>
            </w:pPr>
            <w:r>
              <w:rPr>
                <w:rFonts w:ascii="Times New Roman"/>
                <w:spacing w:val="-1"/>
                <w:sz w:val="18"/>
              </w:rPr>
              <w:t>1.262.587</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right="101"/>
              <w:jc w:val="right"/>
              <w:rPr>
                <w:rFonts w:ascii="Times New Roman" w:hAnsi="Times New Roman" w:cs="Times New Roman" w:eastAsia="Times New Roman" w:hint="default"/>
                <w:sz w:val="18"/>
                <w:szCs w:val="18"/>
              </w:rPr>
            </w:pPr>
            <w:r>
              <w:rPr>
                <w:rFonts w:ascii="Times New Roman"/>
                <w:spacing w:val="-1"/>
                <w:sz w:val="18"/>
              </w:rPr>
              <w:t>1.263.052</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right="100"/>
              <w:jc w:val="right"/>
              <w:rPr>
                <w:rFonts w:ascii="Times New Roman" w:hAnsi="Times New Roman" w:cs="Times New Roman" w:eastAsia="Times New Roman" w:hint="default"/>
                <w:sz w:val="18"/>
                <w:szCs w:val="18"/>
              </w:rPr>
            </w:pPr>
            <w:r>
              <w:rPr>
                <w:rFonts w:ascii="Times New Roman"/>
                <w:spacing w:val="-1"/>
                <w:sz w:val="18"/>
              </w:rPr>
              <w:t>721.353</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right="101"/>
              <w:jc w:val="right"/>
              <w:rPr>
                <w:rFonts w:ascii="Times New Roman" w:hAnsi="Times New Roman" w:cs="Times New Roman" w:eastAsia="Times New Roman" w:hint="default"/>
                <w:sz w:val="18"/>
                <w:szCs w:val="18"/>
              </w:rPr>
            </w:pPr>
            <w:r>
              <w:rPr>
                <w:rFonts w:ascii="Times New Roman"/>
                <w:spacing w:val="-1"/>
                <w:sz w:val="18"/>
              </w:rPr>
              <w:t>799.155</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right="100"/>
              <w:jc w:val="right"/>
              <w:rPr>
                <w:rFonts w:ascii="Times New Roman" w:hAnsi="Times New Roman" w:cs="Times New Roman" w:eastAsia="Times New Roman" w:hint="default"/>
                <w:sz w:val="18"/>
                <w:szCs w:val="18"/>
              </w:rPr>
            </w:pPr>
            <w:r>
              <w:rPr>
                <w:rFonts w:ascii="Times New Roman"/>
                <w:spacing w:val="-1"/>
                <w:sz w:val="18"/>
              </w:rPr>
              <w:t>-77.802</w:t>
            </w:r>
          </w:p>
        </w:tc>
      </w:tr>
      <w:tr>
        <w:trPr>
          <w:trHeight w:val="422"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8"/>
              <w:ind w:right="102"/>
              <w:jc w:val="right"/>
              <w:rPr>
                <w:rFonts w:ascii="Times New Roman" w:hAnsi="Times New Roman" w:cs="Times New Roman" w:eastAsia="Times New Roman" w:hint="default"/>
                <w:sz w:val="18"/>
                <w:szCs w:val="18"/>
              </w:rPr>
            </w:pPr>
            <w:r>
              <w:rPr>
                <w:rFonts w:ascii="Times New Roman"/>
                <w:spacing w:val="-1"/>
                <w:sz w:val="18"/>
              </w:rPr>
              <w:t>464000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0" w:right="678"/>
              <w:jc w:val="left"/>
              <w:rPr>
                <w:rFonts w:ascii="Times New Roman" w:hAnsi="Times New Roman" w:cs="Times New Roman" w:eastAsia="Times New Roman" w:hint="default"/>
                <w:sz w:val="18"/>
                <w:szCs w:val="18"/>
              </w:rPr>
            </w:pPr>
            <w:r>
              <w:rPr>
                <w:rFonts w:ascii="Times New Roman" w:hAnsi="Times New Roman"/>
                <w:sz w:val="18"/>
              </w:rPr>
              <w:t>Дотације организацијама обавезног социјалног</w:t>
            </w:r>
            <w:r>
              <w:rPr>
                <w:rFonts w:ascii="Times New Roman" w:hAnsi="Times New Roman"/>
                <w:spacing w:val="-7"/>
                <w:sz w:val="18"/>
              </w:rPr>
              <w:t> </w:t>
            </w:r>
            <w:r>
              <w:rPr>
                <w:rFonts w:ascii="Times New Roman" w:hAnsi="Times New Roman"/>
                <w:sz w:val="18"/>
              </w:rPr>
              <w:t>осигурања</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8"/>
              <w:ind w:right="102"/>
              <w:jc w:val="right"/>
              <w:rPr>
                <w:rFonts w:ascii="Times New Roman" w:hAnsi="Times New Roman" w:cs="Times New Roman" w:eastAsia="Times New Roman" w:hint="default"/>
                <w:sz w:val="18"/>
                <w:szCs w:val="18"/>
              </w:rPr>
            </w:pPr>
            <w:r>
              <w:rPr>
                <w:rFonts w:ascii="Times New Roman"/>
                <w:sz w:val="18"/>
              </w:rPr>
              <w:t>0</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8"/>
              <w:ind w:right="102"/>
              <w:jc w:val="right"/>
              <w:rPr>
                <w:rFonts w:ascii="Times New Roman" w:hAnsi="Times New Roman" w:cs="Times New Roman" w:eastAsia="Times New Roman" w:hint="default"/>
                <w:sz w:val="18"/>
                <w:szCs w:val="18"/>
              </w:rPr>
            </w:pPr>
            <w:r>
              <w:rPr>
                <w:rFonts w:ascii="Times New Roman"/>
                <w:sz w:val="18"/>
              </w:rPr>
              <w:t>0</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8"/>
              <w:ind w:right="102"/>
              <w:jc w:val="right"/>
              <w:rPr>
                <w:rFonts w:ascii="Times New Roman" w:hAnsi="Times New Roman" w:cs="Times New Roman" w:eastAsia="Times New Roman" w:hint="default"/>
                <w:sz w:val="18"/>
                <w:szCs w:val="18"/>
              </w:rPr>
            </w:pPr>
            <w:r>
              <w:rPr>
                <w:rFonts w:ascii="Times New Roman"/>
                <w:sz w:val="18"/>
              </w:rPr>
              <w:t>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8"/>
              <w:ind w:right="100"/>
              <w:jc w:val="right"/>
              <w:rPr>
                <w:rFonts w:ascii="Times New Roman" w:hAnsi="Times New Roman" w:cs="Times New Roman" w:eastAsia="Times New Roman" w:hint="default"/>
                <w:sz w:val="18"/>
                <w:szCs w:val="18"/>
              </w:rPr>
            </w:pPr>
            <w:r>
              <w:rPr>
                <w:rFonts w:ascii="Times New Roman"/>
                <w:spacing w:val="-1"/>
                <w:sz w:val="18"/>
              </w:rPr>
              <w:t>68.757</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8"/>
              <w:ind w:right="100"/>
              <w:jc w:val="right"/>
              <w:rPr>
                <w:rFonts w:ascii="Times New Roman" w:hAnsi="Times New Roman" w:cs="Times New Roman" w:eastAsia="Times New Roman" w:hint="default"/>
                <w:sz w:val="18"/>
                <w:szCs w:val="18"/>
              </w:rPr>
            </w:pPr>
            <w:r>
              <w:rPr>
                <w:rFonts w:ascii="Times New Roman"/>
                <w:spacing w:val="-1"/>
                <w:sz w:val="18"/>
              </w:rPr>
              <w:t>-68.757</w:t>
            </w:r>
          </w:p>
        </w:tc>
      </w:tr>
      <w:tr>
        <w:trPr>
          <w:trHeight w:val="283"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102"/>
              <w:jc w:val="right"/>
              <w:rPr>
                <w:rFonts w:ascii="Times New Roman" w:hAnsi="Times New Roman" w:cs="Times New Roman" w:eastAsia="Times New Roman" w:hint="default"/>
                <w:sz w:val="18"/>
                <w:szCs w:val="18"/>
              </w:rPr>
            </w:pPr>
            <w:r>
              <w:rPr>
                <w:rFonts w:ascii="Times New Roman"/>
                <w:spacing w:val="-1"/>
                <w:sz w:val="18"/>
              </w:rPr>
              <w:t>465000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100" w:right="0"/>
              <w:jc w:val="left"/>
              <w:rPr>
                <w:rFonts w:ascii="Times New Roman" w:hAnsi="Times New Roman" w:cs="Times New Roman" w:eastAsia="Times New Roman" w:hint="default"/>
                <w:sz w:val="18"/>
                <w:szCs w:val="18"/>
              </w:rPr>
            </w:pPr>
            <w:r>
              <w:rPr>
                <w:rFonts w:ascii="Times New Roman" w:hAnsi="Times New Roman"/>
                <w:sz w:val="18"/>
              </w:rPr>
              <w:t>Остале дотације и</w:t>
            </w:r>
            <w:r>
              <w:rPr>
                <w:rFonts w:ascii="Times New Roman" w:hAnsi="Times New Roman"/>
                <w:spacing w:val="-8"/>
                <w:sz w:val="18"/>
              </w:rPr>
              <w:t> </w:t>
            </w:r>
            <w:r>
              <w:rPr>
                <w:rFonts w:ascii="Times New Roman" w:hAnsi="Times New Roman"/>
                <w:sz w:val="18"/>
              </w:rPr>
              <w:t>трансфери</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100"/>
              <w:jc w:val="right"/>
              <w:rPr>
                <w:rFonts w:ascii="Times New Roman" w:hAnsi="Times New Roman" w:cs="Times New Roman" w:eastAsia="Times New Roman" w:hint="default"/>
                <w:sz w:val="18"/>
                <w:szCs w:val="18"/>
              </w:rPr>
            </w:pPr>
            <w:r>
              <w:rPr>
                <w:rFonts w:ascii="Times New Roman"/>
                <w:spacing w:val="-1"/>
                <w:sz w:val="18"/>
              </w:rPr>
              <w:t>17.788</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101"/>
              <w:jc w:val="right"/>
              <w:rPr>
                <w:rFonts w:ascii="Times New Roman" w:hAnsi="Times New Roman" w:cs="Times New Roman" w:eastAsia="Times New Roman" w:hint="default"/>
                <w:sz w:val="18"/>
                <w:szCs w:val="18"/>
              </w:rPr>
            </w:pPr>
            <w:r>
              <w:rPr>
                <w:rFonts w:ascii="Times New Roman"/>
                <w:spacing w:val="-1"/>
                <w:sz w:val="18"/>
              </w:rPr>
              <w:t>28.210</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100"/>
              <w:jc w:val="right"/>
              <w:rPr>
                <w:rFonts w:ascii="Times New Roman" w:hAnsi="Times New Roman" w:cs="Times New Roman" w:eastAsia="Times New Roman" w:hint="default"/>
                <w:sz w:val="18"/>
                <w:szCs w:val="18"/>
              </w:rPr>
            </w:pPr>
            <w:r>
              <w:rPr>
                <w:rFonts w:ascii="Times New Roman"/>
                <w:spacing w:val="-1"/>
                <w:sz w:val="18"/>
              </w:rPr>
              <w:t>28.697</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100"/>
              <w:jc w:val="right"/>
              <w:rPr>
                <w:rFonts w:ascii="Times New Roman" w:hAnsi="Times New Roman" w:cs="Times New Roman" w:eastAsia="Times New Roman" w:hint="default"/>
                <w:sz w:val="18"/>
                <w:szCs w:val="18"/>
              </w:rPr>
            </w:pPr>
            <w:r>
              <w:rPr>
                <w:rFonts w:ascii="Times New Roman"/>
                <w:spacing w:val="-1"/>
                <w:sz w:val="18"/>
              </w:rPr>
              <w:t>10.927</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100"/>
              <w:jc w:val="right"/>
              <w:rPr>
                <w:rFonts w:ascii="Times New Roman" w:hAnsi="Times New Roman" w:cs="Times New Roman" w:eastAsia="Times New Roman" w:hint="default"/>
                <w:sz w:val="18"/>
                <w:szCs w:val="18"/>
              </w:rPr>
            </w:pPr>
            <w:r>
              <w:rPr>
                <w:rFonts w:ascii="Times New Roman"/>
                <w:spacing w:val="-1"/>
                <w:sz w:val="18"/>
              </w:rPr>
              <w:t>17.770</w:t>
            </w:r>
          </w:p>
        </w:tc>
      </w:tr>
      <w:tr>
        <w:trPr>
          <w:trHeight w:val="257"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8"/>
                <w:szCs w:val="18"/>
              </w:rPr>
            </w:pPr>
            <w:r>
              <w:rPr>
                <w:rFonts w:ascii="Times New Roman"/>
                <w:spacing w:val="-1"/>
                <w:sz w:val="18"/>
              </w:rPr>
              <w:t>472000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left="100" w:right="0"/>
              <w:jc w:val="left"/>
              <w:rPr>
                <w:rFonts w:ascii="Times New Roman" w:hAnsi="Times New Roman" w:cs="Times New Roman" w:eastAsia="Times New Roman" w:hint="default"/>
                <w:sz w:val="18"/>
                <w:szCs w:val="18"/>
              </w:rPr>
            </w:pPr>
            <w:r>
              <w:rPr>
                <w:rFonts w:ascii="Times New Roman" w:hAnsi="Times New Roman"/>
                <w:sz w:val="18"/>
              </w:rPr>
              <w:t>Накнаде за социјалну заштиту из</w:t>
            </w:r>
            <w:r>
              <w:rPr>
                <w:rFonts w:ascii="Times New Roman" w:hAnsi="Times New Roman"/>
                <w:spacing w:val="-16"/>
                <w:sz w:val="18"/>
              </w:rPr>
              <w:t> </w:t>
            </w:r>
            <w:r>
              <w:rPr>
                <w:rFonts w:ascii="Times New Roman" w:hAnsi="Times New Roman"/>
                <w:sz w:val="18"/>
              </w:rPr>
              <w:t>буџета</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8"/>
                <w:szCs w:val="18"/>
              </w:rPr>
            </w:pPr>
            <w:r>
              <w:rPr>
                <w:rFonts w:ascii="Times New Roman"/>
                <w:spacing w:val="-1"/>
                <w:sz w:val="18"/>
              </w:rPr>
              <w:t>449.409</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1"/>
              <w:jc w:val="right"/>
              <w:rPr>
                <w:rFonts w:ascii="Times New Roman" w:hAnsi="Times New Roman" w:cs="Times New Roman" w:eastAsia="Times New Roman" w:hint="default"/>
                <w:sz w:val="18"/>
                <w:szCs w:val="18"/>
              </w:rPr>
            </w:pPr>
            <w:r>
              <w:rPr>
                <w:rFonts w:ascii="Times New Roman"/>
                <w:spacing w:val="-1"/>
                <w:sz w:val="18"/>
              </w:rPr>
              <w:t>449.409</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8"/>
                <w:szCs w:val="18"/>
              </w:rPr>
            </w:pPr>
            <w:r>
              <w:rPr>
                <w:rFonts w:ascii="Times New Roman"/>
                <w:spacing w:val="-1"/>
                <w:sz w:val="18"/>
              </w:rPr>
              <w:t>283.851</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1"/>
              <w:jc w:val="right"/>
              <w:rPr>
                <w:rFonts w:ascii="Times New Roman" w:hAnsi="Times New Roman" w:cs="Times New Roman" w:eastAsia="Times New Roman" w:hint="default"/>
                <w:sz w:val="18"/>
                <w:szCs w:val="18"/>
              </w:rPr>
            </w:pPr>
            <w:r>
              <w:rPr>
                <w:rFonts w:ascii="Times New Roman"/>
                <w:spacing w:val="-1"/>
                <w:sz w:val="18"/>
              </w:rPr>
              <w:t>181.078</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8"/>
                <w:szCs w:val="18"/>
              </w:rPr>
            </w:pPr>
            <w:r>
              <w:rPr>
                <w:rFonts w:ascii="Times New Roman"/>
                <w:spacing w:val="-1"/>
                <w:sz w:val="18"/>
              </w:rPr>
              <w:t>102.773</w:t>
            </w:r>
          </w:p>
        </w:tc>
      </w:tr>
      <w:tr>
        <w:trPr>
          <w:trHeight w:val="276"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2"/>
              <w:jc w:val="right"/>
              <w:rPr>
                <w:rFonts w:ascii="Times New Roman" w:hAnsi="Times New Roman" w:cs="Times New Roman" w:eastAsia="Times New Roman" w:hint="default"/>
                <w:sz w:val="18"/>
                <w:szCs w:val="18"/>
              </w:rPr>
            </w:pPr>
            <w:r>
              <w:rPr>
                <w:rFonts w:ascii="Times New Roman"/>
                <w:spacing w:val="-1"/>
                <w:sz w:val="18"/>
              </w:rPr>
              <w:t>481000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left="100" w:right="0"/>
              <w:jc w:val="left"/>
              <w:rPr>
                <w:rFonts w:ascii="Times New Roman" w:hAnsi="Times New Roman" w:cs="Times New Roman" w:eastAsia="Times New Roman" w:hint="default"/>
                <w:sz w:val="18"/>
                <w:szCs w:val="18"/>
              </w:rPr>
            </w:pPr>
            <w:r>
              <w:rPr>
                <w:rFonts w:ascii="Times New Roman" w:hAnsi="Times New Roman"/>
                <w:sz w:val="18"/>
              </w:rPr>
              <w:t>Дотације невладиним</w:t>
            </w:r>
            <w:r>
              <w:rPr>
                <w:rFonts w:ascii="Times New Roman" w:hAnsi="Times New Roman"/>
                <w:spacing w:val="-9"/>
                <w:sz w:val="18"/>
              </w:rPr>
              <w:t> </w:t>
            </w:r>
            <w:r>
              <w:rPr>
                <w:rFonts w:ascii="Times New Roman" w:hAnsi="Times New Roman"/>
                <w:sz w:val="18"/>
              </w:rPr>
              <w:t>организацијама</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0"/>
              <w:jc w:val="right"/>
              <w:rPr>
                <w:rFonts w:ascii="Times New Roman" w:hAnsi="Times New Roman" w:cs="Times New Roman" w:eastAsia="Times New Roman" w:hint="default"/>
                <w:sz w:val="18"/>
                <w:szCs w:val="18"/>
              </w:rPr>
            </w:pPr>
            <w:r>
              <w:rPr>
                <w:rFonts w:ascii="Times New Roman"/>
                <w:spacing w:val="-1"/>
                <w:sz w:val="18"/>
              </w:rPr>
              <w:t>238.892</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1"/>
              <w:jc w:val="right"/>
              <w:rPr>
                <w:rFonts w:ascii="Times New Roman" w:hAnsi="Times New Roman" w:cs="Times New Roman" w:eastAsia="Times New Roman" w:hint="default"/>
                <w:sz w:val="18"/>
                <w:szCs w:val="18"/>
              </w:rPr>
            </w:pPr>
            <w:r>
              <w:rPr>
                <w:rFonts w:ascii="Times New Roman"/>
                <w:spacing w:val="-1"/>
                <w:sz w:val="18"/>
              </w:rPr>
              <w:t>238.892</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0"/>
              <w:jc w:val="right"/>
              <w:rPr>
                <w:rFonts w:ascii="Times New Roman" w:hAnsi="Times New Roman" w:cs="Times New Roman" w:eastAsia="Times New Roman" w:hint="default"/>
                <w:sz w:val="18"/>
                <w:szCs w:val="18"/>
              </w:rPr>
            </w:pPr>
            <w:r>
              <w:rPr>
                <w:rFonts w:ascii="Times New Roman"/>
                <w:spacing w:val="-1"/>
                <w:sz w:val="18"/>
              </w:rPr>
              <w:t>217.782</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1"/>
              <w:jc w:val="right"/>
              <w:rPr>
                <w:rFonts w:ascii="Times New Roman" w:hAnsi="Times New Roman" w:cs="Times New Roman" w:eastAsia="Times New Roman" w:hint="default"/>
                <w:sz w:val="18"/>
                <w:szCs w:val="18"/>
              </w:rPr>
            </w:pPr>
            <w:r>
              <w:rPr>
                <w:rFonts w:ascii="Times New Roman"/>
                <w:spacing w:val="-1"/>
                <w:sz w:val="18"/>
              </w:rPr>
              <w:t>228.752</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4"/>
              <w:ind w:right="100"/>
              <w:jc w:val="right"/>
              <w:rPr>
                <w:rFonts w:ascii="Times New Roman" w:hAnsi="Times New Roman" w:cs="Times New Roman" w:eastAsia="Times New Roman" w:hint="default"/>
                <w:sz w:val="18"/>
                <w:szCs w:val="18"/>
              </w:rPr>
            </w:pPr>
            <w:r>
              <w:rPr>
                <w:rFonts w:ascii="Times New Roman"/>
                <w:spacing w:val="-1"/>
                <w:sz w:val="18"/>
              </w:rPr>
              <w:t>-10.970</w:t>
            </w:r>
          </w:p>
        </w:tc>
      </w:tr>
      <w:tr>
        <w:trPr>
          <w:trHeight w:val="216"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482000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0" w:right="0"/>
              <w:jc w:val="left"/>
              <w:rPr>
                <w:rFonts w:ascii="Times New Roman" w:hAnsi="Times New Roman" w:cs="Times New Roman" w:eastAsia="Times New Roman" w:hint="default"/>
                <w:sz w:val="18"/>
                <w:szCs w:val="18"/>
              </w:rPr>
            </w:pPr>
            <w:r>
              <w:rPr>
                <w:rFonts w:ascii="Times New Roman" w:hAnsi="Times New Roman"/>
                <w:sz w:val="18"/>
              </w:rPr>
              <w:t>Порези, обавезне таксе, казне и</w:t>
            </w:r>
            <w:r>
              <w:rPr>
                <w:rFonts w:ascii="Times New Roman" w:hAnsi="Times New Roman"/>
                <w:spacing w:val="-16"/>
                <w:sz w:val="18"/>
              </w:rPr>
              <w:t> </w:t>
            </w:r>
            <w:r>
              <w:rPr>
                <w:rFonts w:ascii="Times New Roman" w:hAnsi="Times New Roman"/>
                <w:sz w:val="18"/>
              </w:rPr>
              <w:t>пенали</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67.651</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68.857</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33.746</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33.478</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268</w:t>
            </w:r>
          </w:p>
        </w:tc>
      </w:tr>
      <w:tr>
        <w:trPr>
          <w:trHeight w:val="216"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483000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0" w:right="0"/>
              <w:jc w:val="left"/>
              <w:rPr>
                <w:rFonts w:ascii="Times New Roman" w:hAnsi="Times New Roman" w:cs="Times New Roman" w:eastAsia="Times New Roman" w:hint="default"/>
                <w:sz w:val="18"/>
                <w:szCs w:val="18"/>
              </w:rPr>
            </w:pPr>
            <w:r>
              <w:rPr>
                <w:rFonts w:ascii="Times New Roman" w:hAnsi="Times New Roman"/>
                <w:sz w:val="18"/>
              </w:rPr>
              <w:t>Новчане казне и пенали по решењу</w:t>
            </w:r>
            <w:r>
              <w:rPr>
                <w:rFonts w:ascii="Times New Roman" w:hAnsi="Times New Roman"/>
                <w:spacing w:val="-15"/>
                <w:sz w:val="18"/>
              </w:rPr>
              <w:t> </w:t>
            </w:r>
            <w:r>
              <w:rPr>
                <w:rFonts w:ascii="Times New Roman" w:hAnsi="Times New Roman"/>
                <w:sz w:val="18"/>
              </w:rPr>
              <w:t>судова</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151.162</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150.162</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132.095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141.187</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-9.092</w:t>
            </w:r>
          </w:p>
        </w:tc>
      </w:tr>
      <w:tr>
        <w:trPr>
          <w:trHeight w:val="425"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0"/>
              <w:ind w:right="102"/>
              <w:jc w:val="right"/>
              <w:rPr>
                <w:rFonts w:ascii="Times New Roman" w:hAnsi="Times New Roman" w:cs="Times New Roman" w:eastAsia="Times New Roman" w:hint="default"/>
                <w:sz w:val="18"/>
                <w:szCs w:val="18"/>
              </w:rPr>
            </w:pPr>
            <w:r>
              <w:rPr>
                <w:rFonts w:ascii="Times New Roman"/>
                <w:spacing w:val="-1"/>
                <w:sz w:val="18"/>
              </w:rPr>
              <w:t>485000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100" w:right="576"/>
              <w:jc w:val="left"/>
              <w:rPr>
                <w:rFonts w:ascii="Times New Roman" w:hAnsi="Times New Roman" w:cs="Times New Roman" w:eastAsia="Times New Roman" w:hint="default"/>
                <w:sz w:val="18"/>
                <w:szCs w:val="18"/>
              </w:rPr>
            </w:pPr>
            <w:r>
              <w:rPr>
                <w:rFonts w:ascii="Times New Roman" w:hAnsi="Times New Roman"/>
                <w:sz w:val="18"/>
              </w:rPr>
              <w:t>Накнада штете за повреде или штету нанету од стране државних</w:t>
            </w:r>
            <w:r>
              <w:rPr>
                <w:rFonts w:ascii="Times New Roman" w:hAnsi="Times New Roman"/>
                <w:spacing w:val="-10"/>
                <w:sz w:val="18"/>
              </w:rPr>
              <w:t> </w:t>
            </w:r>
            <w:r>
              <w:rPr>
                <w:rFonts w:ascii="Times New Roman" w:hAnsi="Times New Roman"/>
                <w:sz w:val="18"/>
              </w:rPr>
              <w:t>органа</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0"/>
              <w:ind w:right="100"/>
              <w:jc w:val="right"/>
              <w:rPr>
                <w:rFonts w:ascii="Times New Roman" w:hAnsi="Times New Roman" w:cs="Times New Roman" w:eastAsia="Times New Roman" w:hint="default"/>
                <w:sz w:val="18"/>
                <w:szCs w:val="18"/>
              </w:rPr>
            </w:pPr>
            <w:r>
              <w:rPr>
                <w:rFonts w:ascii="Times New Roman"/>
                <w:sz w:val="18"/>
              </w:rPr>
              <w:t>5.000</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0"/>
              <w:ind w:right="101"/>
              <w:jc w:val="right"/>
              <w:rPr>
                <w:rFonts w:ascii="Times New Roman" w:hAnsi="Times New Roman" w:cs="Times New Roman" w:eastAsia="Times New Roman" w:hint="default"/>
                <w:sz w:val="18"/>
                <w:szCs w:val="18"/>
              </w:rPr>
            </w:pPr>
            <w:r>
              <w:rPr>
                <w:rFonts w:ascii="Times New Roman"/>
                <w:sz w:val="18"/>
              </w:rPr>
              <w:t>5.000</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0"/>
              <w:ind w:right="98"/>
              <w:jc w:val="right"/>
              <w:rPr>
                <w:rFonts w:ascii="Times New Roman" w:hAnsi="Times New Roman" w:cs="Times New Roman" w:eastAsia="Times New Roman" w:hint="default"/>
                <w:sz w:val="18"/>
                <w:szCs w:val="18"/>
              </w:rPr>
            </w:pPr>
            <w:r>
              <w:rPr>
                <w:rFonts w:ascii="Times New Roman"/>
                <w:sz w:val="18"/>
              </w:rPr>
              <w:t>579</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0"/>
              <w:ind w:right="100"/>
              <w:jc w:val="right"/>
              <w:rPr>
                <w:rFonts w:ascii="Times New Roman" w:hAnsi="Times New Roman" w:cs="Times New Roman" w:eastAsia="Times New Roman" w:hint="default"/>
                <w:sz w:val="18"/>
                <w:szCs w:val="18"/>
              </w:rPr>
            </w:pPr>
            <w:r>
              <w:rPr>
                <w:rFonts w:ascii="Times New Roman"/>
                <w:sz w:val="18"/>
              </w:rPr>
              <w:t>3.685</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0"/>
              <w:ind w:right="100"/>
              <w:jc w:val="right"/>
              <w:rPr>
                <w:rFonts w:ascii="Times New Roman" w:hAnsi="Times New Roman" w:cs="Times New Roman" w:eastAsia="Times New Roman" w:hint="default"/>
                <w:sz w:val="18"/>
                <w:szCs w:val="18"/>
              </w:rPr>
            </w:pPr>
            <w:r>
              <w:rPr>
                <w:rFonts w:ascii="Times New Roman"/>
                <w:sz w:val="18"/>
              </w:rPr>
              <w:t>-3.106</w:t>
            </w:r>
          </w:p>
        </w:tc>
      </w:tr>
      <w:tr>
        <w:trPr>
          <w:trHeight w:val="217"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2"/>
              <w:jc w:val="right"/>
              <w:rPr>
                <w:rFonts w:ascii="Times New Roman" w:hAnsi="Times New Roman" w:cs="Times New Roman" w:eastAsia="Times New Roman" w:hint="default"/>
                <w:sz w:val="18"/>
                <w:szCs w:val="18"/>
              </w:rPr>
            </w:pPr>
            <w:r>
              <w:rPr>
                <w:rFonts w:ascii="Times New Roman"/>
                <w:spacing w:val="-1"/>
                <w:sz w:val="18"/>
              </w:rPr>
              <w:t>499000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00" w:right="0"/>
              <w:jc w:val="left"/>
              <w:rPr>
                <w:rFonts w:ascii="Times New Roman" w:hAnsi="Times New Roman" w:cs="Times New Roman" w:eastAsia="Times New Roman" w:hint="default"/>
                <w:sz w:val="18"/>
                <w:szCs w:val="18"/>
              </w:rPr>
            </w:pPr>
            <w:r>
              <w:rPr>
                <w:rFonts w:ascii="Times New Roman" w:hAnsi="Times New Roman"/>
                <w:sz w:val="18"/>
              </w:rPr>
              <w:t>Средства</w:t>
            </w:r>
            <w:r>
              <w:rPr>
                <w:rFonts w:ascii="Times New Roman" w:hAnsi="Times New Roman"/>
                <w:spacing w:val="-5"/>
                <w:sz w:val="18"/>
              </w:rPr>
              <w:t> </w:t>
            </w:r>
            <w:r>
              <w:rPr>
                <w:rFonts w:ascii="Times New Roman" w:hAnsi="Times New Roman"/>
                <w:sz w:val="18"/>
              </w:rPr>
              <w:t>резерве</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pacing w:val="-1"/>
                <w:sz w:val="18"/>
              </w:rPr>
              <w:t>93.000</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1"/>
              <w:jc w:val="right"/>
              <w:rPr>
                <w:rFonts w:ascii="Times New Roman" w:hAnsi="Times New Roman" w:cs="Times New Roman" w:eastAsia="Times New Roman" w:hint="default"/>
                <w:sz w:val="18"/>
                <w:szCs w:val="18"/>
              </w:rPr>
            </w:pPr>
            <w:r>
              <w:rPr>
                <w:rFonts w:ascii="Times New Roman"/>
                <w:spacing w:val="-1"/>
                <w:sz w:val="18"/>
              </w:rPr>
              <w:t>50.607</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2"/>
              <w:jc w:val="right"/>
              <w:rPr>
                <w:rFonts w:ascii="Times New Roman" w:hAnsi="Times New Roman" w:cs="Times New Roman" w:eastAsia="Times New Roman" w:hint="default"/>
                <w:sz w:val="18"/>
                <w:szCs w:val="18"/>
              </w:rPr>
            </w:pPr>
            <w:r>
              <w:rPr>
                <w:rFonts w:ascii="Times New Roman"/>
                <w:sz w:val="18"/>
              </w:rPr>
              <w:t>0</w:t>
            </w:r>
          </w:p>
        </w:tc>
      </w:tr>
      <w:tr>
        <w:trPr>
          <w:trHeight w:val="218"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pacing w:val="-1"/>
                <w:sz w:val="18"/>
              </w:rPr>
              <w:t>511000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0" w:right="0"/>
              <w:jc w:val="left"/>
              <w:rPr>
                <w:rFonts w:ascii="Times New Roman" w:hAnsi="Times New Roman" w:cs="Times New Roman" w:eastAsia="Times New Roman" w:hint="default"/>
                <w:sz w:val="18"/>
                <w:szCs w:val="18"/>
              </w:rPr>
            </w:pPr>
            <w:r>
              <w:rPr>
                <w:rFonts w:ascii="Times New Roman" w:hAnsi="Times New Roman"/>
                <w:sz w:val="18"/>
              </w:rPr>
              <w:t>Зграде и грађевински</w:t>
            </w:r>
            <w:r>
              <w:rPr>
                <w:rFonts w:ascii="Times New Roman" w:hAnsi="Times New Roman"/>
                <w:spacing w:val="-10"/>
                <w:sz w:val="18"/>
              </w:rPr>
              <w:t> </w:t>
            </w:r>
            <w:r>
              <w:rPr>
                <w:rFonts w:ascii="Times New Roman" w:hAnsi="Times New Roman"/>
                <w:sz w:val="18"/>
              </w:rPr>
              <w:t>објекти</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1.396.518</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pacing w:val="-1"/>
                <w:sz w:val="18"/>
              </w:rPr>
              <w:t>1.395.883</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426.966</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pacing w:val="-1"/>
                <w:sz w:val="18"/>
              </w:rPr>
              <w:t>446.250</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-19.284</w:t>
            </w:r>
          </w:p>
        </w:tc>
      </w:tr>
      <w:tr>
        <w:trPr>
          <w:trHeight w:val="247"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102"/>
              <w:jc w:val="right"/>
              <w:rPr>
                <w:rFonts w:ascii="Times New Roman" w:hAnsi="Times New Roman" w:cs="Times New Roman" w:eastAsia="Times New Roman" w:hint="default"/>
                <w:sz w:val="18"/>
                <w:szCs w:val="18"/>
              </w:rPr>
            </w:pPr>
            <w:r>
              <w:rPr>
                <w:rFonts w:ascii="Times New Roman"/>
                <w:spacing w:val="-1"/>
                <w:sz w:val="18"/>
              </w:rPr>
              <w:t>512000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left="100" w:right="0"/>
              <w:jc w:val="left"/>
              <w:rPr>
                <w:rFonts w:ascii="Times New Roman" w:hAnsi="Times New Roman" w:cs="Times New Roman" w:eastAsia="Times New Roman" w:hint="default"/>
                <w:sz w:val="18"/>
                <w:szCs w:val="18"/>
              </w:rPr>
            </w:pPr>
            <w:r>
              <w:rPr>
                <w:rFonts w:ascii="Times New Roman" w:hAnsi="Times New Roman"/>
                <w:sz w:val="18"/>
              </w:rPr>
              <w:t>Машине и</w:t>
            </w:r>
            <w:r>
              <w:rPr>
                <w:rFonts w:ascii="Times New Roman" w:hAnsi="Times New Roman"/>
                <w:spacing w:val="-5"/>
                <w:sz w:val="18"/>
              </w:rPr>
              <w:t> </w:t>
            </w:r>
            <w:r>
              <w:rPr>
                <w:rFonts w:ascii="Times New Roman" w:hAnsi="Times New Roman"/>
                <w:sz w:val="18"/>
              </w:rPr>
              <w:t>опрема</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100"/>
              <w:jc w:val="right"/>
              <w:rPr>
                <w:rFonts w:ascii="Times New Roman" w:hAnsi="Times New Roman" w:cs="Times New Roman" w:eastAsia="Times New Roman" w:hint="default"/>
                <w:sz w:val="18"/>
                <w:szCs w:val="18"/>
              </w:rPr>
            </w:pPr>
            <w:r>
              <w:rPr>
                <w:rFonts w:ascii="Times New Roman"/>
                <w:spacing w:val="-1"/>
                <w:sz w:val="18"/>
              </w:rPr>
              <w:t>89.255</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101"/>
              <w:jc w:val="right"/>
              <w:rPr>
                <w:rFonts w:ascii="Times New Roman" w:hAnsi="Times New Roman" w:cs="Times New Roman" w:eastAsia="Times New Roman" w:hint="default"/>
                <w:sz w:val="18"/>
                <w:szCs w:val="18"/>
              </w:rPr>
            </w:pPr>
            <w:r>
              <w:rPr>
                <w:rFonts w:ascii="Times New Roman"/>
                <w:spacing w:val="-1"/>
                <w:sz w:val="18"/>
              </w:rPr>
              <w:t>89.305</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100"/>
              <w:jc w:val="right"/>
              <w:rPr>
                <w:rFonts w:ascii="Times New Roman" w:hAnsi="Times New Roman" w:cs="Times New Roman" w:eastAsia="Times New Roman" w:hint="default"/>
                <w:sz w:val="18"/>
                <w:szCs w:val="18"/>
              </w:rPr>
            </w:pPr>
            <w:r>
              <w:rPr>
                <w:rFonts w:ascii="Times New Roman"/>
                <w:spacing w:val="-1"/>
                <w:sz w:val="18"/>
              </w:rPr>
              <w:t>43.822</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100"/>
              <w:jc w:val="right"/>
              <w:rPr>
                <w:rFonts w:ascii="Times New Roman" w:hAnsi="Times New Roman" w:cs="Times New Roman" w:eastAsia="Times New Roman" w:hint="default"/>
                <w:sz w:val="18"/>
                <w:szCs w:val="18"/>
              </w:rPr>
            </w:pPr>
            <w:r>
              <w:rPr>
                <w:rFonts w:ascii="Times New Roman"/>
                <w:spacing w:val="-1"/>
                <w:sz w:val="18"/>
              </w:rPr>
              <w:t>38.915</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100"/>
              <w:jc w:val="right"/>
              <w:rPr>
                <w:rFonts w:ascii="Times New Roman" w:hAnsi="Times New Roman" w:cs="Times New Roman" w:eastAsia="Times New Roman" w:hint="default"/>
                <w:sz w:val="18"/>
                <w:szCs w:val="18"/>
              </w:rPr>
            </w:pPr>
            <w:r>
              <w:rPr>
                <w:rFonts w:ascii="Times New Roman"/>
                <w:sz w:val="18"/>
              </w:rPr>
              <w:t>4.907</w:t>
            </w:r>
          </w:p>
        </w:tc>
      </w:tr>
      <w:tr>
        <w:trPr>
          <w:trHeight w:val="216"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513000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0" w:right="0"/>
              <w:jc w:val="left"/>
              <w:rPr>
                <w:rFonts w:ascii="Times New Roman" w:hAnsi="Times New Roman" w:cs="Times New Roman" w:eastAsia="Times New Roman" w:hint="default"/>
                <w:sz w:val="18"/>
                <w:szCs w:val="18"/>
              </w:rPr>
            </w:pPr>
            <w:r>
              <w:rPr>
                <w:rFonts w:ascii="Times New Roman" w:hAnsi="Times New Roman"/>
                <w:sz w:val="18"/>
              </w:rPr>
              <w:t>Остале некретнине и</w:t>
            </w:r>
            <w:r>
              <w:rPr>
                <w:rFonts w:ascii="Times New Roman" w:hAnsi="Times New Roman"/>
                <w:spacing w:val="-9"/>
                <w:sz w:val="18"/>
              </w:rPr>
              <w:t> </w:t>
            </w:r>
            <w:r>
              <w:rPr>
                <w:rFonts w:ascii="Times New Roman" w:hAnsi="Times New Roman"/>
                <w:sz w:val="18"/>
              </w:rPr>
              <w:t>опрема</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150</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150</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1.728</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-1.728</w:t>
            </w:r>
          </w:p>
        </w:tc>
      </w:tr>
      <w:tr>
        <w:trPr>
          <w:trHeight w:val="218"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515000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0" w:right="0"/>
              <w:jc w:val="left"/>
              <w:rPr>
                <w:rFonts w:ascii="Times New Roman" w:hAnsi="Times New Roman" w:cs="Times New Roman" w:eastAsia="Times New Roman" w:hint="default"/>
                <w:sz w:val="18"/>
                <w:szCs w:val="18"/>
              </w:rPr>
            </w:pPr>
            <w:r>
              <w:rPr>
                <w:rFonts w:ascii="Times New Roman" w:hAnsi="Times New Roman"/>
                <w:sz w:val="18"/>
              </w:rPr>
              <w:t>Нематеријална</w:t>
            </w:r>
            <w:r>
              <w:rPr>
                <w:rFonts w:ascii="Times New Roman" w:hAnsi="Times New Roman"/>
                <w:spacing w:val="-7"/>
                <w:sz w:val="18"/>
              </w:rPr>
              <w:t> </w:t>
            </w:r>
            <w:r>
              <w:rPr>
                <w:rFonts w:ascii="Times New Roman" w:hAnsi="Times New Roman"/>
                <w:sz w:val="18"/>
              </w:rPr>
              <w:t>имовина</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8.215</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12.577</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1.662</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1.662</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r>
      <w:tr>
        <w:trPr>
          <w:trHeight w:val="216"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521000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0" w:right="0"/>
              <w:jc w:val="left"/>
              <w:rPr>
                <w:rFonts w:ascii="Times New Roman" w:hAnsi="Times New Roman" w:cs="Times New Roman" w:eastAsia="Times New Roman" w:hint="default"/>
                <w:sz w:val="18"/>
                <w:szCs w:val="18"/>
              </w:rPr>
            </w:pPr>
            <w:r>
              <w:rPr>
                <w:rFonts w:ascii="Times New Roman" w:hAnsi="Times New Roman"/>
                <w:sz w:val="18"/>
              </w:rPr>
              <w:t>Робне</w:t>
            </w:r>
            <w:r>
              <w:rPr>
                <w:rFonts w:ascii="Times New Roman" w:hAnsi="Times New Roman"/>
                <w:spacing w:val="-2"/>
                <w:sz w:val="18"/>
              </w:rPr>
              <w:t> </w:t>
            </w:r>
            <w:r>
              <w:rPr>
                <w:rFonts w:ascii="Times New Roman" w:hAnsi="Times New Roman"/>
                <w:sz w:val="18"/>
              </w:rPr>
              <w:t>резерве</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1.000</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1.000</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r>
      <w:tr>
        <w:trPr>
          <w:trHeight w:val="216"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523000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0" w:right="0"/>
              <w:jc w:val="left"/>
              <w:rPr>
                <w:rFonts w:ascii="Times New Roman" w:hAnsi="Times New Roman" w:cs="Times New Roman" w:eastAsia="Times New Roman" w:hint="default"/>
                <w:sz w:val="18"/>
                <w:szCs w:val="18"/>
              </w:rPr>
            </w:pPr>
            <w:r>
              <w:rPr>
                <w:rFonts w:ascii="Times New Roman" w:hAnsi="Times New Roman"/>
                <w:sz w:val="18"/>
              </w:rPr>
              <w:t>Залихе робе за даљу</w:t>
            </w:r>
            <w:r>
              <w:rPr>
                <w:rFonts w:ascii="Times New Roman" w:hAnsi="Times New Roman"/>
                <w:spacing w:val="-11"/>
                <w:sz w:val="18"/>
              </w:rPr>
              <w:t> </w:t>
            </w:r>
            <w:r>
              <w:rPr>
                <w:rFonts w:ascii="Times New Roman" w:hAnsi="Times New Roman"/>
                <w:sz w:val="18"/>
              </w:rPr>
              <w:t>продају</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129.212</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129.212</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83.229</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102.697</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-19.468</w:t>
            </w:r>
          </w:p>
        </w:tc>
      </w:tr>
      <w:tr>
        <w:trPr>
          <w:trHeight w:val="218"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pacing w:val="-1"/>
                <w:sz w:val="18"/>
              </w:rPr>
              <w:t>541000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0" w:right="0"/>
              <w:jc w:val="left"/>
              <w:rPr>
                <w:rFonts w:ascii="Times New Roman" w:hAnsi="Times New Roman" w:cs="Times New Roman" w:eastAsia="Times New Roman" w:hint="default"/>
                <w:sz w:val="18"/>
                <w:szCs w:val="18"/>
              </w:rPr>
            </w:pPr>
            <w:r>
              <w:rPr>
                <w:rFonts w:ascii="Times New Roman" w:hAnsi="Times New Roman"/>
                <w:sz w:val="18"/>
              </w:rPr>
              <w:t>Земљиште</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150.108</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pacing w:val="-1"/>
                <w:sz w:val="18"/>
              </w:rPr>
              <w:t>177.504</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177.504</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pacing w:val="-1"/>
                <w:sz w:val="18"/>
              </w:rPr>
              <w:t>173.999</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3.505</w:t>
            </w:r>
          </w:p>
        </w:tc>
      </w:tr>
      <w:tr>
        <w:trPr>
          <w:trHeight w:val="216"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611000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left="146" w:right="0"/>
              <w:jc w:val="left"/>
              <w:rPr>
                <w:rFonts w:ascii="Times New Roman" w:hAnsi="Times New Roman" w:cs="Times New Roman" w:eastAsia="Times New Roman" w:hint="default"/>
                <w:sz w:val="16"/>
                <w:szCs w:val="16"/>
              </w:rPr>
            </w:pPr>
            <w:r>
              <w:rPr>
                <w:rFonts w:ascii="Times New Roman" w:hAnsi="Times New Roman"/>
                <w:sz w:val="16"/>
              </w:rPr>
              <w:t>Отплата главнице домаћим</w:t>
            </w:r>
            <w:r>
              <w:rPr>
                <w:rFonts w:ascii="Times New Roman" w:hAnsi="Times New Roman"/>
                <w:spacing w:val="-12"/>
                <w:sz w:val="16"/>
              </w:rPr>
              <w:t> </w:t>
            </w:r>
            <w:r>
              <w:rPr>
                <w:rFonts w:ascii="Times New Roman" w:hAnsi="Times New Roman"/>
                <w:sz w:val="16"/>
              </w:rPr>
              <w:t>кредиторима</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653.380</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653.603</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653.602</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left="201" w:right="128"/>
              <w:jc w:val="left"/>
              <w:rPr>
                <w:rFonts w:ascii="Times New Roman" w:hAnsi="Times New Roman" w:cs="Times New Roman" w:eastAsia="Times New Roman" w:hint="default"/>
                <w:sz w:val="16"/>
                <w:szCs w:val="16"/>
              </w:rPr>
            </w:pPr>
            <w:r>
              <w:rPr>
                <w:rFonts w:ascii="Times New Roman"/>
                <w:sz w:val="16"/>
              </w:rPr>
              <w:t>653.602</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r>
      <w:tr>
        <w:trPr>
          <w:trHeight w:val="218"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612000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0" w:right="0"/>
              <w:jc w:val="left"/>
              <w:rPr>
                <w:rFonts w:ascii="Times New Roman" w:hAnsi="Times New Roman" w:cs="Times New Roman" w:eastAsia="Times New Roman" w:hint="default"/>
                <w:sz w:val="18"/>
                <w:szCs w:val="18"/>
              </w:rPr>
            </w:pPr>
            <w:r>
              <w:rPr>
                <w:rFonts w:ascii="Times New Roman" w:hAnsi="Times New Roman"/>
                <w:sz w:val="18"/>
              </w:rPr>
              <w:t>Отплате главнице страним</w:t>
            </w:r>
            <w:r>
              <w:rPr>
                <w:rFonts w:ascii="Times New Roman" w:hAnsi="Times New Roman"/>
                <w:spacing w:val="-9"/>
                <w:sz w:val="18"/>
              </w:rPr>
              <w:t> </w:t>
            </w:r>
            <w:r>
              <w:rPr>
                <w:rFonts w:ascii="Times New Roman" w:hAnsi="Times New Roman"/>
                <w:sz w:val="18"/>
              </w:rPr>
              <w:t>кредиторима</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57.485</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57.485</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34.485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34.485</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r>
      <w:tr>
        <w:trPr>
          <w:trHeight w:val="216" w:hRule="exact"/>
        </w:trPr>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621000</w:t>
            </w:r>
          </w:p>
        </w:tc>
        <w:tc>
          <w:tcPr>
            <w:tcW w:w="353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0" w:right="0"/>
              <w:jc w:val="left"/>
              <w:rPr>
                <w:rFonts w:ascii="Times New Roman" w:hAnsi="Times New Roman" w:cs="Times New Roman" w:eastAsia="Times New Roman" w:hint="default"/>
                <w:sz w:val="18"/>
                <w:szCs w:val="18"/>
              </w:rPr>
            </w:pPr>
            <w:r>
              <w:rPr>
                <w:rFonts w:ascii="Times New Roman" w:hAnsi="Times New Roman"/>
                <w:sz w:val="18"/>
              </w:rPr>
              <w:t>Набавка домаће финансијске</w:t>
            </w:r>
            <w:r>
              <w:rPr>
                <w:rFonts w:ascii="Times New Roman" w:hAnsi="Times New Roman"/>
                <w:spacing w:val="-14"/>
                <w:sz w:val="18"/>
              </w:rPr>
              <w:t> </w:t>
            </w:r>
            <w:r>
              <w:rPr>
                <w:rFonts w:ascii="Times New Roman" w:hAnsi="Times New Roman"/>
                <w:sz w:val="18"/>
              </w:rPr>
              <w:t>имовине</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2.000</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2.000</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1.700</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50</w:t>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1.650</w:t>
            </w:r>
          </w:p>
        </w:tc>
      </w:tr>
      <w:tr>
        <w:trPr>
          <w:trHeight w:val="264" w:hRule="exact"/>
        </w:trPr>
        <w:tc>
          <w:tcPr>
            <w:tcW w:w="4388" w:type="dxa"/>
            <w:gridSpan w:val="2"/>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158" w:right="0"/>
              <w:jc w:val="left"/>
              <w:rPr>
                <w:rFonts w:ascii="Times New Roman" w:hAnsi="Times New Roman" w:cs="Times New Roman" w:eastAsia="Times New Roman" w:hint="default"/>
                <w:sz w:val="22"/>
                <w:szCs w:val="22"/>
              </w:rPr>
            </w:pPr>
            <w:r>
              <w:rPr>
                <w:rFonts w:ascii="Times New Roman" w:hAnsi="Times New Roman"/>
                <w:b/>
                <w:sz w:val="22"/>
              </w:rPr>
              <w:t>Укупно</w:t>
            </w:r>
            <w:r>
              <w:rPr>
                <w:rFonts w:ascii="Times New Roman" w:hAnsi="Times New Roman"/>
                <w:sz w:val="22"/>
              </w:rPr>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5"/>
              <w:ind w:right="100"/>
              <w:jc w:val="right"/>
              <w:rPr>
                <w:rFonts w:ascii="Times New Roman" w:hAnsi="Times New Roman" w:cs="Times New Roman" w:eastAsia="Times New Roman" w:hint="default"/>
                <w:sz w:val="18"/>
                <w:szCs w:val="18"/>
              </w:rPr>
            </w:pPr>
            <w:r>
              <w:rPr>
                <w:rFonts w:ascii="Times New Roman"/>
                <w:b/>
                <w:spacing w:val="-1"/>
                <w:sz w:val="18"/>
              </w:rPr>
              <w:t>11.069.579</w:t>
            </w:r>
            <w:r>
              <w:rPr>
                <w:rFonts w:ascii="Times New Roman"/>
                <w:spacing w:val="-1"/>
                <w:sz w:val="18"/>
              </w:rPr>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5"/>
              <w:ind w:right="101"/>
              <w:jc w:val="right"/>
              <w:rPr>
                <w:rFonts w:ascii="Times New Roman" w:hAnsi="Times New Roman" w:cs="Times New Roman" w:eastAsia="Times New Roman" w:hint="default"/>
                <w:sz w:val="18"/>
                <w:szCs w:val="18"/>
              </w:rPr>
            </w:pPr>
            <w:r>
              <w:rPr>
                <w:rFonts w:ascii="Times New Roman"/>
                <w:b/>
                <w:spacing w:val="-1"/>
                <w:sz w:val="18"/>
              </w:rPr>
              <w:t>11.075.587</w:t>
            </w:r>
            <w:r>
              <w:rPr>
                <w:rFonts w:ascii="Times New Roman"/>
                <w:spacing w:val="-1"/>
                <w:sz w:val="18"/>
              </w:rPr>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5"/>
              <w:ind w:right="100"/>
              <w:jc w:val="right"/>
              <w:rPr>
                <w:rFonts w:ascii="Times New Roman" w:hAnsi="Times New Roman" w:cs="Times New Roman" w:eastAsia="Times New Roman" w:hint="default"/>
                <w:sz w:val="18"/>
                <w:szCs w:val="18"/>
              </w:rPr>
            </w:pPr>
            <w:r>
              <w:rPr>
                <w:rFonts w:ascii="Times New Roman"/>
                <w:b/>
                <w:spacing w:val="-1"/>
                <w:sz w:val="18"/>
              </w:rPr>
              <w:t>7.629.782</w:t>
            </w:r>
            <w:r>
              <w:rPr>
                <w:rFonts w:ascii="Times New Roman"/>
                <w:spacing w:val="-1"/>
                <w:sz w:val="18"/>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5"/>
              <w:ind w:right="101"/>
              <w:jc w:val="right"/>
              <w:rPr>
                <w:rFonts w:ascii="Times New Roman" w:hAnsi="Times New Roman" w:cs="Times New Roman" w:eastAsia="Times New Roman" w:hint="default"/>
                <w:sz w:val="18"/>
                <w:szCs w:val="18"/>
              </w:rPr>
            </w:pPr>
            <w:r>
              <w:rPr>
                <w:rFonts w:ascii="Times New Roman"/>
                <w:b/>
                <w:spacing w:val="-1"/>
                <w:sz w:val="18"/>
              </w:rPr>
              <w:t>7.655.577</w:t>
            </w:r>
            <w:r>
              <w:rPr>
                <w:rFonts w:ascii="Times New Roman"/>
                <w:spacing w:val="-1"/>
                <w:sz w:val="18"/>
              </w:rPr>
            </w:r>
          </w:p>
        </w:tc>
        <w:tc>
          <w:tcPr>
            <w:tcW w:w="97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5"/>
              <w:ind w:right="100"/>
              <w:jc w:val="right"/>
              <w:rPr>
                <w:rFonts w:ascii="Times New Roman" w:hAnsi="Times New Roman" w:cs="Times New Roman" w:eastAsia="Times New Roman" w:hint="default"/>
                <w:sz w:val="18"/>
                <w:szCs w:val="18"/>
              </w:rPr>
            </w:pPr>
            <w:r>
              <w:rPr>
                <w:rFonts w:ascii="Times New Roman"/>
                <w:b/>
                <w:spacing w:val="-1"/>
                <w:sz w:val="18"/>
              </w:rPr>
              <w:t>25.795</w:t>
            </w:r>
            <w:r>
              <w:rPr>
                <w:rFonts w:ascii="Times New Roman"/>
                <w:spacing w:val="-1"/>
                <w:sz w:val="18"/>
              </w:rPr>
            </w:r>
          </w:p>
        </w:tc>
      </w:tr>
    </w:tbl>
    <w:p>
      <w:pPr>
        <w:pStyle w:val="BodyText"/>
        <w:spacing w:line="240" w:lineRule="auto"/>
        <w:ind w:left="540" w:right="513" w:firstLine="566"/>
        <w:jc w:val="both"/>
      </w:pPr>
      <w:r>
        <w:rPr/>
        <w:t>Према датој табели у финансијским извештајима Града за 2014. годину на основу извршеног испитивања правилности класификовања и адекватног третирања извршених узоркованих трансакција утврђено је да су расходи и издаци неправилно више евидентирани</w:t>
      </w:r>
      <w:r>
        <w:rPr>
          <w:spacing w:val="39"/>
        </w:rPr>
        <w:t> </w:t>
      </w:r>
      <w:r>
        <w:rPr/>
        <w:t>у</w:t>
      </w:r>
      <w:r>
        <w:rPr>
          <w:spacing w:val="31"/>
        </w:rPr>
        <w:t> </w:t>
      </w:r>
      <w:r>
        <w:rPr/>
        <w:t>износу</w:t>
      </w:r>
      <w:r>
        <w:rPr>
          <w:spacing w:val="36"/>
        </w:rPr>
        <w:t> </w:t>
      </w:r>
      <w:r>
        <w:rPr/>
        <w:t>од</w:t>
      </w:r>
      <w:r>
        <w:rPr>
          <w:spacing w:val="38"/>
        </w:rPr>
        <w:t> </w:t>
      </w:r>
      <w:r>
        <w:rPr/>
        <w:t>563.</w:t>
      </w:r>
      <w:r>
        <w:rPr>
          <w:rFonts w:ascii="Times New Roman" w:hAnsi="Times New Roman"/>
        </w:rPr>
        <w:t>355</w:t>
      </w:r>
      <w:r>
        <w:rPr>
          <w:rFonts w:ascii="Times New Roman" w:hAnsi="Times New Roman"/>
          <w:spacing w:val="36"/>
        </w:rPr>
        <w:t> </w:t>
      </w:r>
      <w:r>
        <w:rPr/>
        <w:t>хиљада</w:t>
      </w:r>
      <w:r>
        <w:rPr>
          <w:spacing w:val="37"/>
        </w:rPr>
        <w:t> </w:t>
      </w:r>
      <w:r>
        <w:rPr/>
        <w:t>динара</w:t>
      </w:r>
      <w:r>
        <w:rPr>
          <w:spacing w:val="37"/>
        </w:rPr>
        <w:t> </w:t>
      </w:r>
      <w:r>
        <w:rPr/>
        <w:t>и</w:t>
      </w:r>
      <w:r>
        <w:rPr>
          <w:spacing w:val="39"/>
        </w:rPr>
        <w:t> </w:t>
      </w:r>
      <w:r>
        <w:rPr/>
        <w:t>неправилно</w:t>
      </w:r>
      <w:r>
        <w:rPr>
          <w:spacing w:val="38"/>
        </w:rPr>
        <w:t> </w:t>
      </w:r>
      <w:r>
        <w:rPr/>
        <w:t>мање</w:t>
      </w:r>
      <w:r>
        <w:rPr>
          <w:spacing w:val="36"/>
        </w:rPr>
        <w:t> </w:t>
      </w:r>
      <w:r>
        <w:rPr/>
        <w:t>евидентирани</w:t>
      </w:r>
      <w:r>
        <w:rPr>
          <w:spacing w:val="41"/>
        </w:rPr>
        <w:t> </w:t>
      </w:r>
      <w:r>
        <w:rPr/>
        <w:t>у</w:t>
      </w:r>
    </w:p>
    <w:p>
      <w:pPr>
        <w:spacing w:after="0" w:line="240" w:lineRule="auto"/>
        <w:jc w:val="both"/>
        <w:sectPr>
          <w:pgSz w:w="12240" w:h="15840"/>
          <w:pgMar w:header="740" w:footer="1274" w:top="1280" w:bottom="1460" w:left="1020" w:right="920"/>
        </w:sectPr>
      </w:pPr>
    </w:p>
    <w:p>
      <w:pPr>
        <w:pStyle w:val="BodyText"/>
        <w:spacing w:line="240" w:lineRule="auto" w:before="122"/>
        <w:ind w:right="0"/>
        <w:jc w:val="both"/>
      </w:pPr>
      <w:r>
        <w:rPr/>
        <w:t>износу од  </w:t>
      </w:r>
      <w:r>
        <w:rPr>
          <w:rFonts w:ascii="Times New Roman" w:hAnsi="Times New Roman"/>
        </w:rPr>
        <w:t>589.150  </w:t>
      </w:r>
      <w:r>
        <w:rPr/>
        <w:t>хиљада динара.  Расходи  и издаци  се међусобно  потиру за износ </w:t>
      </w:r>
      <w:r>
        <w:rPr>
          <w:spacing w:val="40"/>
        </w:rPr>
        <w:t> </w:t>
      </w:r>
      <w:r>
        <w:rPr/>
        <w:t>од</w:t>
      </w:r>
    </w:p>
    <w:p>
      <w:pPr>
        <w:pStyle w:val="BodyText"/>
        <w:spacing w:line="240" w:lineRule="auto"/>
        <w:ind w:right="173"/>
        <w:jc w:val="both"/>
      </w:pPr>
      <w:r>
        <w:rPr>
          <w:rFonts w:ascii="Times New Roman" w:hAnsi="Times New Roman"/>
        </w:rPr>
        <w:t>563.355 </w:t>
      </w:r>
      <w:r>
        <w:rPr/>
        <w:t>хиљада динара. Разлика у износу од 25.795 хиљада динара представља расходе који нису исказани а извршени су са подрачуна консолидованог рачуна трезора у износу од 25.903 хиљаде динара и расходе који су више исказани у износу од 108 хиљада  динара. Ефекти ових одступања се одражавају на укупан износ расхода и издатака, као и на износ коначног финансијског резултата града Ниша за 2014.</w:t>
      </w:r>
      <w:r>
        <w:rPr>
          <w:spacing w:val="-19"/>
        </w:rPr>
        <w:t> </w:t>
      </w:r>
      <w:r>
        <w:rPr/>
        <w:t>годину.</w:t>
      </w:r>
    </w:p>
    <w:p>
      <w:pPr>
        <w:spacing w:line="240" w:lineRule="auto" w:before="5"/>
        <w:rPr>
          <w:rFonts w:ascii="Times New Roman" w:hAnsi="Times New Roman" w:cs="Times New Roman" w:eastAsia="Times New Roman" w:hint="default"/>
          <w:sz w:val="24"/>
          <w:szCs w:val="24"/>
        </w:rPr>
      </w:pPr>
    </w:p>
    <w:p>
      <w:pPr>
        <w:pStyle w:val="Heading1"/>
        <w:numPr>
          <w:ilvl w:val="2"/>
          <w:numId w:val="53"/>
        </w:numPr>
        <w:tabs>
          <w:tab w:pos="761" w:val="left" w:leader="none"/>
        </w:tabs>
        <w:spacing w:line="274" w:lineRule="exact" w:before="0" w:after="0"/>
        <w:ind w:left="760" w:right="0" w:hanging="600"/>
        <w:jc w:val="both"/>
        <w:rPr>
          <w:b w:val="0"/>
          <w:bCs w:val="0"/>
        </w:rPr>
      </w:pPr>
      <w:bookmarkStart w:name="_bookmark47" w:id="81"/>
      <w:bookmarkEnd w:id="81"/>
      <w:r>
        <w:rPr>
          <w:b w:val="0"/>
        </w:rPr>
      </w:r>
      <w:bookmarkStart w:name="_bookmark47" w:id="82"/>
      <w:bookmarkEnd w:id="82"/>
      <w:r>
        <w:rPr/>
        <w:t>Набав</w:t>
      </w:r>
      <w:r>
        <w:rPr/>
        <w:t>ке</w:t>
      </w:r>
      <w:r>
        <w:rPr>
          <w:b w:val="0"/>
        </w:rPr>
      </w:r>
    </w:p>
    <w:p>
      <w:pPr>
        <w:pStyle w:val="BodyText"/>
        <w:spacing w:line="240" w:lineRule="auto"/>
        <w:ind w:right="175" w:firstLine="566"/>
        <w:jc w:val="both"/>
      </w:pPr>
      <w:r>
        <w:rPr/>
        <w:t>Правилником о унутрашњем уређењу и систематизацији радних места у Управи за финансије, изворне приходе локалне самоуправе и јавне набавке формиран је Одсек за јавне набавке у коме је распоређено седам радника, који поседују сертификат за службенике за јавне набавке</w:t>
      </w:r>
      <w:r>
        <w:rPr>
          <w:rFonts w:ascii="Times New Roman" w:hAnsi="Times New Roman"/>
        </w:rPr>
        <w:t>. </w:t>
      </w:r>
      <w:r>
        <w:rPr/>
        <w:t>Начелници директних корисника средстава буџета </w:t>
      </w:r>
      <w:r>
        <w:rPr>
          <w:rFonts w:ascii="Times New Roman" w:hAnsi="Times New Roman"/>
        </w:rPr>
        <w:t>- </w:t>
      </w:r>
      <w:r>
        <w:rPr/>
        <w:t>управа и служби града, донели су планове набавки за 2014.</w:t>
      </w:r>
      <w:r>
        <w:rPr>
          <w:spacing w:val="-16"/>
        </w:rPr>
        <w:t> </w:t>
      </w:r>
      <w:r>
        <w:rPr/>
        <w:t>годину.</w:t>
      </w:r>
    </w:p>
    <w:p>
      <w:pPr>
        <w:pStyle w:val="BodyText"/>
        <w:spacing w:line="240" w:lineRule="auto"/>
        <w:ind w:right="176" w:firstLine="566"/>
        <w:jc w:val="both"/>
      </w:pPr>
      <w:r>
        <w:rPr/>
        <w:t>У 2014. години, Град је спровео 67 поступака јавних набавки у укупном износу од 152.791 хиљаде динара без ПДВ, односно 180.606 хиљада динара са ПДВ од којих 14 отворених поступака у износу од 73.577 хиљадa динара без ПДВ, односно 86.941 хиљадe динара са ПДВ, 48 поступака јавних набавки мале вредности у износу од 46.555 хиљадa динара без ПДВ, односно 54.475 хиљада динара са ПДВ, два преговарачка поступка без објављивања позива за подношење понуда у износу од 3.997 хиљада динара без ПДВ, односно 4.796 хиљада динара са ПДВ и три преговарачка поступка са објављивањем позива за подношење понуда у износу од 28.662 хиљаде динара без ПДВ, односно 34.395 хиљада динара са</w:t>
      </w:r>
      <w:r>
        <w:rPr>
          <w:spacing w:val="-6"/>
        </w:rPr>
        <w:t> </w:t>
      </w:r>
      <w:r>
        <w:rPr/>
        <w:t>ПДВ.</w:t>
      </w:r>
    </w:p>
    <w:p>
      <w:pPr>
        <w:pStyle w:val="BodyText"/>
        <w:spacing w:line="240" w:lineRule="auto"/>
        <w:ind w:right="183" w:firstLine="566"/>
        <w:jc w:val="both"/>
      </w:pPr>
      <w:r>
        <w:rPr/>
        <w:t>Град је обуставио 21 поступак јавне набавке процењене вредности 51.119 хиљада динара и то три отворена поступка процењене вредности 29.895 хиљада динара и 17 поступака јавне набавке мале вредности процењене вредности 21.224 хиљаде</w:t>
      </w:r>
      <w:r>
        <w:rPr>
          <w:spacing w:val="-19"/>
        </w:rPr>
        <w:t> </w:t>
      </w:r>
      <w:r>
        <w:rPr/>
        <w:t>динара.</w:t>
      </w:r>
    </w:p>
    <w:p>
      <w:pPr>
        <w:pStyle w:val="BodyText"/>
        <w:spacing w:line="240" w:lineRule="auto"/>
        <w:ind w:right="173" w:firstLine="566"/>
        <w:jc w:val="both"/>
      </w:pPr>
      <w:r>
        <w:rPr/>
        <w:t>Ревидирана су </w:t>
      </w:r>
      <w:r>
        <w:rPr>
          <w:rFonts w:ascii="Times New Roman" w:hAnsi="Times New Roman"/>
        </w:rPr>
        <w:t>22 </w:t>
      </w:r>
      <w:r>
        <w:rPr/>
        <w:t>спроведена поступка јавних набавки у вредности од </w:t>
      </w:r>
      <w:r>
        <w:rPr>
          <w:rFonts w:ascii="Times New Roman" w:hAnsi="Times New Roman"/>
        </w:rPr>
        <w:t>105.080 </w:t>
      </w:r>
      <w:r>
        <w:rPr/>
        <w:t>хиљада динара без ПДВ, односно </w:t>
      </w:r>
      <w:r>
        <w:rPr>
          <w:rFonts w:ascii="Times New Roman" w:hAnsi="Times New Roman"/>
        </w:rPr>
        <w:t>123.870 </w:t>
      </w:r>
      <w:r>
        <w:rPr/>
        <w:t>хиљада динара са ПДВ, од којих седам отворених поступака у вредности од </w:t>
      </w:r>
      <w:r>
        <w:rPr>
          <w:rFonts w:ascii="Times New Roman" w:hAnsi="Times New Roman"/>
        </w:rPr>
        <w:t>56.808 </w:t>
      </w:r>
      <w:r>
        <w:rPr/>
        <w:t>хиљада динара без ПДВ, односно </w:t>
      </w:r>
      <w:r>
        <w:rPr>
          <w:rFonts w:ascii="Times New Roman" w:hAnsi="Times New Roman"/>
        </w:rPr>
        <w:t>66.818 </w:t>
      </w:r>
      <w:r>
        <w:rPr/>
        <w:t>хиљада динара са ПДВ, 11 поступака јавних набавки мале вредности у вредности од </w:t>
      </w:r>
      <w:r>
        <w:rPr>
          <w:rFonts w:ascii="Times New Roman" w:hAnsi="Times New Roman"/>
        </w:rPr>
        <w:t>15.613 </w:t>
      </w:r>
      <w:r>
        <w:rPr/>
        <w:t>хиљада динара без ПДВ, односно </w:t>
      </w:r>
      <w:r>
        <w:rPr>
          <w:rFonts w:ascii="Times New Roman" w:hAnsi="Times New Roman"/>
        </w:rPr>
        <w:t>17.861 </w:t>
      </w:r>
      <w:r>
        <w:rPr/>
        <w:t>хиљада динара са ПДВ и пет преговарачких поступка у вредности од 32.659 хиљада динара без ПДВ, односно 39.191 хиљада динара са</w:t>
      </w:r>
      <w:r>
        <w:rPr>
          <w:spacing w:val="-6"/>
        </w:rPr>
        <w:t> </w:t>
      </w:r>
      <w:r>
        <w:rPr/>
        <w:t>ПДВ.</w:t>
      </w:r>
    </w:p>
    <w:p>
      <w:pPr>
        <w:pStyle w:val="BodyText"/>
        <w:spacing w:line="240" w:lineRule="auto"/>
        <w:ind w:right="176" w:firstLine="566"/>
        <w:jc w:val="both"/>
      </w:pPr>
      <w:r>
        <w:rPr/>
        <w:t>Ревидирана је и једна јавна набавка добара у отвореном поступку – набавка енергената – лож </w:t>
      </w:r>
      <w:r>
        <w:rPr>
          <w:spacing w:val="-2"/>
        </w:rPr>
        <w:t>уља </w:t>
      </w:r>
      <w:r>
        <w:rPr/>
        <w:t>(гасног уља екстра лако евро ЕЛ) број 404</w:t>
      </w:r>
      <w:r>
        <w:rPr>
          <w:rFonts w:ascii="Times New Roman" w:hAnsi="Times New Roman" w:cs="Times New Roman" w:eastAsia="Times New Roman" w:hint="default"/>
        </w:rPr>
        <w:t>-</w:t>
      </w:r>
      <w:r>
        <w:rPr/>
        <w:t>2д/7</w:t>
      </w:r>
      <w:r>
        <w:rPr>
          <w:rFonts w:ascii="Times New Roman" w:hAnsi="Times New Roman" w:cs="Times New Roman" w:eastAsia="Times New Roman" w:hint="default"/>
        </w:rPr>
        <w:t>-2014-</w:t>
      </w:r>
      <w:r>
        <w:rPr/>
        <w:t>11 од 02.06.2014. године – Управа за образовање, по којој су школе, као наручиоци у поступку закључили уговоре са „Милетић Петрол“ доо Шалудовац дана 26.08.2014. године у укупној вредности од 93.136 хиљада динара без ПДВ, односно 111.760 хиљада динара са ПДВ.</w:t>
      </w:r>
    </w:p>
    <w:p>
      <w:pPr>
        <w:pStyle w:val="BodyText"/>
        <w:spacing w:line="240" w:lineRule="auto"/>
        <w:ind w:left="726" w:right="141"/>
        <w:jc w:val="left"/>
      </w:pPr>
      <w:r>
        <w:rPr/>
        <w:t>У складу са Законом о јавним набавкама спроведене су следеће јавне</w:t>
      </w:r>
      <w:r>
        <w:rPr>
          <w:spacing w:val="-20"/>
        </w:rPr>
        <w:t> </w:t>
      </w:r>
      <w:r>
        <w:rPr/>
        <w:t>набавке:</w:t>
      </w:r>
    </w:p>
    <w:p>
      <w:pPr>
        <w:pStyle w:val="ListParagraph"/>
        <w:numPr>
          <w:ilvl w:val="3"/>
          <w:numId w:val="53"/>
        </w:numPr>
        <w:tabs>
          <w:tab w:pos="1013" w:val="left" w:leader="none"/>
        </w:tabs>
        <w:spacing w:line="240" w:lineRule="auto" w:before="0" w:after="0"/>
        <w:ind w:left="160" w:right="177"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Јавна набавка у отвореном поступку, набавка услуга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набавка пружања финансијских услуга – финансирање дефицита текуће ликвидности буџета града Ниша, број 404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2у/1</w:t>
      </w:r>
      <w:r>
        <w:rPr>
          <w:rFonts w:ascii="Times New Roman" w:hAnsi="Times New Roman" w:cs="Times New Roman" w:eastAsia="Times New Roman" w:hint="default"/>
          <w:sz w:val="24"/>
          <w:szCs w:val="24"/>
        </w:rPr>
        <w:t>-2014-</w:t>
      </w:r>
      <w:r>
        <w:rPr>
          <w:rFonts w:ascii="Times New Roman" w:hAnsi="Times New Roman" w:cs="Times New Roman" w:eastAsia="Times New Roman" w:hint="default"/>
          <w:sz w:val="24"/>
          <w:szCs w:val="24"/>
        </w:rPr>
        <w:t>11 од 12.02.2014. године – Управа за финансије, изворне приходе локалне самоуправе и јавне</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набавке,</w:t>
      </w:r>
    </w:p>
    <w:p>
      <w:pPr>
        <w:pStyle w:val="ListParagraph"/>
        <w:numPr>
          <w:ilvl w:val="3"/>
          <w:numId w:val="53"/>
        </w:numPr>
        <w:tabs>
          <w:tab w:pos="1013" w:val="left" w:leader="none"/>
        </w:tabs>
        <w:spacing w:line="240" w:lineRule="auto" w:before="0" w:after="0"/>
        <w:ind w:left="160" w:right="174" w:firstLine="566"/>
        <w:jc w:val="both"/>
        <w:rPr>
          <w:rFonts w:ascii="Times New Roman" w:hAnsi="Times New Roman" w:cs="Times New Roman" w:eastAsia="Times New Roman" w:hint="default"/>
          <w:sz w:val="24"/>
          <w:szCs w:val="24"/>
        </w:rPr>
      </w:pPr>
      <w:r>
        <w:rPr>
          <w:rFonts w:ascii="Times New Roman" w:hAnsi="Times New Roman"/>
          <w:sz w:val="24"/>
        </w:rPr>
        <w:t>Јавна набавка радова у отвореном поступку </w:t>
      </w:r>
      <w:r>
        <w:rPr>
          <w:rFonts w:ascii="Times New Roman" w:hAnsi="Times New Roman"/>
          <w:sz w:val="24"/>
        </w:rPr>
        <w:t>- </w:t>
      </w:r>
      <w:r>
        <w:rPr>
          <w:rFonts w:ascii="Times New Roman" w:hAnsi="Times New Roman"/>
          <w:sz w:val="24"/>
        </w:rPr>
        <w:t>Набавка радова на уклањању бесправно изграђених објеката број 404</w:t>
      </w:r>
      <w:r>
        <w:rPr>
          <w:rFonts w:ascii="Times New Roman" w:hAnsi="Times New Roman"/>
          <w:sz w:val="24"/>
        </w:rPr>
        <w:t>-</w:t>
      </w:r>
      <w:r>
        <w:rPr>
          <w:rFonts w:ascii="Times New Roman" w:hAnsi="Times New Roman"/>
          <w:sz w:val="24"/>
        </w:rPr>
        <w:t>2р/2014</w:t>
      </w:r>
      <w:r>
        <w:rPr>
          <w:rFonts w:ascii="Times New Roman" w:hAnsi="Times New Roman"/>
          <w:sz w:val="24"/>
        </w:rPr>
        <w:t>-</w:t>
      </w:r>
      <w:r>
        <w:rPr>
          <w:rFonts w:ascii="Times New Roman" w:hAnsi="Times New Roman"/>
          <w:sz w:val="24"/>
        </w:rPr>
        <w:t>04 од 28.02.2014. године </w:t>
      </w:r>
      <w:r>
        <w:rPr>
          <w:rFonts w:ascii="Times New Roman" w:hAnsi="Times New Roman"/>
          <w:sz w:val="24"/>
        </w:rPr>
        <w:t>- </w:t>
      </w:r>
      <w:r>
        <w:rPr>
          <w:rFonts w:ascii="Times New Roman" w:hAnsi="Times New Roman"/>
          <w:sz w:val="24"/>
        </w:rPr>
        <w:t>Управа за имовину и инспекцијске</w:t>
      </w:r>
      <w:r>
        <w:rPr>
          <w:rFonts w:ascii="Times New Roman" w:hAnsi="Times New Roman"/>
          <w:spacing w:val="-17"/>
          <w:sz w:val="24"/>
        </w:rPr>
        <w:t> </w:t>
      </w:r>
      <w:r>
        <w:rPr>
          <w:rFonts w:ascii="Times New Roman" w:hAnsi="Times New Roman"/>
          <w:sz w:val="24"/>
        </w:rPr>
        <w:t>послове,</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ListParagraph"/>
        <w:numPr>
          <w:ilvl w:val="3"/>
          <w:numId w:val="53"/>
        </w:numPr>
        <w:tabs>
          <w:tab w:pos="1013" w:val="left" w:leader="none"/>
        </w:tabs>
        <w:spacing w:line="240" w:lineRule="auto" w:before="122" w:after="0"/>
        <w:ind w:left="160" w:right="178"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Јавна набавка мале вредности услуга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електрична енергија за пословни и стамбени простор којим управља и располаже град Ниш број 404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1Д/69</w:t>
      </w:r>
      <w:r>
        <w:rPr>
          <w:rFonts w:ascii="Times New Roman" w:hAnsi="Times New Roman" w:cs="Times New Roman" w:eastAsia="Times New Roman" w:hint="default"/>
          <w:sz w:val="24"/>
          <w:szCs w:val="24"/>
        </w:rPr>
        <w:t>-2014-</w:t>
      </w:r>
      <w:r>
        <w:rPr>
          <w:rFonts w:ascii="Times New Roman" w:hAnsi="Times New Roman" w:cs="Times New Roman" w:eastAsia="Times New Roman" w:hint="default"/>
          <w:sz w:val="24"/>
          <w:szCs w:val="24"/>
        </w:rPr>
        <w:t>11 од 10.12.2014. године – Управа за имовину и инспекцијске</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послове,</w:t>
      </w:r>
    </w:p>
    <w:p>
      <w:pPr>
        <w:pStyle w:val="ListParagraph"/>
        <w:numPr>
          <w:ilvl w:val="3"/>
          <w:numId w:val="53"/>
        </w:numPr>
        <w:tabs>
          <w:tab w:pos="1013" w:val="left" w:leader="none"/>
        </w:tabs>
        <w:spacing w:line="240" w:lineRule="auto" w:before="0" w:after="0"/>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Јавна набавка мале вредности, набавка услуга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пројекат унапређења безбедности саобраћаја у зони улице Ђуке Динић, број 404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1у/23</w:t>
      </w:r>
      <w:r>
        <w:rPr>
          <w:rFonts w:ascii="Times New Roman" w:hAnsi="Times New Roman" w:cs="Times New Roman" w:eastAsia="Times New Roman" w:hint="default"/>
          <w:sz w:val="24"/>
          <w:szCs w:val="24"/>
        </w:rPr>
        <w:t>-2014-</w:t>
      </w:r>
      <w:r>
        <w:rPr>
          <w:rFonts w:ascii="Times New Roman" w:hAnsi="Times New Roman" w:cs="Times New Roman" w:eastAsia="Times New Roman" w:hint="default"/>
          <w:sz w:val="24"/>
          <w:szCs w:val="24"/>
        </w:rPr>
        <w:t>11 од 29.05.2014. године – Управа за комуналне делатности, енергетику и</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саобраћај,</w:t>
      </w:r>
    </w:p>
    <w:p>
      <w:pPr>
        <w:pStyle w:val="ListParagraph"/>
        <w:numPr>
          <w:ilvl w:val="3"/>
          <w:numId w:val="53"/>
        </w:numPr>
        <w:tabs>
          <w:tab w:pos="1013" w:val="left" w:leader="none"/>
        </w:tabs>
        <w:spacing w:line="240" w:lineRule="auto" w:before="0" w:after="0"/>
        <w:ind w:left="160" w:right="176"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Јавна набавка мале вредности услуга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Набавка пружања услуга систематске дератизације на територији града Ниша за 2014. годину број 404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1У/31</w:t>
      </w:r>
      <w:r>
        <w:rPr>
          <w:rFonts w:ascii="Times New Roman" w:hAnsi="Times New Roman" w:cs="Times New Roman" w:eastAsia="Times New Roman" w:hint="default"/>
          <w:sz w:val="24"/>
          <w:szCs w:val="24"/>
        </w:rPr>
        <w:t>-2014-</w:t>
      </w:r>
      <w:r>
        <w:rPr>
          <w:rFonts w:ascii="Times New Roman" w:hAnsi="Times New Roman" w:cs="Times New Roman" w:eastAsia="Times New Roman" w:hint="default"/>
          <w:sz w:val="24"/>
          <w:szCs w:val="24"/>
        </w:rPr>
        <w:t>11 од </w:t>
      </w:r>
      <w:r>
        <w:rPr>
          <w:rFonts w:ascii="Times New Roman" w:hAnsi="Times New Roman" w:cs="Times New Roman" w:eastAsia="Times New Roman" w:hint="default"/>
          <w:sz w:val="24"/>
          <w:szCs w:val="24"/>
        </w:rPr>
        <w:t>17.07.2014. </w:t>
      </w:r>
      <w:r>
        <w:rPr>
          <w:rFonts w:ascii="Times New Roman" w:hAnsi="Times New Roman" w:cs="Times New Roman" w:eastAsia="Times New Roman" w:hint="default"/>
          <w:sz w:val="24"/>
          <w:szCs w:val="24"/>
        </w:rPr>
        <w:t>године – Управа за комуналне делатности, енергетику и</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саобраћај,</w:t>
      </w:r>
    </w:p>
    <w:p>
      <w:pPr>
        <w:pStyle w:val="ListParagraph"/>
        <w:numPr>
          <w:ilvl w:val="3"/>
          <w:numId w:val="53"/>
        </w:numPr>
        <w:tabs>
          <w:tab w:pos="1013" w:val="left" w:leader="none"/>
        </w:tabs>
        <w:spacing w:line="240" w:lineRule="auto" w:before="0" w:after="0"/>
        <w:ind w:left="160" w:right="174"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Јавна набавка мале вредности услуга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Набавка пружања услуга у циљу реализације Програма спровођења дезинсекције на територији града Ниша за 2014. годину број 404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1у/9</w:t>
      </w:r>
      <w:r>
        <w:rPr>
          <w:rFonts w:ascii="Times New Roman" w:hAnsi="Times New Roman" w:cs="Times New Roman" w:eastAsia="Times New Roman" w:hint="default"/>
          <w:sz w:val="24"/>
          <w:szCs w:val="24"/>
        </w:rPr>
        <w:t>-2014-</w:t>
      </w:r>
      <w:r>
        <w:rPr>
          <w:rFonts w:ascii="Times New Roman" w:hAnsi="Times New Roman" w:cs="Times New Roman" w:eastAsia="Times New Roman" w:hint="default"/>
          <w:sz w:val="24"/>
          <w:szCs w:val="24"/>
        </w:rPr>
        <w:t>11 од 27.03.2014. године – Управа за привреду,  одрживи  развој и заштиту животне</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средине,</w:t>
      </w:r>
    </w:p>
    <w:p>
      <w:pPr>
        <w:pStyle w:val="ListParagraph"/>
        <w:numPr>
          <w:ilvl w:val="3"/>
          <w:numId w:val="53"/>
        </w:numPr>
        <w:tabs>
          <w:tab w:pos="1013" w:val="left" w:leader="none"/>
        </w:tabs>
        <w:spacing w:line="240" w:lineRule="auto" w:before="0" w:after="0"/>
        <w:ind w:left="160" w:right="175"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Јавна набавка мале вредности услуга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Набавка избора организације за пружање услуге у циљу реализације Програма праћења нивоа комуналне буке на територији града Ниша за 2014/2015 године број 404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1У/61</w:t>
      </w:r>
      <w:r>
        <w:rPr>
          <w:rFonts w:ascii="Times New Roman" w:hAnsi="Times New Roman" w:cs="Times New Roman" w:eastAsia="Times New Roman" w:hint="default"/>
          <w:sz w:val="24"/>
          <w:szCs w:val="24"/>
        </w:rPr>
        <w:t>-2014-</w:t>
      </w:r>
      <w:r>
        <w:rPr>
          <w:rFonts w:ascii="Times New Roman" w:hAnsi="Times New Roman" w:cs="Times New Roman" w:eastAsia="Times New Roman" w:hint="default"/>
          <w:sz w:val="24"/>
          <w:szCs w:val="24"/>
        </w:rPr>
        <w:t>11 од 01.12.2014. године –Управа за привреду, одрживи развој и заштиту животне</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средине,</w:t>
      </w:r>
    </w:p>
    <w:p>
      <w:pPr>
        <w:pStyle w:val="ListParagraph"/>
        <w:numPr>
          <w:ilvl w:val="3"/>
          <w:numId w:val="53"/>
        </w:numPr>
        <w:tabs>
          <w:tab w:pos="1013" w:val="left" w:leader="none"/>
        </w:tabs>
        <w:spacing w:line="240" w:lineRule="auto" w:before="0" w:after="0"/>
        <w:ind w:left="160" w:right="172"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Јавна набавка мале вредности услуга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Набавка избора организације за пружање услуге у циљу реализације Програма озелењавања дворишта школских и предшколских установа у циљу смањења нивоа буке и аерозагађења у 2014. години број 404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1У/74</w:t>
      </w:r>
      <w:r>
        <w:rPr>
          <w:rFonts w:ascii="Times New Roman" w:hAnsi="Times New Roman" w:cs="Times New Roman" w:eastAsia="Times New Roman" w:hint="default"/>
          <w:sz w:val="24"/>
          <w:szCs w:val="24"/>
        </w:rPr>
        <w:t>- 2014-</w:t>
      </w:r>
      <w:r>
        <w:rPr>
          <w:rFonts w:ascii="Times New Roman" w:hAnsi="Times New Roman" w:cs="Times New Roman" w:eastAsia="Times New Roman" w:hint="default"/>
          <w:sz w:val="24"/>
          <w:szCs w:val="24"/>
        </w:rPr>
        <w:t>11 од 12.12.2014. године – Управа за привреду, одрживи развој и заштиту животне средине,</w:t>
      </w:r>
    </w:p>
    <w:p>
      <w:pPr>
        <w:pStyle w:val="ListParagraph"/>
        <w:numPr>
          <w:ilvl w:val="3"/>
          <w:numId w:val="53"/>
        </w:numPr>
        <w:tabs>
          <w:tab w:pos="1013" w:val="left" w:leader="none"/>
        </w:tabs>
        <w:spacing w:line="240" w:lineRule="auto" w:before="0" w:after="0"/>
        <w:ind w:left="160" w:right="172" w:firstLine="566"/>
        <w:jc w:val="both"/>
        <w:rPr>
          <w:rFonts w:ascii="Times New Roman" w:hAnsi="Times New Roman" w:cs="Times New Roman" w:eastAsia="Times New Roman" w:hint="default"/>
          <w:sz w:val="24"/>
          <w:szCs w:val="24"/>
        </w:rPr>
      </w:pPr>
      <w:r>
        <w:rPr>
          <w:rFonts w:ascii="Times New Roman" w:hAnsi="Times New Roman"/>
          <w:sz w:val="24"/>
        </w:rPr>
        <w:t>Јавна набавка мале вредности добара </w:t>
      </w:r>
      <w:r>
        <w:rPr>
          <w:rFonts w:ascii="Times New Roman" w:hAnsi="Times New Roman"/>
          <w:sz w:val="24"/>
        </w:rPr>
        <w:t>- </w:t>
      </w:r>
      <w:r>
        <w:rPr>
          <w:rFonts w:ascii="Times New Roman" w:hAnsi="Times New Roman"/>
          <w:sz w:val="24"/>
        </w:rPr>
        <w:t>Набавка течног нафтног гаса за годишње потребе управа и служби Града број 404</w:t>
      </w:r>
      <w:r>
        <w:rPr>
          <w:rFonts w:ascii="Times New Roman" w:hAnsi="Times New Roman"/>
          <w:sz w:val="24"/>
        </w:rPr>
        <w:t>-</w:t>
      </w:r>
      <w:r>
        <w:rPr>
          <w:rFonts w:ascii="Times New Roman" w:hAnsi="Times New Roman"/>
          <w:sz w:val="24"/>
        </w:rPr>
        <w:t>1Д/2</w:t>
      </w:r>
      <w:r>
        <w:rPr>
          <w:rFonts w:ascii="Times New Roman" w:hAnsi="Times New Roman"/>
          <w:sz w:val="24"/>
        </w:rPr>
        <w:t>-2014-</w:t>
      </w:r>
      <w:r>
        <w:rPr>
          <w:rFonts w:ascii="Times New Roman" w:hAnsi="Times New Roman"/>
          <w:sz w:val="24"/>
        </w:rPr>
        <w:t>11 од 03.03.2014. године </w:t>
      </w:r>
      <w:r>
        <w:rPr>
          <w:rFonts w:ascii="Times New Roman" w:hAnsi="Times New Roman"/>
          <w:sz w:val="24"/>
        </w:rPr>
        <w:t>- </w:t>
      </w:r>
      <w:r>
        <w:rPr>
          <w:rFonts w:ascii="Times New Roman" w:hAnsi="Times New Roman"/>
          <w:sz w:val="24"/>
        </w:rPr>
        <w:t>Служба за одржавање и информатичко</w:t>
      </w:r>
      <w:r>
        <w:rPr>
          <w:rFonts w:ascii="Times New Roman" w:hAnsi="Times New Roman"/>
          <w:sz w:val="24"/>
        </w:rPr>
        <w:t>-</w:t>
      </w:r>
      <w:r>
        <w:rPr>
          <w:rFonts w:ascii="Times New Roman" w:hAnsi="Times New Roman"/>
          <w:sz w:val="24"/>
        </w:rPr>
        <w:t>комуникационе</w:t>
      </w:r>
      <w:r>
        <w:rPr>
          <w:rFonts w:ascii="Times New Roman" w:hAnsi="Times New Roman"/>
          <w:spacing w:val="-17"/>
          <w:sz w:val="24"/>
        </w:rPr>
        <w:t> </w:t>
      </w:r>
      <w:r>
        <w:rPr>
          <w:rFonts w:ascii="Times New Roman" w:hAnsi="Times New Roman"/>
          <w:sz w:val="24"/>
        </w:rPr>
        <w:t>технологије,</w:t>
      </w:r>
    </w:p>
    <w:p>
      <w:pPr>
        <w:pStyle w:val="ListParagraph"/>
        <w:numPr>
          <w:ilvl w:val="3"/>
          <w:numId w:val="53"/>
        </w:numPr>
        <w:tabs>
          <w:tab w:pos="1154" w:val="left" w:leader="none"/>
        </w:tabs>
        <w:spacing w:line="240" w:lineRule="auto" w:before="0" w:after="0"/>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Јавна набавка мале вредности, набавка добра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четири службена аутомобила за потребе управа и служби града Ниша, број 404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1д/11</w:t>
      </w:r>
      <w:r>
        <w:rPr>
          <w:rFonts w:ascii="Times New Roman" w:hAnsi="Times New Roman" w:cs="Times New Roman" w:eastAsia="Times New Roman" w:hint="default"/>
          <w:sz w:val="24"/>
          <w:szCs w:val="24"/>
        </w:rPr>
        <w:t>-2014-</w:t>
      </w:r>
      <w:r>
        <w:rPr>
          <w:rFonts w:ascii="Times New Roman" w:hAnsi="Times New Roman" w:cs="Times New Roman" w:eastAsia="Times New Roman" w:hint="default"/>
          <w:sz w:val="24"/>
          <w:szCs w:val="24"/>
        </w:rPr>
        <w:t>11 од 11.04.2014. године – Служба за одржавање и информатичко – комуникационе</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технологије,</w:t>
      </w:r>
    </w:p>
    <w:p>
      <w:pPr>
        <w:pStyle w:val="ListParagraph"/>
        <w:numPr>
          <w:ilvl w:val="3"/>
          <w:numId w:val="53"/>
        </w:numPr>
        <w:tabs>
          <w:tab w:pos="1214" w:val="left" w:leader="none"/>
        </w:tabs>
        <w:spacing w:line="240" w:lineRule="auto" w:before="0" w:after="0"/>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Јавна набавка услуга у отвореном поступку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Набавка електричне енергије за годишње потребе управа и служби града Ниша број 404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2Д/3</w:t>
      </w:r>
      <w:r>
        <w:rPr>
          <w:rFonts w:ascii="Times New Roman" w:hAnsi="Times New Roman" w:cs="Times New Roman" w:eastAsia="Times New Roman" w:hint="default"/>
          <w:sz w:val="24"/>
          <w:szCs w:val="24"/>
        </w:rPr>
        <w:t>-2014-</w:t>
      </w:r>
      <w:r>
        <w:rPr>
          <w:rFonts w:ascii="Times New Roman" w:hAnsi="Times New Roman" w:cs="Times New Roman" w:eastAsia="Times New Roman" w:hint="default"/>
          <w:sz w:val="24"/>
          <w:szCs w:val="24"/>
        </w:rPr>
        <w:t>11 од </w:t>
      </w:r>
      <w:r>
        <w:rPr>
          <w:rFonts w:ascii="Times New Roman" w:hAnsi="Times New Roman" w:cs="Times New Roman" w:eastAsia="Times New Roman" w:hint="default"/>
          <w:sz w:val="24"/>
          <w:szCs w:val="24"/>
        </w:rPr>
        <w:t>29.04.2014. </w:t>
      </w:r>
      <w:r>
        <w:rPr>
          <w:rFonts w:ascii="Times New Roman" w:hAnsi="Times New Roman" w:cs="Times New Roman" w:eastAsia="Times New Roman" w:hint="default"/>
          <w:sz w:val="24"/>
          <w:szCs w:val="24"/>
        </w:rPr>
        <w:t>године – Служба за одржавање и информатичко</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комуникационе</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технологије</w:t>
      </w:r>
      <w:r>
        <w:rPr>
          <w:rFonts w:ascii="Times New Roman" w:hAnsi="Times New Roman" w:cs="Times New Roman" w:eastAsia="Times New Roman" w:hint="default"/>
          <w:sz w:val="24"/>
          <w:szCs w:val="24"/>
        </w:rPr>
        <w:t>,</w:t>
      </w:r>
    </w:p>
    <w:p>
      <w:pPr>
        <w:pStyle w:val="ListParagraph"/>
        <w:numPr>
          <w:ilvl w:val="3"/>
          <w:numId w:val="53"/>
        </w:numPr>
        <w:tabs>
          <w:tab w:pos="1154" w:val="left" w:leader="none"/>
        </w:tabs>
        <w:spacing w:line="240" w:lineRule="auto" w:before="0" w:after="0"/>
        <w:ind w:left="160" w:right="174"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Јавна набавка радова у преговарачком поступку са објављивањем позива за подношење понуда, набавка радова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извођења радова на изради централне  климатизације објекта града Ниша у улици Николе Пашића број 24, број 404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3р/4</w:t>
      </w:r>
      <w:r>
        <w:rPr>
          <w:rFonts w:ascii="Times New Roman" w:hAnsi="Times New Roman" w:cs="Times New Roman" w:eastAsia="Times New Roman" w:hint="default"/>
          <w:sz w:val="24"/>
          <w:szCs w:val="24"/>
        </w:rPr>
        <w:t>-2014- 11 </w:t>
      </w:r>
      <w:r>
        <w:rPr>
          <w:rFonts w:ascii="Times New Roman" w:hAnsi="Times New Roman" w:cs="Times New Roman" w:eastAsia="Times New Roman" w:hint="default"/>
          <w:sz w:val="24"/>
          <w:szCs w:val="24"/>
        </w:rPr>
        <w:t>од 18.09.2014. године – Служба за одржавање и информатичко – комуникационе технологије,</w:t>
      </w:r>
    </w:p>
    <w:p>
      <w:pPr>
        <w:pStyle w:val="ListParagraph"/>
        <w:numPr>
          <w:ilvl w:val="3"/>
          <w:numId w:val="53"/>
        </w:numPr>
        <w:tabs>
          <w:tab w:pos="1154" w:val="left" w:leader="none"/>
        </w:tabs>
        <w:spacing w:line="240" w:lineRule="auto" w:before="0" w:after="0"/>
        <w:ind w:left="160" w:right="172"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Јавна набавка мале вредности услуга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Сервисирање и поправка службених возила марке „Chevrolet” и „Opel“ за годишње потребе управа и служби града Ниша број </w:t>
      </w:r>
      <w:r>
        <w:rPr>
          <w:rFonts w:ascii="Times New Roman" w:hAnsi="Times New Roman" w:cs="Times New Roman" w:eastAsia="Times New Roman" w:hint="default"/>
          <w:sz w:val="24"/>
          <w:szCs w:val="24"/>
        </w:rPr>
        <w:t>404-</w:t>
      </w:r>
      <w:r>
        <w:rPr>
          <w:rFonts w:ascii="Times New Roman" w:hAnsi="Times New Roman" w:cs="Times New Roman" w:eastAsia="Times New Roman" w:hint="default"/>
          <w:sz w:val="24"/>
          <w:szCs w:val="24"/>
        </w:rPr>
        <w:t>1У/46</w:t>
      </w:r>
      <w:r>
        <w:rPr>
          <w:rFonts w:ascii="Times New Roman" w:hAnsi="Times New Roman" w:cs="Times New Roman" w:eastAsia="Times New Roman" w:hint="default"/>
          <w:sz w:val="24"/>
          <w:szCs w:val="24"/>
        </w:rPr>
        <w:t>-2014-</w:t>
      </w:r>
      <w:r>
        <w:rPr>
          <w:rFonts w:ascii="Times New Roman" w:hAnsi="Times New Roman" w:cs="Times New Roman" w:eastAsia="Times New Roman" w:hint="default"/>
          <w:sz w:val="24"/>
          <w:szCs w:val="24"/>
        </w:rPr>
        <w:t>11 од 14.11.2014. године – Служба за одржавање и информатичко</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комуникационе</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технологије,</w:t>
      </w:r>
    </w:p>
    <w:p>
      <w:pPr>
        <w:pStyle w:val="ListParagraph"/>
        <w:numPr>
          <w:ilvl w:val="3"/>
          <w:numId w:val="53"/>
        </w:numPr>
        <w:tabs>
          <w:tab w:pos="1154" w:val="left" w:leader="none"/>
        </w:tabs>
        <w:spacing w:line="240" w:lineRule="auto" w:before="0" w:after="0"/>
        <w:ind w:left="160" w:right="176"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Јавна набавка мале вредности, набавка добра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набавка противградних ракета за потребе противградне заштите на територији града Ниша број 404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1д/16</w:t>
      </w:r>
      <w:r>
        <w:rPr>
          <w:rFonts w:ascii="Times New Roman" w:hAnsi="Times New Roman" w:cs="Times New Roman" w:eastAsia="Times New Roman" w:hint="default"/>
          <w:sz w:val="24"/>
          <w:szCs w:val="24"/>
        </w:rPr>
        <w:t>-2014-</w:t>
      </w:r>
      <w:r>
        <w:rPr>
          <w:rFonts w:ascii="Times New Roman" w:hAnsi="Times New Roman" w:cs="Times New Roman" w:eastAsia="Times New Roman" w:hint="default"/>
          <w:sz w:val="24"/>
          <w:szCs w:val="24"/>
        </w:rPr>
        <w:t>11 од 22.04.2014. године – Управа за пољопривреду и развој</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села,</w:t>
      </w:r>
    </w:p>
    <w:p>
      <w:pPr>
        <w:pStyle w:val="ListParagraph"/>
        <w:numPr>
          <w:ilvl w:val="3"/>
          <w:numId w:val="53"/>
        </w:numPr>
        <w:tabs>
          <w:tab w:pos="1154" w:val="left" w:leader="none"/>
        </w:tabs>
        <w:spacing w:line="240" w:lineRule="auto" w:before="0" w:after="0"/>
        <w:ind w:left="160" w:right="176"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Јавна набавка у отвореном поступку, набавка радова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набавка извођење радова за спровођење одбране од поплаве на територији града Ниша број 404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2р/8</w:t>
      </w:r>
      <w:r>
        <w:rPr>
          <w:rFonts w:ascii="Times New Roman" w:hAnsi="Times New Roman" w:cs="Times New Roman" w:eastAsia="Times New Roman" w:hint="default"/>
          <w:sz w:val="24"/>
          <w:szCs w:val="24"/>
        </w:rPr>
        <w:t>-2014-</w:t>
      </w:r>
      <w:r>
        <w:rPr>
          <w:rFonts w:ascii="Times New Roman" w:hAnsi="Times New Roman" w:cs="Times New Roman" w:eastAsia="Times New Roman" w:hint="default"/>
          <w:sz w:val="24"/>
          <w:szCs w:val="24"/>
        </w:rPr>
        <w:t>11 од </w:t>
      </w:r>
      <w:r>
        <w:rPr>
          <w:rFonts w:ascii="Times New Roman" w:hAnsi="Times New Roman" w:cs="Times New Roman" w:eastAsia="Times New Roman" w:hint="default"/>
          <w:sz w:val="24"/>
          <w:szCs w:val="24"/>
        </w:rPr>
        <w:t>17.06.2014. </w:t>
      </w:r>
      <w:r>
        <w:rPr>
          <w:rFonts w:ascii="Times New Roman" w:hAnsi="Times New Roman" w:cs="Times New Roman" w:eastAsia="Times New Roman" w:hint="default"/>
          <w:sz w:val="24"/>
          <w:szCs w:val="24"/>
        </w:rPr>
        <w:t>године – Управа за пољопривреду и развој</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села,</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ListParagraph"/>
        <w:numPr>
          <w:ilvl w:val="3"/>
          <w:numId w:val="53"/>
        </w:numPr>
        <w:tabs>
          <w:tab w:pos="1154" w:val="left" w:leader="none"/>
        </w:tabs>
        <w:spacing w:line="240" w:lineRule="auto" w:before="122" w:after="0"/>
        <w:ind w:left="160" w:right="175"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Јавна набавка у преговарачком поступку без објављивања позива за подношење понуда, набавка добра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набавка противградних ракета за потребе противградне заштите на територији града Ниша, број 404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3д/2</w:t>
      </w:r>
      <w:r>
        <w:rPr>
          <w:rFonts w:ascii="Times New Roman" w:hAnsi="Times New Roman" w:cs="Times New Roman" w:eastAsia="Times New Roman" w:hint="default"/>
          <w:sz w:val="24"/>
          <w:szCs w:val="24"/>
        </w:rPr>
        <w:t>-2014-</w:t>
      </w:r>
      <w:r>
        <w:rPr>
          <w:rFonts w:ascii="Times New Roman" w:hAnsi="Times New Roman" w:cs="Times New Roman" w:eastAsia="Times New Roman" w:hint="default"/>
          <w:sz w:val="24"/>
          <w:szCs w:val="24"/>
        </w:rPr>
        <w:t>11 од 27.06.2014. године – Управа за пољопривреду и развој</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села.</w:t>
      </w:r>
    </w:p>
    <w:p>
      <w:pPr>
        <w:pStyle w:val="ListParagraph"/>
        <w:numPr>
          <w:ilvl w:val="3"/>
          <w:numId w:val="53"/>
        </w:numPr>
        <w:tabs>
          <w:tab w:pos="1154" w:val="left" w:leader="none"/>
        </w:tabs>
        <w:spacing w:line="240" w:lineRule="auto" w:before="0" w:after="0"/>
        <w:ind w:left="160" w:right="174"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Јавна набавка радова у отвореном поступку по партијама – уређење атарских путева на територији града Ниша, број 404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2р/10</w:t>
      </w:r>
      <w:r>
        <w:rPr>
          <w:rFonts w:ascii="Times New Roman" w:hAnsi="Times New Roman" w:cs="Times New Roman" w:eastAsia="Times New Roman" w:hint="default"/>
          <w:sz w:val="24"/>
          <w:szCs w:val="24"/>
        </w:rPr>
        <w:t>-2014-</w:t>
      </w:r>
      <w:r>
        <w:rPr>
          <w:rFonts w:ascii="Times New Roman" w:hAnsi="Times New Roman" w:cs="Times New Roman" w:eastAsia="Times New Roman" w:hint="default"/>
          <w:sz w:val="24"/>
          <w:szCs w:val="24"/>
        </w:rPr>
        <w:t>11 од 07.07.2014. године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Управа за пољопривреду и развој</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села</w:t>
      </w:r>
      <w:r>
        <w:rPr>
          <w:rFonts w:ascii="Times New Roman" w:hAnsi="Times New Roman" w:cs="Times New Roman" w:eastAsia="Times New Roman" w:hint="default"/>
          <w:sz w:val="24"/>
          <w:szCs w:val="24"/>
        </w:rPr>
        <w:t>,</w:t>
      </w:r>
    </w:p>
    <w:p>
      <w:pPr>
        <w:pStyle w:val="ListParagraph"/>
        <w:numPr>
          <w:ilvl w:val="3"/>
          <w:numId w:val="53"/>
        </w:numPr>
        <w:tabs>
          <w:tab w:pos="1154" w:val="left" w:leader="none"/>
        </w:tabs>
        <w:spacing w:line="240" w:lineRule="auto" w:before="0" w:after="0"/>
        <w:ind w:left="160" w:right="175"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Јавна набавка мале вредности добара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набавка противградне мреже за успостављање демо заседа број 404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1д/28</w:t>
      </w:r>
      <w:r>
        <w:rPr>
          <w:rFonts w:ascii="Times New Roman" w:hAnsi="Times New Roman" w:cs="Times New Roman" w:eastAsia="Times New Roman" w:hint="default"/>
          <w:sz w:val="24"/>
          <w:szCs w:val="24"/>
        </w:rPr>
        <w:t>-2014-</w:t>
      </w:r>
      <w:r>
        <w:rPr>
          <w:rFonts w:ascii="Times New Roman" w:hAnsi="Times New Roman" w:cs="Times New Roman" w:eastAsia="Times New Roman" w:hint="default"/>
          <w:sz w:val="24"/>
          <w:szCs w:val="24"/>
        </w:rPr>
        <w:t>11 од 10.07.2014. године – Управа за пољопривреду и развој</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села,</w:t>
      </w:r>
    </w:p>
    <w:p>
      <w:pPr>
        <w:pStyle w:val="ListParagraph"/>
        <w:numPr>
          <w:ilvl w:val="3"/>
          <w:numId w:val="53"/>
        </w:numPr>
        <w:tabs>
          <w:tab w:pos="1154" w:val="left" w:leader="none"/>
        </w:tabs>
        <w:spacing w:line="240" w:lineRule="auto" w:before="0" w:after="0"/>
        <w:ind w:left="160" w:right="174"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Јавна набавка радова у преговарачком поступку са објављивањем позива за подношење понуда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Извођење радова на изради истражно</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експлоатационих бунара за 4. партију: Разрада четири истражно</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експлоатациона бунара (две локације у Горњој  Трнави, једна локација у Веле Пољу и једна локација у Хуму) број 404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3р/</w:t>
      </w:r>
      <w:r>
        <w:rPr>
          <w:rFonts w:ascii="Times New Roman" w:hAnsi="Times New Roman" w:cs="Times New Roman" w:eastAsia="Times New Roman" w:hint="default"/>
          <w:sz w:val="24"/>
          <w:szCs w:val="24"/>
        </w:rPr>
        <w:t>6-2014-</w:t>
      </w:r>
      <w:r>
        <w:rPr>
          <w:rFonts w:ascii="Times New Roman" w:hAnsi="Times New Roman" w:cs="Times New Roman" w:eastAsia="Times New Roman" w:hint="default"/>
          <w:sz w:val="24"/>
          <w:szCs w:val="24"/>
        </w:rPr>
        <w:t>11 од 25.09.2014. године – Управа за пољопривреду и развој</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села.</w:t>
      </w:r>
    </w:p>
    <w:p>
      <w:pPr>
        <w:pStyle w:val="Heading1"/>
        <w:spacing w:line="240" w:lineRule="auto" w:before="141"/>
        <w:ind w:left="834" w:right="141"/>
        <w:jc w:val="left"/>
        <w:rPr>
          <w:b w:val="0"/>
          <w:bCs w:val="0"/>
        </w:rPr>
      </w:pPr>
      <w:r>
        <w:rPr/>
        <w:t>Јавне набавке које нису спроведене у складу са Законом о јавним</w:t>
      </w:r>
      <w:r>
        <w:rPr>
          <w:spacing w:val="-14"/>
        </w:rPr>
        <w:t> </w:t>
      </w:r>
      <w:r>
        <w:rPr/>
        <w:t>набавкама:</w:t>
      </w:r>
      <w:r>
        <w:rPr>
          <w:b w:val="0"/>
        </w:rPr>
      </w:r>
    </w:p>
    <w:p>
      <w:pPr>
        <w:pStyle w:val="ListParagraph"/>
        <w:numPr>
          <w:ilvl w:val="0"/>
          <w:numId w:val="54"/>
        </w:numPr>
        <w:tabs>
          <w:tab w:pos="521" w:val="left" w:leader="none"/>
        </w:tabs>
        <w:spacing w:line="240" w:lineRule="auto" w:before="139" w:after="0"/>
        <w:ind w:left="160" w:right="177" w:firstLine="0"/>
        <w:jc w:val="both"/>
        <w:rPr>
          <w:rFonts w:ascii="Times New Roman" w:hAnsi="Times New Roman" w:cs="Times New Roman" w:eastAsia="Times New Roman" w:hint="default"/>
          <w:sz w:val="24"/>
          <w:szCs w:val="24"/>
        </w:rPr>
      </w:pPr>
      <w:r>
        <w:rPr>
          <w:rFonts w:ascii="Times New Roman" w:hAnsi="Times New Roman"/>
          <w:b/>
          <w:sz w:val="24"/>
        </w:rPr>
        <w:t>Јавна набавка добара у отвореном поступку </w:t>
      </w:r>
      <w:r>
        <w:rPr>
          <w:rFonts w:ascii="Times New Roman" w:hAnsi="Times New Roman"/>
          <w:b/>
          <w:sz w:val="24"/>
        </w:rPr>
        <w:t>- </w:t>
      </w:r>
      <w:r>
        <w:rPr>
          <w:rFonts w:ascii="Times New Roman" w:hAnsi="Times New Roman"/>
          <w:b/>
          <w:sz w:val="24"/>
        </w:rPr>
        <w:t>беби пакета за новорођену децу на територији града Ниша за 2014. годину број</w:t>
      </w:r>
      <w:r>
        <w:rPr>
          <w:rFonts w:ascii="Times New Roman" w:hAnsi="Times New Roman"/>
          <w:b/>
          <w:spacing w:val="-13"/>
          <w:sz w:val="24"/>
        </w:rPr>
        <w:t> </w:t>
      </w:r>
      <w:r>
        <w:rPr>
          <w:rFonts w:ascii="Times New Roman" w:hAnsi="Times New Roman"/>
          <w:b/>
          <w:sz w:val="24"/>
        </w:rPr>
        <w:t>404</w:t>
      </w:r>
      <w:r>
        <w:rPr>
          <w:rFonts w:ascii="Times New Roman" w:hAnsi="Times New Roman"/>
          <w:b/>
          <w:sz w:val="24"/>
        </w:rPr>
        <w:t>-</w:t>
      </w:r>
      <w:r>
        <w:rPr>
          <w:rFonts w:ascii="Times New Roman" w:hAnsi="Times New Roman"/>
          <w:b/>
          <w:sz w:val="24"/>
        </w:rPr>
        <w:t>2д/9</w:t>
      </w:r>
      <w:r>
        <w:rPr>
          <w:rFonts w:ascii="Times New Roman" w:hAnsi="Times New Roman"/>
          <w:b/>
          <w:sz w:val="24"/>
        </w:rPr>
        <w:t>-2014-11</w:t>
      </w:r>
      <w:r>
        <w:rPr>
          <w:rFonts w:ascii="Times New Roman" w:hAnsi="Times New Roman"/>
          <w:sz w:val="24"/>
        </w:rPr>
      </w:r>
    </w:p>
    <w:p>
      <w:pPr>
        <w:pStyle w:val="BodyText"/>
        <w:spacing w:line="240" w:lineRule="auto"/>
        <w:ind w:right="175" w:firstLine="566"/>
        <w:jc w:val="both"/>
      </w:pPr>
      <w:r>
        <w:rPr/>
        <w:t>Начелник Управе за дечију, социјалну и примарну здравствену заштиту донео је, дана 19.06.2014. године, Одлуку о покретању отвореног поступка број 07</w:t>
      </w:r>
      <w:r>
        <w:rPr>
          <w:rFonts w:ascii="Times New Roman" w:hAnsi="Times New Roman" w:cs="Times New Roman" w:eastAsia="Times New Roman" w:hint="default"/>
        </w:rPr>
        <w:t>-</w:t>
      </w:r>
      <w:r>
        <w:rPr/>
        <w:t>1402/2014 за набавку добара – беби пакета за новорођену децу на територији града Ниша за 2014. годину. Процењена вредност јавне набавке износи 8.682 хиљаде динара без ПДВ. Начелник Управе за дечију, социјалну и примарну здравствену заштиту закључио је Уговор  о  јавној набавци  добара број  07</w:t>
      </w:r>
      <w:r>
        <w:rPr>
          <w:rFonts w:ascii="Times New Roman" w:hAnsi="Times New Roman" w:cs="Times New Roman" w:eastAsia="Times New Roman" w:hint="default"/>
        </w:rPr>
        <w:t>-</w:t>
      </w:r>
      <w:r>
        <w:rPr/>
        <w:t>1726/2014  од  08.08.2014.  године са</w:t>
      </w:r>
      <w:r>
        <w:rPr>
          <w:spacing w:val="-24"/>
        </w:rPr>
        <w:t> </w:t>
      </w:r>
      <w:r>
        <w:rPr/>
        <w:t>понуђачем</w:t>
      </w:r>
    </w:p>
    <w:p>
      <w:pPr>
        <w:pStyle w:val="BodyText"/>
        <w:spacing w:line="240" w:lineRule="auto"/>
        <w:ind w:right="174"/>
        <w:jc w:val="both"/>
      </w:pPr>
      <w:r>
        <w:rPr/>
        <w:t>„Извор“ доо Ниш. Наведеним уговором предвиђено је да укупна цена за оквирну количину од 2600 беби пакета износи 6.890 хиљада динара без ПДВ, односно 8.268 хиљада динара са ПДВ. Цена једног беби пакета износи 2.650,00 динара без ПДВ, односно 3.180,00 са ПДВ. По Уговору број 07</w:t>
      </w:r>
      <w:r>
        <w:rPr>
          <w:rFonts w:ascii="Times New Roman" w:hAnsi="Times New Roman" w:cs="Times New Roman" w:eastAsia="Times New Roman" w:hint="default"/>
        </w:rPr>
        <w:t>-</w:t>
      </w:r>
      <w:r>
        <w:rPr/>
        <w:t>1726/2014 од 08.08.2014. године закљученим са „Извор“ доо Ниш, у 2014. години није вршено</w:t>
      </w:r>
      <w:r>
        <w:rPr>
          <w:spacing w:val="-17"/>
        </w:rPr>
        <w:t> </w:t>
      </w:r>
      <w:r>
        <w:rPr/>
        <w:t>плаћање.</w:t>
      </w:r>
    </w:p>
    <w:p>
      <w:pPr>
        <w:pStyle w:val="BodyText"/>
        <w:spacing w:line="230" w:lineRule="auto" w:before="9"/>
        <w:ind w:right="177" w:firstLine="566"/>
        <w:jc w:val="both"/>
      </w:pPr>
      <w:r>
        <w:rPr>
          <w:rFonts w:ascii="Times New Roman" w:hAnsi="Times New Roman"/>
          <w:b/>
        </w:rPr>
        <w:t>На основу ревизије узорковане документације утврђено је </w:t>
      </w:r>
      <w:r>
        <w:rPr/>
        <w:t>да је наручилац конкурсном документацијом одредио додатне услове за учешће у поступку јавне набавке беби пакета за новорођену децу и то у погледу техничког капацитета и од понуђача захтевао</w:t>
      </w:r>
      <w:r>
        <w:rPr>
          <w:spacing w:val="13"/>
        </w:rPr>
        <w:t> </w:t>
      </w:r>
      <w:r>
        <w:rPr/>
        <w:t>да</w:t>
      </w:r>
      <w:r>
        <w:rPr>
          <w:spacing w:val="12"/>
        </w:rPr>
        <w:t> </w:t>
      </w:r>
      <w:r>
        <w:rPr/>
        <w:t>има</w:t>
      </w:r>
      <w:r>
        <w:rPr>
          <w:spacing w:val="12"/>
        </w:rPr>
        <w:t> </w:t>
      </w:r>
      <w:r>
        <w:rPr/>
        <w:t>пословни</w:t>
      </w:r>
      <w:r>
        <w:rPr>
          <w:spacing w:val="14"/>
        </w:rPr>
        <w:t> </w:t>
      </w:r>
      <w:r>
        <w:rPr/>
        <w:t>простор</w:t>
      </w:r>
      <w:r>
        <w:rPr>
          <w:spacing w:val="13"/>
        </w:rPr>
        <w:t> </w:t>
      </w:r>
      <w:r>
        <w:rPr/>
        <w:t>од</w:t>
      </w:r>
      <w:r>
        <w:rPr>
          <w:spacing w:val="11"/>
        </w:rPr>
        <w:t> </w:t>
      </w:r>
      <w:r>
        <w:rPr/>
        <w:t>најмање</w:t>
      </w:r>
      <w:r>
        <w:rPr>
          <w:spacing w:val="13"/>
        </w:rPr>
        <w:t> </w:t>
      </w:r>
      <w:r>
        <w:rPr/>
        <w:t>70м</w:t>
      </w:r>
      <w:r>
        <w:rPr>
          <w:rFonts w:ascii="Times New Roman" w:hAnsi="Times New Roman"/>
          <w:position w:val="11"/>
          <w:sz w:val="16"/>
        </w:rPr>
        <w:t>2</w:t>
      </w:r>
      <w:r>
        <w:rPr/>
        <w:t>,</w:t>
      </w:r>
      <w:r>
        <w:rPr>
          <w:spacing w:val="13"/>
        </w:rPr>
        <w:t> </w:t>
      </w:r>
      <w:r>
        <w:rPr/>
        <w:t>те</w:t>
      </w:r>
      <w:r>
        <w:rPr>
          <w:spacing w:val="12"/>
        </w:rPr>
        <w:t> </w:t>
      </w:r>
      <w:r>
        <w:rPr/>
        <w:t>је</w:t>
      </w:r>
      <w:r>
        <w:rPr>
          <w:spacing w:val="12"/>
        </w:rPr>
        <w:t> </w:t>
      </w:r>
      <w:r>
        <w:rPr/>
        <w:t>на</w:t>
      </w:r>
      <w:r>
        <w:rPr>
          <w:spacing w:val="12"/>
        </w:rPr>
        <w:t> </w:t>
      </w:r>
      <w:r>
        <w:rPr/>
        <w:t>тај</w:t>
      </w:r>
      <w:r>
        <w:rPr>
          <w:spacing w:val="13"/>
        </w:rPr>
        <w:t> </w:t>
      </w:r>
      <w:r>
        <w:rPr/>
        <w:t>начин</w:t>
      </w:r>
      <w:r>
        <w:rPr>
          <w:spacing w:val="14"/>
        </w:rPr>
        <w:t> </w:t>
      </w:r>
      <w:r>
        <w:rPr/>
        <w:t>одредио</w:t>
      </w:r>
      <w:r>
        <w:rPr>
          <w:spacing w:val="15"/>
        </w:rPr>
        <w:t> </w:t>
      </w:r>
      <w:r>
        <w:rPr/>
        <w:t>услове</w:t>
      </w:r>
      <w:r>
        <w:rPr>
          <w:spacing w:val="11"/>
        </w:rPr>
        <w:t> </w:t>
      </w:r>
      <w:r>
        <w:rPr/>
        <w:t>за</w:t>
      </w:r>
    </w:p>
    <w:p>
      <w:pPr>
        <w:pStyle w:val="BodyText"/>
        <w:spacing w:line="240" w:lineRule="auto" w:before="2"/>
        <w:ind w:right="184"/>
        <w:jc w:val="both"/>
      </w:pPr>
      <w:r>
        <w:rPr/>
        <w:t>учешће у поступку на начин да ти услови дискриминишу понуђаче и нису у логичкој  вези са предметом јавне набавке, што је супротно члану 10. и 76. Закона о јавним набавкама.</w:t>
      </w:r>
    </w:p>
    <w:p>
      <w:pPr>
        <w:pStyle w:val="Heading1"/>
        <w:numPr>
          <w:ilvl w:val="0"/>
          <w:numId w:val="54"/>
        </w:numPr>
        <w:tabs>
          <w:tab w:pos="521" w:val="left" w:leader="none"/>
        </w:tabs>
        <w:spacing w:line="240" w:lineRule="auto" w:before="144" w:after="0"/>
        <w:ind w:left="160" w:right="183" w:firstLine="0"/>
        <w:jc w:val="both"/>
        <w:rPr>
          <w:rFonts w:ascii="Times New Roman" w:hAnsi="Times New Roman" w:cs="Times New Roman" w:eastAsia="Times New Roman" w:hint="default"/>
          <w:b w:val="0"/>
          <w:bCs w:val="0"/>
        </w:rPr>
      </w:pPr>
      <w:r>
        <w:rPr/>
        <w:t>Јавна набавка у преговарачком поступку без објављивања позива за подношење понуда – набавка противградних ракета за потребе противградне заштите, редни број</w:t>
      </w:r>
      <w:r>
        <w:rPr>
          <w:spacing w:val="-4"/>
        </w:rPr>
        <w:t> </w:t>
      </w:r>
      <w:r>
        <w:rPr/>
        <w:t>404</w:t>
      </w:r>
      <w:r>
        <w:rPr>
          <w:rFonts w:ascii="Times New Roman" w:hAnsi="Times New Roman" w:cs="Times New Roman" w:eastAsia="Times New Roman" w:hint="default"/>
        </w:rPr>
        <w:t>-</w:t>
      </w:r>
      <w:r>
        <w:rPr/>
        <w:t>3д/3</w:t>
      </w:r>
      <w:r>
        <w:rPr>
          <w:rFonts w:ascii="Times New Roman" w:hAnsi="Times New Roman" w:cs="Times New Roman" w:eastAsia="Times New Roman" w:hint="default"/>
        </w:rPr>
        <w:t>-2014-11</w:t>
      </w:r>
      <w:r>
        <w:rPr>
          <w:rFonts w:ascii="Times New Roman" w:hAnsi="Times New Roman" w:cs="Times New Roman" w:eastAsia="Times New Roman" w:hint="default"/>
          <w:b w:val="0"/>
          <w:bCs w:val="0"/>
        </w:rPr>
      </w:r>
    </w:p>
    <w:p>
      <w:pPr>
        <w:pStyle w:val="BodyText"/>
        <w:spacing w:line="240" w:lineRule="auto"/>
        <w:ind w:right="172" w:firstLine="566"/>
        <w:jc w:val="both"/>
      </w:pPr>
      <w:r>
        <w:rPr/>
        <w:t>Министарство унутрашњих послова сектор за ванредне ситуације упутило је захтев за набавку противградних ракета за потребе противградне заштите. Дана 02.09.2014. године начелник Управе за пољопривреду и развој села, упутио је захтев за мишљење о основаности примене преговарачког поступка број 10</w:t>
      </w:r>
      <w:r>
        <w:rPr>
          <w:rFonts w:ascii="Times New Roman" w:hAnsi="Times New Roman"/>
        </w:rPr>
        <w:t>-</w:t>
      </w:r>
      <w:r>
        <w:rPr/>
        <w:t>1546/2014 Управи за јавне набавке. Управа за јавне набавке је дана 12.09.2014. године дала мишљење број 404</w:t>
      </w:r>
      <w:r>
        <w:rPr>
          <w:rFonts w:ascii="Times New Roman" w:hAnsi="Times New Roman"/>
        </w:rPr>
        <w:t>-02-</w:t>
      </w:r>
      <w:r>
        <w:rPr/>
        <w:t>3135/14, да је</w:t>
      </w:r>
      <w:r>
        <w:rPr>
          <w:spacing w:val="26"/>
        </w:rPr>
        <w:t> </w:t>
      </w:r>
      <w:r>
        <w:rPr/>
        <w:t>Управа</w:t>
      </w:r>
      <w:r>
        <w:rPr>
          <w:spacing w:val="25"/>
        </w:rPr>
        <w:t> </w:t>
      </w:r>
      <w:r>
        <w:rPr/>
        <w:t>већ</w:t>
      </w:r>
      <w:r>
        <w:rPr>
          <w:spacing w:val="26"/>
        </w:rPr>
        <w:t> </w:t>
      </w:r>
      <w:r>
        <w:rPr/>
        <w:t>спровела</w:t>
      </w:r>
      <w:r>
        <w:rPr>
          <w:spacing w:val="28"/>
        </w:rPr>
        <w:t> </w:t>
      </w:r>
      <w:r>
        <w:rPr/>
        <w:t>два</w:t>
      </w:r>
      <w:r>
        <w:rPr>
          <w:spacing w:val="25"/>
        </w:rPr>
        <w:t> </w:t>
      </w:r>
      <w:r>
        <w:rPr/>
        <w:t>поступка</w:t>
      </w:r>
      <w:r>
        <w:rPr>
          <w:spacing w:val="25"/>
        </w:rPr>
        <w:t> </w:t>
      </w:r>
      <w:r>
        <w:rPr/>
        <w:t>јавне</w:t>
      </w:r>
      <w:r>
        <w:rPr>
          <w:spacing w:val="25"/>
        </w:rPr>
        <w:t> </w:t>
      </w:r>
      <w:r>
        <w:rPr/>
        <w:t>набавке,</w:t>
      </w:r>
      <w:r>
        <w:rPr>
          <w:spacing w:val="26"/>
        </w:rPr>
        <w:t> </w:t>
      </w:r>
      <w:r>
        <w:rPr/>
        <w:t>од</w:t>
      </w:r>
      <w:r>
        <w:rPr>
          <w:spacing w:val="26"/>
        </w:rPr>
        <w:t> </w:t>
      </w:r>
      <w:r>
        <w:rPr/>
        <w:t>којих</w:t>
      </w:r>
      <w:r>
        <w:rPr>
          <w:spacing w:val="28"/>
        </w:rPr>
        <w:t> </w:t>
      </w:r>
      <w:r>
        <w:rPr/>
        <w:t>је</w:t>
      </w:r>
      <w:r>
        <w:rPr>
          <w:spacing w:val="26"/>
        </w:rPr>
        <w:t> </w:t>
      </w:r>
      <w:r>
        <w:rPr/>
        <w:t>један</w:t>
      </w:r>
      <w:r>
        <w:rPr>
          <w:spacing w:val="27"/>
        </w:rPr>
        <w:t> </w:t>
      </w:r>
      <w:r>
        <w:rPr/>
        <w:t>био</w:t>
      </w:r>
      <w:r>
        <w:rPr>
          <w:spacing w:val="24"/>
        </w:rPr>
        <w:t> </w:t>
      </w:r>
      <w:r>
        <w:rPr/>
        <w:t>преговарачки</w:t>
      </w:r>
    </w:p>
    <w:p>
      <w:pPr>
        <w:spacing w:after="0" w:line="240" w:lineRule="auto"/>
        <w:jc w:val="both"/>
        <w:sectPr>
          <w:pgSz w:w="12240" w:h="15840"/>
          <w:pgMar w:header="740" w:footer="1274" w:top="1280" w:bottom="1460" w:left="1400" w:right="1260"/>
        </w:sectPr>
      </w:pPr>
    </w:p>
    <w:p>
      <w:pPr>
        <w:pStyle w:val="BodyText"/>
        <w:spacing w:line="240" w:lineRule="auto" w:before="122"/>
        <w:ind w:right="177"/>
        <w:jc w:val="both"/>
      </w:pPr>
      <w:r>
        <w:rPr/>
        <w:t>поступак по хитности и не може се сматрати да у конкретном случају постоје ванредне околности или непредвиђени догађаји који оправдавају поновну примену истог, због чега су мишљења да нема основа за примену преговарачког поступка без објављивања позива за подношење</w:t>
      </w:r>
      <w:r>
        <w:rPr>
          <w:spacing w:val="-9"/>
        </w:rPr>
        <w:t> </w:t>
      </w:r>
      <w:r>
        <w:rPr/>
        <w:t>понуда.</w:t>
      </w:r>
    </w:p>
    <w:p>
      <w:pPr>
        <w:pStyle w:val="BodyText"/>
        <w:spacing w:line="240" w:lineRule="auto"/>
        <w:ind w:right="173" w:firstLine="566"/>
        <w:jc w:val="both"/>
      </w:pPr>
      <w:r>
        <w:rPr/>
        <w:t>Дана 04.09.2014. године начелник Управе за пољопривреду и развој села донео је Одлуку о покретању преговарачког поступка без објављивања позива за подношење понуда број 10</w:t>
      </w:r>
      <w:r>
        <w:rPr>
          <w:rFonts w:ascii="Times New Roman" w:hAnsi="Times New Roman"/>
        </w:rPr>
        <w:t>-</w:t>
      </w:r>
      <w:r>
        <w:rPr/>
        <w:t>1575/2014 за набавку противградних ракета за потребе противградне заштите на територији града Ниша. Процењена вредност јавне набавке износи 2.083 хиљаде динара без ПДВ. Начелник Управе за пољопривреду и развој села закључио је Уговор о јавној набавци добара број 10</w:t>
      </w:r>
      <w:r>
        <w:rPr>
          <w:rFonts w:ascii="Times New Roman" w:hAnsi="Times New Roman"/>
        </w:rPr>
        <w:t>-</w:t>
      </w:r>
      <w:r>
        <w:rPr/>
        <w:t>1662/2014 дана 15.09.2014. године са  </w:t>
      </w:r>
      <w:r>
        <w:rPr>
          <w:spacing w:val="57"/>
        </w:rPr>
        <w:t> </w:t>
      </w:r>
      <w:r>
        <w:rPr/>
        <w:t>понуђачем</w:t>
      </w:r>
    </w:p>
    <w:p>
      <w:pPr>
        <w:pStyle w:val="BodyText"/>
        <w:spacing w:line="240" w:lineRule="auto"/>
        <w:ind w:right="0"/>
        <w:jc w:val="both"/>
      </w:pPr>
      <w:r>
        <w:rPr/>
        <w:t>„Полиестер Група“ доо  Прибој  у вредности  од  2.030 хиљада динара без  ПДВ</w:t>
      </w:r>
      <w:r>
        <w:rPr>
          <w:rFonts w:ascii="Times New Roman" w:hAnsi="Times New Roman" w:cs="Times New Roman" w:eastAsia="Times New Roman" w:hint="default"/>
        </w:rPr>
        <w:t>,</w:t>
      </w:r>
      <w:r>
        <w:rPr>
          <w:rFonts w:ascii="Times New Roman" w:hAnsi="Times New Roman" w:cs="Times New Roman" w:eastAsia="Times New Roman" w:hint="default"/>
          <w:spacing w:val="53"/>
        </w:rPr>
        <w:t> </w:t>
      </w:r>
      <w:r>
        <w:rPr/>
        <w:t>односно</w:t>
      </w:r>
    </w:p>
    <w:p>
      <w:pPr>
        <w:pStyle w:val="BodyText"/>
        <w:spacing w:line="240" w:lineRule="auto"/>
        <w:ind w:right="174"/>
        <w:jc w:val="both"/>
      </w:pPr>
      <w:r>
        <w:rPr/>
        <w:t>2.436 хиљда динара са ПДВ. Обавештење о закљученом Уговору објављено је 19.09.2014. године. У 2014. години по овом уговору плаћено је 2.436 хиљада</w:t>
      </w:r>
      <w:r>
        <w:rPr>
          <w:spacing w:val="-18"/>
        </w:rPr>
        <w:t> </w:t>
      </w:r>
      <w:r>
        <w:rPr/>
        <w:t>динара.</w:t>
      </w:r>
    </w:p>
    <w:p>
      <w:pPr>
        <w:pStyle w:val="BodyText"/>
        <w:spacing w:line="240" w:lineRule="auto"/>
        <w:ind w:right="180" w:firstLine="566"/>
        <w:jc w:val="both"/>
      </w:pPr>
      <w:r>
        <w:rPr>
          <w:rFonts w:ascii="Times New Roman" w:hAnsi="Times New Roman"/>
          <w:b/>
        </w:rPr>
        <w:t>На основу ревизије узорковане документације утврђено је </w:t>
      </w:r>
      <w:r>
        <w:rPr/>
        <w:t>да је наручилац  добио негативно мишљење од Управе за јавне набавке за спровођење преговарачког поступка без објављивања позива за подношење понуда. Након пријема мишљења наставио је са спровођењем преговарачког поступка без објављивања позива за подношење понуда, иако није имао сагласност Управе за јавне набавке, што је супротно члану 36. Закона о јавним</w:t>
      </w:r>
      <w:r>
        <w:rPr>
          <w:spacing w:val="-12"/>
        </w:rPr>
        <w:t> </w:t>
      </w:r>
      <w:r>
        <w:rPr/>
        <w:t>набавкама.</w:t>
      </w:r>
    </w:p>
    <w:p>
      <w:pPr>
        <w:pStyle w:val="Heading1"/>
        <w:numPr>
          <w:ilvl w:val="0"/>
          <w:numId w:val="54"/>
        </w:numPr>
        <w:tabs>
          <w:tab w:pos="432" w:val="left" w:leader="none"/>
        </w:tabs>
        <w:spacing w:line="240" w:lineRule="auto" w:before="141" w:after="0"/>
        <w:ind w:left="160" w:right="174" w:firstLine="0"/>
        <w:jc w:val="both"/>
        <w:rPr>
          <w:rFonts w:ascii="Times New Roman" w:hAnsi="Times New Roman" w:cs="Times New Roman" w:eastAsia="Times New Roman" w:hint="default"/>
          <w:b w:val="0"/>
          <w:bCs w:val="0"/>
        </w:rPr>
      </w:pPr>
      <w:r>
        <w:rPr/>
        <w:t>Јавна набавка услуга у преговарачком поступку са објављивањем позива за подношење понуда – пружање услуга информисања од значаја за град Ниш, обликован у две партије, редни број</w:t>
      </w:r>
      <w:r>
        <w:rPr>
          <w:spacing w:val="-11"/>
        </w:rPr>
        <w:t> </w:t>
      </w:r>
      <w:r>
        <w:rPr/>
        <w:t>404</w:t>
      </w:r>
      <w:r>
        <w:rPr>
          <w:rFonts w:ascii="Times New Roman" w:hAnsi="Times New Roman" w:cs="Times New Roman" w:eastAsia="Times New Roman" w:hint="default"/>
        </w:rPr>
        <w:t>-</w:t>
      </w:r>
      <w:r>
        <w:rPr/>
        <w:t>3У/5</w:t>
      </w:r>
      <w:r>
        <w:rPr>
          <w:rFonts w:ascii="Times New Roman" w:hAnsi="Times New Roman" w:cs="Times New Roman" w:eastAsia="Times New Roman" w:hint="default"/>
        </w:rPr>
        <w:t>-2014-11</w:t>
      </w:r>
      <w:r>
        <w:rPr>
          <w:rFonts w:ascii="Times New Roman" w:hAnsi="Times New Roman" w:cs="Times New Roman" w:eastAsia="Times New Roman" w:hint="default"/>
          <w:b w:val="0"/>
          <w:bCs w:val="0"/>
        </w:rPr>
      </w:r>
    </w:p>
    <w:p>
      <w:pPr>
        <w:pStyle w:val="BodyText"/>
        <w:spacing w:line="240" w:lineRule="auto"/>
        <w:ind w:right="173" w:firstLine="566"/>
        <w:jc w:val="both"/>
      </w:pPr>
      <w:r>
        <w:rPr/>
        <w:t>Начелник Управе за културу донео је, дана 19.0</w:t>
      </w:r>
      <w:r>
        <w:rPr>
          <w:rFonts w:ascii="Times New Roman" w:hAnsi="Times New Roman" w:cs="Times New Roman" w:eastAsia="Times New Roman" w:hint="default"/>
        </w:rPr>
        <w:t>9</w:t>
      </w:r>
      <w:r>
        <w:rPr/>
        <w:t>.2014. године, Одлуку о покретању преговарачког поступка са објављивањем позива за подношење понуда број 2361</w:t>
      </w:r>
      <w:r>
        <w:rPr>
          <w:rFonts w:ascii="Times New Roman" w:hAnsi="Times New Roman" w:cs="Times New Roman" w:eastAsia="Times New Roman" w:hint="default"/>
        </w:rPr>
        <w:t>-1/2014- </w:t>
      </w:r>
      <w:r>
        <w:rPr/>
        <w:t>18 за набавку услуга – пружање услуга информисања од значаја за град Ниш, обликован  у две партије</w:t>
      </w:r>
      <w:r>
        <w:rPr>
          <w:rFonts w:ascii="Times New Roman" w:hAnsi="Times New Roman" w:cs="Times New Roman" w:eastAsia="Times New Roman" w:hint="default"/>
        </w:rPr>
        <w:t>: I </w:t>
      </w:r>
      <w:r>
        <w:rPr/>
        <w:t>партија – услуге јавног информисања од значаја за Град у дневним штампаним медијима и </w:t>
      </w:r>
      <w:r>
        <w:rPr>
          <w:rFonts w:ascii="Times New Roman" w:hAnsi="Times New Roman" w:cs="Times New Roman" w:eastAsia="Times New Roman" w:hint="default"/>
        </w:rPr>
        <w:t>II </w:t>
      </w:r>
      <w:r>
        <w:rPr/>
        <w:t>партија – друге услуге у области јавног информисања</w:t>
      </w:r>
      <w:r>
        <w:rPr>
          <w:rFonts w:ascii="Times New Roman" w:hAnsi="Times New Roman" w:cs="Times New Roman" w:eastAsia="Times New Roman" w:hint="default"/>
        </w:rPr>
        <w:t>. </w:t>
      </w:r>
      <w:r>
        <w:rPr/>
        <w:t>Процењена вредност јавне набавке износи </w:t>
      </w:r>
      <w:r>
        <w:rPr>
          <w:rFonts w:ascii="Times New Roman" w:hAnsi="Times New Roman" w:cs="Times New Roman" w:eastAsia="Times New Roman" w:hint="default"/>
        </w:rPr>
        <w:t>3.800 </w:t>
      </w:r>
      <w:r>
        <w:rPr/>
        <w:t>хиљада динара без ПДВ и то за </w:t>
      </w:r>
      <w:r>
        <w:rPr>
          <w:rFonts w:ascii="Times New Roman" w:hAnsi="Times New Roman" w:cs="Times New Roman" w:eastAsia="Times New Roman" w:hint="default"/>
        </w:rPr>
        <w:t>I</w:t>
      </w:r>
      <w:r>
        <w:rPr>
          <w:rFonts w:ascii="Times New Roman" w:hAnsi="Times New Roman" w:cs="Times New Roman" w:eastAsia="Times New Roman" w:hint="default"/>
          <w:spacing w:val="29"/>
        </w:rPr>
        <w:t> </w:t>
      </w:r>
      <w:r>
        <w:rPr/>
        <w:t>партију</w:t>
      </w:r>
    </w:p>
    <w:p>
      <w:pPr>
        <w:pStyle w:val="BodyText"/>
        <w:spacing w:line="240" w:lineRule="auto"/>
        <w:ind w:right="171"/>
        <w:jc w:val="both"/>
        <w:rPr>
          <w:rFonts w:ascii="Times New Roman" w:hAnsi="Times New Roman" w:cs="Times New Roman" w:eastAsia="Times New Roman" w:hint="default"/>
        </w:rPr>
      </w:pPr>
      <w:r>
        <w:rPr/>
        <w:t>3.000 хиљаде динара без ПДВ и за </w:t>
      </w:r>
      <w:r>
        <w:rPr>
          <w:rFonts w:ascii="Times New Roman" w:hAnsi="Times New Roman" w:cs="Times New Roman" w:eastAsia="Times New Roman" w:hint="default"/>
        </w:rPr>
        <w:t>II </w:t>
      </w:r>
      <w:r>
        <w:rPr/>
        <w:t>партију 800 хиљада динара без ПДВ</w:t>
      </w:r>
      <w:r>
        <w:rPr>
          <w:rFonts w:ascii="Times New Roman" w:hAnsi="Times New Roman" w:cs="Times New Roman" w:eastAsia="Times New Roman" w:hint="default"/>
        </w:rPr>
        <w:t>. </w:t>
      </w:r>
      <w:r>
        <w:rPr/>
        <w:t>Основ за спровођење преговарачког поступка са објављивањем јавног позива је члан 35. став 1. Закона о јавним набавкама којим је предвиђено да наручилац може спроводити преговарачки поступак са објављивањем позива за подношење понуда ако у отвореном поступку добије све неприхватљиве понуде, под условом да се првобитно одређени услови за учешће у поступку, техничке спецификације и критеријуми за доделу уговора не мењају. Наручилац је позвао само и све понуђаче који су учествовали у отвореном поступку јавне набавке, да допуне своје понуде, тако да их учине прихватљивим, те у том случају сходно Закону о јавним набавкама, наручилац није дужан да објави позив за подношење понуде. Након отварања понуда, о чему је сачињен Записник о отварању понуда број </w:t>
      </w:r>
      <w:r>
        <w:rPr>
          <w:rFonts w:ascii="Times New Roman" w:hAnsi="Times New Roman" w:cs="Times New Roman" w:eastAsia="Times New Roman" w:hint="default"/>
        </w:rPr>
        <w:t>2361-4/2014-</w:t>
      </w:r>
      <w:r>
        <w:rPr/>
        <w:t>18 од 24.09.2014. године, спроведено је преговарање, о чему је, такође, сачињен Записник, након чега је Комисија сачинила Извештај о стручној оцени понуда, на основу кога је Начелник Управе за културу донео Одлуку о додели уговора број </w:t>
      </w:r>
      <w:r>
        <w:rPr>
          <w:rFonts w:ascii="Times New Roman" w:hAnsi="Times New Roman" w:cs="Times New Roman" w:eastAsia="Times New Roman" w:hint="default"/>
        </w:rPr>
        <w:t>2361-5/2014-18 </w:t>
      </w:r>
      <w:r>
        <w:rPr/>
        <w:t>од </w:t>
      </w:r>
      <w:r>
        <w:rPr>
          <w:rFonts w:ascii="Times New Roman" w:hAnsi="Times New Roman" w:cs="Times New Roman" w:eastAsia="Times New Roman" w:hint="default"/>
        </w:rPr>
        <w:t>01.10</w:t>
      </w:r>
      <w:r>
        <w:rPr/>
        <w:t>.2014. године, којом се уговор додељује за </w:t>
      </w:r>
      <w:r>
        <w:rPr>
          <w:rFonts w:ascii="Times New Roman" w:hAnsi="Times New Roman" w:cs="Times New Roman" w:eastAsia="Times New Roman" w:hint="default"/>
        </w:rPr>
        <w:t>I </w:t>
      </w:r>
      <w:r>
        <w:rPr/>
        <w:t>партију  понуђачу „Народне новине“ доо Ниш и за </w:t>
      </w:r>
      <w:r>
        <w:rPr>
          <w:rFonts w:ascii="Times New Roman" w:hAnsi="Times New Roman" w:cs="Times New Roman" w:eastAsia="Times New Roman" w:hint="default"/>
        </w:rPr>
        <w:t>II </w:t>
      </w:r>
      <w:r>
        <w:rPr/>
        <w:t>партију понуђачу „</w:t>
      </w:r>
      <w:r>
        <w:rPr>
          <w:rFonts w:ascii="Times New Roman" w:hAnsi="Times New Roman" w:cs="Times New Roman" w:eastAsia="Times New Roman" w:hint="default"/>
        </w:rPr>
        <w:t>Kopernikus cable network</w:t>
      </w:r>
      <w:r>
        <w:rPr/>
        <w:t>“ доо Ниш. Начелник Управе за културу закључио</w:t>
      </w:r>
      <w:r>
        <w:rPr>
          <w:spacing w:val="-10"/>
        </w:rPr>
        <w:t> </w:t>
      </w:r>
      <w:r>
        <w:rPr/>
        <w:t>је</w:t>
      </w:r>
      <w:r>
        <w:rPr>
          <w:rFonts w:ascii="Times New Roman" w:hAnsi="Times New Roman" w:cs="Times New Roman" w:eastAsia="Times New Roman" w:hint="default"/>
        </w:rPr>
        <w:t>:</w:t>
      </w:r>
    </w:p>
    <w:p>
      <w:pPr>
        <w:pStyle w:val="BodyText"/>
        <w:spacing w:line="240" w:lineRule="auto"/>
        <w:ind w:right="176" w:firstLine="566"/>
        <w:jc w:val="both"/>
      </w:pPr>
      <w:r>
        <w:rPr>
          <w:rFonts w:ascii="Times New Roman" w:hAnsi="Times New Roman" w:cs="Times New Roman" w:eastAsia="Times New Roman" w:hint="default"/>
        </w:rPr>
        <w:t>- </w:t>
      </w:r>
      <w:r>
        <w:rPr/>
        <w:t>за </w:t>
      </w:r>
      <w:r>
        <w:rPr>
          <w:rFonts w:ascii="Times New Roman" w:hAnsi="Times New Roman" w:cs="Times New Roman" w:eastAsia="Times New Roman" w:hint="default"/>
        </w:rPr>
        <w:t>I </w:t>
      </w:r>
      <w:r>
        <w:rPr/>
        <w:t>партију Уговор о набавци услуге број 3614/2014</w:t>
      </w:r>
      <w:r>
        <w:rPr>
          <w:rFonts w:ascii="Times New Roman" w:hAnsi="Times New Roman" w:cs="Times New Roman" w:eastAsia="Times New Roman" w:hint="default"/>
        </w:rPr>
        <w:t>-</w:t>
      </w:r>
      <w:r>
        <w:rPr/>
        <w:t>1 од 22.10.2014. године са понуђачем</w:t>
      </w:r>
      <w:r>
        <w:rPr>
          <w:spacing w:val="26"/>
        </w:rPr>
        <w:t> </w:t>
      </w:r>
      <w:r>
        <w:rPr/>
        <w:t>„Народне</w:t>
      </w:r>
      <w:r>
        <w:rPr>
          <w:spacing w:val="26"/>
        </w:rPr>
        <w:t> </w:t>
      </w:r>
      <w:r>
        <w:rPr/>
        <w:t>новине“</w:t>
      </w:r>
      <w:r>
        <w:rPr>
          <w:spacing w:val="26"/>
        </w:rPr>
        <w:t> </w:t>
      </w:r>
      <w:r>
        <w:rPr/>
        <w:t>доо</w:t>
      </w:r>
      <w:r>
        <w:rPr>
          <w:spacing w:val="27"/>
        </w:rPr>
        <w:t> </w:t>
      </w:r>
      <w:r>
        <w:rPr/>
        <w:t>Ниш.</w:t>
      </w:r>
      <w:r>
        <w:rPr>
          <w:spacing w:val="27"/>
        </w:rPr>
        <w:t> </w:t>
      </w:r>
      <w:r>
        <w:rPr/>
        <w:t>Наведеним</w:t>
      </w:r>
      <w:r>
        <w:rPr>
          <w:spacing w:val="29"/>
        </w:rPr>
        <w:t> </w:t>
      </w:r>
      <w:r>
        <w:rPr/>
        <w:t>уговором</w:t>
      </w:r>
      <w:r>
        <w:rPr>
          <w:spacing w:val="26"/>
        </w:rPr>
        <w:t> </w:t>
      </w:r>
      <w:r>
        <w:rPr/>
        <w:t>предвиђено</w:t>
      </w:r>
      <w:r>
        <w:rPr>
          <w:spacing w:val="27"/>
        </w:rPr>
        <w:t> </w:t>
      </w:r>
      <w:r>
        <w:rPr/>
        <w:t>је</w:t>
      </w:r>
      <w:r>
        <w:rPr>
          <w:spacing w:val="27"/>
        </w:rPr>
        <w:t> </w:t>
      </w:r>
      <w:r>
        <w:rPr/>
        <w:t>да</w:t>
      </w:r>
      <w:r>
        <w:rPr>
          <w:spacing w:val="29"/>
        </w:rPr>
        <w:t> </w:t>
      </w:r>
      <w:r>
        <w:rPr/>
        <w:t>месечна</w:t>
      </w:r>
    </w:p>
    <w:p>
      <w:pPr>
        <w:spacing w:after="0" w:line="240" w:lineRule="auto"/>
        <w:jc w:val="both"/>
        <w:sectPr>
          <w:pgSz w:w="12240" w:h="15840"/>
          <w:pgMar w:header="740" w:footer="1274" w:top="1280" w:bottom="1460" w:left="1400" w:right="1260"/>
        </w:sectPr>
      </w:pPr>
    </w:p>
    <w:p>
      <w:pPr>
        <w:pStyle w:val="BodyText"/>
        <w:spacing w:line="240" w:lineRule="auto" w:before="122"/>
        <w:ind w:right="141"/>
        <w:jc w:val="left"/>
      </w:pPr>
      <w:r>
        <w:rPr/>
        <w:t>накнада за извршене услуге износи 429 хиљада динара без ПДВ, односно 514 хиљада динара</w:t>
      </w:r>
      <w:r>
        <w:rPr>
          <w:spacing w:val="16"/>
        </w:rPr>
        <w:t> </w:t>
      </w:r>
      <w:r>
        <w:rPr/>
        <w:t>са</w:t>
      </w:r>
      <w:r>
        <w:rPr>
          <w:spacing w:val="16"/>
        </w:rPr>
        <w:t> </w:t>
      </w:r>
      <w:r>
        <w:rPr/>
        <w:t>ПДВ,</w:t>
      </w:r>
      <w:r>
        <w:rPr>
          <w:spacing w:val="19"/>
        </w:rPr>
        <w:t> </w:t>
      </w:r>
      <w:r>
        <w:rPr/>
        <w:t>а</w:t>
      </w:r>
      <w:r>
        <w:rPr>
          <w:spacing w:val="16"/>
        </w:rPr>
        <w:t> </w:t>
      </w:r>
      <w:r>
        <w:rPr/>
        <w:t>да</w:t>
      </w:r>
      <w:r>
        <w:rPr>
          <w:spacing w:val="21"/>
        </w:rPr>
        <w:t> </w:t>
      </w:r>
      <w:r>
        <w:rPr/>
        <w:t>укупна</w:t>
      </w:r>
      <w:r>
        <w:rPr>
          <w:spacing w:val="22"/>
        </w:rPr>
        <w:t> </w:t>
      </w:r>
      <w:r>
        <w:rPr/>
        <w:t>уговорена</w:t>
      </w:r>
      <w:r>
        <w:rPr>
          <w:spacing w:val="16"/>
        </w:rPr>
        <w:t> </w:t>
      </w:r>
      <w:r>
        <w:rPr/>
        <w:t>цена</w:t>
      </w:r>
      <w:r>
        <w:rPr>
          <w:spacing w:val="16"/>
        </w:rPr>
        <w:t> </w:t>
      </w:r>
      <w:r>
        <w:rPr/>
        <w:t>за</w:t>
      </w:r>
      <w:r>
        <w:rPr>
          <w:spacing w:val="18"/>
        </w:rPr>
        <w:t> </w:t>
      </w:r>
      <w:r>
        <w:rPr/>
        <w:t>извршене</w:t>
      </w:r>
      <w:r>
        <w:rPr>
          <w:spacing w:val="18"/>
        </w:rPr>
        <w:t> </w:t>
      </w:r>
      <w:r>
        <w:rPr/>
        <w:t>услуге</w:t>
      </w:r>
      <w:r>
        <w:rPr>
          <w:spacing w:val="16"/>
        </w:rPr>
        <w:t> </w:t>
      </w:r>
      <w:r>
        <w:rPr/>
        <w:t>за</w:t>
      </w:r>
      <w:r>
        <w:rPr>
          <w:spacing w:val="16"/>
        </w:rPr>
        <w:t> </w:t>
      </w:r>
      <w:r>
        <w:rPr/>
        <w:t>седам</w:t>
      </w:r>
      <w:r>
        <w:rPr>
          <w:spacing w:val="16"/>
        </w:rPr>
        <w:t> </w:t>
      </w:r>
      <w:r>
        <w:rPr/>
        <w:t>месеци</w:t>
      </w:r>
      <w:r>
        <w:rPr>
          <w:spacing w:val="17"/>
        </w:rPr>
        <w:t> </w:t>
      </w:r>
      <w:r>
        <w:rPr/>
        <w:t>износи</w:t>
      </w:r>
    </w:p>
    <w:p>
      <w:pPr>
        <w:pStyle w:val="ListParagraph"/>
        <w:numPr>
          <w:ilvl w:val="1"/>
          <w:numId w:val="55"/>
        </w:numPr>
        <w:tabs>
          <w:tab w:pos="761" w:val="left" w:leader="none"/>
        </w:tabs>
        <w:spacing w:line="240" w:lineRule="auto" w:before="0" w:after="0"/>
        <w:ind w:left="760" w:right="0" w:hanging="600"/>
        <w:jc w:val="left"/>
        <w:rPr>
          <w:rFonts w:ascii="Times New Roman" w:hAnsi="Times New Roman" w:cs="Times New Roman" w:eastAsia="Times New Roman" w:hint="default"/>
          <w:sz w:val="24"/>
          <w:szCs w:val="24"/>
        </w:rPr>
      </w:pPr>
      <w:r>
        <w:rPr>
          <w:rFonts w:ascii="Times New Roman" w:hAnsi="Times New Roman"/>
          <w:sz w:val="24"/>
        </w:rPr>
        <w:t>хиљаде динара без ПДВ, односно 3.600 хиљада динара са</w:t>
      </w:r>
      <w:r>
        <w:rPr>
          <w:rFonts w:ascii="Times New Roman" w:hAnsi="Times New Roman"/>
          <w:spacing w:val="-13"/>
          <w:sz w:val="24"/>
        </w:rPr>
        <w:t> </w:t>
      </w:r>
      <w:r>
        <w:rPr>
          <w:rFonts w:ascii="Times New Roman" w:hAnsi="Times New Roman"/>
          <w:sz w:val="24"/>
        </w:rPr>
        <w:t>ПДВ.</w:t>
      </w:r>
    </w:p>
    <w:p>
      <w:pPr>
        <w:pStyle w:val="BodyText"/>
        <w:spacing w:line="240" w:lineRule="auto"/>
        <w:ind w:right="174" w:firstLine="566"/>
        <w:jc w:val="both"/>
        <w:rPr>
          <w:rFonts w:ascii="Times New Roman" w:hAnsi="Times New Roman" w:cs="Times New Roman" w:eastAsia="Times New Roman" w:hint="default"/>
        </w:rPr>
      </w:pPr>
      <w:r>
        <w:rPr>
          <w:rFonts w:ascii="Times New Roman" w:hAnsi="Times New Roman" w:cs="Times New Roman" w:eastAsia="Times New Roman" w:hint="default"/>
        </w:rPr>
        <w:t>- </w:t>
      </w:r>
      <w:r>
        <w:rPr/>
        <w:t>за </w:t>
      </w:r>
      <w:r>
        <w:rPr>
          <w:rFonts w:ascii="Times New Roman" w:hAnsi="Times New Roman" w:cs="Times New Roman" w:eastAsia="Times New Roman" w:hint="default"/>
        </w:rPr>
        <w:t>II </w:t>
      </w:r>
      <w:r>
        <w:rPr/>
        <w:t>партију Уговор о набавци услуге број </w:t>
      </w:r>
      <w:r>
        <w:rPr>
          <w:rFonts w:ascii="Times New Roman" w:hAnsi="Times New Roman" w:cs="Times New Roman" w:eastAsia="Times New Roman" w:hint="default"/>
        </w:rPr>
        <w:t>3615/2014-</w:t>
      </w:r>
      <w:r>
        <w:rPr/>
        <w:t>1 од 22.10.2014. године са понуђачем „</w:t>
      </w:r>
      <w:r>
        <w:rPr>
          <w:rFonts w:ascii="Times New Roman" w:hAnsi="Times New Roman" w:cs="Times New Roman" w:eastAsia="Times New Roman" w:hint="default"/>
        </w:rPr>
        <w:t>Kopernikus cable network</w:t>
      </w:r>
      <w:r>
        <w:rPr/>
        <w:t>“ доо Ниш. Наведеним уговором предвиђено је да месечна накнада за извршене услуге износи 70 хиљада динара без ПДВ, односно 84 хиљаде динара са ПДВ, а да укупна уговорена цена за извршене услуге за седам месеци износи 490 хиљада динара без ПДВ, односно 588 хиљада динара са</w:t>
      </w:r>
      <w:r>
        <w:rPr>
          <w:spacing w:val="-15"/>
        </w:rPr>
        <w:t> </w:t>
      </w:r>
      <w:r>
        <w:rPr/>
        <w:t>ПДВ</w:t>
      </w:r>
      <w:r>
        <w:rPr>
          <w:rFonts w:ascii="Times New Roman" w:hAnsi="Times New Roman" w:cs="Times New Roman" w:eastAsia="Times New Roman" w:hint="default"/>
        </w:rPr>
        <w:t>.</w:t>
      </w:r>
    </w:p>
    <w:p>
      <w:pPr>
        <w:pStyle w:val="BodyText"/>
        <w:spacing w:line="240" w:lineRule="auto"/>
        <w:ind w:right="175" w:firstLine="566"/>
        <w:jc w:val="both"/>
      </w:pPr>
      <w:r>
        <w:rPr>
          <w:rFonts w:ascii="Times New Roman" w:hAnsi="Times New Roman"/>
          <w:b/>
        </w:rPr>
        <w:t>На основу ревизије узорковане документације утврђено је </w:t>
      </w:r>
      <w:r>
        <w:rPr/>
        <w:t>да је наручилац је конкурсном документацијом, за </w:t>
      </w:r>
      <w:r>
        <w:rPr>
          <w:rFonts w:ascii="Times New Roman" w:hAnsi="Times New Roman"/>
        </w:rPr>
        <w:t>I </w:t>
      </w:r>
      <w:r>
        <w:rPr/>
        <w:t>парију</w:t>
      </w:r>
      <w:r>
        <w:rPr>
          <w:rFonts w:ascii="Times New Roman" w:hAnsi="Times New Roman"/>
        </w:rPr>
        <w:t>, </w:t>
      </w:r>
      <w:r>
        <w:rPr/>
        <w:t>у опису услуга одредио да би информације од значаја за Град, требало објављивати у дневном листу на најмање четири стране и то на насловној, другој, трећој и четрнаестој страни дневног листа, те је на тај начин, коришћењем дискриминаторских услова, ограничио конкуренцију, што је супротно члану 10. Закона о јавним</w:t>
      </w:r>
      <w:r>
        <w:rPr>
          <w:spacing w:val="-12"/>
        </w:rPr>
        <w:t> </w:t>
      </w:r>
      <w:r>
        <w:rPr/>
        <w:t>набавкама.</w:t>
      </w:r>
    </w:p>
    <w:p>
      <w:pPr>
        <w:pStyle w:val="Heading2"/>
        <w:spacing w:line="240" w:lineRule="auto"/>
        <w:ind w:right="177"/>
        <w:jc w:val="both"/>
        <w:rPr>
          <w:rFonts w:ascii="Times New Roman" w:hAnsi="Times New Roman" w:cs="Times New Roman" w:eastAsia="Times New Roman" w:hint="default"/>
          <w:b w:val="0"/>
          <w:bCs w:val="0"/>
          <w:i w:val="0"/>
        </w:rPr>
      </w:pPr>
      <w:r>
        <w:rPr>
          <w:i/>
        </w:rPr>
        <w:t>Препоручује се одговорним лицима да поступке јавних набавки спроводе у складу са важећим Законом о јавним</w:t>
      </w:r>
      <w:r>
        <w:rPr>
          <w:i/>
          <w:spacing w:val="-12"/>
        </w:rPr>
        <w:t> </w:t>
      </w:r>
      <w:r>
        <w:rPr>
          <w:i/>
        </w:rPr>
        <w:t>набавкама</w:t>
      </w:r>
      <w:r>
        <w:rPr>
          <w:rFonts w:ascii="Times New Roman" w:hAnsi="Times New Roman"/>
          <w:i/>
        </w:rPr>
        <w:t>.</w:t>
      </w:r>
      <w:r>
        <w:rPr>
          <w:rFonts w:ascii="Times New Roman" w:hAnsi="Times New Roman"/>
          <w:b w:val="0"/>
          <w:i w:val="0"/>
        </w:rPr>
      </w:r>
    </w:p>
    <w:p>
      <w:pPr>
        <w:spacing w:line="240" w:lineRule="auto" w:before="0"/>
        <w:rPr>
          <w:rFonts w:ascii="Times New Roman" w:hAnsi="Times New Roman" w:cs="Times New Roman" w:eastAsia="Times New Roman" w:hint="default"/>
          <w:b/>
          <w:bCs/>
          <w:i/>
          <w:sz w:val="24"/>
          <w:szCs w:val="24"/>
        </w:rPr>
      </w:pPr>
    </w:p>
    <w:p>
      <w:pPr>
        <w:spacing w:line="274" w:lineRule="exact" w:before="0"/>
        <w:ind w:left="726" w:right="141" w:firstLine="0"/>
        <w:jc w:val="left"/>
        <w:rPr>
          <w:rFonts w:ascii="Times New Roman" w:hAnsi="Times New Roman" w:cs="Times New Roman" w:eastAsia="Times New Roman" w:hint="default"/>
          <w:sz w:val="24"/>
          <w:szCs w:val="24"/>
        </w:rPr>
      </w:pPr>
      <w:r>
        <w:rPr>
          <w:rFonts w:ascii="Times New Roman" w:hAnsi="Times New Roman"/>
          <w:b/>
          <w:sz w:val="24"/>
        </w:rPr>
        <w:t>ЈП</w:t>
      </w:r>
      <w:r>
        <w:rPr>
          <w:rFonts w:ascii="Times New Roman" w:hAnsi="Times New Roman"/>
          <w:b/>
          <w:spacing w:val="-3"/>
          <w:sz w:val="24"/>
        </w:rPr>
        <w:t> </w:t>
      </w:r>
      <w:r>
        <w:rPr>
          <w:rFonts w:ascii="Times New Roman" w:hAnsi="Times New Roman"/>
          <w:b/>
          <w:sz w:val="24"/>
        </w:rPr>
        <w:t>Дирекција</w:t>
      </w:r>
      <w:r>
        <w:rPr>
          <w:rFonts w:ascii="Times New Roman" w:hAnsi="Times New Roman"/>
          <w:sz w:val="24"/>
        </w:rPr>
      </w:r>
    </w:p>
    <w:p>
      <w:pPr>
        <w:pStyle w:val="BodyText"/>
        <w:spacing w:line="240" w:lineRule="auto"/>
        <w:ind w:right="178" w:firstLine="566"/>
        <w:jc w:val="both"/>
      </w:pPr>
      <w:r>
        <w:rPr/>
        <w:t>Надзорни одбор ЈП Дирекција донео је План јавних набавки за 2014. годину број </w:t>
      </w:r>
      <w:r>
        <w:rPr>
          <w:rFonts w:ascii="Times New Roman" w:hAnsi="Times New Roman"/>
        </w:rPr>
        <w:t>05-505-</w:t>
      </w:r>
      <w:r>
        <w:rPr/>
        <w:t>2/2014 од 31.01.2014. године. Укупна процењена вредност јавних набавки на које се примењује Закон о јавним набавкама износи 532.817 хиљада динара без ПДВ. ЈП Дирекција у 2014. години, извршила је четири пута промену плана набавки, и то: 14.04.2014. године, 04.07.2014. године, 22.07.2014. године и 08.12.2014. године. У 2014. години град Ниш имао је један ребаланс буџета и то дана 14.10.2014. године. ЈП Дирекција је имала једну измену финансијског плана утврђену Програмом о изменама и допунама Програма пословања предузећа за 2014. годину, на који је сагласност дала Скупштина града дана 17.12.2014.</w:t>
      </w:r>
      <w:r>
        <w:rPr>
          <w:spacing w:val="-6"/>
        </w:rPr>
        <w:t> </w:t>
      </w:r>
      <w:r>
        <w:rPr/>
        <w:t>године.</w:t>
      </w:r>
    </w:p>
    <w:p>
      <w:pPr>
        <w:spacing w:before="0"/>
        <w:ind w:left="160" w:right="174"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је ЈП Дирекција за изградњу града Ниша у 2014. години, три пута вршила промену плана набавки супротно члану 51. став 5. Закона о јавним</w:t>
      </w:r>
      <w:r>
        <w:rPr>
          <w:rFonts w:ascii="Times New Roman" w:hAnsi="Times New Roman"/>
          <w:spacing w:val="-12"/>
          <w:sz w:val="24"/>
        </w:rPr>
        <w:t> </w:t>
      </w:r>
      <w:r>
        <w:rPr>
          <w:rFonts w:ascii="Times New Roman" w:hAnsi="Times New Roman"/>
          <w:sz w:val="24"/>
        </w:rPr>
        <w:t>набавкама.</w:t>
      </w:r>
    </w:p>
    <w:p>
      <w:pPr>
        <w:pStyle w:val="Heading2"/>
        <w:spacing w:line="240" w:lineRule="auto"/>
        <w:ind w:right="176"/>
        <w:jc w:val="both"/>
        <w:rPr>
          <w:b w:val="0"/>
          <w:bCs w:val="0"/>
          <w:i w:val="0"/>
        </w:rPr>
      </w:pPr>
      <w:r>
        <w:rPr>
          <w:i/>
        </w:rPr>
        <w:t>Препоручује се одговорним лицима да измену и допуну плана јавних набавки достављају, врше и сачињавају у складу са Законом о јавним набавкама и Правилником о форми и садржини плана и извештаја о извршењу плана</w:t>
      </w:r>
      <w:r>
        <w:rPr>
          <w:i/>
          <w:spacing w:val="-23"/>
        </w:rPr>
        <w:t> </w:t>
      </w:r>
      <w:r>
        <w:rPr>
          <w:i/>
        </w:rPr>
        <w:t>набавки.</w:t>
      </w:r>
      <w:r>
        <w:rPr>
          <w:b w:val="0"/>
          <w:i w:val="0"/>
        </w:rPr>
      </w:r>
    </w:p>
    <w:p>
      <w:pPr>
        <w:pStyle w:val="BodyText"/>
        <w:spacing w:line="240" w:lineRule="auto"/>
        <w:ind w:right="174" w:firstLine="566"/>
        <w:jc w:val="both"/>
      </w:pPr>
      <w:r>
        <w:rPr/>
        <w:t>У 2014. години ЈП Дирекција је покренула и спровела 79 поступака јавних набавки, у укупном износу од 157.404 хиљаде динара без ПДВ, односно 188.654 хиљаде динара са ПДВ, од којих 20 отворених поступака у износу од 130.374 хиљаде динара без ПДВ, односно 156.422 хиљаде динара са ПДВ, 37 поступака јавних набавки мале вредности у износу од 19.373 хиљаде динара без ПДВ, односно 23.093 хиљаде динара са ПДВ, два поступка јавне набавке у преговарачком поступку без објављивања позива за подношење понуда у износу од 402 хиљаде динара без ПДВ, односно 432 хиљаде динара са ПДВ и два поступка јавне набавке у преговарачком поступку са објављивањем јавног позива у износу од 7.258 хиљада динара без ПДВ, односно 8.710 хиљада динара са</w:t>
      </w:r>
      <w:r>
        <w:rPr>
          <w:spacing w:val="-20"/>
        </w:rPr>
        <w:t> </w:t>
      </w:r>
      <w:r>
        <w:rPr/>
        <w:t>ПДВ.</w:t>
      </w:r>
    </w:p>
    <w:p>
      <w:pPr>
        <w:pStyle w:val="BodyText"/>
        <w:spacing w:line="240" w:lineRule="auto"/>
        <w:ind w:right="176" w:firstLine="566"/>
        <w:jc w:val="both"/>
      </w:pPr>
      <w:r>
        <w:rPr/>
        <w:t>ЈП Дирекција је обуставила 18 поступака јавних набавки, процењене вредности 253.774 хиљаде динара и то 15 отворених поступака процењене вредности 249.232 хиљаде динара и три поступка јавне набавке мале вредности процењене вредности 4.542 хиљаде</w:t>
      </w:r>
      <w:r>
        <w:rPr>
          <w:spacing w:val="-3"/>
        </w:rPr>
        <w:t> </w:t>
      </w:r>
      <w:r>
        <w:rPr/>
        <w:t>динара.</w:t>
      </w:r>
    </w:p>
    <w:p>
      <w:pPr>
        <w:spacing w:after="0" w:line="240" w:lineRule="auto"/>
        <w:jc w:val="both"/>
        <w:sectPr>
          <w:pgSz w:w="12240" w:h="15840"/>
          <w:pgMar w:header="740" w:footer="1274" w:top="1280" w:bottom="1460" w:left="1400" w:right="1260"/>
        </w:sectPr>
      </w:pPr>
    </w:p>
    <w:p>
      <w:pPr>
        <w:pStyle w:val="BodyText"/>
        <w:spacing w:line="240" w:lineRule="auto" w:before="122"/>
        <w:ind w:right="178" w:firstLine="626"/>
        <w:jc w:val="both"/>
      </w:pPr>
      <w:r>
        <w:rPr/>
        <w:t>Ревидирано је десет спроведених поступака јавних набавки у вредности од 332.282 хиљаде динара, и то: шест јавних набавки у отвореном поступку процењене ведности 325.833 хиљаде динара, три јавне набавке мале вредности процењене вредности 6.249 хиљада динара и једна јавна набавка у преговарачком поступку без објављивања јавног позива процењене вредности 200 хиљада</w:t>
      </w:r>
      <w:r>
        <w:rPr>
          <w:spacing w:val="-19"/>
        </w:rPr>
        <w:t> </w:t>
      </w:r>
      <w:r>
        <w:rPr/>
        <w:t>динара.</w:t>
      </w:r>
    </w:p>
    <w:p>
      <w:pPr>
        <w:pStyle w:val="BodyText"/>
        <w:spacing w:line="240" w:lineRule="auto" w:before="137"/>
        <w:ind w:right="176" w:firstLine="566"/>
        <w:jc w:val="both"/>
        <w:rPr>
          <w:rFonts w:ascii="Times New Roman" w:hAnsi="Times New Roman" w:cs="Times New Roman" w:eastAsia="Times New Roman" w:hint="default"/>
        </w:rPr>
      </w:pPr>
      <w:r>
        <w:rPr/>
        <w:t>У складу са Законом о јавним набавкама спроведена је набавка радова на изградњи магистралне водоводне мреже на Сомборском булевару у Нишу, редни број 1.3.6. у преговарачком поступку без објављивања јавног</w:t>
      </w:r>
      <w:r>
        <w:rPr>
          <w:spacing w:val="-9"/>
        </w:rPr>
        <w:t> </w:t>
      </w:r>
      <w:r>
        <w:rPr/>
        <w:t>позива</w:t>
      </w:r>
      <w:r>
        <w:rPr>
          <w:rFonts w:ascii="Times New Roman" w:hAnsi="Times New Roman"/>
        </w:rPr>
        <w:t>.</w:t>
      </w:r>
    </w:p>
    <w:p>
      <w:pPr>
        <w:spacing w:before="139"/>
        <w:ind w:left="160" w:right="174" w:firstLine="566"/>
        <w:jc w:val="both"/>
        <w:rPr>
          <w:rFonts w:ascii="Times New Roman" w:hAnsi="Times New Roman" w:cs="Times New Roman" w:eastAsia="Times New Roman" w:hint="default"/>
          <w:sz w:val="24"/>
          <w:szCs w:val="24"/>
        </w:rPr>
      </w:pPr>
      <w:r>
        <w:rPr>
          <w:rFonts w:ascii="Times New Roman" w:hAnsi="Times New Roman"/>
          <w:b/>
          <w:sz w:val="24"/>
        </w:rPr>
        <w:t>Јавне набавке које нису спроведене у складу са Законом о јавним набавкама </w:t>
      </w:r>
      <w:r>
        <w:rPr>
          <w:rFonts w:ascii="Times New Roman" w:hAnsi="Times New Roman"/>
          <w:sz w:val="24"/>
        </w:rPr>
        <w:t>и код којих су утврђене следеће</w:t>
      </w:r>
      <w:r>
        <w:rPr>
          <w:rFonts w:ascii="Times New Roman" w:hAnsi="Times New Roman"/>
          <w:spacing w:val="-14"/>
          <w:sz w:val="24"/>
        </w:rPr>
        <w:t> </w:t>
      </w:r>
      <w:r>
        <w:rPr>
          <w:rFonts w:ascii="Times New Roman" w:hAnsi="Times New Roman"/>
          <w:sz w:val="24"/>
        </w:rPr>
        <w:t>неправилности:</w:t>
      </w:r>
    </w:p>
    <w:p>
      <w:pPr>
        <w:pStyle w:val="BodyText"/>
        <w:spacing w:line="240" w:lineRule="auto"/>
        <w:ind w:right="179"/>
        <w:jc w:val="both"/>
      </w:pPr>
      <w:r>
        <w:rPr>
          <w:rFonts w:ascii="Times New Roman" w:hAnsi="Times New Roman"/>
          <w:b/>
        </w:rPr>
        <w:t>а) </w:t>
      </w:r>
      <w:r>
        <w:rPr/>
        <w:t>Решење о образовању комисије за јавну набавку не садржи рокове у којима ће  комисија извршити своје задатке, што је супротно члану 54. Закона о јавним набавкама код:</w:t>
      </w:r>
    </w:p>
    <w:p>
      <w:pPr>
        <w:pStyle w:val="ListParagraph"/>
        <w:numPr>
          <w:ilvl w:val="2"/>
          <w:numId w:val="55"/>
        </w:numPr>
        <w:tabs>
          <w:tab w:pos="989" w:val="left" w:leader="none"/>
        </w:tabs>
        <w:spacing w:line="240" w:lineRule="auto" w:before="0" w:after="0"/>
        <w:ind w:left="160" w:right="174" w:firstLine="566"/>
        <w:jc w:val="both"/>
        <w:rPr>
          <w:rFonts w:ascii="Times New Roman" w:hAnsi="Times New Roman" w:cs="Times New Roman" w:eastAsia="Times New Roman" w:hint="default"/>
          <w:sz w:val="24"/>
          <w:szCs w:val="24"/>
        </w:rPr>
      </w:pPr>
      <w:r>
        <w:rPr>
          <w:rFonts w:ascii="Times New Roman" w:hAnsi="Times New Roman"/>
          <w:sz w:val="24"/>
        </w:rPr>
        <w:t>Набавка радова на зимском одржавању на сеоском подручју града Ниша, број </w:t>
      </w:r>
      <w:r>
        <w:rPr>
          <w:rFonts w:ascii="Times New Roman" w:hAnsi="Times New Roman"/>
          <w:spacing w:val="2"/>
          <w:sz w:val="24"/>
        </w:rPr>
        <w:t>03</w:t>
      </w:r>
      <w:r>
        <w:rPr>
          <w:rFonts w:ascii="Times New Roman" w:hAnsi="Times New Roman"/>
          <w:spacing w:val="2"/>
          <w:sz w:val="24"/>
        </w:rPr>
        <w:t>- </w:t>
      </w:r>
      <w:r>
        <w:rPr>
          <w:rFonts w:ascii="Times New Roman" w:hAnsi="Times New Roman"/>
          <w:spacing w:val="2"/>
          <w:sz w:val="24"/>
        </w:rPr>
      </w:r>
      <w:r>
        <w:rPr>
          <w:rFonts w:ascii="Times New Roman" w:hAnsi="Times New Roman"/>
          <w:sz w:val="24"/>
        </w:rPr>
        <w:t>5529, у отвореном</w:t>
      </w:r>
      <w:r>
        <w:rPr>
          <w:rFonts w:ascii="Times New Roman" w:hAnsi="Times New Roman"/>
          <w:spacing w:val="-8"/>
          <w:sz w:val="24"/>
        </w:rPr>
        <w:t> </w:t>
      </w:r>
      <w:r>
        <w:rPr>
          <w:rFonts w:ascii="Times New Roman" w:hAnsi="Times New Roman"/>
          <w:sz w:val="24"/>
        </w:rPr>
        <w:t>поступку</w:t>
      </w:r>
      <w:r>
        <w:rPr>
          <w:rFonts w:ascii="Times New Roman" w:hAnsi="Times New Roman"/>
          <w:sz w:val="24"/>
        </w:rPr>
        <w:t>,</w:t>
      </w:r>
    </w:p>
    <w:p>
      <w:pPr>
        <w:pStyle w:val="ListParagraph"/>
        <w:numPr>
          <w:ilvl w:val="2"/>
          <w:numId w:val="55"/>
        </w:numPr>
        <w:tabs>
          <w:tab w:pos="986" w:val="left" w:leader="none"/>
        </w:tabs>
        <w:spacing w:line="240" w:lineRule="auto" w:before="0" w:after="0"/>
        <w:ind w:left="986" w:right="0" w:hanging="26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Набавка „добара“ електричне енергије,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5029, у отвореном</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поступку.</w:t>
      </w:r>
    </w:p>
    <w:p>
      <w:pPr>
        <w:pStyle w:val="ListParagraph"/>
        <w:numPr>
          <w:ilvl w:val="2"/>
          <w:numId w:val="55"/>
        </w:numPr>
        <w:tabs>
          <w:tab w:pos="1029" w:val="left" w:leader="none"/>
        </w:tabs>
        <w:spacing w:line="240" w:lineRule="auto" w:before="0" w:after="0"/>
        <w:ind w:left="160" w:right="182" w:firstLine="566"/>
        <w:jc w:val="both"/>
        <w:rPr>
          <w:rFonts w:ascii="Times New Roman" w:hAnsi="Times New Roman" w:cs="Times New Roman" w:eastAsia="Times New Roman" w:hint="default"/>
          <w:sz w:val="24"/>
          <w:szCs w:val="24"/>
        </w:rPr>
      </w:pPr>
      <w:r>
        <w:rPr>
          <w:rFonts w:ascii="Times New Roman" w:hAnsi="Times New Roman"/>
          <w:sz w:val="24"/>
        </w:rPr>
        <w:t>Набавка радова на изградњи канализационе мреже на сеоском подручју града Ниша, број 03</w:t>
      </w:r>
      <w:r>
        <w:rPr>
          <w:rFonts w:ascii="Times New Roman" w:hAnsi="Times New Roman"/>
          <w:sz w:val="24"/>
        </w:rPr>
        <w:t>-</w:t>
      </w:r>
      <w:r>
        <w:rPr>
          <w:rFonts w:ascii="Times New Roman" w:hAnsi="Times New Roman"/>
          <w:sz w:val="24"/>
        </w:rPr>
        <w:t>11096 у отвореном поступку, по</w:t>
      </w:r>
      <w:r>
        <w:rPr>
          <w:rFonts w:ascii="Times New Roman" w:hAnsi="Times New Roman"/>
          <w:spacing w:val="-13"/>
          <w:sz w:val="24"/>
        </w:rPr>
        <w:t> </w:t>
      </w:r>
      <w:r>
        <w:rPr>
          <w:rFonts w:ascii="Times New Roman" w:hAnsi="Times New Roman"/>
          <w:sz w:val="24"/>
        </w:rPr>
        <w:t>партијама</w:t>
      </w:r>
      <w:r>
        <w:rPr>
          <w:rFonts w:ascii="Times New Roman" w:hAnsi="Times New Roman"/>
          <w:sz w:val="24"/>
        </w:rPr>
        <w:t>,</w:t>
      </w:r>
    </w:p>
    <w:p>
      <w:pPr>
        <w:pStyle w:val="ListParagraph"/>
        <w:numPr>
          <w:ilvl w:val="2"/>
          <w:numId w:val="55"/>
        </w:numPr>
        <w:tabs>
          <w:tab w:pos="1001" w:val="left" w:leader="none"/>
        </w:tabs>
        <w:spacing w:line="240" w:lineRule="auto" w:before="0" w:after="0"/>
        <w:ind w:left="160" w:right="176" w:firstLine="566"/>
        <w:jc w:val="both"/>
        <w:rPr>
          <w:rFonts w:ascii="Times New Roman" w:hAnsi="Times New Roman" w:cs="Times New Roman" w:eastAsia="Times New Roman" w:hint="default"/>
          <w:sz w:val="24"/>
          <w:szCs w:val="24"/>
        </w:rPr>
      </w:pPr>
      <w:r>
        <w:rPr>
          <w:rFonts w:ascii="Times New Roman" w:hAnsi="Times New Roman"/>
          <w:sz w:val="24"/>
        </w:rPr>
        <w:t>Набавка радова на партерном уређењу око зграде кардиохирургије у Нишу, број </w:t>
      </w:r>
      <w:r>
        <w:rPr>
          <w:rFonts w:ascii="Times New Roman" w:hAnsi="Times New Roman"/>
          <w:sz w:val="24"/>
        </w:rPr>
        <w:t>03-</w:t>
      </w:r>
      <w:r>
        <w:rPr>
          <w:rFonts w:ascii="Times New Roman" w:hAnsi="Times New Roman"/>
          <w:sz w:val="24"/>
        </w:rPr>
        <w:t>4921 у отвореном</w:t>
      </w:r>
      <w:r>
        <w:rPr>
          <w:rFonts w:ascii="Times New Roman" w:hAnsi="Times New Roman"/>
          <w:spacing w:val="-9"/>
          <w:sz w:val="24"/>
        </w:rPr>
        <w:t> </w:t>
      </w:r>
      <w:r>
        <w:rPr>
          <w:rFonts w:ascii="Times New Roman" w:hAnsi="Times New Roman"/>
          <w:sz w:val="24"/>
        </w:rPr>
        <w:t>поступку</w:t>
      </w:r>
      <w:r>
        <w:rPr>
          <w:rFonts w:ascii="Times New Roman" w:hAnsi="Times New Roman"/>
          <w:sz w:val="24"/>
        </w:rPr>
        <w:t>,</w:t>
      </w:r>
    </w:p>
    <w:p>
      <w:pPr>
        <w:pStyle w:val="ListParagraph"/>
        <w:numPr>
          <w:ilvl w:val="2"/>
          <w:numId w:val="55"/>
        </w:numPr>
        <w:tabs>
          <w:tab w:pos="991" w:val="left" w:leader="none"/>
        </w:tabs>
        <w:spacing w:line="240" w:lineRule="auto" w:before="0" w:after="0"/>
        <w:ind w:left="160" w:right="180" w:firstLine="566"/>
        <w:jc w:val="both"/>
        <w:rPr>
          <w:rFonts w:ascii="Times New Roman" w:hAnsi="Times New Roman" w:cs="Times New Roman" w:eastAsia="Times New Roman" w:hint="default"/>
          <w:sz w:val="24"/>
          <w:szCs w:val="24"/>
        </w:rPr>
      </w:pPr>
      <w:r>
        <w:rPr>
          <w:rFonts w:ascii="Times New Roman" w:hAnsi="Times New Roman"/>
          <w:sz w:val="24"/>
        </w:rPr>
        <w:t>Набавка радова на редовном и ургентном одржавању на градском подручју града Ниша, обликована у пет партија, број 03</w:t>
      </w:r>
      <w:r>
        <w:rPr>
          <w:rFonts w:ascii="Times New Roman" w:hAnsi="Times New Roman"/>
          <w:sz w:val="24"/>
        </w:rPr>
        <w:t>-</w:t>
      </w:r>
      <w:r>
        <w:rPr>
          <w:rFonts w:ascii="Times New Roman" w:hAnsi="Times New Roman"/>
          <w:sz w:val="24"/>
        </w:rPr>
        <w:t>5457 у отвореном</w:t>
      </w:r>
      <w:r>
        <w:rPr>
          <w:rFonts w:ascii="Times New Roman" w:hAnsi="Times New Roman"/>
          <w:spacing w:val="-19"/>
          <w:sz w:val="24"/>
        </w:rPr>
        <w:t> </w:t>
      </w:r>
      <w:r>
        <w:rPr>
          <w:rFonts w:ascii="Times New Roman" w:hAnsi="Times New Roman"/>
          <w:sz w:val="24"/>
        </w:rPr>
        <w:t>поступку,</w:t>
      </w:r>
    </w:p>
    <w:p>
      <w:pPr>
        <w:pStyle w:val="ListParagraph"/>
        <w:numPr>
          <w:ilvl w:val="2"/>
          <w:numId w:val="55"/>
        </w:numPr>
        <w:tabs>
          <w:tab w:pos="1003" w:val="left" w:leader="none"/>
        </w:tabs>
        <w:spacing w:line="240" w:lineRule="auto" w:before="0" w:after="0"/>
        <w:ind w:left="160" w:right="184" w:firstLine="566"/>
        <w:jc w:val="both"/>
        <w:rPr>
          <w:rFonts w:ascii="Times New Roman" w:hAnsi="Times New Roman" w:cs="Times New Roman" w:eastAsia="Times New Roman" w:hint="default"/>
          <w:sz w:val="24"/>
          <w:szCs w:val="24"/>
        </w:rPr>
      </w:pPr>
      <w:r>
        <w:rPr>
          <w:rFonts w:ascii="Times New Roman" w:hAnsi="Times New Roman"/>
          <w:sz w:val="24"/>
        </w:rPr>
        <w:t>Набавка радова на редовном и ургентном одржавању на сеоском подручју града Ниша, обликована у четири партије, број 03</w:t>
      </w:r>
      <w:r>
        <w:rPr>
          <w:rFonts w:ascii="Times New Roman" w:hAnsi="Times New Roman"/>
          <w:sz w:val="24"/>
        </w:rPr>
        <w:t>-</w:t>
      </w:r>
      <w:r>
        <w:rPr>
          <w:rFonts w:ascii="Times New Roman" w:hAnsi="Times New Roman"/>
          <w:sz w:val="24"/>
        </w:rPr>
        <w:t>5458 у отвореном</w:t>
      </w:r>
      <w:r>
        <w:rPr>
          <w:rFonts w:ascii="Times New Roman" w:hAnsi="Times New Roman"/>
          <w:spacing w:val="-18"/>
          <w:sz w:val="24"/>
        </w:rPr>
        <w:t> </w:t>
      </w:r>
      <w:r>
        <w:rPr>
          <w:rFonts w:ascii="Times New Roman" w:hAnsi="Times New Roman"/>
          <w:sz w:val="24"/>
        </w:rPr>
        <w:t>поступку,</w:t>
      </w:r>
    </w:p>
    <w:p>
      <w:pPr>
        <w:pStyle w:val="ListParagraph"/>
        <w:numPr>
          <w:ilvl w:val="2"/>
          <w:numId w:val="55"/>
        </w:numPr>
        <w:tabs>
          <w:tab w:pos="996" w:val="left" w:leader="none"/>
        </w:tabs>
        <w:spacing w:line="240" w:lineRule="auto" w:before="0" w:after="0"/>
        <w:ind w:left="160" w:right="179"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Јавна набавка мале вредности – набавка услуга одржавања ескалатора и лифтова за кретање инвалидних лица, редни број</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1.2.7</w:t>
      </w:r>
      <w:r>
        <w:rPr>
          <w:rFonts w:ascii="Times New Roman" w:hAnsi="Times New Roman" w:cs="Times New Roman" w:eastAsia="Times New Roman" w:hint="default"/>
          <w:sz w:val="24"/>
          <w:szCs w:val="24"/>
        </w:rPr>
        <w:t>,</w:t>
      </w:r>
    </w:p>
    <w:p>
      <w:pPr>
        <w:pStyle w:val="ListParagraph"/>
        <w:numPr>
          <w:ilvl w:val="2"/>
          <w:numId w:val="55"/>
        </w:numPr>
        <w:tabs>
          <w:tab w:pos="1073" w:val="left" w:leader="none"/>
        </w:tabs>
        <w:spacing w:line="240" w:lineRule="auto" w:before="0" w:after="0"/>
        <w:ind w:left="160" w:right="176"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Јавна набавка мале вредности – извођење радова на редовном одржавању мостова преко река, потока и сувих долина, редни број</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1.3.37</w:t>
      </w:r>
      <w:r>
        <w:rPr>
          <w:rFonts w:ascii="Times New Roman" w:hAnsi="Times New Roman" w:cs="Times New Roman" w:eastAsia="Times New Roman" w:hint="default"/>
          <w:sz w:val="24"/>
          <w:szCs w:val="24"/>
        </w:rPr>
        <w:t>,</w:t>
      </w:r>
    </w:p>
    <w:p>
      <w:pPr>
        <w:pStyle w:val="ListParagraph"/>
        <w:numPr>
          <w:ilvl w:val="2"/>
          <w:numId w:val="55"/>
        </w:numPr>
        <w:tabs>
          <w:tab w:pos="1008" w:val="left" w:leader="none"/>
        </w:tabs>
        <w:spacing w:line="240" w:lineRule="auto" w:before="0" w:after="0"/>
        <w:ind w:left="160" w:right="180"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Јавна набавка мале вредности – извођење радова за набавку и уградњу сливних решетки и других грађевинских радова на атмосферској канализацији на  територији града Ниша, редни број</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1.3.38/1;</w:t>
      </w:r>
    </w:p>
    <w:p>
      <w:pPr>
        <w:pStyle w:val="BodyText"/>
        <w:spacing w:line="240" w:lineRule="auto"/>
        <w:ind w:right="0"/>
        <w:jc w:val="both"/>
      </w:pPr>
      <w:r>
        <w:rPr>
          <w:rFonts w:ascii="Times New Roman" w:hAnsi="Times New Roman"/>
          <w:b/>
        </w:rPr>
        <w:t>б)</w:t>
      </w:r>
      <w:r>
        <w:rPr>
          <w:rFonts w:ascii="Times New Roman" w:hAnsi="Times New Roman"/>
          <w:b/>
          <w:spacing w:val="22"/>
        </w:rPr>
        <w:t> </w:t>
      </w:r>
      <w:r>
        <w:rPr/>
        <w:t>Наручилац</w:t>
      </w:r>
      <w:r>
        <w:rPr>
          <w:spacing w:val="23"/>
        </w:rPr>
        <w:t> </w:t>
      </w:r>
      <w:r>
        <w:rPr/>
        <w:t>није</w:t>
      </w:r>
      <w:r>
        <w:rPr>
          <w:spacing w:val="24"/>
        </w:rPr>
        <w:t> </w:t>
      </w:r>
      <w:r>
        <w:rPr/>
        <w:t>у</w:t>
      </w:r>
      <w:r>
        <w:rPr>
          <w:spacing w:val="15"/>
        </w:rPr>
        <w:t> </w:t>
      </w:r>
      <w:r>
        <w:rPr/>
        <w:t>поступку</w:t>
      </w:r>
      <w:r>
        <w:rPr>
          <w:spacing w:val="17"/>
        </w:rPr>
        <w:t> </w:t>
      </w:r>
      <w:r>
        <w:rPr/>
        <w:t>јавне</w:t>
      </w:r>
      <w:r>
        <w:rPr>
          <w:spacing w:val="21"/>
        </w:rPr>
        <w:t> </w:t>
      </w:r>
      <w:r>
        <w:rPr/>
        <w:t>набавке</w:t>
      </w:r>
      <w:r>
        <w:rPr>
          <w:spacing w:val="27"/>
        </w:rPr>
        <w:t> </w:t>
      </w:r>
      <w:r>
        <w:rPr/>
        <w:t>радова</w:t>
      </w:r>
      <w:r>
        <w:rPr>
          <w:spacing w:val="21"/>
        </w:rPr>
        <w:t> </w:t>
      </w:r>
      <w:r>
        <w:rPr/>
        <w:t>чија</w:t>
      </w:r>
      <w:r>
        <w:rPr>
          <w:spacing w:val="22"/>
        </w:rPr>
        <w:t> </w:t>
      </w:r>
      <w:r>
        <w:rPr/>
        <w:t>је</w:t>
      </w:r>
      <w:r>
        <w:rPr>
          <w:spacing w:val="22"/>
        </w:rPr>
        <w:t> </w:t>
      </w:r>
      <w:r>
        <w:rPr/>
        <w:t>процењена</w:t>
      </w:r>
      <w:r>
        <w:rPr>
          <w:spacing w:val="21"/>
        </w:rPr>
        <w:t> </w:t>
      </w:r>
      <w:r>
        <w:rPr/>
        <w:t>вредност</w:t>
      </w:r>
      <w:r>
        <w:rPr>
          <w:spacing w:val="23"/>
        </w:rPr>
        <w:t> </w:t>
      </w:r>
      <w:r>
        <w:rPr/>
        <w:t>већа</w:t>
      </w:r>
      <w:r>
        <w:rPr>
          <w:spacing w:val="21"/>
        </w:rPr>
        <w:t> </w:t>
      </w:r>
      <w:r>
        <w:rPr/>
        <w:t>од</w:t>
      </w:r>
    </w:p>
    <w:p>
      <w:pPr>
        <w:pStyle w:val="ListParagraph"/>
        <w:numPr>
          <w:ilvl w:val="1"/>
          <w:numId w:val="56"/>
        </w:numPr>
        <w:tabs>
          <w:tab w:pos="895"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хиљада динара</w:t>
      </w:r>
      <w:r>
        <w:rPr>
          <w:rFonts w:ascii="Times New Roman" w:hAnsi="Times New Roman"/>
          <w:sz w:val="24"/>
        </w:rPr>
        <w:t>, </w:t>
      </w:r>
      <w:r>
        <w:rPr>
          <w:rFonts w:ascii="Times New Roman" w:hAnsi="Times New Roman"/>
          <w:sz w:val="24"/>
        </w:rPr>
        <w:t>односно добара чија је процењена вредност већа од 5.000 хиљада динара, објавио оглас о јавним набавкама у Службеном гласилу Републике Србије, што је супротно члану 57. став 2. Закона о јавним набавкама. ЈП Дирекција је достављала захтеве за плаћање Управи за финансије са предрачунима Службеног гласника, ради објављивања позива за подношење понуда, али Управа за финансије за исте није преносила средства ЈП Дирекција, тако да оглас у Службеном гласнику није објављен код:</w:t>
      </w:r>
    </w:p>
    <w:p>
      <w:pPr>
        <w:pStyle w:val="ListParagraph"/>
        <w:numPr>
          <w:ilvl w:val="2"/>
          <w:numId w:val="56"/>
        </w:numPr>
        <w:tabs>
          <w:tab w:pos="989" w:val="left" w:leader="none"/>
        </w:tabs>
        <w:spacing w:line="240" w:lineRule="auto" w:before="0" w:after="0"/>
        <w:ind w:left="160" w:right="174" w:firstLine="566"/>
        <w:jc w:val="left"/>
        <w:rPr>
          <w:rFonts w:ascii="Times New Roman" w:hAnsi="Times New Roman" w:cs="Times New Roman" w:eastAsia="Times New Roman" w:hint="default"/>
          <w:sz w:val="24"/>
          <w:szCs w:val="24"/>
        </w:rPr>
      </w:pPr>
      <w:r>
        <w:rPr>
          <w:rFonts w:ascii="Times New Roman" w:hAnsi="Times New Roman"/>
          <w:sz w:val="24"/>
        </w:rPr>
        <w:t>Набавке радова на зимском одржавању на сеоском подручју града Ниша, број </w:t>
      </w:r>
      <w:r>
        <w:rPr>
          <w:rFonts w:ascii="Times New Roman" w:hAnsi="Times New Roman"/>
          <w:spacing w:val="2"/>
          <w:sz w:val="24"/>
        </w:rPr>
        <w:t>03</w:t>
      </w:r>
      <w:r>
        <w:rPr>
          <w:rFonts w:ascii="Times New Roman" w:hAnsi="Times New Roman"/>
          <w:spacing w:val="2"/>
          <w:sz w:val="24"/>
        </w:rPr>
        <w:t>- </w:t>
      </w:r>
      <w:r>
        <w:rPr>
          <w:rFonts w:ascii="Times New Roman" w:hAnsi="Times New Roman"/>
          <w:spacing w:val="2"/>
          <w:sz w:val="24"/>
        </w:rPr>
      </w:r>
      <w:r>
        <w:rPr>
          <w:rFonts w:ascii="Times New Roman" w:hAnsi="Times New Roman"/>
          <w:sz w:val="24"/>
        </w:rPr>
        <w:t>5529, у отвореном</w:t>
      </w:r>
      <w:r>
        <w:rPr>
          <w:rFonts w:ascii="Times New Roman" w:hAnsi="Times New Roman"/>
          <w:spacing w:val="-8"/>
          <w:sz w:val="24"/>
        </w:rPr>
        <w:t> </w:t>
      </w:r>
      <w:r>
        <w:rPr>
          <w:rFonts w:ascii="Times New Roman" w:hAnsi="Times New Roman"/>
          <w:sz w:val="24"/>
        </w:rPr>
        <w:t>поступку</w:t>
      </w:r>
      <w:r>
        <w:rPr>
          <w:rFonts w:ascii="Times New Roman" w:hAnsi="Times New Roman"/>
          <w:sz w:val="24"/>
        </w:rPr>
        <w:t>,</w:t>
      </w:r>
    </w:p>
    <w:p>
      <w:pPr>
        <w:pStyle w:val="ListParagraph"/>
        <w:numPr>
          <w:ilvl w:val="2"/>
          <w:numId w:val="56"/>
        </w:numPr>
        <w:tabs>
          <w:tab w:pos="1001" w:val="left" w:leader="none"/>
        </w:tabs>
        <w:spacing w:line="240" w:lineRule="auto" w:before="0" w:after="0"/>
        <w:ind w:left="160" w:right="185" w:firstLine="566"/>
        <w:jc w:val="left"/>
        <w:rPr>
          <w:rFonts w:ascii="Times New Roman" w:hAnsi="Times New Roman" w:cs="Times New Roman" w:eastAsia="Times New Roman" w:hint="default"/>
          <w:sz w:val="24"/>
          <w:szCs w:val="24"/>
        </w:rPr>
      </w:pPr>
      <w:r>
        <w:rPr>
          <w:rFonts w:ascii="Times New Roman" w:hAnsi="Times New Roman"/>
          <w:sz w:val="24"/>
        </w:rPr>
        <w:t>Набавка радова на партерном уређењу око зграде кардиохирургије у Нишу, број </w:t>
      </w:r>
      <w:r>
        <w:rPr>
          <w:rFonts w:ascii="Times New Roman" w:hAnsi="Times New Roman"/>
          <w:sz w:val="24"/>
        </w:rPr>
        <w:t>03-</w:t>
      </w:r>
      <w:r>
        <w:rPr>
          <w:rFonts w:ascii="Times New Roman" w:hAnsi="Times New Roman"/>
          <w:sz w:val="24"/>
        </w:rPr>
        <w:t>4921 у отвореном</w:t>
      </w:r>
      <w:r>
        <w:rPr>
          <w:rFonts w:ascii="Times New Roman" w:hAnsi="Times New Roman"/>
          <w:spacing w:val="-9"/>
          <w:sz w:val="24"/>
        </w:rPr>
        <w:t> </w:t>
      </w:r>
      <w:r>
        <w:rPr>
          <w:rFonts w:ascii="Times New Roman" w:hAnsi="Times New Roman"/>
          <w:sz w:val="24"/>
        </w:rPr>
        <w:t>поступку,</w:t>
      </w:r>
    </w:p>
    <w:p>
      <w:pPr>
        <w:pStyle w:val="ListParagraph"/>
        <w:numPr>
          <w:ilvl w:val="2"/>
          <w:numId w:val="56"/>
        </w:numPr>
        <w:tabs>
          <w:tab w:pos="991" w:val="left" w:leader="none"/>
        </w:tabs>
        <w:spacing w:line="240" w:lineRule="auto" w:before="0" w:after="0"/>
        <w:ind w:left="160" w:right="183" w:firstLine="566"/>
        <w:jc w:val="left"/>
        <w:rPr>
          <w:rFonts w:ascii="Times New Roman" w:hAnsi="Times New Roman" w:cs="Times New Roman" w:eastAsia="Times New Roman" w:hint="default"/>
          <w:sz w:val="24"/>
          <w:szCs w:val="24"/>
        </w:rPr>
      </w:pPr>
      <w:r>
        <w:rPr>
          <w:rFonts w:ascii="Times New Roman" w:hAnsi="Times New Roman"/>
          <w:sz w:val="24"/>
        </w:rPr>
        <w:t>Набавка радова на редовном и ургентном одржавању на градском подручју града Ниша, обликована у 5 партија, број 03</w:t>
      </w:r>
      <w:r>
        <w:rPr>
          <w:rFonts w:ascii="Times New Roman" w:hAnsi="Times New Roman"/>
          <w:sz w:val="24"/>
        </w:rPr>
        <w:t>-</w:t>
      </w:r>
      <w:r>
        <w:rPr>
          <w:rFonts w:ascii="Times New Roman" w:hAnsi="Times New Roman"/>
          <w:sz w:val="24"/>
        </w:rPr>
        <w:t>5457 у отвореном</w:t>
      </w:r>
      <w:r>
        <w:rPr>
          <w:rFonts w:ascii="Times New Roman" w:hAnsi="Times New Roman"/>
          <w:spacing w:val="-17"/>
          <w:sz w:val="24"/>
        </w:rPr>
        <w:t> </w:t>
      </w:r>
      <w:r>
        <w:rPr>
          <w:rFonts w:ascii="Times New Roman" w:hAnsi="Times New Roman"/>
          <w:sz w:val="24"/>
        </w:rPr>
        <w:t>поступку,</w:t>
      </w:r>
    </w:p>
    <w:p>
      <w:pPr>
        <w:spacing w:after="0" w:line="240" w:lineRule="auto"/>
        <w:jc w:val="left"/>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ListParagraph"/>
        <w:numPr>
          <w:ilvl w:val="2"/>
          <w:numId w:val="56"/>
        </w:numPr>
        <w:tabs>
          <w:tab w:pos="1003" w:val="left" w:leader="none"/>
        </w:tabs>
        <w:spacing w:line="240" w:lineRule="auto" w:before="122" w:after="0"/>
        <w:ind w:left="160" w:right="184" w:firstLine="566"/>
        <w:jc w:val="both"/>
        <w:rPr>
          <w:rFonts w:ascii="Times New Roman" w:hAnsi="Times New Roman" w:cs="Times New Roman" w:eastAsia="Times New Roman" w:hint="default"/>
          <w:sz w:val="24"/>
          <w:szCs w:val="24"/>
        </w:rPr>
      </w:pPr>
      <w:r>
        <w:rPr>
          <w:rFonts w:ascii="Times New Roman" w:hAnsi="Times New Roman"/>
          <w:sz w:val="24"/>
        </w:rPr>
        <w:t>Набавка радова на редовном и ургентном одржавању на сеоском подручју града Ниша, обликована у четири партије, број 03</w:t>
      </w:r>
      <w:r>
        <w:rPr>
          <w:rFonts w:ascii="Times New Roman" w:hAnsi="Times New Roman"/>
          <w:sz w:val="24"/>
        </w:rPr>
        <w:t>-</w:t>
      </w:r>
      <w:r>
        <w:rPr>
          <w:rFonts w:ascii="Times New Roman" w:hAnsi="Times New Roman"/>
          <w:sz w:val="24"/>
        </w:rPr>
        <w:t>5458 у отвореном</w:t>
      </w:r>
      <w:r>
        <w:rPr>
          <w:rFonts w:ascii="Times New Roman" w:hAnsi="Times New Roman"/>
          <w:spacing w:val="-21"/>
          <w:sz w:val="24"/>
        </w:rPr>
        <w:t> </w:t>
      </w:r>
      <w:r>
        <w:rPr>
          <w:rFonts w:ascii="Times New Roman" w:hAnsi="Times New Roman"/>
          <w:sz w:val="24"/>
        </w:rPr>
        <w:t>поступку;</w:t>
      </w:r>
    </w:p>
    <w:p>
      <w:pPr>
        <w:pStyle w:val="ListParagraph"/>
        <w:numPr>
          <w:ilvl w:val="2"/>
          <w:numId w:val="56"/>
        </w:numPr>
        <w:tabs>
          <w:tab w:pos="986" w:val="left" w:leader="none"/>
        </w:tabs>
        <w:spacing w:line="240" w:lineRule="auto" w:before="0" w:after="0"/>
        <w:ind w:left="986" w:right="0" w:hanging="26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Набавка „добара“ електричне енергије, број 03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5029, у отвореном</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поступку;</w:t>
      </w:r>
    </w:p>
    <w:p>
      <w:pPr>
        <w:pStyle w:val="BodyText"/>
        <w:spacing w:line="240" w:lineRule="auto"/>
        <w:ind w:right="177"/>
        <w:jc w:val="both"/>
      </w:pPr>
      <w:r>
        <w:rPr>
          <w:rFonts w:ascii="Times New Roman" w:hAnsi="Times New Roman"/>
          <w:b/>
        </w:rPr>
        <w:t>в) </w:t>
      </w:r>
      <w:r>
        <w:rPr/>
        <w:t>Уговор је закључен на период од три године</w:t>
      </w:r>
      <w:r>
        <w:rPr>
          <w:rFonts w:ascii="Times New Roman" w:hAnsi="Times New Roman"/>
        </w:rPr>
        <w:t>, </w:t>
      </w:r>
      <w:r>
        <w:rPr/>
        <w:t>а да није прибављена сагласност локалног органа управе надлежног за финансије, да ће обавезе које доспевају у наредним годинама бити укључене у финансијски план за наредне две године, што је супротно члану 52. Закона о јавним набавкама и члану 3. Уредбе о критеријумима за утврђивање природе расхода и условима и начину прибављања сагласности за закључивање одређених уговора који, због природе расхода захтевају плаћање у више година</w:t>
      </w:r>
      <w:r>
        <w:rPr>
          <w:spacing w:val="-16"/>
        </w:rPr>
        <w:t> </w:t>
      </w:r>
      <w:r>
        <w:rPr/>
        <w:t>код:</w:t>
      </w:r>
    </w:p>
    <w:p>
      <w:pPr>
        <w:pStyle w:val="BodyText"/>
        <w:spacing w:line="240" w:lineRule="auto"/>
        <w:ind w:right="174" w:firstLine="566"/>
        <w:jc w:val="both"/>
        <w:rPr>
          <w:rFonts w:ascii="Times New Roman" w:hAnsi="Times New Roman" w:cs="Times New Roman" w:eastAsia="Times New Roman" w:hint="default"/>
        </w:rPr>
      </w:pPr>
      <w:r>
        <w:rPr/>
        <w:t>1) Набавка радова на зимском одржавању на сеоском подручју града Ниша, број 03</w:t>
      </w:r>
      <w:r>
        <w:rPr>
          <w:rFonts w:ascii="Times New Roman" w:hAnsi="Times New Roman"/>
        </w:rPr>
        <w:t>- </w:t>
      </w:r>
      <w:r>
        <w:rPr/>
        <w:t>5529, у отвореном</w:t>
      </w:r>
      <w:r>
        <w:rPr>
          <w:spacing w:val="-8"/>
        </w:rPr>
        <w:t> </w:t>
      </w:r>
      <w:r>
        <w:rPr/>
        <w:t>поступку</w:t>
      </w:r>
      <w:r>
        <w:rPr>
          <w:rFonts w:ascii="Times New Roman" w:hAnsi="Times New Roman"/>
        </w:rPr>
        <w:t>;</w:t>
      </w:r>
    </w:p>
    <w:p>
      <w:pPr>
        <w:pStyle w:val="BodyText"/>
        <w:spacing w:line="240" w:lineRule="auto"/>
        <w:ind w:right="183" w:firstLine="60"/>
        <w:jc w:val="both"/>
      </w:pPr>
      <w:r>
        <w:rPr>
          <w:rFonts w:ascii="Times New Roman" w:hAnsi="Times New Roman"/>
          <w:b/>
        </w:rPr>
        <w:t>г) </w:t>
      </w:r>
      <w:r>
        <w:rPr/>
        <w:t>Уговором није предвиђен рок за завршетак радова, а чланом 15. Уговора прописано је да уговор престаје да важи за уговараче по испуњењу њихових уговорених обавеза. На основу наведеног није се могло утврдити да ли је закључен вишегодишњи уговор или једногодишњи уговор, што је супротно члану 56. Закона о буџетском систему и члану 46. Закона о облигационим односима</w:t>
      </w:r>
      <w:r>
        <w:rPr>
          <w:spacing w:val="-12"/>
        </w:rPr>
        <w:t> </w:t>
      </w:r>
      <w:r>
        <w:rPr/>
        <w:t>код:</w:t>
      </w:r>
    </w:p>
    <w:p>
      <w:pPr>
        <w:pStyle w:val="BodyText"/>
        <w:spacing w:line="240" w:lineRule="auto"/>
        <w:ind w:right="178" w:firstLine="566"/>
        <w:jc w:val="both"/>
        <w:rPr>
          <w:rFonts w:ascii="Times New Roman" w:hAnsi="Times New Roman" w:cs="Times New Roman" w:eastAsia="Times New Roman" w:hint="default"/>
        </w:rPr>
      </w:pPr>
      <w:r>
        <w:rPr>
          <w:rFonts w:ascii="Times New Roman" w:hAnsi="Times New Roman" w:cs="Times New Roman" w:eastAsia="Times New Roman" w:hint="default"/>
        </w:rPr>
        <w:t>1</w:t>
      </w:r>
      <w:r>
        <w:rPr/>
        <w:t>) Јавна набавка мале вредности – набавке услуга одржавања ескалатора и лифтова за кретање инвалидних лица, редни број</w:t>
      </w:r>
      <w:r>
        <w:rPr>
          <w:spacing w:val="-6"/>
        </w:rPr>
        <w:t> </w:t>
      </w:r>
      <w:r>
        <w:rPr/>
        <w:t>1.2.7</w:t>
      </w:r>
      <w:r>
        <w:rPr>
          <w:rFonts w:ascii="Times New Roman" w:hAnsi="Times New Roman" w:cs="Times New Roman" w:eastAsia="Times New Roman" w:hint="default"/>
        </w:rPr>
        <w:t>.</w:t>
      </w:r>
    </w:p>
    <w:p>
      <w:pPr>
        <w:pStyle w:val="Heading2"/>
        <w:spacing w:line="240" w:lineRule="auto"/>
        <w:ind w:right="173"/>
        <w:jc w:val="both"/>
        <w:rPr>
          <w:b w:val="0"/>
          <w:bCs w:val="0"/>
          <w:i w:val="0"/>
        </w:rPr>
      </w:pPr>
      <w:r>
        <w:rPr>
          <w:i/>
        </w:rPr>
        <w:t>Препоручује се одговорним лицима да поступак јавне набавке спроводе у складу са Законом о јавним набавкама и да уговоре закључују у складу са Законом о буџетском систему и Уредбом о критеријумима за утврђивање природе расхода и условима и начину прибављања сагласности за закључивање одређених уговора који, због природе расхода захтевају плаћање у више</w:t>
      </w:r>
      <w:r>
        <w:rPr>
          <w:i/>
          <w:spacing w:val="-10"/>
        </w:rPr>
        <w:t> </w:t>
      </w:r>
      <w:r>
        <w:rPr>
          <w:i/>
        </w:rPr>
        <w:t>година.</w:t>
      </w:r>
      <w:r>
        <w:rPr>
          <w:b w:val="0"/>
          <w:i w:val="0"/>
        </w:rPr>
      </w:r>
    </w:p>
    <w:p>
      <w:pPr>
        <w:spacing w:line="240" w:lineRule="auto" w:before="0"/>
        <w:rPr>
          <w:rFonts w:ascii="Times New Roman" w:hAnsi="Times New Roman" w:cs="Times New Roman" w:eastAsia="Times New Roman" w:hint="default"/>
          <w:b/>
          <w:bCs/>
          <w:i/>
          <w:sz w:val="24"/>
          <w:szCs w:val="24"/>
        </w:rPr>
      </w:pPr>
    </w:p>
    <w:p>
      <w:pPr>
        <w:spacing w:line="274" w:lineRule="exact" w:before="0"/>
        <w:ind w:left="726" w:right="141" w:firstLine="0"/>
        <w:jc w:val="left"/>
        <w:rPr>
          <w:rFonts w:ascii="Times New Roman" w:hAnsi="Times New Roman" w:cs="Times New Roman" w:eastAsia="Times New Roman" w:hint="default"/>
          <w:sz w:val="24"/>
          <w:szCs w:val="24"/>
        </w:rPr>
      </w:pPr>
      <w:r>
        <w:rPr>
          <w:rFonts w:ascii="Times New Roman" w:hAnsi="Times New Roman"/>
          <w:b/>
          <w:sz w:val="24"/>
        </w:rPr>
        <w:t>ПУ</w:t>
      </w:r>
      <w:r>
        <w:rPr>
          <w:rFonts w:ascii="Times New Roman" w:hAnsi="Times New Roman"/>
          <w:b/>
          <w:spacing w:val="-3"/>
          <w:sz w:val="24"/>
        </w:rPr>
        <w:t> </w:t>
      </w:r>
      <w:r>
        <w:rPr>
          <w:rFonts w:ascii="Times New Roman" w:hAnsi="Times New Roman"/>
          <w:b/>
          <w:sz w:val="24"/>
        </w:rPr>
        <w:t>Пчелица</w:t>
      </w:r>
      <w:r>
        <w:rPr>
          <w:rFonts w:ascii="Times New Roman" w:hAnsi="Times New Roman"/>
          <w:sz w:val="24"/>
        </w:rPr>
      </w:r>
    </w:p>
    <w:p>
      <w:pPr>
        <w:pStyle w:val="BodyText"/>
        <w:spacing w:line="240" w:lineRule="auto"/>
        <w:ind w:right="176" w:firstLine="566"/>
        <w:jc w:val="both"/>
      </w:pPr>
      <w:r>
        <w:rPr/>
        <w:t>ПУ Пчелица је спровела </w:t>
      </w:r>
      <w:r>
        <w:rPr>
          <w:rFonts w:ascii="Times New Roman" w:hAnsi="Times New Roman"/>
        </w:rPr>
        <w:t>59 </w:t>
      </w:r>
      <w:r>
        <w:rPr/>
        <w:t>поступака јавних набавки у укупном износу од </w:t>
      </w:r>
      <w:r>
        <w:rPr>
          <w:rFonts w:ascii="Times New Roman" w:hAnsi="Times New Roman"/>
        </w:rPr>
        <w:t>109.142 </w:t>
      </w:r>
      <w:r>
        <w:rPr/>
        <w:t>хиљад</w:t>
      </w:r>
      <w:r>
        <w:rPr>
          <w:rFonts w:ascii="Times New Roman" w:hAnsi="Times New Roman"/>
        </w:rPr>
        <w:t>e </w:t>
      </w:r>
      <w:r>
        <w:rPr/>
        <w:t>динара без ПДВ, односно </w:t>
      </w:r>
      <w:r>
        <w:rPr>
          <w:rFonts w:ascii="Times New Roman" w:hAnsi="Times New Roman"/>
        </w:rPr>
        <w:t>125.679 </w:t>
      </w:r>
      <w:r>
        <w:rPr/>
        <w:t>хиљад</w:t>
      </w:r>
      <w:r>
        <w:rPr>
          <w:rFonts w:ascii="Times New Roman" w:hAnsi="Times New Roman"/>
        </w:rPr>
        <w:t>a </w:t>
      </w:r>
      <w:r>
        <w:rPr/>
        <w:t>динара са ПДВ од којих 10 отворених поступака у износу од 58.328 хиљада динара без ПДВ, односно 67.295 хиљада динара са ПДВ, 22 поступка јавне набавке мале вредности у износу од 17.676 хиљада динара без ПДВ, односно 20.979 хиљада динара са ПДВ и шест преговарачких поступака са објављивањем позива за подношење понуда у износу од 33.138 хиљада динара без ПДВ, односно 37.405 хиљада динара са ПДВ. ПУ Пчелица обуставила је шест отворених поступака и 15 поступака мале</w:t>
      </w:r>
      <w:r>
        <w:rPr>
          <w:spacing w:val="-13"/>
        </w:rPr>
        <w:t> </w:t>
      </w:r>
      <w:r>
        <w:rPr/>
        <w:t>вредности.</w:t>
      </w:r>
    </w:p>
    <w:p>
      <w:pPr>
        <w:pStyle w:val="BodyText"/>
        <w:spacing w:line="240" w:lineRule="auto"/>
        <w:ind w:left="726" w:right="141"/>
        <w:jc w:val="left"/>
      </w:pPr>
      <w:r>
        <w:rPr/>
        <w:t>Ревидирано је девет спроведених поступака  јавних набавки  у укупном износу   </w:t>
      </w:r>
      <w:r>
        <w:rPr>
          <w:spacing w:val="35"/>
        </w:rPr>
        <w:t> </w:t>
      </w:r>
      <w:r>
        <w:rPr/>
        <w:t>од</w:t>
      </w:r>
    </w:p>
    <w:p>
      <w:pPr>
        <w:pStyle w:val="BodyText"/>
        <w:spacing w:line="274" w:lineRule="exact" w:before="5"/>
        <w:ind w:right="180"/>
        <w:jc w:val="both"/>
      </w:pPr>
      <w:r>
        <w:rPr/>
        <w:t>85.303 хиљаде динара без ПДВ, односно 97.356 хиљада динара са ПДВ и то четири јавне набавке</w:t>
      </w:r>
      <w:r>
        <w:rPr>
          <w:spacing w:val="27"/>
        </w:rPr>
        <w:t> </w:t>
      </w:r>
      <w:r>
        <w:rPr/>
        <w:t>у</w:t>
      </w:r>
      <w:r>
        <w:rPr>
          <w:spacing w:val="17"/>
        </w:rPr>
        <w:t> </w:t>
      </w:r>
      <w:r>
        <w:rPr/>
        <w:t>отвореном</w:t>
      </w:r>
      <w:r>
        <w:rPr>
          <w:spacing w:val="22"/>
        </w:rPr>
        <w:t> </w:t>
      </w:r>
      <w:r>
        <w:rPr/>
        <w:t>поступку</w:t>
      </w:r>
      <w:r>
        <w:rPr>
          <w:spacing w:val="25"/>
        </w:rPr>
        <w:t> </w:t>
      </w:r>
      <w:r>
        <w:rPr/>
        <w:t>у</w:t>
      </w:r>
      <w:r>
        <w:rPr>
          <w:spacing w:val="20"/>
        </w:rPr>
        <w:t> </w:t>
      </w:r>
      <w:r>
        <w:rPr/>
        <w:t>вредности</w:t>
      </w:r>
      <w:r>
        <w:rPr>
          <w:spacing w:val="23"/>
        </w:rPr>
        <w:t> </w:t>
      </w:r>
      <w:r>
        <w:rPr/>
        <w:t>од</w:t>
      </w:r>
      <w:r>
        <w:rPr>
          <w:spacing w:val="23"/>
        </w:rPr>
        <w:t> </w:t>
      </w:r>
      <w:r>
        <w:rPr/>
        <w:t>50.947</w:t>
      </w:r>
      <w:r>
        <w:rPr>
          <w:spacing w:val="22"/>
        </w:rPr>
        <w:t> </w:t>
      </w:r>
      <w:r>
        <w:rPr/>
        <w:t>хиљада</w:t>
      </w:r>
      <w:r>
        <w:rPr>
          <w:spacing w:val="22"/>
        </w:rPr>
        <w:t> </w:t>
      </w:r>
      <w:r>
        <w:rPr/>
        <w:t>динара</w:t>
      </w:r>
      <w:r>
        <w:rPr>
          <w:spacing w:val="21"/>
        </w:rPr>
        <w:t> </w:t>
      </w:r>
      <w:r>
        <w:rPr/>
        <w:t>без</w:t>
      </w:r>
      <w:r>
        <w:rPr>
          <w:spacing w:val="23"/>
        </w:rPr>
        <w:t> </w:t>
      </w:r>
      <w:r>
        <w:rPr/>
        <w:t>ПДВ,</w:t>
      </w:r>
      <w:r>
        <w:rPr>
          <w:spacing w:val="24"/>
        </w:rPr>
        <w:t> </w:t>
      </w:r>
      <w:r>
        <w:rPr/>
        <w:t>односно</w:t>
      </w:r>
    </w:p>
    <w:p>
      <w:pPr>
        <w:pStyle w:val="BodyText"/>
        <w:spacing w:line="240" w:lineRule="auto"/>
        <w:ind w:right="174"/>
        <w:jc w:val="both"/>
      </w:pPr>
      <w:r>
        <w:rPr/>
        <w:t>58.489 хиљада динара са ПДВ, три јавне набавке мале вредности у вредности од 2.421 хиљаде динара без ПДВ, односно 2.905 хиљада динара са ПДВ и два преговарачка поступка са објављивањем позива за подношење понуда у вредности од 31.935 хиљада динара без ПДВ, односно 35.962 хиљаде динара са ПДВ. Такође, ревидирана су и три обустављена</w:t>
      </w:r>
      <w:r>
        <w:rPr>
          <w:spacing w:val="-8"/>
        </w:rPr>
        <w:t> </w:t>
      </w:r>
      <w:r>
        <w:rPr/>
        <w:t>поступка.</w:t>
      </w:r>
    </w:p>
    <w:p>
      <w:pPr>
        <w:pStyle w:val="BodyText"/>
        <w:spacing w:line="240" w:lineRule="auto" w:before="139"/>
        <w:ind w:right="185" w:firstLine="566"/>
        <w:jc w:val="both"/>
      </w:pPr>
      <w:r>
        <w:rPr/>
        <w:t>У складу са Законом о јавним набавкама спроведени су следећи поступци јавних набавки:</w:t>
      </w:r>
    </w:p>
    <w:p>
      <w:pPr>
        <w:pStyle w:val="ListParagraph"/>
        <w:numPr>
          <w:ilvl w:val="0"/>
          <w:numId w:val="57"/>
        </w:numPr>
        <w:tabs>
          <w:tab w:pos="1013" w:val="left" w:leader="none"/>
        </w:tabs>
        <w:spacing w:line="240" w:lineRule="auto" w:before="0" w:after="0"/>
        <w:ind w:left="160" w:right="0" w:firstLine="566"/>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Јавна набавка у отвореном поступку – гориво за моторна возила број</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6ДВ/2014</w:t>
      </w:r>
      <w:r>
        <w:rPr>
          <w:rFonts w:ascii="Times New Roman" w:hAnsi="Times New Roman" w:cs="Times New Roman" w:eastAsia="Times New Roman" w:hint="default"/>
          <w:sz w:val="24"/>
          <w:szCs w:val="24"/>
        </w:rPr>
        <w:t>,</w:t>
      </w:r>
    </w:p>
    <w:p>
      <w:pPr>
        <w:pStyle w:val="ListParagraph"/>
        <w:numPr>
          <w:ilvl w:val="0"/>
          <w:numId w:val="57"/>
        </w:numPr>
        <w:tabs>
          <w:tab w:pos="1013" w:val="left" w:leader="none"/>
        </w:tabs>
        <w:spacing w:line="240" w:lineRule="auto" w:before="0" w:after="0"/>
        <w:ind w:left="160" w:right="181"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Јавна набавка у преговарачком поступку са објављивањем позива за подношење понуда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намирнице за припрему хране број 5ДВ/2014 – дијетални програм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партија</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14</w:t>
      </w:r>
      <w:r>
        <w:rPr>
          <w:rFonts w:ascii="Times New Roman" w:hAnsi="Times New Roman" w:cs="Times New Roman" w:eastAsia="Times New Roman" w:hint="default"/>
          <w:sz w:val="24"/>
          <w:szCs w:val="24"/>
        </w:rPr>
        <w:t>,</w:t>
      </w:r>
    </w:p>
    <w:p>
      <w:pPr>
        <w:spacing w:after="0" w:line="240" w:lineRule="auto"/>
        <w:jc w:val="both"/>
        <w:rPr>
          <w:rFonts w:ascii="Times New Roman" w:hAnsi="Times New Roman" w:cs="Times New Roman" w:eastAsia="Times New Roman" w:hint="default"/>
          <w:sz w:val="24"/>
          <w:szCs w:val="24"/>
        </w:rPr>
        <w:sectPr>
          <w:footerReference w:type="default" r:id="rId80"/>
          <w:pgSz w:w="12240" w:h="15840"/>
          <w:pgMar w:footer="1274" w:header="740" w:top="1280" w:bottom="1460" w:left="1400" w:right="1260"/>
          <w:pgNumType w:start="220"/>
        </w:sectPr>
      </w:pPr>
    </w:p>
    <w:p>
      <w:pPr>
        <w:pStyle w:val="ListParagraph"/>
        <w:numPr>
          <w:ilvl w:val="0"/>
          <w:numId w:val="57"/>
        </w:numPr>
        <w:tabs>
          <w:tab w:pos="1013" w:val="left" w:leader="none"/>
        </w:tabs>
        <w:spacing w:line="240" w:lineRule="auto" w:before="122" w:after="0"/>
        <w:ind w:left="160" w:right="176"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Јавна набавка мале вредности – метражна и текстилна роба, обликована у шест партија, број 12ДМ/2014 – партија 2 – сунђери и партија 4 – завесе, столњаци и  гарнишне,</w:t>
      </w:r>
    </w:p>
    <w:p>
      <w:pPr>
        <w:pStyle w:val="ListParagraph"/>
        <w:numPr>
          <w:ilvl w:val="0"/>
          <w:numId w:val="57"/>
        </w:numPr>
        <w:tabs>
          <w:tab w:pos="1013" w:val="left" w:leader="none"/>
        </w:tabs>
        <w:spacing w:line="240" w:lineRule="auto" w:before="0" w:after="0"/>
        <w:ind w:left="160" w:right="172"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Јавна набавка мале вредности – метражна и текстилна роба, обликована у шест партија, број 12ДМ/2014 – партија 2 – сунђери и партија 4 – завесе, столњаци и</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гарнишне</w:t>
      </w:r>
    </w:p>
    <w:p>
      <w:pPr>
        <w:pStyle w:val="ListParagraph"/>
        <w:numPr>
          <w:ilvl w:val="0"/>
          <w:numId w:val="48"/>
        </w:numPr>
        <w:tabs>
          <w:tab w:pos="341" w:val="left" w:leader="none"/>
        </w:tabs>
        <w:spacing w:line="240" w:lineRule="auto" w:before="0" w:after="0"/>
        <w:ind w:left="340" w:right="0" w:hanging="180"/>
        <w:jc w:val="both"/>
        <w:rPr>
          <w:rFonts w:ascii="Times New Roman" w:hAnsi="Times New Roman" w:cs="Times New Roman" w:eastAsia="Times New Roman" w:hint="default"/>
          <w:sz w:val="24"/>
          <w:szCs w:val="24"/>
        </w:rPr>
      </w:pPr>
      <w:r>
        <w:rPr>
          <w:rFonts w:ascii="Times New Roman" w:hAnsi="Times New Roman"/>
          <w:sz w:val="24"/>
        </w:rPr>
        <w:t>обустављен</w:t>
      </w:r>
      <w:r>
        <w:rPr>
          <w:rFonts w:ascii="Times New Roman" w:hAnsi="Times New Roman"/>
          <w:spacing w:val="-7"/>
          <w:sz w:val="24"/>
        </w:rPr>
        <w:t> </w:t>
      </w:r>
      <w:r>
        <w:rPr>
          <w:rFonts w:ascii="Times New Roman" w:hAnsi="Times New Roman"/>
          <w:sz w:val="24"/>
        </w:rPr>
        <w:t>поступак,</w:t>
      </w:r>
    </w:p>
    <w:p>
      <w:pPr>
        <w:pStyle w:val="ListParagraph"/>
        <w:numPr>
          <w:ilvl w:val="0"/>
          <w:numId w:val="57"/>
        </w:numPr>
        <w:tabs>
          <w:tab w:pos="1013" w:val="left" w:leader="none"/>
        </w:tabs>
        <w:spacing w:line="240" w:lineRule="auto" w:before="0" w:after="0"/>
        <w:ind w:left="160" w:right="178"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Јавна набавка у отвореном поступку – намирнице за припрему хране број 5ДВ/2014 – дијетални програм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партија 14 – обустављен</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поступак</w:t>
      </w:r>
      <w:r>
        <w:rPr>
          <w:rFonts w:ascii="Times New Roman" w:hAnsi="Times New Roman" w:cs="Times New Roman" w:eastAsia="Times New Roman" w:hint="default"/>
          <w:sz w:val="24"/>
          <w:szCs w:val="24"/>
        </w:rPr>
        <w:t>,</w:t>
      </w:r>
    </w:p>
    <w:p>
      <w:pPr>
        <w:pStyle w:val="ListParagraph"/>
        <w:numPr>
          <w:ilvl w:val="0"/>
          <w:numId w:val="57"/>
        </w:numPr>
        <w:tabs>
          <w:tab w:pos="1013" w:val="left" w:leader="none"/>
        </w:tabs>
        <w:spacing w:line="240" w:lineRule="auto" w:before="0" w:after="0"/>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Јавна набавка мале вредности добара – административна опрема, партија </w:t>
      </w:r>
      <w:r>
        <w:rPr>
          <w:rFonts w:ascii="Times New Roman" w:hAnsi="Times New Roman" w:cs="Times New Roman" w:eastAsia="Times New Roman" w:hint="default"/>
          <w:sz w:val="24"/>
          <w:szCs w:val="24"/>
        </w:rPr>
        <w:t>3 </w:t>
      </w:r>
      <w:r>
        <w:rPr>
          <w:rFonts w:ascii="Times New Roman" w:hAnsi="Times New Roman" w:cs="Times New Roman" w:eastAsia="Times New Roman" w:hint="default"/>
          <w:sz w:val="24"/>
          <w:szCs w:val="24"/>
        </w:rPr>
        <w:t>– столичице од буковог фурнира, број 9ДМ/2014 – обустављен</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поступак</w:t>
      </w:r>
      <w:r>
        <w:rPr>
          <w:rFonts w:ascii="Times New Roman" w:hAnsi="Times New Roman" w:cs="Times New Roman" w:eastAsia="Times New Roman" w:hint="default"/>
          <w:sz w:val="24"/>
          <w:szCs w:val="24"/>
        </w:rPr>
        <w:t>.</w:t>
      </w:r>
    </w:p>
    <w:p>
      <w:pPr>
        <w:spacing w:before="137"/>
        <w:ind w:left="160" w:right="174" w:firstLine="566"/>
        <w:jc w:val="both"/>
        <w:rPr>
          <w:rFonts w:ascii="Times New Roman" w:hAnsi="Times New Roman" w:cs="Times New Roman" w:eastAsia="Times New Roman" w:hint="default"/>
          <w:sz w:val="24"/>
          <w:szCs w:val="24"/>
        </w:rPr>
      </w:pPr>
      <w:r>
        <w:rPr>
          <w:rFonts w:ascii="Times New Roman" w:hAnsi="Times New Roman"/>
          <w:b/>
          <w:sz w:val="24"/>
        </w:rPr>
        <w:t>Јавне набавке које нису спроведене у складу са Законом о јавним набавкама </w:t>
      </w:r>
      <w:r>
        <w:rPr>
          <w:rFonts w:ascii="Times New Roman" w:hAnsi="Times New Roman"/>
          <w:sz w:val="24"/>
        </w:rPr>
        <w:t>и код којих су утврђене следеће</w:t>
      </w:r>
      <w:r>
        <w:rPr>
          <w:rFonts w:ascii="Times New Roman" w:hAnsi="Times New Roman"/>
          <w:spacing w:val="-14"/>
          <w:sz w:val="24"/>
        </w:rPr>
        <w:t> </w:t>
      </w:r>
      <w:r>
        <w:rPr>
          <w:rFonts w:ascii="Times New Roman" w:hAnsi="Times New Roman"/>
          <w:sz w:val="24"/>
        </w:rPr>
        <w:t>неправилности:</w:t>
      </w:r>
    </w:p>
    <w:p>
      <w:pPr>
        <w:pStyle w:val="BodyText"/>
        <w:spacing w:line="240" w:lineRule="auto"/>
        <w:ind w:right="174"/>
        <w:jc w:val="both"/>
      </w:pPr>
      <w:r>
        <w:rPr>
          <w:rFonts w:ascii="Times New Roman" w:hAnsi="Times New Roman" w:cs="Times New Roman" w:eastAsia="Times New Roman" w:hint="default"/>
          <w:b/>
          <w:bCs/>
        </w:rPr>
        <w:t>а</w:t>
      </w:r>
      <w:r>
        <w:rPr>
          <w:rFonts w:ascii="Times New Roman" w:hAnsi="Times New Roman" w:cs="Times New Roman" w:eastAsia="Times New Roman" w:hint="default"/>
        </w:rPr>
        <w:t>) </w:t>
      </w:r>
      <w:r>
        <w:rPr/>
        <w:t>У Обавештењу о закљученом уговору које је објављено на Порталу јавних набавки наведено је да уговор важи годину дана од дана закључења, док је у Уговору о јавној набавци добара – лож уља наведено да уговор важи до утрошка средстава предвиђених за ту</w:t>
      </w:r>
      <w:r>
        <w:rPr>
          <w:spacing w:val="-1"/>
        </w:rPr>
        <w:t> </w:t>
      </w:r>
      <w:r>
        <w:rPr/>
        <w:t>намену</w:t>
      </w:r>
    </w:p>
    <w:p>
      <w:pPr>
        <w:pStyle w:val="BodyText"/>
        <w:spacing w:line="240" w:lineRule="auto"/>
        <w:ind w:left="726" w:right="141"/>
        <w:jc w:val="left"/>
        <w:rPr>
          <w:rFonts w:ascii="Times New Roman" w:hAnsi="Times New Roman" w:cs="Times New Roman" w:eastAsia="Times New Roman" w:hint="default"/>
        </w:rPr>
      </w:pPr>
      <w:r>
        <w:rPr>
          <w:rFonts w:ascii="Times New Roman" w:hAnsi="Times New Roman"/>
        </w:rPr>
        <w:t>1) </w:t>
      </w:r>
      <w:r>
        <w:rPr/>
        <w:t>код јавне набавке добара у отвореном поступку </w:t>
      </w:r>
      <w:r>
        <w:rPr>
          <w:rFonts w:ascii="Times New Roman" w:hAnsi="Times New Roman"/>
        </w:rPr>
        <w:t>- </w:t>
      </w:r>
      <w:r>
        <w:rPr/>
        <w:t>лож уља број</w:t>
      </w:r>
      <w:r>
        <w:rPr>
          <w:spacing w:val="-14"/>
        </w:rPr>
        <w:t> </w:t>
      </w:r>
      <w:r>
        <w:rPr/>
        <w:t>1ДВ/2014</w:t>
      </w:r>
      <w:r>
        <w:rPr>
          <w:rFonts w:ascii="Times New Roman" w:hAnsi="Times New Roman"/>
        </w:rPr>
        <w:t>;</w:t>
      </w:r>
    </w:p>
    <w:p>
      <w:pPr>
        <w:pStyle w:val="BodyText"/>
        <w:spacing w:line="240" w:lineRule="auto"/>
        <w:ind w:right="173"/>
        <w:jc w:val="both"/>
        <w:rPr>
          <w:rFonts w:ascii="Times New Roman" w:hAnsi="Times New Roman" w:cs="Times New Roman" w:eastAsia="Times New Roman" w:hint="default"/>
        </w:rPr>
      </w:pPr>
      <w:r>
        <w:rPr>
          <w:rFonts w:ascii="Times New Roman" w:hAnsi="Times New Roman" w:cs="Times New Roman" w:eastAsia="Times New Roman" w:hint="default"/>
          <w:b/>
          <w:bCs/>
        </w:rPr>
        <w:t>б</w:t>
      </w:r>
      <w:r>
        <w:rPr>
          <w:rFonts w:ascii="Times New Roman" w:hAnsi="Times New Roman" w:cs="Times New Roman" w:eastAsia="Times New Roman" w:hint="default"/>
        </w:rPr>
        <w:t>) </w:t>
      </w:r>
      <w:r>
        <w:rPr/>
        <w:t>Позив за подношење понуда не садржи број партија сходно Прилогу 3Б Закона о јавним набавкама, што је супротно члану 60. Закона о јавним набавкама; наручилац није донео Одлуку о додели уговора у року одређеном у позиву за подношење понуда, тј. у року од 10 дана од отварања понуда, већ са закашњењем од шест дана, што је супротно члану 108. Закона о јавним набавкама, из разлога што је, дана 01.07.2014. године, комисија упутила понуђачу „Гранд“ доо Ниш захтев за образложење неуобичајено ниске цене за артикл маргарин стони за колаче 0,5 јер значајно одступа у односу на тржишно упоредиву цену и изазива сумњу у могућност извршења јавне набавке, а на који је понуђач „Гранд“ доо Ниш доставио наручиоцу образложење, дана 04.07.2014.  године код</w:t>
      </w:r>
      <w:r>
        <w:rPr>
          <w:rFonts w:ascii="Times New Roman" w:hAnsi="Times New Roman" w:cs="Times New Roman" w:eastAsia="Times New Roman" w:hint="default"/>
        </w:rPr>
        <w:t>:</w:t>
      </w:r>
    </w:p>
    <w:p>
      <w:pPr>
        <w:pStyle w:val="BodyText"/>
        <w:spacing w:line="240" w:lineRule="auto"/>
        <w:ind w:right="141" w:firstLine="566"/>
        <w:jc w:val="left"/>
        <w:rPr>
          <w:rFonts w:ascii="Times New Roman" w:hAnsi="Times New Roman" w:cs="Times New Roman" w:eastAsia="Times New Roman" w:hint="default"/>
        </w:rPr>
      </w:pPr>
      <w:r>
        <w:rPr>
          <w:rFonts w:ascii="Times New Roman" w:hAnsi="Times New Roman" w:cs="Times New Roman" w:eastAsia="Times New Roman" w:hint="default"/>
        </w:rPr>
        <w:t>1) </w:t>
      </w:r>
      <w:r>
        <w:rPr/>
        <w:t>јавне набавке у отвореном поступку – намирнице за припрему хране број 5ДВ/2014 – масноће </w:t>
      </w:r>
      <w:r>
        <w:rPr>
          <w:rFonts w:ascii="Times New Roman" w:hAnsi="Times New Roman" w:cs="Times New Roman" w:eastAsia="Times New Roman" w:hint="default"/>
        </w:rPr>
        <w:t>- </w:t>
      </w:r>
      <w:r>
        <w:rPr/>
        <w:t>партија</w:t>
      </w:r>
      <w:r>
        <w:rPr>
          <w:spacing w:val="-2"/>
        </w:rPr>
        <w:t> </w:t>
      </w:r>
      <w:r>
        <w:rPr/>
        <w:t>8</w:t>
      </w:r>
      <w:r>
        <w:rPr>
          <w:rFonts w:ascii="Times New Roman" w:hAnsi="Times New Roman" w:cs="Times New Roman" w:eastAsia="Times New Roman" w:hint="default"/>
        </w:rPr>
        <w:t>;</w:t>
      </w:r>
    </w:p>
    <w:p>
      <w:pPr>
        <w:pStyle w:val="BodyText"/>
        <w:spacing w:line="240" w:lineRule="auto"/>
        <w:ind w:right="182"/>
        <w:jc w:val="both"/>
        <w:rPr>
          <w:rFonts w:ascii="Times New Roman" w:hAnsi="Times New Roman" w:cs="Times New Roman" w:eastAsia="Times New Roman" w:hint="default"/>
        </w:rPr>
      </w:pPr>
      <w:r>
        <w:rPr>
          <w:rFonts w:ascii="Times New Roman" w:hAnsi="Times New Roman" w:cs="Times New Roman" w:eastAsia="Times New Roman" w:hint="default"/>
          <w:b/>
          <w:bCs/>
        </w:rPr>
        <w:t>в</w:t>
      </w:r>
      <w:r>
        <w:rPr>
          <w:rFonts w:ascii="Times New Roman" w:hAnsi="Times New Roman" w:cs="Times New Roman" w:eastAsia="Times New Roman" w:hint="default"/>
        </w:rPr>
        <w:t>) </w:t>
      </w:r>
      <w:r>
        <w:rPr/>
        <w:t>Конкурсном документацијом наручилац је назначио појединачни робни знак „A la kajmak“, а да није истовремено навео речи „или одговарајуће“, што је супротно члану 10. и 72. Закона о јавним набавкама</w:t>
      </w:r>
      <w:r>
        <w:rPr>
          <w:spacing w:val="-8"/>
        </w:rPr>
        <w:t> </w:t>
      </w:r>
      <w:r>
        <w:rPr/>
        <w:t>код</w:t>
      </w:r>
      <w:r>
        <w:rPr>
          <w:rFonts w:ascii="Times New Roman" w:hAnsi="Times New Roman" w:cs="Times New Roman" w:eastAsia="Times New Roman" w:hint="default"/>
        </w:rPr>
        <w:t>:</w:t>
      </w:r>
    </w:p>
    <w:p>
      <w:pPr>
        <w:pStyle w:val="BodyText"/>
        <w:spacing w:line="240" w:lineRule="auto"/>
        <w:ind w:right="141" w:firstLine="566"/>
        <w:jc w:val="left"/>
        <w:rPr>
          <w:rFonts w:ascii="Times New Roman" w:hAnsi="Times New Roman" w:cs="Times New Roman" w:eastAsia="Times New Roman" w:hint="default"/>
        </w:rPr>
      </w:pPr>
      <w:r>
        <w:rPr/>
        <w:t>1) јавне набавке у отвореном поступку – намирнице за припрему хране број 5ДВ/2014 – млеко и млечни производи </w:t>
      </w:r>
      <w:r>
        <w:rPr>
          <w:rFonts w:ascii="Times New Roman" w:hAnsi="Times New Roman" w:cs="Times New Roman" w:eastAsia="Times New Roman" w:hint="default"/>
        </w:rPr>
        <w:t>- </w:t>
      </w:r>
      <w:r>
        <w:rPr/>
        <w:t>партија</w:t>
      </w:r>
      <w:r>
        <w:rPr>
          <w:spacing w:val="-12"/>
        </w:rPr>
        <w:t> </w:t>
      </w:r>
      <w:r>
        <w:rPr/>
        <w:t>2</w:t>
      </w:r>
      <w:r>
        <w:rPr>
          <w:rFonts w:ascii="Times New Roman" w:hAnsi="Times New Roman" w:cs="Times New Roman" w:eastAsia="Times New Roman" w:hint="default"/>
        </w:rPr>
        <w:t>;</w:t>
      </w:r>
    </w:p>
    <w:p>
      <w:pPr>
        <w:pStyle w:val="BodyText"/>
        <w:spacing w:line="240" w:lineRule="auto"/>
        <w:ind w:right="177"/>
        <w:jc w:val="both"/>
        <w:rPr>
          <w:rFonts w:ascii="Times New Roman" w:hAnsi="Times New Roman" w:cs="Times New Roman" w:eastAsia="Times New Roman" w:hint="default"/>
        </w:rPr>
      </w:pPr>
      <w:r>
        <w:rPr>
          <w:rFonts w:ascii="Times New Roman" w:hAnsi="Times New Roman" w:cs="Times New Roman" w:eastAsia="Times New Roman" w:hint="default"/>
          <w:b/>
          <w:bCs/>
        </w:rPr>
        <w:t>г</w:t>
      </w:r>
      <w:r>
        <w:rPr>
          <w:rFonts w:ascii="Times New Roman" w:hAnsi="Times New Roman" w:cs="Times New Roman" w:eastAsia="Times New Roman" w:hint="default"/>
        </w:rPr>
        <w:t>) </w:t>
      </w:r>
      <w:r>
        <w:rPr/>
        <w:t>Наручилац није закључио уговор о јавној набавци у року од 8 дана од дана протека рока за подношење захтева за заштиту права понуђача, већ са закашњењем, што је супротно члану 113. Закона о јавним набавкама. ПУ „Пчелица“ упутила је Захтев за преузимање обавеза број 10257 од 08.12.2014. године, Управи за образовање, са назнаком да, сходно члану 113. Закона о јавним набавкама, уговор мора бити закључен са изабраним понуђачем најкасније до 18.12.2014. године, са молбом да до тог рока одобре захтев за преузимање обавеза за наведену набавку. Управа за финансије, изворне приходе локалне самоуправе и јавне набавке је одобрила захтев дана 16.12.2014. године. У поступку ревизије није се могло утврдити када је ПУ „Пчелица“ примила горе наведени одобрени захтев, јер исти није заведен код ПУ „Пчелица“ Ниш. Из напред наведених разлога није се могло утврдити из којих је разлога ПУ „Пчелица“ каснила са закључењем уговора</w:t>
      </w:r>
      <w:r>
        <w:rPr>
          <w:spacing w:val="-3"/>
        </w:rPr>
        <w:t> </w:t>
      </w:r>
      <w:r>
        <w:rPr/>
        <w:t>код</w:t>
      </w:r>
      <w:r>
        <w:rPr>
          <w:rFonts w:ascii="Times New Roman" w:hAnsi="Times New Roman" w:cs="Times New Roman" w:eastAsia="Times New Roman" w:hint="default"/>
        </w:rPr>
        <w:t>:</w:t>
      </w:r>
    </w:p>
    <w:p>
      <w:pPr>
        <w:spacing w:after="0" w:line="240" w:lineRule="auto"/>
        <w:jc w:val="both"/>
        <w:rPr>
          <w:rFonts w:ascii="Times New Roman" w:hAnsi="Times New Roman" w:cs="Times New Roman" w:eastAsia="Times New Roman" w:hint="default"/>
        </w:rPr>
        <w:sectPr>
          <w:pgSz w:w="12240" w:h="15840"/>
          <w:pgMar w:header="740" w:footer="1274" w:top="1280" w:bottom="1460" w:left="1400" w:right="1260"/>
        </w:sectPr>
      </w:pPr>
    </w:p>
    <w:p>
      <w:pPr>
        <w:pStyle w:val="BodyText"/>
        <w:spacing w:line="240" w:lineRule="auto" w:before="122"/>
        <w:ind w:right="179" w:firstLine="566"/>
        <w:jc w:val="both"/>
        <w:rPr>
          <w:rFonts w:ascii="Times New Roman" w:hAnsi="Times New Roman" w:cs="Times New Roman" w:eastAsia="Times New Roman" w:hint="default"/>
        </w:rPr>
      </w:pPr>
      <w:r>
        <w:rPr>
          <w:rFonts w:ascii="Times New Roman" w:hAnsi="Times New Roman" w:cs="Times New Roman" w:eastAsia="Times New Roman" w:hint="default"/>
        </w:rPr>
        <w:t>1) </w:t>
      </w:r>
      <w:r>
        <w:rPr/>
        <w:t>јавне набавке у преговарачком поступку са објављивањем позива за подношење понуда – намирнице за припрему хране број 5ДВ/2014 – свеже месо и сухомеснати производи </w:t>
      </w:r>
      <w:r>
        <w:rPr>
          <w:rFonts w:ascii="Times New Roman" w:hAnsi="Times New Roman" w:cs="Times New Roman" w:eastAsia="Times New Roman" w:hint="default"/>
        </w:rPr>
        <w:t>- </w:t>
      </w:r>
      <w:r>
        <w:rPr/>
        <w:t>партија 1, свежа јаја – партија 3 и брашно и тестенине – партија</w:t>
      </w:r>
      <w:r>
        <w:rPr>
          <w:spacing w:val="-16"/>
        </w:rPr>
        <w:t> </w:t>
      </w:r>
      <w:r>
        <w:rPr/>
        <w:t>7</w:t>
      </w:r>
      <w:r>
        <w:rPr>
          <w:rFonts w:ascii="Times New Roman" w:hAnsi="Times New Roman" w:cs="Times New Roman" w:eastAsia="Times New Roman" w:hint="default"/>
        </w:rPr>
        <w:t>;</w:t>
      </w:r>
    </w:p>
    <w:p>
      <w:pPr>
        <w:pStyle w:val="BodyText"/>
        <w:spacing w:line="240" w:lineRule="auto"/>
        <w:ind w:right="177"/>
        <w:jc w:val="both"/>
      </w:pPr>
      <w:r>
        <w:rPr>
          <w:rFonts w:ascii="Times New Roman" w:hAnsi="Times New Roman"/>
          <w:b/>
        </w:rPr>
        <w:t>д</w:t>
      </w:r>
      <w:r>
        <w:rPr>
          <w:rFonts w:ascii="Times New Roman" w:hAnsi="Times New Roman"/>
        </w:rPr>
        <w:t>) </w:t>
      </w:r>
      <w:r>
        <w:rPr/>
        <w:t>Понуђач није доставио копију важеће и одговарајуће личне лиценце издате од стране Инжењерске коморе Србије за одговорног извођача радова како је наведено конкурсном документацијом, што је супротно члану 76. и 77. Закона о јавним набавкама; Наручилац није закључио уговор о јавној набавци у року од 8 дана од дана протека рока за подношење захтева за заштиту права понуђача, већ са закашњењем, што је супротно члану 113. Закона о јавним набавкама; Наручилац је каснио са закључењем уговора из разлога што је Управа за финансије, изворне приходе локалне самоуправе и јавне  набавке,  односно  Управа  за  образовање  послала  допис  којим  одобрава  Захтев    </w:t>
      </w:r>
      <w:r>
        <w:rPr>
          <w:spacing w:val="57"/>
        </w:rPr>
        <w:t> </w:t>
      </w:r>
      <w:r>
        <w:rPr/>
        <w:t>ПУ</w:t>
      </w:r>
    </w:p>
    <w:p>
      <w:pPr>
        <w:pStyle w:val="BodyText"/>
        <w:spacing w:line="240" w:lineRule="auto"/>
        <w:ind w:right="175"/>
        <w:jc w:val="both"/>
        <w:rPr>
          <w:rFonts w:ascii="Times New Roman" w:hAnsi="Times New Roman" w:cs="Times New Roman" w:eastAsia="Times New Roman" w:hint="default"/>
        </w:rPr>
      </w:pPr>
      <w:r>
        <w:rPr/>
        <w:t>„Пчелица“ за преузимање обавеза дана 14.07.2014. године сходно Правилнику број 2123 од 12.03.2014. године о начину обављања послова јавних набавки у ПУ „Пчелица“ Ниш и Наручилац није увео извођача радова у посао у року од три дана од дана закључења уговора, већ са закашњењем од десет дана, што је супртно члану 5. Уговора број 9797 од 20.11.2014. године</w:t>
      </w:r>
      <w:r>
        <w:rPr>
          <w:spacing w:val="1"/>
        </w:rPr>
        <w:t> </w:t>
      </w:r>
      <w:r>
        <w:rPr/>
        <w:t>код</w:t>
      </w:r>
      <w:r>
        <w:rPr>
          <w:rFonts w:ascii="Times New Roman" w:hAnsi="Times New Roman" w:cs="Times New Roman" w:eastAsia="Times New Roman" w:hint="default"/>
        </w:rPr>
        <w:t>:</w:t>
      </w:r>
    </w:p>
    <w:p>
      <w:pPr>
        <w:pStyle w:val="BodyText"/>
        <w:spacing w:line="240" w:lineRule="auto"/>
        <w:ind w:right="178" w:firstLine="566"/>
        <w:jc w:val="both"/>
        <w:rPr>
          <w:rFonts w:ascii="Times New Roman" w:hAnsi="Times New Roman" w:cs="Times New Roman" w:eastAsia="Times New Roman" w:hint="default"/>
        </w:rPr>
      </w:pPr>
      <w:r>
        <w:rPr/>
        <w:t>1) јавне набавке мале вредности – поправка дела косог крова у вртићу „Плави чуперак“ број</w:t>
      </w:r>
      <w:r>
        <w:rPr>
          <w:spacing w:val="-3"/>
        </w:rPr>
        <w:t> </w:t>
      </w:r>
      <w:r>
        <w:rPr/>
        <w:t>1РМ/2014</w:t>
      </w:r>
      <w:r>
        <w:rPr>
          <w:rFonts w:ascii="Times New Roman" w:hAnsi="Times New Roman" w:cs="Times New Roman" w:eastAsia="Times New Roman" w:hint="default"/>
        </w:rPr>
        <w:t>;</w:t>
      </w:r>
    </w:p>
    <w:p>
      <w:pPr>
        <w:pStyle w:val="BodyText"/>
        <w:spacing w:line="240" w:lineRule="auto"/>
        <w:ind w:right="173"/>
        <w:jc w:val="both"/>
        <w:rPr>
          <w:rFonts w:ascii="Times New Roman" w:hAnsi="Times New Roman" w:cs="Times New Roman" w:eastAsia="Times New Roman" w:hint="default"/>
        </w:rPr>
      </w:pPr>
      <w:r>
        <w:rPr>
          <w:rFonts w:ascii="Times New Roman" w:hAnsi="Times New Roman" w:cs="Times New Roman" w:eastAsia="Times New Roman" w:hint="default"/>
          <w:b/>
          <w:bCs/>
        </w:rPr>
        <w:t>ђ</w:t>
      </w:r>
      <w:r>
        <w:rPr>
          <w:rFonts w:ascii="Times New Roman" w:hAnsi="Times New Roman" w:cs="Times New Roman" w:eastAsia="Times New Roman" w:hint="default"/>
        </w:rPr>
        <w:t>) </w:t>
      </w:r>
      <w:r>
        <w:rPr/>
        <w:t>Наручилац није закључио уговор о јавној набавци у року од 8 дана од дана протека рока за подношење захтева за заштиту права понуђача, већ са закашњењем, што је супротно члану 113. Закона о јавним набавкама. Иако је Управа за финансије, изворне приходе локалне самоуправе и јавне набавке послала допис којим одобрава Захтев ПУ Пчелица Ниш за преузимање обавеза дана 14.11.2014. године, ПУ „Пчелица“ закључила је уговор са закашњењем; Наручилац није увео извођача радова у посао у року од три дана од дана закључења уговора, већ са закашњењем од четири дана, што је супротно члану 5. Уговора број 9797 од 20.11.2014. године</w:t>
      </w:r>
      <w:r>
        <w:rPr>
          <w:spacing w:val="-3"/>
        </w:rPr>
        <w:t> </w:t>
      </w:r>
      <w:r>
        <w:rPr/>
        <w:t>код</w:t>
      </w:r>
      <w:r>
        <w:rPr>
          <w:rFonts w:ascii="Times New Roman" w:hAnsi="Times New Roman" w:cs="Times New Roman" w:eastAsia="Times New Roman" w:hint="default"/>
        </w:rPr>
        <w:t>:</w:t>
      </w:r>
    </w:p>
    <w:p>
      <w:pPr>
        <w:pStyle w:val="BodyText"/>
        <w:spacing w:line="240" w:lineRule="auto"/>
        <w:ind w:left="726" w:right="141"/>
        <w:jc w:val="left"/>
      </w:pPr>
      <w:r>
        <w:rPr/>
        <w:t>1) јавне набавке мале вредности – постављање дела косог панелног крова у </w:t>
      </w:r>
      <w:r>
        <w:rPr>
          <w:spacing w:val="16"/>
        </w:rPr>
        <w:t> </w:t>
      </w:r>
      <w:r>
        <w:rPr/>
        <w:t>кухињи</w:t>
      </w:r>
    </w:p>
    <w:p>
      <w:pPr>
        <w:pStyle w:val="BodyText"/>
        <w:spacing w:line="240" w:lineRule="auto"/>
        <w:ind w:right="0"/>
        <w:jc w:val="both"/>
        <w:rPr>
          <w:rFonts w:ascii="Times New Roman" w:hAnsi="Times New Roman" w:cs="Times New Roman" w:eastAsia="Times New Roman" w:hint="default"/>
        </w:rPr>
      </w:pPr>
      <w:r>
        <w:rPr/>
        <w:t>„Младост“ број</w:t>
      </w:r>
      <w:r>
        <w:rPr>
          <w:spacing w:val="-4"/>
        </w:rPr>
        <w:t> </w:t>
      </w:r>
      <w:r>
        <w:rPr/>
        <w:t>2РМ/2014</w:t>
      </w:r>
      <w:r>
        <w:rPr>
          <w:rFonts w:ascii="Times New Roman" w:hAnsi="Times New Roman" w:cs="Times New Roman" w:eastAsia="Times New Roman" w:hint="default"/>
        </w:rPr>
        <w:t>-1.</w:t>
      </w:r>
    </w:p>
    <w:p>
      <w:pPr>
        <w:pStyle w:val="Heading2"/>
        <w:spacing w:line="240" w:lineRule="auto"/>
        <w:ind w:right="184"/>
        <w:jc w:val="both"/>
        <w:rPr>
          <w:b w:val="0"/>
          <w:bCs w:val="0"/>
          <w:i w:val="0"/>
        </w:rPr>
      </w:pPr>
      <w:r>
        <w:rPr>
          <w:i/>
        </w:rPr>
        <w:t>Препоручује се одговорним лицима да поступке јавних набавки спроводе у</w:t>
      </w:r>
      <w:r>
        <w:rPr>
          <w:i/>
          <w:spacing w:val="-25"/>
        </w:rPr>
        <w:t> </w:t>
      </w:r>
      <w:r>
        <w:rPr>
          <w:i/>
        </w:rPr>
        <w:t>складу </w:t>
      </w:r>
      <w:r>
        <w:rPr>
          <w:i/>
        </w:rPr>
        <w:t>са</w:t>
      </w:r>
      <w:r>
        <w:rPr>
          <w:i/>
          <w:spacing w:val="-2"/>
        </w:rPr>
        <w:t> </w:t>
      </w:r>
      <w:r>
        <w:rPr>
          <w:i/>
        </w:rPr>
        <w:t>законом.</w:t>
      </w:r>
      <w:r>
        <w:rPr>
          <w:b w:val="0"/>
          <w:i w:val="0"/>
        </w:rPr>
      </w:r>
    </w:p>
    <w:p>
      <w:pPr>
        <w:spacing w:line="240" w:lineRule="auto" w:before="1"/>
        <w:rPr>
          <w:rFonts w:ascii="Times New Roman" w:hAnsi="Times New Roman" w:cs="Times New Roman" w:eastAsia="Times New Roman" w:hint="default"/>
          <w:b/>
          <w:bCs/>
          <w:i/>
          <w:sz w:val="21"/>
          <w:szCs w:val="21"/>
        </w:rPr>
      </w:pPr>
    </w:p>
    <w:p>
      <w:pPr>
        <w:spacing w:before="0"/>
        <w:ind w:left="726" w:right="141" w:firstLine="0"/>
        <w:jc w:val="left"/>
        <w:rPr>
          <w:rFonts w:ascii="Times New Roman" w:hAnsi="Times New Roman" w:cs="Times New Roman" w:eastAsia="Times New Roman" w:hint="default"/>
          <w:sz w:val="24"/>
          <w:szCs w:val="24"/>
        </w:rPr>
      </w:pPr>
      <w:r>
        <w:rPr>
          <w:rFonts w:ascii="Times New Roman" w:hAnsi="Times New Roman"/>
          <w:b/>
          <w:sz w:val="24"/>
        </w:rPr>
        <w:t>Завод за заштиту споменика културе</w:t>
      </w:r>
      <w:r>
        <w:rPr>
          <w:rFonts w:ascii="Times New Roman" w:hAnsi="Times New Roman"/>
          <w:b/>
          <w:spacing w:val="-10"/>
          <w:sz w:val="24"/>
        </w:rPr>
        <w:t> </w:t>
      </w:r>
      <w:r>
        <w:rPr>
          <w:rFonts w:ascii="Times New Roman" w:hAnsi="Times New Roman"/>
          <w:b/>
          <w:sz w:val="24"/>
        </w:rPr>
        <w:t>Ниш</w:t>
      </w:r>
      <w:r>
        <w:rPr>
          <w:rFonts w:ascii="Times New Roman" w:hAnsi="Times New Roman"/>
          <w:sz w:val="24"/>
        </w:rPr>
      </w:r>
    </w:p>
    <w:p>
      <w:pPr>
        <w:spacing w:before="0"/>
        <w:ind w:left="160" w:right="17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1) </w:t>
      </w:r>
      <w:r>
        <w:rPr>
          <w:rFonts w:ascii="Times New Roman" w:hAnsi="Times New Roman" w:cs="Times New Roman" w:eastAsia="Times New Roman" w:hint="default"/>
          <w:b/>
          <w:bCs/>
          <w:sz w:val="24"/>
          <w:szCs w:val="24"/>
        </w:rPr>
        <w:t>Јавна набавка у отвореном поступку </w:t>
      </w:r>
      <w:r>
        <w:rPr>
          <w:rFonts w:ascii="Times New Roman" w:hAnsi="Times New Roman" w:cs="Times New Roman" w:eastAsia="Times New Roman" w:hint="default"/>
          <w:b/>
          <w:bCs/>
          <w:sz w:val="24"/>
          <w:szCs w:val="24"/>
        </w:rPr>
        <w:t>- </w:t>
      </w:r>
      <w:r>
        <w:rPr>
          <w:rFonts w:ascii="Times New Roman" w:hAnsi="Times New Roman" w:cs="Times New Roman" w:eastAsia="Times New Roman" w:hint="default"/>
          <w:b/>
          <w:bCs/>
          <w:sz w:val="24"/>
          <w:szCs w:val="24"/>
        </w:rPr>
        <w:t>извођење радова на изради горњег (надземног) конструктивног склопа заштитне конструкције на археолошком локалитету „Медијана“ у</w:t>
      </w:r>
      <w:r>
        <w:rPr>
          <w:rFonts w:ascii="Times New Roman" w:hAnsi="Times New Roman" w:cs="Times New Roman" w:eastAsia="Times New Roman" w:hint="default"/>
          <w:b/>
          <w:bCs/>
          <w:spacing w:val="-11"/>
          <w:sz w:val="24"/>
          <w:szCs w:val="24"/>
        </w:rPr>
        <w:t> </w:t>
      </w:r>
      <w:r>
        <w:rPr>
          <w:rFonts w:ascii="Times New Roman" w:hAnsi="Times New Roman" w:cs="Times New Roman" w:eastAsia="Times New Roman" w:hint="default"/>
          <w:b/>
          <w:bCs/>
          <w:sz w:val="24"/>
          <w:szCs w:val="24"/>
        </w:rPr>
        <w:t>Нишу</w:t>
      </w:r>
      <w:r>
        <w:rPr>
          <w:rFonts w:ascii="Times New Roman" w:hAnsi="Times New Roman" w:cs="Times New Roman" w:eastAsia="Times New Roman" w:hint="default"/>
          <w:sz w:val="24"/>
          <w:szCs w:val="24"/>
        </w:rPr>
      </w:r>
    </w:p>
    <w:p>
      <w:pPr>
        <w:pStyle w:val="BodyText"/>
        <w:spacing w:line="240" w:lineRule="auto"/>
        <w:ind w:right="174" w:firstLine="566"/>
        <w:jc w:val="both"/>
      </w:pPr>
      <w:r>
        <w:rPr/>
        <w:t>ВД директора Завода за заштиту споменика културе покренуо је отворени поступак јавне набавке извођење радова на изради горњег (надземног) конструктивног склопа заштитне конструкције на археолошком локалитету „Медијана“ у Нишу доношењем одлуке о покретању поступка јавне набавке број 779/1 oд 21.06.2013. године. Процењена вредност јавне набавке износи 102.500 хиљада динара. У финансијском плану за 2013. годину планирана су средства у износу од 53.986 хиљада динара, и то: из средстава буџета града у износу од 6.671 хиљаде динара и из осталих извора у износу од </w:t>
      </w:r>
      <w:r>
        <w:rPr>
          <w:rFonts w:ascii="Times New Roman" w:hAnsi="Times New Roman" w:cs="Times New Roman" w:eastAsia="Times New Roman" w:hint="default"/>
        </w:rPr>
        <w:t>47.315 </w:t>
      </w:r>
      <w:r>
        <w:rPr/>
        <w:t>хиљада динара. Истога дана вд директора Завода за заштиту споменика културе Ниш, донео је Решење о образовању комисије број 779/2, којим именује чланове комисије и њихове</w:t>
      </w:r>
      <w:r>
        <w:rPr>
          <w:spacing w:val="-4"/>
        </w:rPr>
        <w:t> </w:t>
      </w:r>
      <w:r>
        <w:rPr/>
        <w:t>заменике.</w:t>
      </w:r>
    </w:p>
    <w:p>
      <w:pPr>
        <w:spacing w:after="0" w:line="240" w:lineRule="auto"/>
        <w:jc w:val="both"/>
        <w:sectPr>
          <w:pgSz w:w="12240" w:h="15840"/>
          <w:pgMar w:header="740" w:footer="1274" w:top="1280" w:bottom="1460" w:left="1400" w:right="1260"/>
        </w:sectPr>
      </w:pPr>
    </w:p>
    <w:p>
      <w:pPr>
        <w:pStyle w:val="BodyText"/>
        <w:spacing w:line="240" w:lineRule="auto" w:before="122"/>
        <w:ind w:right="177" w:firstLine="566"/>
        <w:jc w:val="both"/>
      </w:pPr>
      <w:r>
        <w:rPr/>
        <w:t>Дана 25.06.2013. године, вд директора Завода за заштиту споменика је закључио Уговор број 633</w:t>
      </w:r>
      <w:r>
        <w:rPr>
          <w:rFonts w:ascii="Times New Roman" w:hAnsi="Times New Roman" w:cs="Times New Roman" w:eastAsia="Times New Roman" w:hint="default"/>
        </w:rPr>
        <w:t>-00-</w:t>
      </w:r>
      <w:r>
        <w:rPr/>
        <w:t>75/2013, о финансирању пројекта: „Презентација Виле са перистилом и изградња заштитне констукције над њом“ у оквиру Државног програма прославе 1700 година Миланског едикта, са Министарством културе и информисања, које је одобрило наменски трансфер средстава у износу од 120.000 хиљада динара</w:t>
      </w:r>
      <w:r>
        <w:rPr>
          <w:rFonts w:ascii="Times New Roman" w:hAnsi="Times New Roman" w:cs="Times New Roman" w:eastAsia="Times New Roman" w:hint="default"/>
        </w:rPr>
        <w:t>. </w:t>
      </w:r>
      <w:r>
        <w:rPr/>
        <w:t>Након спроведеног поступка јавног отварања понуда, извршеног прегледа и стручне оцене поднетих понуда, донета је Одлука о обустави поступка број 1055/3 дана 13.08.2013. године, којом се поступак јавне набавке обуставља из разлога што је једина приспела понуда неприхватљива.</w:t>
      </w:r>
    </w:p>
    <w:p>
      <w:pPr>
        <w:pStyle w:val="BodyText"/>
        <w:spacing w:line="240" w:lineRule="auto"/>
        <w:ind w:right="171" w:firstLine="566"/>
        <w:jc w:val="both"/>
      </w:pPr>
      <w:r>
        <w:rPr/>
        <w:t>ВД директора је дана 20.08.2013. године, донео Одлуку о покретању преговарачког поступка са објављивањем позива за подношење понуда, за јавну набавку извођење радова на изради и монтажи заштитне конструкције на археолошком локалитету Медијана. Процењена вредност јавне набавке износи 102.500 хиљада динара. У финансијском плану за 2013. годину планирана су средства у износу од 53.986 хиљада динара, и то: из средстава буџета града у износу од 6.671 хиљаде динара и из осталих извора у износу од 47.315 хиљада динара. Истога дана вд директора Завода за заштиту споменика културе Ниш, донео је Решење о образовању комисије број 1092/2, којим именује чланове комисије и њихове заменике. Након преговарања закључен је Уговор број 1159/2 дана 03.09.2013. године, о изради и монтажи заштитне конструкције од лемелираног дрвета са ПВЦ мембраном над Вилом са перистилом на археолошком локалитету Медијана – непокретно културно добро од изузетног значаја, са групом понуђача: Пирамида доо у Сремској Митровици, Artech Inženjering доо Нови Београд и </w:t>
      </w:r>
      <w:r>
        <w:rPr>
          <w:rFonts w:ascii="Times New Roman" w:hAnsi="Times New Roman" w:cs="Times New Roman" w:eastAsia="Times New Roman" w:hint="default"/>
        </w:rPr>
        <w:t>LKV Centar </w:t>
      </w:r>
      <w:r>
        <w:rPr/>
        <w:t>доо Београд. Уговор је закључен на износ од 102.419 хиљада динара без  ПДВ, односно на износ од 122.903 хиљаде динара са ПДВ. Уговором је предвиђено да радови буду изведени до 01.12.2013. године. Анексом III уговора број 1512/3 од 01.11.2014. године</w:t>
      </w:r>
      <w:r>
        <w:rPr>
          <w:rFonts w:ascii="Times New Roman" w:hAnsi="Times New Roman" w:cs="Times New Roman" w:eastAsia="Times New Roman" w:hint="default"/>
        </w:rPr>
        <w:t>, </w:t>
      </w:r>
      <w:r>
        <w:rPr/>
        <w:t>рок за извођење радова је продужен до 31.12.2015. године. Такође у члану 2. овог анекса прописује се средство обезбеђења за добро извршење посла у вредности од 10% од вредности посла, са роком важности 60 дана дуже од уговореног рока за завршетак радова. По овом уговору у 2014. години извршено је плаћање у износу од 66.594 хиљаде</w:t>
      </w:r>
      <w:r>
        <w:rPr>
          <w:spacing w:val="-5"/>
        </w:rPr>
        <w:t> </w:t>
      </w:r>
      <w:r>
        <w:rPr/>
        <w:t>динара.</w:t>
      </w:r>
    </w:p>
    <w:p>
      <w:pPr>
        <w:pStyle w:val="Heading1"/>
        <w:spacing w:line="275" w:lineRule="exact"/>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2"/>
        </w:rPr>
        <w:t> </w:t>
      </w:r>
      <w:r>
        <w:rPr/>
        <w:t>је</w:t>
      </w:r>
      <w:r>
        <w:rPr>
          <w:rFonts w:ascii="Times New Roman" w:hAnsi="Times New Roman"/>
        </w:rPr>
        <w:t>:</w:t>
      </w:r>
      <w:r>
        <w:rPr>
          <w:rFonts w:ascii="Times New Roman" w:hAnsi="Times New Roman"/>
          <w:b w:val="0"/>
        </w:rPr>
      </w:r>
    </w:p>
    <w:p>
      <w:pPr>
        <w:pStyle w:val="ListParagraph"/>
        <w:numPr>
          <w:ilvl w:val="0"/>
          <w:numId w:val="9"/>
        </w:numPr>
        <w:tabs>
          <w:tab w:pos="341" w:val="left" w:leader="none"/>
        </w:tabs>
        <w:spacing w:line="274" w:lineRule="exact" w:before="20"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Решење о образовању комисије не садржи рокове у којима ће комисија извршити утврђене задатке, што је супротно члану 54. став 2. Закона о јавним</w:t>
      </w:r>
      <w:r>
        <w:rPr>
          <w:rFonts w:ascii="Times New Roman" w:hAnsi="Times New Roman"/>
          <w:spacing w:val="-22"/>
          <w:sz w:val="24"/>
        </w:rPr>
        <w:t> </w:t>
      </w:r>
      <w:r>
        <w:rPr>
          <w:rFonts w:ascii="Times New Roman" w:hAnsi="Times New Roman"/>
          <w:sz w:val="24"/>
        </w:rPr>
        <w:t>набавкама.</w:t>
      </w:r>
    </w:p>
    <w:p>
      <w:pPr>
        <w:pStyle w:val="ListParagraph"/>
        <w:numPr>
          <w:ilvl w:val="0"/>
          <w:numId w:val="9"/>
        </w:numPr>
        <w:tabs>
          <w:tab w:pos="341" w:val="left" w:leader="none"/>
        </w:tabs>
        <w:spacing w:line="240" w:lineRule="auto" w:before="0"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Изабрани понуђачи су као гаранцију за добро извршење посла доставили банкарске гаранције са роком важења до 30.12.2014. године на износ од 10.242 хиљаде динара, супротно члану 2. Анекса III уговора број 1512/3 од 01.11.2014. године, у коме је прописано да банкарске гаранције морају бити са роком важности 60 дана дуже од уговореног рока за завршетак</w:t>
      </w:r>
      <w:r>
        <w:rPr>
          <w:rFonts w:ascii="Times New Roman" w:hAnsi="Times New Roman"/>
          <w:spacing w:val="-12"/>
          <w:sz w:val="24"/>
        </w:rPr>
        <w:t> </w:t>
      </w:r>
      <w:r>
        <w:rPr>
          <w:rFonts w:ascii="Times New Roman" w:hAnsi="Times New Roman"/>
          <w:sz w:val="24"/>
        </w:rPr>
        <w:t>радова.</w:t>
      </w:r>
    </w:p>
    <w:p>
      <w:pPr>
        <w:pStyle w:val="ListParagraph"/>
        <w:numPr>
          <w:ilvl w:val="0"/>
          <w:numId w:val="9"/>
        </w:numPr>
        <w:tabs>
          <w:tab w:pos="341"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Министарство животне средине и просторног планирања, Сектор за урбанистичко, просторно планирање и становање, издало </w:t>
      </w:r>
      <w:r>
        <w:rPr>
          <w:rFonts w:ascii="Times New Roman" w:hAnsi="Times New Roman"/>
          <w:spacing w:val="2"/>
          <w:sz w:val="24"/>
        </w:rPr>
        <w:t>је </w:t>
      </w:r>
      <w:r>
        <w:rPr>
          <w:rFonts w:ascii="Times New Roman" w:hAnsi="Times New Roman"/>
          <w:sz w:val="24"/>
        </w:rPr>
        <w:t>Решење о одобрењу за изградњу број 351</w:t>
      </w:r>
      <w:r>
        <w:rPr>
          <w:rFonts w:ascii="Times New Roman" w:hAnsi="Times New Roman"/>
          <w:sz w:val="24"/>
        </w:rPr>
        <w:t>- 03-00045/2009-</w:t>
      </w:r>
      <w:r>
        <w:rPr>
          <w:rFonts w:ascii="Times New Roman" w:hAnsi="Times New Roman"/>
          <w:sz w:val="24"/>
        </w:rPr>
        <w:t>07 дана 04.02.2009. године, док су радови отпочети дана 07.10.2013. године, што значи да су радови отпочети</w:t>
      </w:r>
      <w:r>
        <w:rPr>
          <w:rFonts w:ascii="Times New Roman" w:hAnsi="Times New Roman"/>
          <w:sz w:val="24"/>
        </w:rPr>
        <w:t>, </w:t>
      </w:r>
      <w:r>
        <w:rPr>
          <w:rFonts w:ascii="Times New Roman" w:hAnsi="Times New Roman"/>
          <w:sz w:val="24"/>
        </w:rPr>
        <w:t>а да је Решење о одобрењу престало да важи, што је супротно члану 140. Закона о планирању и</w:t>
      </w:r>
      <w:r>
        <w:rPr>
          <w:rFonts w:ascii="Times New Roman" w:hAnsi="Times New Roman"/>
          <w:spacing w:val="-13"/>
          <w:sz w:val="24"/>
        </w:rPr>
        <w:t> </w:t>
      </w:r>
      <w:r>
        <w:rPr>
          <w:rFonts w:ascii="Times New Roman" w:hAnsi="Times New Roman"/>
          <w:sz w:val="24"/>
        </w:rPr>
        <w:t>изградњи.</w:t>
      </w:r>
    </w:p>
    <w:p>
      <w:pPr>
        <w:pStyle w:val="Heading2"/>
        <w:spacing w:line="240" w:lineRule="auto"/>
        <w:ind w:right="182"/>
        <w:jc w:val="both"/>
        <w:rPr>
          <w:b w:val="0"/>
          <w:bCs w:val="0"/>
          <w:i w:val="0"/>
        </w:rPr>
      </w:pPr>
      <w:r>
        <w:rPr>
          <w:i/>
        </w:rPr>
        <w:t>Препоручује се одговорним лицима да: јавне набавке спроводе у складу са Законом</w:t>
      </w:r>
      <w:r>
        <w:rPr>
          <w:i/>
          <w:spacing w:val="51"/>
        </w:rPr>
        <w:t> </w:t>
      </w:r>
      <w:r>
        <w:rPr>
          <w:i/>
        </w:rPr>
        <w:t>о</w:t>
      </w:r>
      <w:r>
        <w:rPr>
          <w:i/>
          <w:spacing w:val="50"/>
        </w:rPr>
        <w:t> </w:t>
      </w:r>
      <w:r>
        <w:rPr>
          <w:i/>
        </w:rPr>
        <w:t>јавним</w:t>
      </w:r>
      <w:r>
        <w:rPr>
          <w:i/>
          <w:spacing w:val="51"/>
        </w:rPr>
        <w:t> </w:t>
      </w:r>
      <w:r>
        <w:rPr>
          <w:i/>
        </w:rPr>
        <w:t>набавкама,</w:t>
      </w:r>
      <w:r>
        <w:rPr>
          <w:i/>
          <w:spacing w:val="50"/>
        </w:rPr>
        <w:t> </w:t>
      </w:r>
      <w:r>
        <w:rPr>
          <w:i/>
        </w:rPr>
        <w:t>обезбеде</w:t>
      </w:r>
      <w:r>
        <w:rPr>
          <w:i/>
          <w:spacing w:val="49"/>
        </w:rPr>
        <w:t> </w:t>
      </w:r>
      <w:r>
        <w:rPr>
          <w:i/>
        </w:rPr>
        <w:t>од</w:t>
      </w:r>
      <w:r>
        <w:rPr>
          <w:i/>
          <w:spacing w:val="51"/>
        </w:rPr>
        <w:t> </w:t>
      </w:r>
      <w:r>
        <w:rPr>
          <w:i/>
        </w:rPr>
        <w:t>извођача</w:t>
      </w:r>
      <w:r>
        <w:rPr>
          <w:i/>
          <w:spacing w:val="50"/>
        </w:rPr>
        <w:t> </w:t>
      </w:r>
      <w:r>
        <w:rPr>
          <w:i/>
        </w:rPr>
        <w:t>радова</w:t>
      </w:r>
      <w:r>
        <w:rPr>
          <w:i/>
          <w:spacing w:val="51"/>
        </w:rPr>
        <w:t> </w:t>
      </w:r>
      <w:r>
        <w:rPr>
          <w:i/>
        </w:rPr>
        <w:t>средство</w:t>
      </w:r>
      <w:r>
        <w:rPr>
          <w:i/>
          <w:spacing w:val="50"/>
        </w:rPr>
        <w:t> </w:t>
      </w:r>
      <w:r>
        <w:rPr>
          <w:i/>
        </w:rPr>
        <w:t>обезбеђења</w:t>
      </w:r>
      <w:r>
        <w:rPr>
          <w:i/>
          <w:spacing w:val="52"/>
        </w:rPr>
        <w:t> </w:t>
      </w:r>
      <w:r>
        <w:rPr>
          <w:i/>
        </w:rPr>
        <w:t>са</w:t>
      </w:r>
      <w:r>
        <w:rPr>
          <w:b w:val="0"/>
          <w:i w:val="0"/>
        </w:rPr>
      </w:r>
    </w:p>
    <w:p>
      <w:pPr>
        <w:spacing w:after="0" w:line="240" w:lineRule="auto"/>
        <w:jc w:val="both"/>
        <w:sectPr>
          <w:pgSz w:w="12240" w:h="15840"/>
          <w:pgMar w:header="740" w:footer="1274" w:top="1280" w:bottom="1460" w:left="1400" w:right="1260"/>
        </w:sectPr>
      </w:pPr>
    </w:p>
    <w:p>
      <w:pPr>
        <w:spacing w:before="126"/>
        <w:ind w:left="160" w:right="271" w:firstLine="0"/>
        <w:jc w:val="left"/>
        <w:rPr>
          <w:rFonts w:ascii="Times New Roman" w:hAnsi="Times New Roman" w:cs="Times New Roman" w:eastAsia="Times New Roman" w:hint="default"/>
          <w:sz w:val="24"/>
          <w:szCs w:val="24"/>
        </w:rPr>
      </w:pPr>
      <w:r>
        <w:rPr>
          <w:rFonts w:ascii="Times New Roman" w:hAnsi="Times New Roman"/>
          <w:b/>
          <w:i/>
          <w:sz w:val="24"/>
        </w:rPr>
        <w:t>уговореним роком важења и да извођење радова врше у складу са Законом о планирању и</w:t>
      </w:r>
      <w:r>
        <w:rPr>
          <w:rFonts w:ascii="Times New Roman" w:hAnsi="Times New Roman"/>
          <w:b/>
          <w:i/>
          <w:spacing w:val="-8"/>
          <w:sz w:val="24"/>
        </w:rPr>
        <w:t> </w:t>
      </w:r>
      <w:r>
        <w:rPr>
          <w:rFonts w:ascii="Times New Roman" w:hAnsi="Times New Roman"/>
          <w:b/>
          <w:i/>
          <w:sz w:val="24"/>
        </w:rPr>
        <w:t>изградњи.</w:t>
      </w:r>
      <w:r>
        <w:rPr>
          <w:rFonts w:ascii="Times New Roman" w:hAnsi="Times New Roman"/>
          <w:sz w:val="24"/>
        </w:rPr>
      </w:r>
    </w:p>
    <w:p>
      <w:pPr>
        <w:spacing w:line="240" w:lineRule="auto" w:before="0"/>
        <w:rPr>
          <w:rFonts w:ascii="Times New Roman" w:hAnsi="Times New Roman" w:cs="Times New Roman" w:eastAsia="Times New Roman" w:hint="default"/>
          <w:b/>
          <w:bCs/>
          <w:i/>
          <w:sz w:val="24"/>
          <w:szCs w:val="24"/>
        </w:rPr>
      </w:pPr>
    </w:p>
    <w:p>
      <w:pPr>
        <w:pStyle w:val="Heading1"/>
        <w:numPr>
          <w:ilvl w:val="1"/>
          <w:numId w:val="58"/>
        </w:numPr>
        <w:tabs>
          <w:tab w:pos="727" w:val="left" w:leader="none"/>
        </w:tabs>
        <w:spacing w:line="274" w:lineRule="exact" w:before="0" w:after="0"/>
        <w:ind w:left="726" w:right="0" w:hanging="566"/>
        <w:jc w:val="left"/>
        <w:rPr>
          <w:b w:val="0"/>
          <w:bCs w:val="0"/>
        </w:rPr>
      </w:pPr>
      <w:bookmarkStart w:name="_bookmark48" w:id="83"/>
      <w:bookmarkEnd w:id="83"/>
      <w:r>
        <w:rPr>
          <w:b w:val="0"/>
        </w:rPr>
      </w:r>
      <w:bookmarkStart w:name="_bookmark48" w:id="84"/>
      <w:bookmarkEnd w:id="84"/>
      <w:r>
        <w:rPr/>
        <w:t>Б</w:t>
      </w:r>
      <w:r>
        <w:rPr/>
        <w:t>иланс прихода и расхода </w:t>
      </w:r>
      <w:r>
        <w:rPr>
          <w:rFonts w:ascii="Times New Roman" w:hAnsi="Times New Roman"/>
        </w:rPr>
        <w:t>- </w:t>
      </w:r>
      <w:r>
        <w:rPr/>
        <w:t>Образац</w:t>
      </w:r>
      <w:r>
        <w:rPr>
          <w:spacing w:val="-8"/>
        </w:rPr>
        <w:t> </w:t>
      </w:r>
      <w:r>
        <w:rPr/>
        <w:t>2</w:t>
      </w:r>
      <w:r>
        <w:rPr>
          <w:b w:val="0"/>
        </w:rPr>
      </w:r>
    </w:p>
    <w:p>
      <w:pPr>
        <w:pStyle w:val="BodyText"/>
        <w:tabs>
          <w:tab w:pos="7791" w:val="left" w:leader="none"/>
        </w:tabs>
        <w:spacing w:line="240" w:lineRule="auto" w:after="8"/>
        <w:ind w:right="241" w:firstLine="566"/>
        <w:jc w:val="both"/>
        <w:rPr>
          <w:sz w:val="18"/>
          <w:szCs w:val="18"/>
        </w:rPr>
      </w:pPr>
      <w:r>
        <w:rPr/>
        <w:t>У наредној табели исказани су подаци о оствареним текућим приходима и примањима од продаје нефинансијске имовине и текућим расходима и издацима за нефинансијску имовину у претходној и </w:t>
      </w:r>
      <w:r>
        <w:rPr>
          <w:spacing w:val="34"/>
        </w:rPr>
        <w:t> </w:t>
      </w:r>
      <w:r>
        <w:rPr/>
        <w:t>текућој</w:t>
      </w:r>
      <w:r>
        <w:rPr>
          <w:spacing w:val="22"/>
        </w:rPr>
        <w:t> </w:t>
      </w:r>
      <w:r>
        <w:rPr/>
        <w:t>години:</w:t>
        <w:tab/>
      </w:r>
      <w:r>
        <w:rPr>
          <w:sz w:val="18"/>
        </w:rPr>
        <w:t>(у хиљадама</w:t>
      </w:r>
      <w:r>
        <w:rPr>
          <w:spacing w:val="-9"/>
          <w:sz w:val="18"/>
        </w:rPr>
        <w:t> </w:t>
      </w:r>
      <w:r>
        <w:rPr>
          <w:sz w:val="18"/>
        </w:rPr>
        <w:t>динара)</w:t>
      </w:r>
    </w:p>
    <w:tbl>
      <w:tblPr>
        <w:tblW w:w="0" w:type="auto"/>
        <w:jc w:val="left"/>
        <w:tblInd w:w="155" w:type="dxa"/>
        <w:tblLayout w:type="fixed"/>
        <w:tblCellMar>
          <w:top w:w="0" w:type="dxa"/>
          <w:left w:w="0" w:type="dxa"/>
          <w:bottom w:w="0" w:type="dxa"/>
          <w:right w:w="0" w:type="dxa"/>
        </w:tblCellMar>
        <w:tblLook w:val="01E0"/>
      </w:tblPr>
      <w:tblGrid>
        <w:gridCol w:w="883"/>
        <w:gridCol w:w="929"/>
        <w:gridCol w:w="5127"/>
        <w:gridCol w:w="1284"/>
        <w:gridCol w:w="1133"/>
      </w:tblGrid>
      <w:tr>
        <w:trPr>
          <w:trHeight w:val="422"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95" w:right="127" w:hanging="159"/>
              <w:jc w:val="left"/>
              <w:rPr>
                <w:rFonts w:ascii="Times New Roman" w:hAnsi="Times New Roman" w:cs="Times New Roman" w:eastAsia="Times New Roman" w:hint="default"/>
                <w:sz w:val="18"/>
                <w:szCs w:val="18"/>
              </w:rPr>
            </w:pPr>
            <w:r>
              <w:rPr>
                <w:rFonts w:ascii="Times New Roman" w:hAnsi="Times New Roman"/>
                <w:b/>
                <w:sz w:val="18"/>
              </w:rPr>
              <w:t>Ознака ОП</w:t>
            </w:r>
            <w:r>
              <w:rPr>
                <w:rFonts w:ascii="Times New Roman" w:hAnsi="Times New Roman"/>
                <w:sz w:val="18"/>
              </w:rPr>
            </w:r>
          </w:p>
        </w:tc>
        <w:tc>
          <w:tcPr>
            <w:tcW w:w="9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20" w:right="213" w:firstLine="55"/>
              <w:jc w:val="left"/>
              <w:rPr>
                <w:rFonts w:ascii="Times New Roman" w:hAnsi="Times New Roman" w:cs="Times New Roman" w:eastAsia="Times New Roman" w:hint="default"/>
                <w:sz w:val="18"/>
                <w:szCs w:val="18"/>
              </w:rPr>
            </w:pPr>
            <w:r>
              <w:rPr>
                <w:rFonts w:ascii="Times New Roman" w:hAnsi="Times New Roman"/>
                <w:b/>
                <w:sz w:val="18"/>
              </w:rPr>
              <w:t>Број конта</w:t>
            </w:r>
            <w:r>
              <w:rPr>
                <w:rFonts w:ascii="Times New Roman" w:hAnsi="Times New Roman"/>
                <w:sz w:val="18"/>
              </w:rPr>
            </w: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560" w:right="1844"/>
              <w:jc w:val="center"/>
              <w:rPr>
                <w:rFonts w:ascii="Times New Roman" w:hAnsi="Times New Roman" w:cs="Times New Roman" w:eastAsia="Times New Roman" w:hint="default"/>
                <w:sz w:val="18"/>
                <w:szCs w:val="18"/>
              </w:rPr>
            </w:pPr>
            <w:r>
              <w:rPr>
                <w:rFonts w:ascii="Times New Roman" w:hAnsi="Times New Roman"/>
                <w:b/>
                <w:sz w:val="18"/>
              </w:rPr>
              <w:t>О П И</w:t>
            </w:r>
            <w:r>
              <w:rPr>
                <w:rFonts w:ascii="Times New Roman" w:hAnsi="Times New Roman"/>
                <w:b/>
                <w:spacing w:val="-3"/>
                <w:sz w:val="18"/>
              </w:rPr>
              <w:t> </w:t>
            </w:r>
            <w:r>
              <w:rPr>
                <w:rFonts w:ascii="Times New Roman" w:hAnsi="Times New Roman"/>
                <w:b/>
                <w:sz w:val="18"/>
              </w:rPr>
              <w:t>С</w:t>
            </w:r>
            <w:r>
              <w:rPr>
                <w:rFonts w:ascii="Times New Roman" w:hAnsi="Times New Roman"/>
                <w:sz w:val="18"/>
              </w:rPr>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357" w:right="192" w:hanging="159"/>
              <w:jc w:val="left"/>
              <w:rPr>
                <w:rFonts w:ascii="Times New Roman" w:hAnsi="Times New Roman" w:cs="Times New Roman" w:eastAsia="Times New Roman" w:hint="default"/>
                <w:sz w:val="18"/>
                <w:szCs w:val="18"/>
              </w:rPr>
            </w:pPr>
            <w:r>
              <w:rPr>
                <w:rFonts w:ascii="Times New Roman" w:hAnsi="Times New Roman"/>
                <w:b/>
                <w:sz w:val="18"/>
              </w:rPr>
              <w:t>Претходна година</w:t>
            </w:r>
            <w:r>
              <w:rPr>
                <w:rFonts w:ascii="Times New Roman" w:hAnsi="Times New Roman"/>
                <w:sz w:val="18"/>
              </w:rPr>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81" w:right="260" w:hanging="12"/>
              <w:jc w:val="left"/>
              <w:rPr>
                <w:rFonts w:ascii="Times New Roman" w:hAnsi="Times New Roman" w:cs="Times New Roman" w:eastAsia="Times New Roman" w:hint="default"/>
                <w:sz w:val="18"/>
                <w:szCs w:val="18"/>
              </w:rPr>
            </w:pPr>
            <w:r>
              <w:rPr>
                <w:rFonts w:ascii="Times New Roman" w:hAnsi="Times New Roman"/>
                <w:b/>
                <w:sz w:val="18"/>
              </w:rPr>
              <w:t>Текућа година</w:t>
            </w:r>
            <w:r>
              <w:rPr>
                <w:rFonts w:ascii="Times New Roman" w:hAnsi="Times New Roman"/>
                <w:sz w:val="18"/>
              </w:rPr>
            </w:r>
          </w:p>
        </w:tc>
      </w:tr>
      <w:tr>
        <w:trPr>
          <w:trHeight w:val="425"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03" w:right="127"/>
              <w:jc w:val="left"/>
              <w:rPr>
                <w:rFonts w:ascii="Times New Roman" w:hAnsi="Times New Roman" w:cs="Times New Roman" w:eastAsia="Times New Roman" w:hint="default"/>
                <w:sz w:val="18"/>
                <w:szCs w:val="18"/>
              </w:rPr>
            </w:pPr>
            <w:r>
              <w:rPr>
                <w:rFonts w:ascii="Times New Roman"/>
                <w:b/>
                <w:sz w:val="18"/>
              </w:rPr>
              <w:t>2001</w:t>
            </w:r>
            <w:r>
              <w:rPr>
                <w:rFonts w:ascii="Times New Roman"/>
                <w:sz w:val="18"/>
              </w:rPr>
            </w:r>
          </w:p>
        </w:tc>
        <w:tc>
          <w:tcPr>
            <w:tcW w:w="929" w:type="dxa"/>
            <w:tcBorders>
              <w:top w:val="single" w:sz="4" w:space="0" w:color="000000"/>
              <w:left w:val="single" w:sz="4" w:space="0" w:color="000000"/>
              <w:bottom w:val="single" w:sz="4" w:space="0" w:color="000000"/>
              <w:right w:val="single" w:sz="4" w:space="0" w:color="000000"/>
            </w:tcBorders>
          </w:tcPr>
          <w:p>
            <w:pPr>
              <w:pStyle w:val="TableParagraph"/>
              <w:spacing w:line="207" w:lineRule="exact" w:before="2"/>
              <w:ind w:left="103" w:right="213"/>
              <w:jc w:val="left"/>
              <w:rPr>
                <w:rFonts w:ascii="Times New Roman" w:hAnsi="Times New Roman" w:cs="Times New Roman" w:eastAsia="Times New Roman" w:hint="default"/>
                <w:sz w:val="18"/>
                <w:szCs w:val="18"/>
              </w:rPr>
            </w:pPr>
            <w:r>
              <w:rPr>
                <w:rFonts w:ascii="Times New Roman"/>
                <w:b/>
                <w:sz w:val="18"/>
              </w:rPr>
              <w:t>700000</w:t>
            </w:r>
            <w:r>
              <w:rPr>
                <w:rFonts w:ascii="Times New Roman"/>
                <w:sz w:val="18"/>
              </w:rPr>
            </w:r>
          </w:p>
          <w:p>
            <w:pPr>
              <w:pStyle w:val="TableParagraph"/>
              <w:spacing w:line="207" w:lineRule="exact"/>
              <w:ind w:left="103" w:right="0"/>
              <w:jc w:val="left"/>
              <w:rPr>
                <w:rFonts w:ascii="Times New Roman" w:hAnsi="Times New Roman" w:cs="Times New Roman" w:eastAsia="Times New Roman" w:hint="default"/>
                <w:sz w:val="18"/>
                <w:szCs w:val="18"/>
              </w:rPr>
            </w:pPr>
            <w:r>
              <w:rPr>
                <w:rFonts w:ascii="Times New Roman"/>
                <w:b/>
                <w:sz w:val="18"/>
              </w:rPr>
              <w:t>+800000</w:t>
            </w:r>
            <w:r>
              <w:rPr>
                <w:rFonts w:ascii="Times New Roman"/>
                <w:sz w:val="18"/>
              </w:rPr>
            </w: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03" w:right="810"/>
              <w:jc w:val="left"/>
              <w:rPr>
                <w:rFonts w:ascii="Times New Roman" w:hAnsi="Times New Roman" w:cs="Times New Roman" w:eastAsia="Times New Roman" w:hint="default"/>
                <w:sz w:val="18"/>
                <w:szCs w:val="18"/>
              </w:rPr>
            </w:pPr>
            <w:r>
              <w:rPr>
                <w:rFonts w:ascii="Times New Roman" w:hAnsi="Times New Roman"/>
                <w:b/>
                <w:sz w:val="18"/>
              </w:rPr>
              <w:t>ТЕКУЋИ ПРИХОДИ И ПРИМАЊА ОД ПРОДАЈЕ НЕФИНАНСИЈСКЕ</w:t>
            </w:r>
            <w:r>
              <w:rPr>
                <w:rFonts w:ascii="Times New Roman" w:hAnsi="Times New Roman"/>
                <w:b/>
                <w:spacing w:val="-8"/>
                <w:sz w:val="18"/>
              </w:rPr>
              <w:t> </w:t>
            </w:r>
            <w:r>
              <w:rPr>
                <w:rFonts w:ascii="Times New Roman" w:hAnsi="Times New Roman"/>
                <w:b/>
                <w:sz w:val="18"/>
              </w:rPr>
              <w:t>ИМОВИНЕ</w:t>
            </w:r>
            <w:r>
              <w:rPr>
                <w:rFonts w:ascii="Times New Roman" w:hAnsi="Times New Roman"/>
                <w:sz w:val="18"/>
              </w:rPr>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b/>
                <w:spacing w:val="-1"/>
                <w:sz w:val="18"/>
              </w:rPr>
              <w:t>7.492.363</w:t>
            </w:r>
            <w:r>
              <w:rPr>
                <w:rFonts w:ascii="Times New Roman"/>
                <w:spacing w:val="-1"/>
                <w:sz w:val="18"/>
              </w:rPr>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b/>
                <w:spacing w:val="-1"/>
                <w:sz w:val="18"/>
              </w:rPr>
              <w:t>7.152.114</w:t>
            </w:r>
            <w:r>
              <w:rPr>
                <w:rFonts w:ascii="Times New Roman"/>
                <w:spacing w:val="-1"/>
                <w:sz w:val="18"/>
              </w:rPr>
            </w:r>
          </w:p>
        </w:tc>
      </w:tr>
      <w:tr>
        <w:trPr>
          <w:trHeight w:val="226"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127"/>
              <w:jc w:val="left"/>
              <w:rPr>
                <w:rFonts w:ascii="Times New Roman" w:hAnsi="Times New Roman" w:cs="Times New Roman" w:eastAsia="Times New Roman" w:hint="default"/>
                <w:sz w:val="18"/>
                <w:szCs w:val="18"/>
              </w:rPr>
            </w:pPr>
            <w:r>
              <w:rPr>
                <w:rFonts w:ascii="Times New Roman"/>
                <w:b/>
                <w:sz w:val="18"/>
              </w:rPr>
              <w:t>2002</w:t>
            </w:r>
            <w:r>
              <w:rPr>
                <w:rFonts w:ascii="Times New Roman"/>
                <w:sz w:val="18"/>
              </w:rPr>
            </w:r>
          </w:p>
        </w:tc>
        <w:tc>
          <w:tcPr>
            <w:tcW w:w="9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213"/>
              <w:jc w:val="left"/>
              <w:rPr>
                <w:rFonts w:ascii="Times New Roman" w:hAnsi="Times New Roman" w:cs="Times New Roman" w:eastAsia="Times New Roman" w:hint="default"/>
                <w:sz w:val="18"/>
                <w:szCs w:val="18"/>
              </w:rPr>
            </w:pPr>
            <w:r>
              <w:rPr>
                <w:rFonts w:ascii="Times New Roman"/>
                <w:b/>
                <w:sz w:val="18"/>
              </w:rPr>
              <w:t>700000</w:t>
            </w:r>
            <w:r>
              <w:rPr>
                <w:rFonts w:ascii="Times New Roman"/>
                <w:sz w:val="18"/>
              </w:rPr>
            </w: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68" w:right="810"/>
              <w:jc w:val="left"/>
              <w:rPr>
                <w:rFonts w:ascii="Times New Roman" w:hAnsi="Times New Roman" w:cs="Times New Roman" w:eastAsia="Times New Roman" w:hint="default"/>
                <w:sz w:val="18"/>
                <w:szCs w:val="18"/>
              </w:rPr>
            </w:pPr>
            <w:r>
              <w:rPr>
                <w:rFonts w:ascii="Times New Roman" w:hAnsi="Times New Roman"/>
                <w:b/>
                <w:sz w:val="18"/>
              </w:rPr>
              <w:t>Текући</w:t>
            </w:r>
            <w:r>
              <w:rPr>
                <w:rFonts w:ascii="Times New Roman" w:hAnsi="Times New Roman"/>
                <w:b/>
                <w:spacing w:val="-4"/>
                <w:sz w:val="18"/>
              </w:rPr>
              <w:t> </w:t>
            </w:r>
            <w:r>
              <w:rPr>
                <w:rFonts w:ascii="Times New Roman" w:hAnsi="Times New Roman"/>
                <w:b/>
                <w:sz w:val="18"/>
              </w:rPr>
              <w:t>приходи</w:t>
            </w:r>
            <w:r>
              <w:rPr>
                <w:rFonts w:ascii="Times New Roman" w:hAnsi="Times New Roman"/>
                <w:sz w:val="18"/>
              </w:rPr>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7.258.044</w:t>
            </w:r>
            <w:r>
              <w:rPr>
                <w:rFonts w:ascii="Times New Roman"/>
                <w:spacing w:val="-1"/>
                <w:sz w:val="18"/>
              </w:rPr>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7.030.829</w:t>
            </w:r>
            <w:r>
              <w:rPr>
                <w:rFonts w:ascii="Times New Roman"/>
                <w:spacing w:val="-1"/>
                <w:sz w:val="18"/>
              </w:rPr>
            </w:r>
          </w:p>
        </w:tc>
      </w:tr>
      <w:tr>
        <w:trPr>
          <w:trHeight w:val="219"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03" w:right="127"/>
              <w:jc w:val="left"/>
              <w:rPr>
                <w:rFonts w:ascii="Times New Roman" w:hAnsi="Times New Roman" w:cs="Times New Roman" w:eastAsia="Times New Roman" w:hint="default"/>
                <w:sz w:val="18"/>
                <w:szCs w:val="18"/>
              </w:rPr>
            </w:pPr>
            <w:r>
              <w:rPr>
                <w:rFonts w:ascii="Times New Roman"/>
                <w:sz w:val="18"/>
              </w:rPr>
              <w:t>2003</w:t>
            </w:r>
          </w:p>
        </w:tc>
        <w:tc>
          <w:tcPr>
            <w:tcW w:w="929"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03" w:right="213"/>
              <w:jc w:val="left"/>
              <w:rPr>
                <w:rFonts w:ascii="Times New Roman" w:hAnsi="Times New Roman" w:cs="Times New Roman" w:eastAsia="Times New Roman" w:hint="default"/>
                <w:sz w:val="18"/>
                <w:szCs w:val="18"/>
              </w:rPr>
            </w:pPr>
            <w:r>
              <w:rPr>
                <w:rFonts w:ascii="Times New Roman"/>
                <w:sz w:val="18"/>
              </w:rPr>
              <w:t>710000</w:t>
            </w: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68" w:right="810"/>
              <w:jc w:val="left"/>
              <w:rPr>
                <w:rFonts w:ascii="Times New Roman" w:hAnsi="Times New Roman" w:cs="Times New Roman" w:eastAsia="Times New Roman" w:hint="default"/>
                <w:sz w:val="18"/>
                <w:szCs w:val="18"/>
              </w:rPr>
            </w:pPr>
            <w:r>
              <w:rPr>
                <w:rFonts w:ascii="Times New Roman" w:hAnsi="Times New Roman"/>
                <w:sz w:val="18"/>
              </w:rPr>
              <w:t>Порези</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pacing w:val="-1"/>
                <w:sz w:val="18"/>
              </w:rPr>
              <w:t>4.761.561</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pacing w:val="-1"/>
                <w:sz w:val="18"/>
              </w:rPr>
              <w:t>4.824.793</w:t>
            </w:r>
          </w:p>
        </w:tc>
      </w:tr>
      <w:tr>
        <w:trPr>
          <w:trHeight w:val="216"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27"/>
              <w:jc w:val="left"/>
              <w:rPr>
                <w:rFonts w:ascii="Times New Roman" w:hAnsi="Times New Roman" w:cs="Times New Roman" w:eastAsia="Times New Roman" w:hint="default"/>
                <w:sz w:val="18"/>
                <w:szCs w:val="18"/>
              </w:rPr>
            </w:pPr>
            <w:r>
              <w:rPr>
                <w:rFonts w:ascii="Times New Roman"/>
                <w:sz w:val="18"/>
              </w:rPr>
              <w:t>2047</w:t>
            </w:r>
          </w:p>
        </w:tc>
        <w:tc>
          <w:tcPr>
            <w:tcW w:w="92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213"/>
              <w:jc w:val="left"/>
              <w:rPr>
                <w:rFonts w:ascii="Times New Roman" w:hAnsi="Times New Roman" w:cs="Times New Roman" w:eastAsia="Times New Roman" w:hint="default"/>
                <w:sz w:val="18"/>
                <w:szCs w:val="18"/>
              </w:rPr>
            </w:pPr>
            <w:r>
              <w:rPr>
                <w:rFonts w:ascii="Times New Roman"/>
                <w:sz w:val="18"/>
              </w:rPr>
              <w:t>720000</w:t>
            </w: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68" w:right="810"/>
              <w:jc w:val="left"/>
              <w:rPr>
                <w:rFonts w:ascii="Times New Roman" w:hAnsi="Times New Roman" w:cs="Times New Roman" w:eastAsia="Times New Roman" w:hint="default"/>
                <w:sz w:val="18"/>
                <w:szCs w:val="18"/>
              </w:rPr>
            </w:pPr>
            <w:r>
              <w:rPr>
                <w:rFonts w:ascii="Times New Roman" w:hAnsi="Times New Roman"/>
                <w:sz w:val="18"/>
              </w:rPr>
              <w:t>Социјални</w:t>
            </w:r>
            <w:r>
              <w:rPr>
                <w:rFonts w:ascii="Times New Roman" w:hAnsi="Times New Roman"/>
                <w:spacing w:val="-6"/>
                <w:sz w:val="18"/>
              </w:rPr>
              <w:t> </w:t>
            </w:r>
            <w:r>
              <w:rPr>
                <w:rFonts w:ascii="Times New Roman" w:hAnsi="Times New Roman"/>
                <w:sz w:val="18"/>
              </w:rPr>
              <w:t>доприноси</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61</w:t>
            </w:r>
          </w:p>
        </w:tc>
        <w:tc>
          <w:tcPr>
            <w:tcW w:w="1133" w:type="dxa"/>
            <w:tcBorders>
              <w:top w:val="single" w:sz="4" w:space="0" w:color="000000"/>
              <w:left w:val="single" w:sz="4" w:space="0" w:color="000000"/>
              <w:bottom w:val="single" w:sz="4" w:space="0" w:color="000000"/>
              <w:right w:val="single" w:sz="4" w:space="0" w:color="000000"/>
            </w:tcBorders>
          </w:tcPr>
          <w:p>
            <w:pPr/>
          </w:p>
        </w:tc>
      </w:tr>
      <w:tr>
        <w:trPr>
          <w:trHeight w:val="216"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27"/>
              <w:jc w:val="left"/>
              <w:rPr>
                <w:rFonts w:ascii="Times New Roman" w:hAnsi="Times New Roman" w:cs="Times New Roman" w:eastAsia="Times New Roman" w:hint="default"/>
                <w:sz w:val="18"/>
                <w:szCs w:val="18"/>
              </w:rPr>
            </w:pPr>
            <w:r>
              <w:rPr>
                <w:rFonts w:ascii="Times New Roman"/>
                <w:sz w:val="18"/>
              </w:rPr>
              <w:t>2057</w:t>
            </w:r>
          </w:p>
        </w:tc>
        <w:tc>
          <w:tcPr>
            <w:tcW w:w="92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213"/>
              <w:jc w:val="left"/>
              <w:rPr>
                <w:rFonts w:ascii="Times New Roman" w:hAnsi="Times New Roman" w:cs="Times New Roman" w:eastAsia="Times New Roman" w:hint="default"/>
                <w:sz w:val="18"/>
                <w:szCs w:val="18"/>
              </w:rPr>
            </w:pPr>
            <w:r>
              <w:rPr>
                <w:rFonts w:ascii="Times New Roman"/>
                <w:sz w:val="18"/>
              </w:rPr>
              <w:t>730000</w:t>
            </w: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68" w:right="810"/>
              <w:jc w:val="left"/>
              <w:rPr>
                <w:rFonts w:ascii="Times New Roman" w:hAnsi="Times New Roman" w:cs="Times New Roman" w:eastAsia="Times New Roman" w:hint="default"/>
                <w:sz w:val="18"/>
                <w:szCs w:val="18"/>
              </w:rPr>
            </w:pPr>
            <w:r>
              <w:rPr>
                <w:rFonts w:ascii="Times New Roman" w:hAnsi="Times New Roman"/>
                <w:sz w:val="18"/>
              </w:rPr>
              <w:t>Донације и</w:t>
            </w:r>
            <w:r>
              <w:rPr>
                <w:rFonts w:ascii="Times New Roman" w:hAnsi="Times New Roman"/>
                <w:spacing w:val="-5"/>
                <w:sz w:val="18"/>
              </w:rPr>
              <w:t> </w:t>
            </w:r>
            <w:r>
              <w:rPr>
                <w:rFonts w:ascii="Times New Roman" w:hAnsi="Times New Roman"/>
                <w:sz w:val="18"/>
              </w:rPr>
              <w:t>трансфери</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974.541</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911.367</w:t>
            </w:r>
          </w:p>
        </w:tc>
      </w:tr>
      <w:tr>
        <w:trPr>
          <w:trHeight w:val="218"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127"/>
              <w:jc w:val="left"/>
              <w:rPr>
                <w:rFonts w:ascii="Times New Roman" w:hAnsi="Times New Roman" w:cs="Times New Roman" w:eastAsia="Times New Roman" w:hint="default"/>
                <w:sz w:val="18"/>
                <w:szCs w:val="18"/>
              </w:rPr>
            </w:pPr>
            <w:r>
              <w:rPr>
                <w:rFonts w:ascii="Times New Roman"/>
                <w:sz w:val="18"/>
              </w:rPr>
              <w:t>2069</w:t>
            </w:r>
          </w:p>
        </w:tc>
        <w:tc>
          <w:tcPr>
            <w:tcW w:w="929"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213"/>
              <w:jc w:val="left"/>
              <w:rPr>
                <w:rFonts w:ascii="Times New Roman" w:hAnsi="Times New Roman" w:cs="Times New Roman" w:eastAsia="Times New Roman" w:hint="default"/>
                <w:sz w:val="18"/>
                <w:szCs w:val="18"/>
              </w:rPr>
            </w:pPr>
            <w:r>
              <w:rPr>
                <w:rFonts w:ascii="Times New Roman"/>
                <w:sz w:val="18"/>
              </w:rPr>
              <w:t>740000</w:t>
            </w: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68" w:right="810"/>
              <w:jc w:val="left"/>
              <w:rPr>
                <w:rFonts w:ascii="Times New Roman" w:hAnsi="Times New Roman" w:cs="Times New Roman" w:eastAsia="Times New Roman" w:hint="default"/>
                <w:sz w:val="18"/>
                <w:szCs w:val="18"/>
              </w:rPr>
            </w:pPr>
            <w:r>
              <w:rPr>
                <w:rFonts w:ascii="Times New Roman" w:hAnsi="Times New Roman"/>
                <w:sz w:val="18"/>
              </w:rPr>
              <w:t>Други</w:t>
            </w:r>
            <w:r>
              <w:rPr>
                <w:rFonts w:ascii="Times New Roman" w:hAnsi="Times New Roman"/>
                <w:spacing w:val="-5"/>
                <w:sz w:val="18"/>
              </w:rPr>
              <w:t> </w:t>
            </w:r>
            <w:r>
              <w:rPr>
                <w:rFonts w:ascii="Times New Roman" w:hAnsi="Times New Roman"/>
                <w:sz w:val="18"/>
              </w:rPr>
              <w:t>приходи</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1.405.888</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1.228.130</w:t>
            </w:r>
          </w:p>
        </w:tc>
      </w:tr>
      <w:tr>
        <w:trPr>
          <w:trHeight w:val="216"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27"/>
              <w:jc w:val="left"/>
              <w:rPr>
                <w:rFonts w:ascii="Times New Roman" w:hAnsi="Times New Roman" w:cs="Times New Roman" w:eastAsia="Times New Roman" w:hint="default"/>
                <w:sz w:val="18"/>
                <w:szCs w:val="18"/>
              </w:rPr>
            </w:pPr>
            <w:r>
              <w:rPr>
                <w:rFonts w:ascii="Times New Roman"/>
                <w:sz w:val="18"/>
              </w:rPr>
              <w:t>2094</w:t>
            </w:r>
          </w:p>
        </w:tc>
        <w:tc>
          <w:tcPr>
            <w:tcW w:w="92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213"/>
              <w:jc w:val="left"/>
              <w:rPr>
                <w:rFonts w:ascii="Times New Roman" w:hAnsi="Times New Roman" w:cs="Times New Roman" w:eastAsia="Times New Roman" w:hint="default"/>
                <w:sz w:val="18"/>
                <w:szCs w:val="18"/>
              </w:rPr>
            </w:pPr>
            <w:r>
              <w:rPr>
                <w:rFonts w:ascii="Times New Roman"/>
                <w:sz w:val="18"/>
              </w:rPr>
              <w:t>770000</w:t>
            </w: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68" w:right="810"/>
              <w:jc w:val="left"/>
              <w:rPr>
                <w:rFonts w:ascii="Times New Roman" w:hAnsi="Times New Roman" w:cs="Times New Roman" w:eastAsia="Times New Roman" w:hint="default"/>
                <w:sz w:val="18"/>
                <w:szCs w:val="18"/>
              </w:rPr>
            </w:pPr>
            <w:r>
              <w:rPr>
                <w:rFonts w:ascii="Times New Roman" w:hAnsi="Times New Roman"/>
                <w:sz w:val="18"/>
              </w:rPr>
              <w:t>Меморандумске ставке за рефундацију</w:t>
            </w:r>
            <w:r>
              <w:rPr>
                <w:rFonts w:ascii="Times New Roman" w:hAnsi="Times New Roman"/>
                <w:spacing w:val="-18"/>
                <w:sz w:val="18"/>
              </w:rPr>
              <w:t> </w:t>
            </w:r>
            <w:r>
              <w:rPr>
                <w:rFonts w:ascii="Times New Roman" w:hAnsi="Times New Roman"/>
                <w:sz w:val="18"/>
              </w:rPr>
              <w:t>расхода</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32.275</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5.220</w:t>
            </w:r>
          </w:p>
        </w:tc>
      </w:tr>
      <w:tr>
        <w:trPr>
          <w:trHeight w:val="218"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27"/>
              <w:jc w:val="left"/>
              <w:rPr>
                <w:rFonts w:ascii="Times New Roman" w:hAnsi="Times New Roman" w:cs="Times New Roman" w:eastAsia="Times New Roman" w:hint="default"/>
                <w:sz w:val="18"/>
                <w:szCs w:val="18"/>
              </w:rPr>
            </w:pPr>
            <w:r>
              <w:rPr>
                <w:rFonts w:ascii="Times New Roman"/>
                <w:sz w:val="18"/>
              </w:rPr>
              <w:t>2099</w:t>
            </w:r>
          </w:p>
        </w:tc>
        <w:tc>
          <w:tcPr>
            <w:tcW w:w="92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213"/>
              <w:jc w:val="left"/>
              <w:rPr>
                <w:rFonts w:ascii="Times New Roman" w:hAnsi="Times New Roman" w:cs="Times New Roman" w:eastAsia="Times New Roman" w:hint="default"/>
                <w:sz w:val="18"/>
                <w:szCs w:val="18"/>
              </w:rPr>
            </w:pPr>
            <w:r>
              <w:rPr>
                <w:rFonts w:ascii="Times New Roman"/>
                <w:sz w:val="18"/>
              </w:rPr>
              <w:t>780000</w:t>
            </w: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68" w:right="173"/>
              <w:jc w:val="left"/>
              <w:rPr>
                <w:rFonts w:ascii="Times New Roman" w:hAnsi="Times New Roman" w:cs="Times New Roman" w:eastAsia="Times New Roman" w:hint="default"/>
                <w:sz w:val="18"/>
                <w:szCs w:val="18"/>
              </w:rPr>
            </w:pPr>
            <w:r>
              <w:rPr>
                <w:rFonts w:ascii="Times New Roman" w:hAnsi="Times New Roman"/>
                <w:sz w:val="18"/>
              </w:rPr>
              <w:t>Трансфери између буџетских корисника на истом</w:t>
            </w:r>
            <w:r>
              <w:rPr>
                <w:rFonts w:ascii="Times New Roman" w:hAnsi="Times New Roman"/>
                <w:spacing w:val="-19"/>
                <w:sz w:val="18"/>
              </w:rPr>
              <w:t> </w:t>
            </w:r>
            <w:r>
              <w:rPr>
                <w:rFonts w:ascii="Times New Roman" w:hAnsi="Times New Roman"/>
                <w:sz w:val="18"/>
              </w:rPr>
              <w:t>нивоу</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9.698</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10.013</w:t>
            </w:r>
          </w:p>
        </w:tc>
      </w:tr>
      <w:tr>
        <w:trPr>
          <w:trHeight w:val="216"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27"/>
              <w:jc w:val="left"/>
              <w:rPr>
                <w:rFonts w:ascii="Times New Roman" w:hAnsi="Times New Roman" w:cs="Times New Roman" w:eastAsia="Times New Roman" w:hint="default"/>
                <w:sz w:val="18"/>
                <w:szCs w:val="18"/>
              </w:rPr>
            </w:pPr>
            <w:r>
              <w:rPr>
                <w:rFonts w:ascii="Times New Roman"/>
                <w:sz w:val="18"/>
              </w:rPr>
              <w:t>2103</w:t>
            </w:r>
          </w:p>
        </w:tc>
        <w:tc>
          <w:tcPr>
            <w:tcW w:w="92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213"/>
              <w:jc w:val="left"/>
              <w:rPr>
                <w:rFonts w:ascii="Times New Roman" w:hAnsi="Times New Roman" w:cs="Times New Roman" w:eastAsia="Times New Roman" w:hint="default"/>
                <w:sz w:val="18"/>
                <w:szCs w:val="18"/>
              </w:rPr>
            </w:pPr>
            <w:r>
              <w:rPr>
                <w:rFonts w:ascii="Times New Roman"/>
                <w:sz w:val="18"/>
              </w:rPr>
              <w:t>790000</w:t>
            </w: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68" w:right="810"/>
              <w:jc w:val="left"/>
              <w:rPr>
                <w:rFonts w:ascii="Times New Roman" w:hAnsi="Times New Roman" w:cs="Times New Roman" w:eastAsia="Times New Roman" w:hint="default"/>
                <w:sz w:val="18"/>
                <w:szCs w:val="18"/>
              </w:rPr>
            </w:pPr>
            <w:r>
              <w:rPr>
                <w:rFonts w:ascii="Times New Roman" w:hAnsi="Times New Roman"/>
                <w:sz w:val="18"/>
              </w:rPr>
              <w:t>Приходи из</w:t>
            </w:r>
            <w:r>
              <w:rPr>
                <w:rFonts w:ascii="Times New Roman" w:hAnsi="Times New Roman"/>
                <w:spacing w:val="-6"/>
                <w:sz w:val="18"/>
              </w:rPr>
              <w:t> </w:t>
            </w:r>
            <w:r>
              <w:rPr>
                <w:rFonts w:ascii="Times New Roman" w:hAnsi="Times New Roman"/>
                <w:sz w:val="18"/>
              </w:rPr>
              <w:t>буџета</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74.020</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51.306</w:t>
            </w:r>
          </w:p>
        </w:tc>
      </w:tr>
      <w:tr>
        <w:trPr>
          <w:trHeight w:val="218"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127"/>
              <w:jc w:val="left"/>
              <w:rPr>
                <w:rFonts w:ascii="Times New Roman" w:hAnsi="Times New Roman" w:cs="Times New Roman" w:eastAsia="Times New Roman" w:hint="default"/>
                <w:sz w:val="18"/>
                <w:szCs w:val="18"/>
              </w:rPr>
            </w:pPr>
            <w:r>
              <w:rPr>
                <w:rFonts w:ascii="Times New Roman"/>
                <w:b/>
                <w:sz w:val="18"/>
              </w:rPr>
              <w:t>2106</w:t>
            </w:r>
            <w:r>
              <w:rPr>
                <w:rFonts w:ascii="Times New Roman"/>
                <w:sz w:val="18"/>
              </w:rPr>
            </w:r>
          </w:p>
        </w:tc>
        <w:tc>
          <w:tcPr>
            <w:tcW w:w="9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213"/>
              <w:jc w:val="left"/>
              <w:rPr>
                <w:rFonts w:ascii="Times New Roman" w:hAnsi="Times New Roman" w:cs="Times New Roman" w:eastAsia="Times New Roman" w:hint="default"/>
                <w:sz w:val="18"/>
                <w:szCs w:val="18"/>
              </w:rPr>
            </w:pPr>
            <w:r>
              <w:rPr>
                <w:rFonts w:ascii="Times New Roman"/>
                <w:b/>
                <w:sz w:val="18"/>
              </w:rPr>
              <w:t>800000</w:t>
            </w:r>
            <w:r>
              <w:rPr>
                <w:rFonts w:ascii="Times New Roman"/>
                <w:sz w:val="18"/>
              </w:rPr>
            </w: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68" w:right="810"/>
              <w:jc w:val="left"/>
              <w:rPr>
                <w:rFonts w:ascii="Times New Roman" w:hAnsi="Times New Roman" w:cs="Times New Roman" w:eastAsia="Times New Roman" w:hint="default"/>
                <w:sz w:val="18"/>
                <w:szCs w:val="18"/>
              </w:rPr>
            </w:pPr>
            <w:r>
              <w:rPr>
                <w:rFonts w:ascii="Times New Roman" w:hAnsi="Times New Roman"/>
                <w:b/>
                <w:sz w:val="18"/>
              </w:rPr>
              <w:t>Примања од продаје нефинансијске</w:t>
            </w:r>
            <w:r>
              <w:rPr>
                <w:rFonts w:ascii="Times New Roman" w:hAnsi="Times New Roman"/>
                <w:b/>
                <w:spacing w:val="-16"/>
                <w:sz w:val="18"/>
              </w:rPr>
              <w:t> </w:t>
            </w:r>
            <w:r>
              <w:rPr>
                <w:rFonts w:ascii="Times New Roman" w:hAnsi="Times New Roman"/>
                <w:b/>
                <w:sz w:val="18"/>
              </w:rPr>
              <w:t>имовине</w:t>
            </w:r>
            <w:r>
              <w:rPr>
                <w:rFonts w:ascii="Times New Roman" w:hAnsi="Times New Roman"/>
                <w:sz w:val="18"/>
              </w:rPr>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234.319</w:t>
            </w:r>
            <w:r>
              <w:rPr>
                <w:rFonts w:ascii="Times New Roman"/>
                <w:spacing w:val="-1"/>
                <w:sz w:val="18"/>
              </w:rPr>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121.285</w:t>
            </w:r>
            <w:r>
              <w:rPr>
                <w:rFonts w:ascii="Times New Roman"/>
                <w:spacing w:val="-1"/>
                <w:sz w:val="18"/>
              </w:rPr>
            </w:r>
          </w:p>
        </w:tc>
      </w:tr>
      <w:tr>
        <w:trPr>
          <w:trHeight w:val="216"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27"/>
              <w:jc w:val="left"/>
              <w:rPr>
                <w:rFonts w:ascii="Times New Roman" w:hAnsi="Times New Roman" w:cs="Times New Roman" w:eastAsia="Times New Roman" w:hint="default"/>
                <w:sz w:val="18"/>
                <w:szCs w:val="18"/>
              </w:rPr>
            </w:pPr>
            <w:r>
              <w:rPr>
                <w:rFonts w:ascii="Times New Roman"/>
                <w:sz w:val="18"/>
              </w:rPr>
              <w:t>2107</w:t>
            </w:r>
          </w:p>
        </w:tc>
        <w:tc>
          <w:tcPr>
            <w:tcW w:w="92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213"/>
              <w:jc w:val="left"/>
              <w:rPr>
                <w:rFonts w:ascii="Times New Roman" w:hAnsi="Times New Roman" w:cs="Times New Roman" w:eastAsia="Times New Roman" w:hint="default"/>
                <w:sz w:val="18"/>
                <w:szCs w:val="18"/>
              </w:rPr>
            </w:pPr>
            <w:r>
              <w:rPr>
                <w:rFonts w:ascii="Times New Roman"/>
                <w:sz w:val="18"/>
              </w:rPr>
              <w:t>810000</w:t>
            </w: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68" w:right="810"/>
              <w:jc w:val="left"/>
              <w:rPr>
                <w:rFonts w:ascii="Times New Roman" w:hAnsi="Times New Roman" w:cs="Times New Roman" w:eastAsia="Times New Roman" w:hint="default"/>
                <w:sz w:val="18"/>
                <w:szCs w:val="18"/>
              </w:rPr>
            </w:pPr>
            <w:r>
              <w:rPr>
                <w:rFonts w:ascii="Times New Roman" w:hAnsi="Times New Roman"/>
                <w:sz w:val="18"/>
              </w:rPr>
              <w:t>Примања од продаје основних</w:t>
            </w:r>
            <w:r>
              <w:rPr>
                <w:rFonts w:ascii="Times New Roman" w:hAnsi="Times New Roman"/>
                <w:spacing w:val="-12"/>
                <w:sz w:val="18"/>
              </w:rPr>
              <w:t> </w:t>
            </w:r>
            <w:r>
              <w:rPr>
                <w:rFonts w:ascii="Times New Roman" w:hAnsi="Times New Roman"/>
                <w:sz w:val="18"/>
              </w:rPr>
              <w:t>средстава</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19.240</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11.048</w:t>
            </w:r>
          </w:p>
        </w:tc>
      </w:tr>
      <w:tr>
        <w:trPr>
          <w:trHeight w:val="216"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27"/>
              <w:jc w:val="left"/>
              <w:rPr>
                <w:rFonts w:ascii="Times New Roman" w:hAnsi="Times New Roman" w:cs="Times New Roman" w:eastAsia="Times New Roman" w:hint="default"/>
                <w:sz w:val="18"/>
                <w:szCs w:val="18"/>
              </w:rPr>
            </w:pPr>
            <w:r>
              <w:rPr>
                <w:rFonts w:ascii="Times New Roman"/>
                <w:sz w:val="18"/>
              </w:rPr>
              <w:t>2114</w:t>
            </w:r>
          </w:p>
        </w:tc>
        <w:tc>
          <w:tcPr>
            <w:tcW w:w="92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213"/>
              <w:jc w:val="left"/>
              <w:rPr>
                <w:rFonts w:ascii="Times New Roman" w:hAnsi="Times New Roman" w:cs="Times New Roman" w:eastAsia="Times New Roman" w:hint="default"/>
                <w:sz w:val="18"/>
                <w:szCs w:val="18"/>
              </w:rPr>
            </w:pPr>
            <w:r>
              <w:rPr>
                <w:rFonts w:ascii="Times New Roman"/>
                <w:sz w:val="18"/>
              </w:rPr>
              <w:t>820000</w:t>
            </w: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68" w:right="810"/>
              <w:jc w:val="left"/>
              <w:rPr>
                <w:rFonts w:ascii="Times New Roman" w:hAnsi="Times New Roman" w:cs="Times New Roman" w:eastAsia="Times New Roman" w:hint="default"/>
                <w:sz w:val="18"/>
                <w:szCs w:val="18"/>
              </w:rPr>
            </w:pPr>
            <w:r>
              <w:rPr>
                <w:rFonts w:ascii="Times New Roman" w:hAnsi="Times New Roman"/>
                <w:sz w:val="18"/>
              </w:rPr>
              <w:t>Примања од продаје</w:t>
            </w:r>
            <w:r>
              <w:rPr>
                <w:rFonts w:ascii="Times New Roman" w:hAnsi="Times New Roman"/>
                <w:spacing w:val="-9"/>
                <w:sz w:val="18"/>
              </w:rPr>
              <w:t> </w:t>
            </w:r>
            <w:r>
              <w:rPr>
                <w:rFonts w:ascii="Times New Roman" w:hAnsi="Times New Roman"/>
                <w:sz w:val="18"/>
              </w:rPr>
              <w:t>залиха</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215.079</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110.237</w:t>
            </w:r>
          </w:p>
        </w:tc>
      </w:tr>
      <w:tr>
        <w:trPr>
          <w:trHeight w:val="425"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127"/>
              <w:jc w:val="left"/>
              <w:rPr>
                <w:rFonts w:ascii="Times New Roman" w:hAnsi="Times New Roman" w:cs="Times New Roman" w:eastAsia="Times New Roman" w:hint="default"/>
                <w:sz w:val="18"/>
                <w:szCs w:val="18"/>
              </w:rPr>
            </w:pPr>
            <w:r>
              <w:rPr>
                <w:rFonts w:ascii="Times New Roman"/>
                <w:b/>
                <w:sz w:val="18"/>
              </w:rPr>
              <w:t>2131</w:t>
            </w:r>
            <w:r>
              <w:rPr>
                <w:rFonts w:ascii="Times New Roman"/>
                <w:sz w:val="18"/>
              </w:rPr>
            </w:r>
          </w:p>
        </w:tc>
        <w:tc>
          <w:tcPr>
            <w:tcW w:w="9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213"/>
              <w:jc w:val="left"/>
              <w:rPr>
                <w:rFonts w:ascii="Times New Roman" w:hAnsi="Times New Roman" w:cs="Times New Roman" w:eastAsia="Times New Roman" w:hint="default"/>
                <w:sz w:val="18"/>
                <w:szCs w:val="18"/>
              </w:rPr>
            </w:pPr>
            <w:r>
              <w:rPr>
                <w:rFonts w:ascii="Times New Roman"/>
                <w:b/>
                <w:sz w:val="18"/>
              </w:rPr>
              <w:t>400000</w:t>
            </w:r>
            <w:r>
              <w:rPr>
                <w:rFonts w:ascii="Times New Roman"/>
                <w:sz w:val="18"/>
              </w:rPr>
            </w:r>
          </w:p>
          <w:p>
            <w:pPr>
              <w:pStyle w:val="TableParagraph"/>
              <w:spacing w:line="240" w:lineRule="auto" w:before="2"/>
              <w:ind w:left="103" w:right="0"/>
              <w:jc w:val="left"/>
              <w:rPr>
                <w:rFonts w:ascii="Times New Roman" w:hAnsi="Times New Roman" w:cs="Times New Roman" w:eastAsia="Times New Roman" w:hint="default"/>
                <w:sz w:val="18"/>
                <w:szCs w:val="18"/>
              </w:rPr>
            </w:pPr>
            <w:r>
              <w:rPr>
                <w:rFonts w:ascii="Times New Roman"/>
                <w:b/>
                <w:sz w:val="18"/>
              </w:rPr>
              <w:t>+500000</w:t>
            </w:r>
            <w:r>
              <w:rPr>
                <w:rFonts w:ascii="Times New Roman"/>
                <w:sz w:val="18"/>
              </w:rPr>
            </w: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173" w:firstLine="64"/>
              <w:jc w:val="left"/>
              <w:rPr>
                <w:rFonts w:ascii="Times New Roman" w:hAnsi="Times New Roman" w:cs="Times New Roman" w:eastAsia="Times New Roman" w:hint="default"/>
                <w:sz w:val="18"/>
                <w:szCs w:val="18"/>
              </w:rPr>
            </w:pPr>
            <w:r>
              <w:rPr>
                <w:rFonts w:ascii="Times New Roman" w:hAnsi="Times New Roman"/>
                <w:b/>
                <w:sz w:val="18"/>
              </w:rPr>
              <w:t>ТЕКУЋИ РАСХОДИ И ИЗДАЦИ ЗА НЕФИНАНСИЈСКУ ИМОВИНУ</w:t>
            </w:r>
            <w:r>
              <w:rPr>
                <w:rFonts w:ascii="Times New Roman" w:hAnsi="Times New Roman"/>
                <w:sz w:val="18"/>
              </w:rPr>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7.396.566</w:t>
            </w:r>
            <w:r>
              <w:rPr>
                <w:rFonts w:ascii="Times New Roman"/>
                <w:spacing w:val="-1"/>
                <w:sz w:val="18"/>
              </w:rPr>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6.939.995</w:t>
            </w:r>
            <w:r>
              <w:rPr>
                <w:rFonts w:ascii="Times New Roman"/>
                <w:spacing w:val="-1"/>
                <w:sz w:val="18"/>
              </w:rPr>
            </w:r>
          </w:p>
        </w:tc>
      </w:tr>
      <w:tr>
        <w:trPr>
          <w:trHeight w:val="216"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127"/>
              <w:jc w:val="left"/>
              <w:rPr>
                <w:rFonts w:ascii="Times New Roman" w:hAnsi="Times New Roman" w:cs="Times New Roman" w:eastAsia="Times New Roman" w:hint="default"/>
                <w:sz w:val="18"/>
                <w:szCs w:val="18"/>
              </w:rPr>
            </w:pPr>
            <w:r>
              <w:rPr>
                <w:rFonts w:ascii="Times New Roman"/>
                <w:b/>
                <w:sz w:val="18"/>
              </w:rPr>
              <w:t>2132</w:t>
            </w:r>
            <w:r>
              <w:rPr>
                <w:rFonts w:ascii="Times New Roman"/>
                <w:sz w:val="18"/>
              </w:rPr>
            </w:r>
          </w:p>
        </w:tc>
        <w:tc>
          <w:tcPr>
            <w:tcW w:w="9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213"/>
              <w:jc w:val="left"/>
              <w:rPr>
                <w:rFonts w:ascii="Times New Roman" w:hAnsi="Times New Roman" w:cs="Times New Roman" w:eastAsia="Times New Roman" w:hint="default"/>
                <w:sz w:val="18"/>
                <w:szCs w:val="18"/>
              </w:rPr>
            </w:pPr>
            <w:r>
              <w:rPr>
                <w:rFonts w:ascii="Times New Roman"/>
                <w:b/>
                <w:sz w:val="18"/>
              </w:rPr>
              <w:t>400000</w:t>
            </w:r>
            <w:r>
              <w:rPr>
                <w:rFonts w:ascii="Times New Roman"/>
                <w:sz w:val="18"/>
              </w:rPr>
            </w: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68" w:right="810"/>
              <w:jc w:val="left"/>
              <w:rPr>
                <w:rFonts w:ascii="Times New Roman" w:hAnsi="Times New Roman" w:cs="Times New Roman" w:eastAsia="Times New Roman" w:hint="default"/>
                <w:sz w:val="18"/>
                <w:szCs w:val="18"/>
              </w:rPr>
            </w:pPr>
            <w:r>
              <w:rPr>
                <w:rFonts w:ascii="Times New Roman" w:hAnsi="Times New Roman"/>
                <w:b/>
                <w:sz w:val="18"/>
              </w:rPr>
              <w:t>Текући</w:t>
            </w:r>
            <w:r>
              <w:rPr>
                <w:rFonts w:ascii="Times New Roman" w:hAnsi="Times New Roman"/>
                <w:b/>
                <w:spacing w:val="-6"/>
                <w:sz w:val="18"/>
              </w:rPr>
              <w:t> </w:t>
            </w:r>
            <w:r>
              <w:rPr>
                <w:rFonts w:ascii="Times New Roman" w:hAnsi="Times New Roman"/>
                <w:b/>
                <w:sz w:val="18"/>
              </w:rPr>
              <w:t>расходи</w:t>
            </w:r>
            <w:r>
              <w:rPr>
                <w:rFonts w:ascii="Times New Roman" w:hAnsi="Times New Roman"/>
                <w:sz w:val="18"/>
              </w:rPr>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5.967.446</w:t>
            </w:r>
            <w:r>
              <w:rPr>
                <w:rFonts w:ascii="Times New Roman"/>
                <w:spacing w:val="-1"/>
                <w:sz w:val="18"/>
              </w:rPr>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6.206.812</w:t>
            </w:r>
            <w:r>
              <w:rPr>
                <w:rFonts w:ascii="Times New Roman"/>
                <w:spacing w:val="-1"/>
                <w:sz w:val="18"/>
              </w:rPr>
            </w:r>
          </w:p>
        </w:tc>
      </w:tr>
      <w:tr>
        <w:trPr>
          <w:trHeight w:val="219"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127"/>
              <w:jc w:val="left"/>
              <w:rPr>
                <w:rFonts w:ascii="Times New Roman" w:hAnsi="Times New Roman" w:cs="Times New Roman" w:eastAsia="Times New Roman" w:hint="default"/>
                <w:sz w:val="18"/>
                <w:szCs w:val="18"/>
              </w:rPr>
            </w:pPr>
            <w:r>
              <w:rPr>
                <w:rFonts w:ascii="Times New Roman"/>
                <w:sz w:val="18"/>
              </w:rPr>
              <w:t>2133</w:t>
            </w:r>
          </w:p>
        </w:tc>
        <w:tc>
          <w:tcPr>
            <w:tcW w:w="929"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213"/>
              <w:jc w:val="left"/>
              <w:rPr>
                <w:rFonts w:ascii="Times New Roman" w:hAnsi="Times New Roman" w:cs="Times New Roman" w:eastAsia="Times New Roman" w:hint="default"/>
                <w:sz w:val="18"/>
                <w:szCs w:val="18"/>
              </w:rPr>
            </w:pPr>
            <w:r>
              <w:rPr>
                <w:rFonts w:ascii="Times New Roman"/>
                <w:sz w:val="18"/>
              </w:rPr>
              <w:t>410000</w:t>
            </w: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68" w:right="810"/>
              <w:jc w:val="left"/>
              <w:rPr>
                <w:rFonts w:ascii="Times New Roman" w:hAnsi="Times New Roman" w:cs="Times New Roman" w:eastAsia="Times New Roman" w:hint="default"/>
                <w:sz w:val="18"/>
                <w:szCs w:val="18"/>
              </w:rPr>
            </w:pPr>
            <w:r>
              <w:rPr>
                <w:rFonts w:ascii="Times New Roman" w:hAnsi="Times New Roman"/>
                <w:sz w:val="18"/>
              </w:rPr>
              <w:t>Расходи за</w:t>
            </w:r>
            <w:r>
              <w:rPr>
                <w:rFonts w:ascii="Times New Roman" w:hAnsi="Times New Roman"/>
                <w:spacing w:val="-8"/>
                <w:sz w:val="18"/>
              </w:rPr>
              <w:t> </w:t>
            </w:r>
            <w:r>
              <w:rPr>
                <w:rFonts w:ascii="Times New Roman" w:hAnsi="Times New Roman"/>
                <w:sz w:val="18"/>
              </w:rPr>
              <w:t>запослене</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2.153.881</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2.268.660</w:t>
            </w:r>
          </w:p>
        </w:tc>
      </w:tr>
      <w:tr>
        <w:trPr>
          <w:trHeight w:val="216"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27"/>
              <w:jc w:val="left"/>
              <w:rPr>
                <w:rFonts w:ascii="Times New Roman" w:hAnsi="Times New Roman" w:cs="Times New Roman" w:eastAsia="Times New Roman" w:hint="default"/>
                <w:sz w:val="18"/>
                <w:szCs w:val="18"/>
              </w:rPr>
            </w:pPr>
            <w:r>
              <w:rPr>
                <w:rFonts w:ascii="Times New Roman"/>
                <w:sz w:val="18"/>
              </w:rPr>
              <w:t>2155</w:t>
            </w:r>
          </w:p>
        </w:tc>
        <w:tc>
          <w:tcPr>
            <w:tcW w:w="92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213"/>
              <w:jc w:val="left"/>
              <w:rPr>
                <w:rFonts w:ascii="Times New Roman" w:hAnsi="Times New Roman" w:cs="Times New Roman" w:eastAsia="Times New Roman" w:hint="default"/>
                <w:sz w:val="18"/>
                <w:szCs w:val="18"/>
              </w:rPr>
            </w:pPr>
            <w:r>
              <w:rPr>
                <w:rFonts w:ascii="Times New Roman"/>
                <w:sz w:val="18"/>
              </w:rPr>
              <w:t>420000</w:t>
            </w: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68" w:right="810"/>
              <w:jc w:val="left"/>
              <w:rPr>
                <w:rFonts w:ascii="Times New Roman" w:hAnsi="Times New Roman" w:cs="Times New Roman" w:eastAsia="Times New Roman" w:hint="default"/>
                <w:sz w:val="18"/>
                <w:szCs w:val="18"/>
              </w:rPr>
            </w:pPr>
            <w:r>
              <w:rPr>
                <w:rFonts w:ascii="Times New Roman" w:hAnsi="Times New Roman"/>
                <w:sz w:val="18"/>
              </w:rPr>
              <w:t>Коришћење роба и</w:t>
            </w:r>
            <w:r>
              <w:rPr>
                <w:rFonts w:ascii="Times New Roman" w:hAnsi="Times New Roman"/>
                <w:spacing w:val="-8"/>
                <w:sz w:val="18"/>
              </w:rPr>
              <w:t> </w:t>
            </w:r>
            <w:r>
              <w:rPr>
                <w:rFonts w:ascii="Times New Roman" w:hAnsi="Times New Roman"/>
                <w:sz w:val="18"/>
              </w:rPr>
              <w:t>услуга</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1.906.930</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2.040.748</w:t>
            </w:r>
          </w:p>
        </w:tc>
      </w:tr>
      <w:tr>
        <w:trPr>
          <w:trHeight w:val="218"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27"/>
              <w:jc w:val="left"/>
              <w:rPr>
                <w:rFonts w:ascii="Times New Roman" w:hAnsi="Times New Roman" w:cs="Times New Roman" w:eastAsia="Times New Roman" w:hint="default"/>
                <w:sz w:val="18"/>
                <w:szCs w:val="18"/>
              </w:rPr>
            </w:pPr>
            <w:r>
              <w:rPr>
                <w:rFonts w:ascii="Times New Roman"/>
                <w:sz w:val="18"/>
              </w:rPr>
              <w:t>2200</w:t>
            </w:r>
          </w:p>
        </w:tc>
        <w:tc>
          <w:tcPr>
            <w:tcW w:w="92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213"/>
              <w:jc w:val="left"/>
              <w:rPr>
                <w:rFonts w:ascii="Times New Roman" w:hAnsi="Times New Roman" w:cs="Times New Roman" w:eastAsia="Times New Roman" w:hint="default"/>
                <w:sz w:val="18"/>
                <w:szCs w:val="18"/>
              </w:rPr>
            </w:pPr>
            <w:r>
              <w:rPr>
                <w:rFonts w:ascii="Times New Roman"/>
                <w:sz w:val="18"/>
              </w:rPr>
              <w:t>430000</w:t>
            </w: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68" w:right="810"/>
              <w:jc w:val="left"/>
              <w:rPr>
                <w:rFonts w:ascii="Times New Roman" w:hAnsi="Times New Roman" w:cs="Times New Roman" w:eastAsia="Times New Roman" w:hint="default"/>
                <w:sz w:val="18"/>
                <w:szCs w:val="18"/>
              </w:rPr>
            </w:pPr>
            <w:r>
              <w:rPr>
                <w:rFonts w:ascii="Times New Roman" w:hAnsi="Times New Roman"/>
                <w:sz w:val="18"/>
              </w:rPr>
              <w:t>Амортизација и употреба средстава за</w:t>
            </w:r>
            <w:r>
              <w:rPr>
                <w:rFonts w:ascii="Times New Roman" w:hAnsi="Times New Roman"/>
                <w:spacing w:val="-11"/>
                <w:sz w:val="18"/>
              </w:rPr>
              <w:t> </w:t>
            </w:r>
            <w:r>
              <w:rPr>
                <w:rFonts w:ascii="Times New Roman" w:hAnsi="Times New Roman"/>
                <w:sz w:val="18"/>
              </w:rPr>
              <w:t>рад</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1.383</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361</w:t>
            </w:r>
          </w:p>
        </w:tc>
      </w:tr>
      <w:tr>
        <w:trPr>
          <w:trHeight w:val="216"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27"/>
              <w:jc w:val="left"/>
              <w:rPr>
                <w:rFonts w:ascii="Times New Roman" w:hAnsi="Times New Roman" w:cs="Times New Roman" w:eastAsia="Times New Roman" w:hint="default"/>
                <w:sz w:val="18"/>
                <w:szCs w:val="18"/>
              </w:rPr>
            </w:pPr>
            <w:r>
              <w:rPr>
                <w:rFonts w:ascii="Times New Roman"/>
                <w:sz w:val="18"/>
              </w:rPr>
              <w:t>2215</w:t>
            </w:r>
          </w:p>
        </w:tc>
        <w:tc>
          <w:tcPr>
            <w:tcW w:w="92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213"/>
              <w:jc w:val="left"/>
              <w:rPr>
                <w:rFonts w:ascii="Times New Roman" w:hAnsi="Times New Roman" w:cs="Times New Roman" w:eastAsia="Times New Roman" w:hint="default"/>
                <w:sz w:val="18"/>
                <w:szCs w:val="18"/>
              </w:rPr>
            </w:pPr>
            <w:r>
              <w:rPr>
                <w:rFonts w:ascii="Times New Roman"/>
                <w:sz w:val="18"/>
              </w:rPr>
              <w:t>440000</w:t>
            </w: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68" w:right="810"/>
              <w:jc w:val="left"/>
              <w:rPr>
                <w:rFonts w:ascii="Times New Roman" w:hAnsi="Times New Roman" w:cs="Times New Roman" w:eastAsia="Times New Roman" w:hint="default"/>
                <w:sz w:val="18"/>
                <w:szCs w:val="18"/>
              </w:rPr>
            </w:pPr>
            <w:r>
              <w:rPr>
                <w:rFonts w:ascii="Times New Roman" w:hAnsi="Times New Roman"/>
                <w:sz w:val="18"/>
              </w:rPr>
              <w:t>Отплата камата и пратећи трошкови</w:t>
            </w:r>
            <w:r>
              <w:rPr>
                <w:rFonts w:ascii="Times New Roman" w:hAnsi="Times New Roman"/>
                <w:spacing w:val="-12"/>
                <w:sz w:val="18"/>
              </w:rPr>
              <w:t> </w:t>
            </w:r>
            <w:r>
              <w:rPr>
                <w:rFonts w:ascii="Times New Roman" w:hAnsi="Times New Roman"/>
                <w:sz w:val="18"/>
              </w:rPr>
              <w:t>задуживања</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151.224</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150.629</w:t>
            </w:r>
          </w:p>
        </w:tc>
      </w:tr>
      <w:tr>
        <w:trPr>
          <w:trHeight w:val="216"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27"/>
              <w:jc w:val="left"/>
              <w:rPr>
                <w:rFonts w:ascii="Times New Roman" w:hAnsi="Times New Roman" w:cs="Times New Roman" w:eastAsia="Times New Roman" w:hint="default"/>
                <w:sz w:val="18"/>
                <w:szCs w:val="18"/>
              </w:rPr>
            </w:pPr>
            <w:r>
              <w:rPr>
                <w:rFonts w:ascii="Times New Roman"/>
                <w:sz w:val="18"/>
              </w:rPr>
              <w:t>2239</w:t>
            </w:r>
          </w:p>
        </w:tc>
        <w:tc>
          <w:tcPr>
            <w:tcW w:w="92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213"/>
              <w:jc w:val="left"/>
              <w:rPr>
                <w:rFonts w:ascii="Times New Roman" w:hAnsi="Times New Roman" w:cs="Times New Roman" w:eastAsia="Times New Roman" w:hint="default"/>
                <w:sz w:val="18"/>
                <w:szCs w:val="18"/>
              </w:rPr>
            </w:pPr>
            <w:r>
              <w:rPr>
                <w:rFonts w:ascii="Times New Roman"/>
                <w:sz w:val="18"/>
              </w:rPr>
              <w:t>450000</w:t>
            </w: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68" w:right="810"/>
              <w:jc w:val="left"/>
              <w:rPr>
                <w:rFonts w:ascii="Times New Roman" w:hAnsi="Times New Roman" w:cs="Times New Roman" w:eastAsia="Times New Roman" w:hint="default"/>
                <w:sz w:val="18"/>
                <w:szCs w:val="18"/>
              </w:rPr>
            </w:pPr>
            <w:r>
              <w:rPr>
                <w:rFonts w:ascii="Times New Roman" w:hAnsi="Times New Roman"/>
                <w:sz w:val="18"/>
              </w:rPr>
              <w:t>Субвенције</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405.048</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328.311</w:t>
            </w:r>
          </w:p>
        </w:tc>
      </w:tr>
      <w:tr>
        <w:trPr>
          <w:trHeight w:val="218"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127"/>
              <w:jc w:val="left"/>
              <w:rPr>
                <w:rFonts w:ascii="Times New Roman" w:hAnsi="Times New Roman" w:cs="Times New Roman" w:eastAsia="Times New Roman" w:hint="default"/>
                <w:sz w:val="18"/>
                <w:szCs w:val="18"/>
              </w:rPr>
            </w:pPr>
            <w:r>
              <w:rPr>
                <w:rFonts w:ascii="Times New Roman"/>
                <w:sz w:val="18"/>
              </w:rPr>
              <w:t>2252</w:t>
            </w:r>
          </w:p>
        </w:tc>
        <w:tc>
          <w:tcPr>
            <w:tcW w:w="929"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213"/>
              <w:jc w:val="left"/>
              <w:rPr>
                <w:rFonts w:ascii="Times New Roman" w:hAnsi="Times New Roman" w:cs="Times New Roman" w:eastAsia="Times New Roman" w:hint="default"/>
                <w:sz w:val="18"/>
                <w:szCs w:val="18"/>
              </w:rPr>
            </w:pPr>
            <w:r>
              <w:rPr>
                <w:rFonts w:ascii="Times New Roman"/>
                <w:sz w:val="18"/>
              </w:rPr>
              <w:t>460000</w:t>
            </w: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68" w:right="810"/>
              <w:jc w:val="left"/>
              <w:rPr>
                <w:rFonts w:ascii="Times New Roman" w:hAnsi="Times New Roman" w:cs="Times New Roman" w:eastAsia="Times New Roman" w:hint="default"/>
                <w:sz w:val="18"/>
                <w:szCs w:val="18"/>
              </w:rPr>
            </w:pPr>
            <w:r>
              <w:rPr>
                <w:rFonts w:ascii="Times New Roman" w:hAnsi="Times New Roman"/>
                <w:sz w:val="18"/>
              </w:rPr>
              <w:t>Донације, дотације и</w:t>
            </w:r>
            <w:r>
              <w:rPr>
                <w:rFonts w:ascii="Times New Roman" w:hAnsi="Times New Roman"/>
                <w:spacing w:val="-9"/>
                <w:sz w:val="18"/>
              </w:rPr>
              <w:t> </w:t>
            </w:r>
            <w:r>
              <w:rPr>
                <w:rFonts w:ascii="Times New Roman" w:hAnsi="Times New Roman"/>
                <w:sz w:val="18"/>
              </w:rPr>
              <w:t>трансфери</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730.631</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750.050</w:t>
            </w:r>
          </w:p>
        </w:tc>
      </w:tr>
      <w:tr>
        <w:trPr>
          <w:trHeight w:val="216"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27"/>
              <w:jc w:val="left"/>
              <w:rPr>
                <w:rFonts w:ascii="Times New Roman" w:hAnsi="Times New Roman" w:cs="Times New Roman" w:eastAsia="Times New Roman" w:hint="default"/>
                <w:sz w:val="18"/>
                <w:szCs w:val="18"/>
              </w:rPr>
            </w:pPr>
            <w:r>
              <w:rPr>
                <w:rFonts w:ascii="Times New Roman"/>
                <w:sz w:val="18"/>
              </w:rPr>
              <w:t>2268</w:t>
            </w:r>
          </w:p>
        </w:tc>
        <w:tc>
          <w:tcPr>
            <w:tcW w:w="92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213"/>
              <w:jc w:val="left"/>
              <w:rPr>
                <w:rFonts w:ascii="Times New Roman" w:hAnsi="Times New Roman" w:cs="Times New Roman" w:eastAsia="Times New Roman" w:hint="default"/>
                <w:sz w:val="18"/>
                <w:szCs w:val="18"/>
              </w:rPr>
            </w:pPr>
            <w:r>
              <w:rPr>
                <w:rFonts w:ascii="Times New Roman"/>
                <w:sz w:val="18"/>
              </w:rPr>
              <w:t>470000</w:t>
            </w: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68" w:right="810"/>
              <w:jc w:val="left"/>
              <w:rPr>
                <w:rFonts w:ascii="Times New Roman" w:hAnsi="Times New Roman" w:cs="Times New Roman" w:eastAsia="Times New Roman" w:hint="default"/>
                <w:sz w:val="18"/>
                <w:szCs w:val="18"/>
              </w:rPr>
            </w:pPr>
            <w:r>
              <w:rPr>
                <w:rFonts w:ascii="Times New Roman" w:hAnsi="Times New Roman"/>
                <w:sz w:val="18"/>
              </w:rPr>
              <w:t>Социјално осигурање и социјална</w:t>
            </w:r>
            <w:r>
              <w:rPr>
                <w:rFonts w:ascii="Times New Roman" w:hAnsi="Times New Roman"/>
                <w:spacing w:val="-8"/>
                <w:sz w:val="18"/>
              </w:rPr>
              <w:t> </w:t>
            </w:r>
            <w:r>
              <w:rPr>
                <w:rFonts w:ascii="Times New Roman" w:hAnsi="Times New Roman"/>
                <w:sz w:val="18"/>
              </w:rPr>
              <w:t>заштита</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275.939</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283.851</w:t>
            </w:r>
          </w:p>
        </w:tc>
      </w:tr>
      <w:tr>
        <w:trPr>
          <w:trHeight w:val="218"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27"/>
              <w:jc w:val="left"/>
              <w:rPr>
                <w:rFonts w:ascii="Times New Roman" w:hAnsi="Times New Roman" w:cs="Times New Roman" w:eastAsia="Times New Roman" w:hint="default"/>
                <w:sz w:val="18"/>
                <w:szCs w:val="18"/>
              </w:rPr>
            </w:pPr>
            <w:r>
              <w:rPr>
                <w:rFonts w:ascii="Times New Roman"/>
                <w:sz w:val="18"/>
              </w:rPr>
              <w:t>2283</w:t>
            </w:r>
          </w:p>
        </w:tc>
        <w:tc>
          <w:tcPr>
            <w:tcW w:w="92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213"/>
              <w:jc w:val="left"/>
              <w:rPr>
                <w:rFonts w:ascii="Times New Roman" w:hAnsi="Times New Roman" w:cs="Times New Roman" w:eastAsia="Times New Roman" w:hint="default"/>
                <w:sz w:val="18"/>
                <w:szCs w:val="18"/>
              </w:rPr>
            </w:pPr>
            <w:r>
              <w:rPr>
                <w:rFonts w:ascii="Times New Roman"/>
                <w:sz w:val="18"/>
              </w:rPr>
              <w:t>480000</w:t>
            </w: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68" w:right="810"/>
              <w:jc w:val="left"/>
              <w:rPr>
                <w:rFonts w:ascii="Times New Roman" w:hAnsi="Times New Roman" w:cs="Times New Roman" w:eastAsia="Times New Roman" w:hint="default"/>
                <w:sz w:val="18"/>
                <w:szCs w:val="18"/>
              </w:rPr>
            </w:pPr>
            <w:r>
              <w:rPr>
                <w:rFonts w:ascii="Times New Roman" w:hAnsi="Times New Roman"/>
                <w:sz w:val="18"/>
              </w:rPr>
              <w:t>Остали</w:t>
            </w:r>
            <w:r>
              <w:rPr>
                <w:rFonts w:ascii="Times New Roman" w:hAnsi="Times New Roman"/>
                <w:spacing w:val="-6"/>
                <w:sz w:val="18"/>
              </w:rPr>
              <w:t> </w:t>
            </w:r>
            <w:r>
              <w:rPr>
                <w:rFonts w:ascii="Times New Roman" w:hAnsi="Times New Roman"/>
                <w:sz w:val="18"/>
              </w:rPr>
              <w:t>расходи</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342.410</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384.202</w:t>
            </w:r>
          </w:p>
        </w:tc>
      </w:tr>
      <w:tr>
        <w:trPr>
          <w:trHeight w:val="216"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127"/>
              <w:jc w:val="left"/>
              <w:rPr>
                <w:rFonts w:ascii="Times New Roman" w:hAnsi="Times New Roman" w:cs="Times New Roman" w:eastAsia="Times New Roman" w:hint="default"/>
                <w:sz w:val="18"/>
                <w:szCs w:val="18"/>
              </w:rPr>
            </w:pPr>
            <w:r>
              <w:rPr>
                <w:rFonts w:ascii="Times New Roman"/>
                <w:b/>
                <w:sz w:val="18"/>
              </w:rPr>
              <w:t>2300</w:t>
            </w:r>
            <w:r>
              <w:rPr>
                <w:rFonts w:ascii="Times New Roman"/>
                <w:sz w:val="18"/>
              </w:rPr>
            </w:r>
          </w:p>
        </w:tc>
        <w:tc>
          <w:tcPr>
            <w:tcW w:w="9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213"/>
              <w:jc w:val="left"/>
              <w:rPr>
                <w:rFonts w:ascii="Times New Roman" w:hAnsi="Times New Roman" w:cs="Times New Roman" w:eastAsia="Times New Roman" w:hint="default"/>
                <w:sz w:val="18"/>
                <w:szCs w:val="18"/>
              </w:rPr>
            </w:pPr>
            <w:r>
              <w:rPr>
                <w:rFonts w:ascii="Times New Roman"/>
                <w:b/>
                <w:sz w:val="18"/>
              </w:rPr>
              <w:t>500000</w:t>
            </w:r>
            <w:r>
              <w:rPr>
                <w:rFonts w:ascii="Times New Roman"/>
                <w:sz w:val="18"/>
              </w:rPr>
            </w: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68" w:right="810"/>
              <w:jc w:val="left"/>
              <w:rPr>
                <w:rFonts w:ascii="Times New Roman" w:hAnsi="Times New Roman" w:cs="Times New Roman" w:eastAsia="Times New Roman" w:hint="default"/>
                <w:sz w:val="18"/>
                <w:szCs w:val="18"/>
              </w:rPr>
            </w:pPr>
            <w:r>
              <w:rPr>
                <w:rFonts w:ascii="Times New Roman" w:hAnsi="Times New Roman"/>
                <w:b/>
                <w:sz w:val="18"/>
              </w:rPr>
              <w:t>Издаци за нефинансијску</w:t>
            </w:r>
            <w:r>
              <w:rPr>
                <w:rFonts w:ascii="Times New Roman" w:hAnsi="Times New Roman"/>
                <w:b/>
                <w:spacing w:val="-9"/>
                <w:sz w:val="18"/>
              </w:rPr>
              <w:t> </w:t>
            </w:r>
            <w:r>
              <w:rPr>
                <w:rFonts w:ascii="Times New Roman" w:hAnsi="Times New Roman"/>
                <w:b/>
                <w:sz w:val="18"/>
              </w:rPr>
              <w:t>имовину</w:t>
            </w:r>
            <w:r>
              <w:rPr>
                <w:rFonts w:ascii="Times New Roman" w:hAnsi="Times New Roman"/>
                <w:sz w:val="18"/>
              </w:rPr>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1.429.120</w:t>
            </w:r>
            <w:r>
              <w:rPr>
                <w:rFonts w:ascii="Times New Roman"/>
                <w:spacing w:val="-1"/>
                <w:sz w:val="18"/>
              </w:rPr>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733.183</w:t>
            </w:r>
            <w:r>
              <w:rPr>
                <w:rFonts w:ascii="Times New Roman"/>
                <w:spacing w:val="-1"/>
                <w:sz w:val="18"/>
              </w:rPr>
            </w:r>
          </w:p>
        </w:tc>
      </w:tr>
      <w:tr>
        <w:trPr>
          <w:trHeight w:val="216"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27"/>
              <w:jc w:val="left"/>
              <w:rPr>
                <w:rFonts w:ascii="Times New Roman" w:hAnsi="Times New Roman" w:cs="Times New Roman" w:eastAsia="Times New Roman" w:hint="default"/>
                <w:sz w:val="18"/>
                <w:szCs w:val="18"/>
              </w:rPr>
            </w:pPr>
            <w:r>
              <w:rPr>
                <w:rFonts w:ascii="Times New Roman"/>
                <w:sz w:val="18"/>
              </w:rPr>
              <w:t>2301</w:t>
            </w:r>
          </w:p>
        </w:tc>
        <w:tc>
          <w:tcPr>
            <w:tcW w:w="92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213"/>
              <w:jc w:val="left"/>
              <w:rPr>
                <w:rFonts w:ascii="Times New Roman" w:hAnsi="Times New Roman" w:cs="Times New Roman" w:eastAsia="Times New Roman" w:hint="default"/>
                <w:sz w:val="18"/>
                <w:szCs w:val="18"/>
              </w:rPr>
            </w:pPr>
            <w:r>
              <w:rPr>
                <w:rFonts w:ascii="Times New Roman"/>
                <w:sz w:val="18"/>
              </w:rPr>
              <w:t>510000</w:t>
            </w: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68" w:right="810"/>
              <w:jc w:val="left"/>
              <w:rPr>
                <w:rFonts w:ascii="Times New Roman" w:hAnsi="Times New Roman" w:cs="Times New Roman" w:eastAsia="Times New Roman" w:hint="default"/>
                <w:sz w:val="18"/>
                <w:szCs w:val="18"/>
              </w:rPr>
            </w:pPr>
            <w:r>
              <w:rPr>
                <w:rFonts w:ascii="Times New Roman" w:hAnsi="Times New Roman"/>
                <w:sz w:val="18"/>
              </w:rPr>
              <w:t>Основна</w:t>
            </w:r>
            <w:r>
              <w:rPr>
                <w:rFonts w:ascii="Times New Roman" w:hAnsi="Times New Roman"/>
                <w:spacing w:val="-6"/>
                <w:sz w:val="18"/>
              </w:rPr>
              <w:t> </w:t>
            </w:r>
            <w:r>
              <w:rPr>
                <w:rFonts w:ascii="Times New Roman" w:hAnsi="Times New Roman"/>
                <w:sz w:val="18"/>
              </w:rPr>
              <w:t>средства</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1.237.715</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472.450</w:t>
            </w:r>
          </w:p>
        </w:tc>
      </w:tr>
      <w:tr>
        <w:trPr>
          <w:trHeight w:val="218"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127"/>
              <w:jc w:val="left"/>
              <w:rPr>
                <w:rFonts w:ascii="Times New Roman" w:hAnsi="Times New Roman" w:cs="Times New Roman" w:eastAsia="Times New Roman" w:hint="default"/>
                <w:sz w:val="18"/>
                <w:szCs w:val="18"/>
              </w:rPr>
            </w:pPr>
            <w:r>
              <w:rPr>
                <w:rFonts w:ascii="Times New Roman"/>
                <w:sz w:val="18"/>
              </w:rPr>
              <w:t>2323</w:t>
            </w:r>
          </w:p>
        </w:tc>
        <w:tc>
          <w:tcPr>
            <w:tcW w:w="929"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213"/>
              <w:jc w:val="left"/>
              <w:rPr>
                <w:rFonts w:ascii="Times New Roman" w:hAnsi="Times New Roman" w:cs="Times New Roman" w:eastAsia="Times New Roman" w:hint="default"/>
                <w:sz w:val="18"/>
                <w:szCs w:val="18"/>
              </w:rPr>
            </w:pPr>
            <w:r>
              <w:rPr>
                <w:rFonts w:ascii="Times New Roman"/>
                <w:sz w:val="18"/>
              </w:rPr>
              <w:t>520000</w:t>
            </w: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68" w:right="810"/>
              <w:jc w:val="left"/>
              <w:rPr>
                <w:rFonts w:ascii="Times New Roman" w:hAnsi="Times New Roman" w:cs="Times New Roman" w:eastAsia="Times New Roman" w:hint="default"/>
                <w:sz w:val="18"/>
                <w:szCs w:val="18"/>
              </w:rPr>
            </w:pPr>
            <w:r>
              <w:rPr>
                <w:rFonts w:ascii="Times New Roman" w:hAnsi="Times New Roman"/>
                <w:sz w:val="18"/>
              </w:rPr>
              <w:t>Залихе</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61.275</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83.229</w:t>
            </w:r>
          </w:p>
        </w:tc>
      </w:tr>
      <w:tr>
        <w:trPr>
          <w:trHeight w:val="216"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27"/>
              <w:jc w:val="left"/>
              <w:rPr>
                <w:rFonts w:ascii="Times New Roman" w:hAnsi="Times New Roman" w:cs="Times New Roman" w:eastAsia="Times New Roman" w:hint="default"/>
                <w:sz w:val="18"/>
                <w:szCs w:val="18"/>
              </w:rPr>
            </w:pPr>
            <w:r>
              <w:rPr>
                <w:rFonts w:ascii="Times New Roman"/>
                <w:sz w:val="18"/>
              </w:rPr>
              <w:t>2335</w:t>
            </w:r>
          </w:p>
        </w:tc>
        <w:tc>
          <w:tcPr>
            <w:tcW w:w="92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213"/>
              <w:jc w:val="left"/>
              <w:rPr>
                <w:rFonts w:ascii="Times New Roman" w:hAnsi="Times New Roman" w:cs="Times New Roman" w:eastAsia="Times New Roman" w:hint="default"/>
                <w:sz w:val="18"/>
                <w:szCs w:val="18"/>
              </w:rPr>
            </w:pPr>
            <w:r>
              <w:rPr>
                <w:rFonts w:ascii="Times New Roman"/>
                <w:sz w:val="18"/>
              </w:rPr>
              <w:t>540000</w:t>
            </w: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68" w:right="810"/>
              <w:jc w:val="left"/>
              <w:rPr>
                <w:rFonts w:ascii="Times New Roman" w:hAnsi="Times New Roman" w:cs="Times New Roman" w:eastAsia="Times New Roman" w:hint="default"/>
                <w:sz w:val="18"/>
                <w:szCs w:val="18"/>
              </w:rPr>
            </w:pPr>
            <w:r>
              <w:rPr>
                <w:rFonts w:ascii="Times New Roman" w:hAnsi="Times New Roman"/>
                <w:sz w:val="18"/>
              </w:rPr>
              <w:t>Природна</w:t>
            </w:r>
            <w:r>
              <w:rPr>
                <w:rFonts w:ascii="Times New Roman" w:hAnsi="Times New Roman"/>
                <w:spacing w:val="-5"/>
                <w:sz w:val="18"/>
              </w:rPr>
              <w:t> </w:t>
            </w:r>
            <w:r>
              <w:rPr>
                <w:rFonts w:ascii="Times New Roman" w:hAnsi="Times New Roman"/>
                <w:sz w:val="18"/>
              </w:rPr>
              <w:t>имовина</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130.130</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177.504</w:t>
            </w:r>
          </w:p>
        </w:tc>
      </w:tr>
      <w:tr>
        <w:trPr>
          <w:trHeight w:val="218"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127"/>
              <w:jc w:val="left"/>
              <w:rPr>
                <w:rFonts w:ascii="Times New Roman" w:hAnsi="Times New Roman" w:cs="Times New Roman" w:eastAsia="Times New Roman" w:hint="default"/>
                <w:sz w:val="18"/>
                <w:szCs w:val="18"/>
              </w:rPr>
            </w:pPr>
            <w:r>
              <w:rPr>
                <w:rFonts w:ascii="Times New Roman"/>
                <w:b/>
                <w:sz w:val="18"/>
              </w:rPr>
              <w:t>2346</w:t>
            </w:r>
            <w:r>
              <w:rPr>
                <w:rFonts w:ascii="Times New Roman"/>
                <w:sz w:val="18"/>
              </w:rPr>
            </w:r>
          </w:p>
        </w:tc>
        <w:tc>
          <w:tcPr>
            <w:tcW w:w="929" w:type="dxa"/>
            <w:tcBorders>
              <w:top w:val="single" w:sz="4" w:space="0" w:color="000000"/>
              <w:left w:val="single" w:sz="4" w:space="0" w:color="000000"/>
              <w:bottom w:val="single" w:sz="4" w:space="0" w:color="000000"/>
              <w:right w:val="single" w:sz="4" w:space="0" w:color="000000"/>
            </w:tcBorders>
          </w:tcPr>
          <w:p>
            <w:pP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68" w:right="810"/>
              <w:jc w:val="left"/>
              <w:rPr>
                <w:rFonts w:ascii="Times New Roman" w:hAnsi="Times New Roman" w:cs="Times New Roman" w:eastAsia="Times New Roman" w:hint="default"/>
                <w:sz w:val="18"/>
                <w:szCs w:val="18"/>
              </w:rPr>
            </w:pPr>
            <w:r>
              <w:rPr>
                <w:rFonts w:ascii="Times New Roman" w:hAnsi="Times New Roman"/>
                <w:b/>
                <w:sz w:val="18"/>
              </w:rPr>
              <w:t>Буџетски</w:t>
            </w:r>
            <w:r>
              <w:rPr>
                <w:rFonts w:ascii="Times New Roman" w:hAnsi="Times New Roman"/>
                <w:b/>
                <w:spacing w:val="-6"/>
                <w:sz w:val="18"/>
              </w:rPr>
              <w:t> </w:t>
            </w:r>
            <w:r>
              <w:rPr>
                <w:rFonts w:ascii="Times New Roman" w:hAnsi="Times New Roman"/>
                <w:b/>
                <w:sz w:val="18"/>
              </w:rPr>
              <w:t>суфицит</w:t>
            </w:r>
            <w:r>
              <w:rPr>
                <w:rFonts w:ascii="Times New Roman" w:hAnsi="Times New Roman"/>
                <w:sz w:val="18"/>
              </w:rPr>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95.797</w:t>
            </w:r>
            <w:r>
              <w:rPr>
                <w:rFonts w:ascii="Times New Roman"/>
                <w:spacing w:val="-1"/>
                <w:sz w:val="18"/>
              </w:rPr>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212.119</w:t>
            </w:r>
            <w:r>
              <w:rPr>
                <w:rFonts w:ascii="Times New Roman"/>
                <w:spacing w:val="-1"/>
                <w:sz w:val="18"/>
              </w:rPr>
            </w:r>
          </w:p>
        </w:tc>
      </w:tr>
      <w:tr>
        <w:trPr>
          <w:trHeight w:val="632"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27"/>
              <w:jc w:val="left"/>
              <w:rPr>
                <w:rFonts w:ascii="Times New Roman" w:hAnsi="Times New Roman" w:cs="Times New Roman" w:eastAsia="Times New Roman" w:hint="default"/>
                <w:sz w:val="18"/>
                <w:szCs w:val="18"/>
              </w:rPr>
            </w:pPr>
            <w:r>
              <w:rPr>
                <w:rFonts w:ascii="Times New Roman"/>
                <w:sz w:val="18"/>
              </w:rPr>
              <w:t>2349</w:t>
            </w:r>
          </w:p>
        </w:tc>
        <w:tc>
          <w:tcPr>
            <w:tcW w:w="929" w:type="dxa"/>
            <w:tcBorders>
              <w:top w:val="single" w:sz="4" w:space="0" w:color="000000"/>
              <w:left w:val="single" w:sz="4" w:space="0" w:color="000000"/>
              <w:bottom w:val="single" w:sz="4" w:space="0" w:color="000000"/>
              <w:right w:val="single" w:sz="4" w:space="0" w:color="000000"/>
            </w:tcBorders>
          </w:tcPr>
          <w:p>
            <w:pP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199" w:firstLine="64"/>
              <w:jc w:val="left"/>
              <w:rPr>
                <w:rFonts w:ascii="Times New Roman" w:hAnsi="Times New Roman" w:cs="Times New Roman" w:eastAsia="Times New Roman" w:hint="default"/>
                <w:sz w:val="18"/>
                <w:szCs w:val="18"/>
              </w:rPr>
            </w:pPr>
            <w:r>
              <w:rPr>
                <w:rFonts w:ascii="Times New Roman" w:hAnsi="Times New Roman"/>
                <w:sz w:val="18"/>
              </w:rPr>
              <w:t>Део нераспоређеног вишка прихода и примања из ранијих година који је коришћен за покриће расхода и издатака текуће године</w:t>
            </w:r>
          </w:p>
        </w:tc>
        <w:tc>
          <w:tcPr>
            <w:tcW w:w="1284" w:type="dxa"/>
            <w:tcBorders>
              <w:top w:val="single" w:sz="4" w:space="0" w:color="000000"/>
              <w:left w:val="single" w:sz="4" w:space="0" w:color="000000"/>
              <w:bottom w:val="single" w:sz="4" w:space="0" w:color="000000"/>
              <w:right w:val="single" w:sz="4" w:space="0" w:color="000000"/>
            </w:tcBorders>
          </w:tcPr>
          <w:p>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19.334</w:t>
            </w:r>
          </w:p>
        </w:tc>
      </w:tr>
      <w:tr>
        <w:trPr>
          <w:trHeight w:val="422"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27"/>
              <w:jc w:val="left"/>
              <w:rPr>
                <w:rFonts w:ascii="Times New Roman" w:hAnsi="Times New Roman" w:cs="Times New Roman" w:eastAsia="Times New Roman" w:hint="default"/>
                <w:sz w:val="18"/>
                <w:szCs w:val="18"/>
              </w:rPr>
            </w:pPr>
            <w:r>
              <w:rPr>
                <w:rFonts w:ascii="Times New Roman"/>
                <w:sz w:val="18"/>
              </w:rPr>
              <w:t>2350</w:t>
            </w:r>
          </w:p>
        </w:tc>
        <w:tc>
          <w:tcPr>
            <w:tcW w:w="929" w:type="dxa"/>
            <w:tcBorders>
              <w:top w:val="single" w:sz="4" w:space="0" w:color="000000"/>
              <w:left w:val="single" w:sz="4" w:space="0" w:color="000000"/>
              <w:bottom w:val="single" w:sz="4" w:space="0" w:color="000000"/>
              <w:right w:val="single" w:sz="4" w:space="0" w:color="000000"/>
            </w:tcBorders>
          </w:tcPr>
          <w:p>
            <w:pP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173" w:firstLine="64"/>
              <w:jc w:val="left"/>
              <w:rPr>
                <w:rFonts w:ascii="Times New Roman" w:hAnsi="Times New Roman" w:cs="Times New Roman" w:eastAsia="Times New Roman" w:hint="default"/>
                <w:sz w:val="18"/>
                <w:szCs w:val="18"/>
              </w:rPr>
            </w:pPr>
            <w:r>
              <w:rPr>
                <w:rFonts w:ascii="Times New Roman" w:hAnsi="Times New Roman"/>
                <w:sz w:val="18"/>
              </w:rPr>
              <w:t>Део новчаних средстава амортизације који је коришћен за набавку нефинансијске</w:t>
            </w:r>
            <w:r>
              <w:rPr>
                <w:rFonts w:ascii="Times New Roman" w:hAnsi="Times New Roman"/>
                <w:spacing w:val="-12"/>
                <w:sz w:val="18"/>
              </w:rPr>
              <w:t> </w:t>
            </w:r>
            <w:r>
              <w:rPr>
                <w:rFonts w:ascii="Times New Roman" w:hAnsi="Times New Roman"/>
                <w:sz w:val="18"/>
              </w:rPr>
              <w:t>имовине</w:t>
            </w:r>
          </w:p>
        </w:tc>
        <w:tc>
          <w:tcPr>
            <w:tcW w:w="1284" w:type="dxa"/>
            <w:tcBorders>
              <w:top w:val="single" w:sz="4" w:space="0" w:color="000000"/>
              <w:left w:val="single" w:sz="4" w:space="0" w:color="000000"/>
              <w:bottom w:val="single" w:sz="4" w:space="0" w:color="000000"/>
              <w:right w:val="single" w:sz="4" w:space="0" w:color="000000"/>
            </w:tcBorders>
          </w:tcPr>
          <w:p>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54</w:t>
            </w:r>
          </w:p>
          <w:p>
            <w:pPr>
              <w:pStyle w:val="TableParagraph"/>
              <w:spacing w:line="207" w:lineRule="exact"/>
              <w:ind w:right="102"/>
              <w:jc w:val="right"/>
              <w:rPr>
                <w:rFonts w:ascii="Times New Roman" w:hAnsi="Times New Roman" w:cs="Times New Roman" w:eastAsia="Times New Roman" w:hint="default"/>
                <w:sz w:val="18"/>
                <w:szCs w:val="18"/>
              </w:rPr>
            </w:pPr>
            <w:r>
              <w:rPr>
                <w:rFonts w:ascii="Times New Roman"/>
                <w:sz w:val="18"/>
              </w:rPr>
              <w:t>4</w:t>
            </w:r>
          </w:p>
        </w:tc>
      </w:tr>
      <w:tr>
        <w:trPr>
          <w:trHeight w:val="425"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27"/>
              <w:jc w:val="left"/>
              <w:rPr>
                <w:rFonts w:ascii="Times New Roman" w:hAnsi="Times New Roman" w:cs="Times New Roman" w:eastAsia="Times New Roman" w:hint="default"/>
                <w:sz w:val="18"/>
                <w:szCs w:val="18"/>
              </w:rPr>
            </w:pPr>
            <w:r>
              <w:rPr>
                <w:rFonts w:ascii="Times New Roman"/>
                <w:sz w:val="18"/>
              </w:rPr>
              <w:t>2351</w:t>
            </w:r>
          </w:p>
        </w:tc>
        <w:tc>
          <w:tcPr>
            <w:tcW w:w="929" w:type="dxa"/>
            <w:tcBorders>
              <w:top w:val="single" w:sz="4" w:space="0" w:color="000000"/>
              <w:left w:val="single" w:sz="4" w:space="0" w:color="000000"/>
              <w:bottom w:val="single" w:sz="4" w:space="0" w:color="000000"/>
              <w:right w:val="single" w:sz="4" w:space="0" w:color="000000"/>
            </w:tcBorders>
          </w:tcPr>
          <w:p>
            <w:pP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103" w:right="173" w:firstLine="64"/>
              <w:jc w:val="left"/>
              <w:rPr>
                <w:rFonts w:ascii="Times New Roman" w:hAnsi="Times New Roman" w:cs="Times New Roman" w:eastAsia="Times New Roman" w:hint="default"/>
                <w:sz w:val="18"/>
                <w:szCs w:val="18"/>
              </w:rPr>
            </w:pPr>
            <w:r>
              <w:rPr>
                <w:rFonts w:ascii="Times New Roman" w:hAnsi="Times New Roman"/>
                <w:sz w:val="18"/>
              </w:rPr>
              <w:t>Део пренетих неутрошених средстава из ранијих година коришћен за покриће расхода и издатака текуће</w:t>
            </w:r>
            <w:r>
              <w:rPr>
                <w:rFonts w:ascii="Times New Roman" w:hAnsi="Times New Roman"/>
                <w:spacing w:val="-18"/>
                <w:sz w:val="18"/>
              </w:rPr>
              <w:t> </w:t>
            </w:r>
            <w:r>
              <w:rPr>
                <w:rFonts w:ascii="Times New Roman" w:hAnsi="Times New Roman"/>
                <w:sz w:val="18"/>
              </w:rPr>
              <w:t>године</w:t>
            </w:r>
          </w:p>
        </w:tc>
        <w:tc>
          <w:tcPr>
            <w:tcW w:w="1284" w:type="dxa"/>
            <w:tcBorders>
              <w:top w:val="single" w:sz="4" w:space="0" w:color="000000"/>
              <w:left w:val="single" w:sz="4" w:space="0" w:color="000000"/>
              <w:bottom w:val="single" w:sz="4" w:space="0" w:color="000000"/>
              <w:right w:val="single" w:sz="4" w:space="0" w:color="000000"/>
            </w:tcBorders>
          </w:tcPr>
          <w:p>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4.956</w:t>
            </w:r>
          </w:p>
        </w:tc>
      </w:tr>
      <w:tr>
        <w:trPr>
          <w:trHeight w:val="425"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27"/>
              <w:jc w:val="left"/>
              <w:rPr>
                <w:rFonts w:ascii="Times New Roman" w:hAnsi="Times New Roman" w:cs="Times New Roman" w:eastAsia="Times New Roman" w:hint="default"/>
                <w:sz w:val="18"/>
                <w:szCs w:val="18"/>
              </w:rPr>
            </w:pPr>
            <w:r>
              <w:rPr>
                <w:rFonts w:ascii="Times New Roman"/>
                <w:sz w:val="18"/>
              </w:rPr>
              <w:t>2352</w:t>
            </w:r>
          </w:p>
        </w:tc>
        <w:tc>
          <w:tcPr>
            <w:tcW w:w="929" w:type="dxa"/>
            <w:tcBorders>
              <w:top w:val="single" w:sz="4" w:space="0" w:color="000000"/>
              <w:left w:val="single" w:sz="4" w:space="0" w:color="000000"/>
              <w:bottom w:val="single" w:sz="4" w:space="0" w:color="000000"/>
              <w:right w:val="single" w:sz="4" w:space="0" w:color="000000"/>
            </w:tcBorders>
          </w:tcPr>
          <w:p>
            <w:pP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810" w:firstLine="64"/>
              <w:jc w:val="left"/>
              <w:rPr>
                <w:rFonts w:ascii="Times New Roman" w:hAnsi="Times New Roman" w:cs="Times New Roman" w:eastAsia="Times New Roman" w:hint="default"/>
                <w:sz w:val="18"/>
                <w:szCs w:val="18"/>
              </w:rPr>
            </w:pPr>
            <w:r>
              <w:rPr>
                <w:rFonts w:ascii="Times New Roman" w:hAnsi="Times New Roman"/>
                <w:sz w:val="18"/>
              </w:rPr>
              <w:t>Износ расхода и издатака за нефинансијску имовину, финансираних из</w:t>
            </w:r>
            <w:r>
              <w:rPr>
                <w:rFonts w:ascii="Times New Roman" w:hAnsi="Times New Roman"/>
                <w:spacing w:val="-10"/>
                <w:sz w:val="18"/>
              </w:rPr>
              <w:t> </w:t>
            </w:r>
            <w:r>
              <w:rPr>
                <w:rFonts w:ascii="Times New Roman" w:hAnsi="Times New Roman"/>
                <w:sz w:val="18"/>
              </w:rPr>
              <w:t>кредита</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542.300</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323.333</w:t>
            </w:r>
          </w:p>
        </w:tc>
      </w:tr>
      <w:tr>
        <w:trPr>
          <w:trHeight w:val="422"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27"/>
              <w:jc w:val="left"/>
              <w:rPr>
                <w:rFonts w:ascii="Times New Roman" w:hAnsi="Times New Roman" w:cs="Times New Roman" w:eastAsia="Times New Roman" w:hint="default"/>
                <w:sz w:val="18"/>
                <w:szCs w:val="18"/>
              </w:rPr>
            </w:pPr>
            <w:r>
              <w:rPr>
                <w:rFonts w:ascii="Times New Roman"/>
                <w:sz w:val="18"/>
              </w:rPr>
              <w:t>2353</w:t>
            </w:r>
          </w:p>
        </w:tc>
        <w:tc>
          <w:tcPr>
            <w:tcW w:w="929" w:type="dxa"/>
            <w:tcBorders>
              <w:top w:val="single" w:sz="4" w:space="0" w:color="000000"/>
              <w:left w:val="single" w:sz="4" w:space="0" w:color="000000"/>
              <w:bottom w:val="single" w:sz="4" w:space="0" w:color="000000"/>
              <w:right w:val="single" w:sz="4" w:space="0" w:color="000000"/>
            </w:tcBorders>
          </w:tcPr>
          <w:p>
            <w:pP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173" w:firstLine="64"/>
              <w:jc w:val="left"/>
              <w:rPr>
                <w:rFonts w:ascii="Times New Roman" w:hAnsi="Times New Roman" w:cs="Times New Roman" w:eastAsia="Times New Roman" w:hint="default"/>
                <w:sz w:val="18"/>
                <w:szCs w:val="18"/>
              </w:rPr>
            </w:pPr>
            <w:r>
              <w:rPr>
                <w:rFonts w:ascii="Times New Roman" w:hAnsi="Times New Roman"/>
                <w:sz w:val="18"/>
              </w:rPr>
              <w:t>Износ приватизационих примања од отплате датих кредита коришћен за покриће расхода и издатака текуће</w:t>
            </w:r>
            <w:r>
              <w:rPr>
                <w:rFonts w:ascii="Times New Roman" w:hAnsi="Times New Roman"/>
                <w:spacing w:val="-18"/>
                <w:sz w:val="18"/>
              </w:rPr>
              <w:t> </w:t>
            </w:r>
            <w:r>
              <w:rPr>
                <w:rFonts w:ascii="Times New Roman" w:hAnsi="Times New Roman"/>
                <w:sz w:val="18"/>
              </w:rPr>
              <w:t>године</w:t>
            </w:r>
          </w:p>
        </w:tc>
        <w:tc>
          <w:tcPr>
            <w:tcW w:w="1284" w:type="dxa"/>
            <w:tcBorders>
              <w:top w:val="single" w:sz="4" w:space="0" w:color="000000"/>
              <w:left w:val="single" w:sz="4" w:space="0" w:color="000000"/>
              <w:bottom w:val="single" w:sz="4" w:space="0" w:color="000000"/>
              <w:right w:val="single" w:sz="4" w:space="0" w:color="000000"/>
            </w:tcBorders>
          </w:tcPr>
          <w:p>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158.330</w:t>
            </w:r>
          </w:p>
        </w:tc>
      </w:tr>
      <w:tr>
        <w:trPr>
          <w:trHeight w:val="425"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27"/>
              <w:jc w:val="left"/>
              <w:rPr>
                <w:rFonts w:ascii="Times New Roman" w:hAnsi="Times New Roman" w:cs="Times New Roman" w:eastAsia="Times New Roman" w:hint="default"/>
                <w:sz w:val="18"/>
                <w:szCs w:val="18"/>
              </w:rPr>
            </w:pPr>
            <w:r>
              <w:rPr>
                <w:rFonts w:ascii="Times New Roman"/>
                <w:sz w:val="18"/>
              </w:rPr>
              <w:t>2355</w:t>
            </w:r>
          </w:p>
        </w:tc>
        <w:tc>
          <w:tcPr>
            <w:tcW w:w="929" w:type="dxa"/>
            <w:tcBorders>
              <w:top w:val="single" w:sz="4" w:space="0" w:color="000000"/>
              <w:left w:val="single" w:sz="4" w:space="0" w:color="000000"/>
              <w:bottom w:val="single" w:sz="4" w:space="0" w:color="000000"/>
              <w:right w:val="single" w:sz="4" w:space="0" w:color="000000"/>
            </w:tcBorders>
          </w:tcPr>
          <w:p>
            <w:pP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103" w:right="173" w:firstLine="64"/>
              <w:jc w:val="left"/>
              <w:rPr>
                <w:rFonts w:ascii="Times New Roman" w:hAnsi="Times New Roman" w:cs="Times New Roman" w:eastAsia="Times New Roman" w:hint="default"/>
                <w:sz w:val="18"/>
                <w:szCs w:val="18"/>
              </w:rPr>
            </w:pPr>
            <w:r>
              <w:rPr>
                <w:rFonts w:ascii="Times New Roman" w:hAnsi="Times New Roman"/>
                <w:sz w:val="18"/>
              </w:rPr>
              <w:t>Утрошена средства текућих прихода и примања од продаје нефинансијске имовине за отплату обавеза по</w:t>
            </w:r>
            <w:r>
              <w:rPr>
                <w:rFonts w:ascii="Times New Roman" w:hAnsi="Times New Roman"/>
                <w:spacing w:val="-18"/>
                <w:sz w:val="18"/>
              </w:rPr>
              <w:t> </w:t>
            </w:r>
            <w:r>
              <w:rPr>
                <w:rFonts w:ascii="Times New Roman" w:hAnsi="Times New Roman"/>
                <w:sz w:val="18"/>
              </w:rPr>
              <w:t>кредитима</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624.167</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694.688</w:t>
            </w:r>
          </w:p>
        </w:tc>
      </w:tr>
      <w:tr>
        <w:trPr>
          <w:trHeight w:val="425"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27"/>
              <w:jc w:val="left"/>
              <w:rPr>
                <w:rFonts w:ascii="Times New Roman" w:hAnsi="Times New Roman" w:cs="Times New Roman" w:eastAsia="Times New Roman" w:hint="default"/>
                <w:sz w:val="18"/>
                <w:szCs w:val="18"/>
              </w:rPr>
            </w:pPr>
            <w:r>
              <w:rPr>
                <w:rFonts w:ascii="Times New Roman"/>
                <w:sz w:val="18"/>
              </w:rPr>
              <w:t>2356</w:t>
            </w:r>
          </w:p>
        </w:tc>
        <w:tc>
          <w:tcPr>
            <w:tcW w:w="929" w:type="dxa"/>
            <w:tcBorders>
              <w:top w:val="single" w:sz="4" w:space="0" w:color="000000"/>
              <w:left w:val="single" w:sz="4" w:space="0" w:color="000000"/>
              <w:bottom w:val="single" w:sz="4" w:space="0" w:color="000000"/>
              <w:right w:val="single" w:sz="4" w:space="0" w:color="000000"/>
            </w:tcBorders>
          </w:tcPr>
          <w:p>
            <w:pP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455"/>
              <w:jc w:val="left"/>
              <w:rPr>
                <w:rFonts w:ascii="Times New Roman" w:hAnsi="Times New Roman" w:cs="Times New Roman" w:eastAsia="Times New Roman" w:hint="default"/>
                <w:sz w:val="18"/>
                <w:szCs w:val="18"/>
              </w:rPr>
            </w:pPr>
            <w:r>
              <w:rPr>
                <w:rFonts w:ascii="Times New Roman" w:hAnsi="Times New Roman"/>
                <w:sz w:val="18"/>
              </w:rPr>
              <w:t>Утрошена средства текућих прихода и примања од продаје нефинансијске имовине за набавку финансијске</w:t>
            </w:r>
            <w:r>
              <w:rPr>
                <w:rFonts w:ascii="Times New Roman" w:hAnsi="Times New Roman"/>
                <w:spacing w:val="-18"/>
                <w:sz w:val="18"/>
              </w:rPr>
              <w:t> </w:t>
            </w:r>
            <w:r>
              <w:rPr>
                <w:rFonts w:ascii="Times New Roman" w:hAnsi="Times New Roman"/>
                <w:sz w:val="18"/>
              </w:rPr>
              <w:t>имовине</w:t>
            </w:r>
          </w:p>
        </w:tc>
        <w:tc>
          <w:tcPr>
            <w:tcW w:w="1284" w:type="dxa"/>
            <w:tcBorders>
              <w:top w:val="single" w:sz="4" w:space="0" w:color="000000"/>
              <w:left w:val="single" w:sz="4" w:space="0" w:color="000000"/>
              <w:bottom w:val="single" w:sz="4" w:space="0" w:color="000000"/>
              <w:right w:val="single" w:sz="4" w:space="0" w:color="000000"/>
            </w:tcBorders>
          </w:tcPr>
          <w:p>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1.599</w:t>
            </w:r>
          </w:p>
        </w:tc>
      </w:tr>
      <w:tr>
        <w:trPr>
          <w:trHeight w:val="216"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127"/>
              <w:jc w:val="left"/>
              <w:rPr>
                <w:rFonts w:ascii="Times New Roman" w:hAnsi="Times New Roman" w:cs="Times New Roman" w:eastAsia="Times New Roman" w:hint="default"/>
                <w:sz w:val="18"/>
                <w:szCs w:val="18"/>
              </w:rPr>
            </w:pPr>
            <w:r>
              <w:rPr>
                <w:rFonts w:ascii="Times New Roman"/>
                <w:b/>
                <w:sz w:val="18"/>
              </w:rPr>
              <w:t>2357</w:t>
            </w:r>
            <w:r>
              <w:rPr>
                <w:rFonts w:ascii="Times New Roman"/>
                <w:sz w:val="18"/>
              </w:rPr>
            </w:r>
          </w:p>
        </w:tc>
        <w:tc>
          <w:tcPr>
            <w:tcW w:w="929"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03" w:right="213"/>
              <w:jc w:val="left"/>
              <w:rPr>
                <w:rFonts w:ascii="Times New Roman" w:hAnsi="Times New Roman" w:cs="Times New Roman" w:eastAsia="Times New Roman" w:hint="default"/>
                <w:sz w:val="18"/>
                <w:szCs w:val="18"/>
              </w:rPr>
            </w:pPr>
            <w:r>
              <w:rPr>
                <w:rFonts w:ascii="Times New Roman"/>
                <w:sz w:val="18"/>
              </w:rPr>
              <w:t>321121</w:t>
            </w: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68" w:right="810"/>
              <w:jc w:val="left"/>
              <w:rPr>
                <w:rFonts w:ascii="Times New Roman" w:hAnsi="Times New Roman" w:cs="Times New Roman" w:eastAsia="Times New Roman" w:hint="default"/>
                <w:sz w:val="18"/>
                <w:szCs w:val="18"/>
              </w:rPr>
            </w:pPr>
            <w:r>
              <w:rPr>
                <w:rFonts w:ascii="Times New Roman" w:hAnsi="Times New Roman"/>
                <w:b/>
                <w:sz w:val="18"/>
              </w:rPr>
              <w:t>Вишак прихода и примања </w:t>
            </w:r>
            <w:r>
              <w:rPr>
                <w:rFonts w:ascii="Times New Roman" w:hAnsi="Times New Roman"/>
                <w:b/>
                <w:sz w:val="18"/>
              </w:rPr>
              <w:t>-</w:t>
            </w:r>
            <w:r>
              <w:rPr>
                <w:rFonts w:ascii="Times New Roman" w:hAnsi="Times New Roman"/>
                <w:b/>
                <w:spacing w:val="-6"/>
                <w:sz w:val="18"/>
              </w:rPr>
              <w:t> </w:t>
            </w:r>
            <w:r>
              <w:rPr>
                <w:rFonts w:ascii="Times New Roman" w:hAnsi="Times New Roman"/>
                <w:b/>
                <w:sz w:val="18"/>
              </w:rPr>
              <w:t>суфицит</w:t>
            </w:r>
            <w:r>
              <w:rPr>
                <w:rFonts w:ascii="Times New Roman" w:hAnsi="Times New Roman"/>
                <w:sz w:val="18"/>
              </w:rPr>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13.930</w:t>
            </w:r>
            <w:r>
              <w:rPr>
                <w:rFonts w:ascii="Times New Roman"/>
                <w:spacing w:val="-1"/>
                <w:sz w:val="18"/>
              </w:rPr>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22.329</w:t>
            </w:r>
            <w:r>
              <w:rPr>
                <w:rFonts w:ascii="Times New Roman"/>
                <w:spacing w:val="-1"/>
                <w:sz w:val="18"/>
              </w:rPr>
            </w:r>
          </w:p>
        </w:tc>
      </w:tr>
      <w:tr>
        <w:trPr>
          <w:trHeight w:val="425"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27"/>
              <w:jc w:val="left"/>
              <w:rPr>
                <w:rFonts w:ascii="Times New Roman" w:hAnsi="Times New Roman" w:cs="Times New Roman" w:eastAsia="Times New Roman" w:hint="default"/>
                <w:sz w:val="18"/>
                <w:szCs w:val="18"/>
              </w:rPr>
            </w:pPr>
            <w:r>
              <w:rPr>
                <w:rFonts w:ascii="Times New Roman"/>
                <w:sz w:val="18"/>
              </w:rPr>
              <w:t>2360</w:t>
            </w:r>
          </w:p>
        </w:tc>
        <w:tc>
          <w:tcPr>
            <w:tcW w:w="929" w:type="dxa"/>
            <w:tcBorders>
              <w:top w:val="single" w:sz="4" w:space="0" w:color="000000"/>
              <w:left w:val="single" w:sz="4" w:space="0" w:color="000000"/>
              <w:bottom w:val="single" w:sz="4" w:space="0" w:color="000000"/>
              <w:right w:val="single" w:sz="4" w:space="0" w:color="000000"/>
            </w:tcBorders>
          </w:tcPr>
          <w:p>
            <w:pP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173" w:firstLine="64"/>
              <w:jc w:val="left"/>
              <w:rPr>
                <w:rFonts w:ascii="Times New Roman" w:hAnsi="Times New Roman" w:cs="Times New Roman" w:eastAsia="Times New Roman" w:hint="default"/>
                <w:sz w:val="18"/>
                <w:szCs w:val="18"/>
              </w:rPr>
            </w:pPr>
            <w:r>
              <w:rPr>
                <w:rFonts w:ascii="Times New Roman" w:hAnsi="Times New Roman"/>
                <w:sz w:val="18"/>
              </w:rPr>
              <w:t>Део вишка прихода и примања наменски опредељен за наредну</w:t>
            </w:r>
            <w:r>
              <w:rPr>
                <w:rFonts w:ascii="Times New Roman" w:hAnsi="Times New Roman"/>
                <w:spacing w:val="-4"/>
                <w:sz w:val="18"/>
              </w:rPr>
              <w:t> </w:t>
            </w:r>
            <w:r>
              <w:rPr>
                <w:rFonts w:ascii="Times New Roman" w:hAnsi="Times New Roman"/>
                <w:sz w:val="18"/>
              </w:rPr>
              <w:t>годину</w:t>
            </w:r>
          </w:p>
        </w:tc>
        <w:tc>
          <w:tcPr>
            <w:tcW w:w="1284" w:type="dxa"/>
            <w:tcBorders>
              <w:top w:val="single" w:sz="4" w:space="0" w:color="000000"/>
              <w:left w:val="single" w:sz="4" w:space="0" w:color="000000"/>
              <w:bottom w:val="single" w:sz="4" w:space="0" w:color="000000"/>
              <w:right w:val="single" w:sz="4" w:space="0" w:color="000000"/>
            </w:tcBorders>
          </w:tcPr>
          <w:p>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22.303</w:t>
            </w:r>
          </w:p>
        </w:tc>
      </w:tr>
      <w:tr>
        <w:trPr>
          <w:trHeight w:val="422" w:hRule="exact"/>
        </w:trPr>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27"/>
              <w:jc w:val="left"/>
              <w:rPr>
                <w:rFonts w:ascii="Times New Roman" w:hAnsi="Times New Roman" w:cs="Times New Roman" w:eastAsia="Times New Roman" w:hint="default"/>
                <w:sz w:val="18"/>
                <w:szCs w:val="18"/>
              </w:rPr>
            </w:pPr>
            <w:r>
              <w:rPr>
                <w:rFonts w:ascii="Times New Roman"/>
                <w:sz w:val="18"/>
              </w:rPr>
              <w:t>2361</w:t>
            </w:r>
          </w:p>
        </w:tc>
        <w:tc>
          <w:tcPr>
            <w:tcW w:w="929" w:type="dxa"/>
            <w:tcBorders>
              <w:top w:val="single" w:sz="4" w:space="0" w:color="000000"/>
              <w:left w:val="single" w:sz="4" w:space="0" w:color="000000"/>
              <w:bottom w:val="single" w:sz="4" w:space="0" w:color="000000"/>
              <w:right w:val="single" w:sz="4" w:space="0" w:color="000000"/>
            </w:tcBorders>
          </w:tcPr>
          <w:p>
            <w:pPr/>
          </w:p>
        </w:tc>
        <w:tc>
          <w:tcPr>
            <w:tcW w:w="51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173" w:firstLine="64"/>
              <w:jc w:val="left"/>
              <w:rPr>
                <w:rFonts w:ascii="Times New Roman" w:hAnsi="Times New Roman" w:cs="Times New Roman" w:eastAsia="Times New Roman" w:hint="default"/>
                <w:sz w:val="18"/>
                <w:szCs w:val="18"/>
              </w:rPr>
            </w:pPr>
            <w:r>
              <w:rPr>
                <w:rFonts w:ascii="Times New Roman" w:hAnsi="Times New Roman"/>
                <w:sz w:val="18"/>
              </w:rPr>
              <w:t>Нераспоређени део вишка прихода и примања за пренос у наредну</w:t>
            </w:r>
            <w:r>
              <w:rPr>
                <w:rFonts w:ascii="Times New Roman" w:hAnsi="Times New Roman"/>
                <w:spacing w:val="-4"/>
                <w:sz w:val="18"/>
              </w:rPr>
              <w:t> </w:t>
            </w:r>
            <w:r>
              <w:rPr>
                <w:rFonts w:ascii="Times New Roman" w:hAnsi="Times New Roman"/>
                <w:sz w:val="18"/>
              </w:rPr>
              <w:t>годину</w:t>
            </w:r>
          </w:p>
        </w:tc>
        <w:tc>
          <w:tcPr>
            <w:tcW w:w="1284" w:type="dxa"/>
            <w:tcBorders>
              <w:top w:val="single" w:sz="4" w:space="0" w:color="000000"/>
              <w:left w:val="single" w:sz="4" w:space="0" w:color="000000"/>
              <w:bottom w:val="single" w:sz="4" w:space="0" w:color="000000"/>
              <w:right w:val="single" w:sz="4" w:space="0" w:color="000000"/>
            </w:tcBorders>
          </w:tcPr>
          <w:p>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26</w:t>
            </w:r>
          </w:p>
        </w:tc>
      </w:tr>
    </w:tbl>
    <w:p>
      <w:pPr>
        <w:spacing w:after="0" w:line="202" w:lineRule="exact"/>
        <w:jc w:val="right"/>
        <w:rPr>
          <w:rFonts w:ascii="Times New Roman" w:hAnsi="Times New Roman" w:cs="Times New Roman" w:eastAsia="Times New Roman" w:hint="default"/>
          <w:sz w:val="18"/>
          <w:szCs w:val="18"/>
        </w:rPr>
        <w:sectPr>
          <w:pgSz w:w="12240" w:h="15840"/>
          <w:pgMar w:header="740" w:footer="1274" w:top="1280" w:bottom="1460" w:left="1400" w:right="1200"/>
        </w:sectPr>
      </w:pPr>
    </w:p>
    <w:p>
      <w:pPr>
        <w:spacing w:line="240" w:lineRule="auto" w:before="10"/>
        <w:rPr>
          <w:rFonts w:ascii="Times New Roman" w:hAnsi="Times New Roman" w:cs="Times New Roman" w:eastAsia="Times New Roman" w:hint="default"/>
          <w:sz w:val="16"/>
          <w:szCs w:val="16"/>
        </w:rPr>
      </w:pPr>
    </w:p>
    <w:p>
      <w:pPr>
        <w:pStyle w:val="Heading1"/>
        <w:numPr>
          <w:ilvl w:val="2"/>
          <w:numId w:val="58"/>
        </w:numPr>
        <w:tabs>
          <w:tab w:pos="701" w:val="left" w:leader="none"/>
        </w:tabs>
        <w:spacing w:line="274" w:lineRule="exact" w:before="69" w:after="0"/>
        <w:ind w:left="700" w:right="0" w:hanging="540"/>
        <w:jc w:val="both"/>
        <w:rPr>
          <w:b w:val="0"/>
          <w:bCs w:val="0"/>
        </w:rPr>
      </w:pPr>
      <w:bookmarkStart w:name="_bookmark49" w:id="85"/>
      <w:bookmarkEnd w:id="85"/>
      <w:r>
        <w:rPr>
          <w:b w:val="0"/>
        </w:rPr>
      </w:r>
      <w:bookmarkStart w:name="_bookmark49" w:id="86"/>
      <w:bookmarkEnd w:id="86"/>
      <w:r>
        <w:rPr/>
        <w:t>П</w:t>
      </w:r>
      <w:r>
        <w:rPr/>
        <w:t>риходи и</w:t>
      </w:r>
      <w:r>
        <w:rPr>
          <w:spacing w:val="-7"/>
        </w:rPr>
        <w:t> </w:t>
      </w:r>
      <w:r>
        <w:rPr/>
        <w:t>примања</w:t>
      </w:r>
      <w:r>
        <w:rPr>
          <w:b w:val="0"/>
        </w:rPr>
      </w:r>
    </w:p>
    <w:p>
      <w:pPr>
        <w:pStyle w:val="BodyText"/>
        <w:spacing w:line="240" w:lineRule="auto"/>
        <w:ind w:right="172" w:firstLine="566"/>
        <w:jc w:val="both"/>
        <w:rPr>
          <w:rFonts w:ascii="Times New Roman" w:hAnsi="Times New Roman" w:cs="Times New Roman" w:eastAsia="Times New Roman" w:hint="default"/>
        </w:rPr>
      </w:pPr>
      <w:r>
        <w:rPr/>
        <w:t>Према презентованим подацима за 201</w:t>
      </w:r>
      <w:r>
        <w:rPr>
          <w:rFonts w:ascii="Times New Roman" w:hAnsi="Times New Roman"/>
        </w:rPr>
        <w:t>4</w:t>
      </w:r>
      <w:r>
        <w:rPr/>
        <w:t>. годину, остварени су текући приходи у износу од </w:t>
      </w:r>
      <w:r>
        <w:rPr>
          <w:rFonts w:ascii="Times New Roman" w:hAnsi="Times New Roman"/>
        </w:rPr>
        <w:t>7.030.829 </w:t>
      </w:r>
      <w:r>
        <w:rPr/>
        <w:t>хиљада динара, а примања од продаје нефинансијске имовине остварена су у износу од </w:t>
      </w:r>
      <w:r>
        <w:rPr>
          <w:rFonts w:ascii="Times New Roman" w:hAnsi="Times New Roman"/>
        </w:rPr>
        <w:t>121.285 </w:t>
      </w:r>
      <w:r>
        <w:rPr/>
        <w:t>хиљада динара, што укупно износи </w:t>
      </w:r>
      <w:r>
        <w:rPr>
          <w:rFonts w:ascii="Times New Roman" w:hAnsi="Times New Roman"/>
        </w:rPr>
        <w:t>7.152.114 </w:t>
      </w:r>
      <w:r>
        <w:rPr/>
        <w:t>хиљада динара. У поређењу са претходном годином</w:t>
      </w:r>
      <w:r>
        <w:rPr>
          <w:rFonts w:ascii="Times New Roman" w:hAnsi="Times New Roman"/>
        </w:rPr>
        <w:t>, </w:t>
      </w:r>
      <w:r>
        <w:rPr/>
        <w:t>у којој су текући приходи и примања од продаје нефинансијске имовине остварени у износу од </w:t>
      </w:r>
      <w:r>
        <w:rPr>
          <w:rFonts w:ascii="Times New Roman" w:hAnsi="Times New Roman"/>
        </w:rPr>
        <w:t>7.492.363 </w:t>
      </w:r>
      <w:r>
        <w:rPr/>
        <w:t>хиљаде  динара, утврђено је смањење за </w:t>
      </w:r>
      <w:r>
        <w:rPr>
          <w:rFonts w:ascii="Times New Roman" w:hAnsi="Times New Roman"/>
        </w:rPr>
        <w:t>340.249 </w:t>
      </w:r>
      <w:r>
        <w:rPr/>
        <w:t>хиљада динара или за</w:t>
      </w:r>
      <w:r>
        <w:rPr>
          <w:spacing w:val="-12"/>
        </w:rPr>
        <w:t> </w:t>
      </w:r>
      <w:r>
        <w:rPr>
          <w:rFonts w:ascii="Times New Roman" w:hAnsi="Times New Roman"/>
        </w:rPr>
        <w:t>4.5%.</w:t>
      </w:r>
    </w:p>
    <w:p>
      <w:pPr>
        <w:pStyle w:val="Heading1"/>
        <w:numPr>
          <w:ilvl w:val="2"/>
          <w:numId w:val="58"/>
        </w:numPr>
        <w:tabs>
          <w:tab w:pos="701" w:val="left" w:leader="none"/>
        </w:tabs>
        <w:spacing w:line="274" w:lineRule="exact" w:before="144" w:after="0"/>
        <w:ind w:left="700" w:right="0" w:hanging="540"/>
        <w:jc w:val="both"/>
        <w:rPr>
          <w:b w:val="0"/>
          <w:bCs w:val="0"/>
        </w:rPr>
      </w:pPr>
      <w:bookmarkStart w:name="_bookmark50" w:id="87"/>
      <w:bookmarkEnd w:id="87"/>
      <w:r>
        <w:rPr>
          <w:b w:val="0"/>
        </w:rPr>
      </w:r>
      <w:bookmarkStart w:name="_bookmark50" w:id="88"/>
      <w:bookmarkEnd w:id="88"/>
      <w:r>
        <w:rPr/>
        <w:t>Р</w:t>
      </w:r>
      <w:r>
        <w:rPr/>
        <w:t>асходи и</w:t>
      </w:r>
      <w:r>
        <w:rPr>
          <w:spacing w:val="-4"/>
        </w:rPr>
        <w:t> </w:t>
      </w:r>
      <w:r>
        <w:rPr/>
        <w:t>издаци</w:t>
      </w:r>
      <w:r>
        <w:rPr>
          <w:b w:val="0"/>
        </w:rPr>
      </w:r>
    </w:p>
    <w:p>
      <w:pPr>
        <w:pStyle w:val="BodyText"/>
        <w:spacing w:line="240" w:lineRule="auto"/>
        <w:ind w:right="172" w:firstLine="566"/>
        <w:jc w:val="both"/>
        <w:rPr>
          <w:rFonts w:ascii="Times New Roman" w:hAnsi="Times New Roman" w:cs="Times New Roman" w:eastAsia="Times New Roman" w:hint="default"/>
        </w:rPr>
      </w:pPr>
      <w:r>
        <w:rPr/>
        <w:t>Према презентованим подацима за 201</w:t>
      </w:r>
      <w:r>
        <w:rPr>
          <w:rFonts w:ascii="Times New Roman" w:hAnsi="Times New Roman"/>
        </w:rPr>
        <w:t>4</w:t>
      </w:r>
      <w:r>
        <w:rPr/>
        <w:t>. годину, извршени су текући расходи у износу од </w:t>
      </w:r>
      <w:r>
        <w:rPr>
          <w:rFonts w:ascii="Times New Roman" w:hAnsi="Times New Roman"/>
        </w:rPr>
        <w:t>6.206.812 </w:t>
      </w:r>
      <w:r>
        <w:rPr/>
        <w:t>хиљада динара, а издаци за нефинансијску имовину извршени су у износу од </w:t>
      </w:r>
      <w:r>
        <w:rPr>
          <w:rFonts w:ascii="Times New Roman" w:hAnsi="Times New Roman"/>
        </w:rPr>
        <w:t>733.183 </w:t>
      </w:r>
      <w:r>
        <w:rPr/>
        <w:t>хиљаде динара, што укупно износи </w:t>
      </w:r>
      <w:r>
        <w:rPr>
          <w:rFonts w:ascii="Times New Roman" w:hAnsi="Times New Roman"/>
        </w:rPr>
        <w:t>6.939.995 </w:t>
      </w:r>
      <w:r>
        <w:rPr/>
        <w:t>хиљада динара. У поређењу са претходном годином</w:t>
      </w:r>
      <w:r>
        <w:rPr>
          <w:rFonts w:ascii="Times New Roman" w:hAnsi="Times New Roman"/>
        </w:rPr>
        <w:t>, </w:t>
      </w:r>
      <w:r>
        <w:rPr/>
        <w:t>у којој су текући расходи и издаци за нефинансијску имовину извршени у износу од </w:t>
      </w:r>
      <w:r>
        <w:rPr>
          <w:rFonts w:ascii="Times New Roman" w:hAnsi="Times New Roman"/>
        </w:rPr>
        <w:t>7.396.566 </w:t>
      </w:r>
      <w:r>
        <w:rPr/>
        <w:t>хиљада динара, утврђено је смањење у односу на претходну годину за </w:t>
      </w:r>
      <w:r>
        <w:rPr>
          <w:rFonts w:ascii="Times New Roman" w:hAnsi="Times New Roman"/>
        </w:rPr>
        <w:t>456.571 </w:t>
      </w:r>
      <w:r>
        <w:rPr/>
        <w:t>хиљаде динара или за</w:t>
      </w:r>
      <w:r>
        <w:rPr>
          <w:spacing w:val="-11"/>
        </w:rPr>
        <w:t> </w:t>
      </w:r>
      <w:r>
        <w:rPr>
          <w:rFonts w:ascii="Times New Roman" w:hAnsi="Times New Roman"/>
        </w:rPr>
        <w:t>6,7%.</w:t>
      </w:r>
    </w:p>
    <w:p>
      <w:pPr>
        <w:pStyle w:val="Heading1"/>
        <w:numPr>
          <w:ilvl w:val="2"/>
          <w:numId w:val="58"/>
        </w:numPr>
        <w:tabs>
          <w:tab w:pos="701" w:val="left" w:leader="none"/>
        </w:tabs>
        <w:spacing w:line="274" w:lineRule="exact" w:before="141" w:after="0"/>
        <w:ind w:left="700" w:right="0" w:hanging="540"/>
        <w:jc w:val="both"/>
        <w:rPr>
          <w:b w:val="0"/>
          <w:bCs w:val="0"/>
        </w:rPr>
      </w:pPr>
      <w:bookmarkStart w:name="_bookmark51" w:id="89"/>
      <w:bookmarkEnd w:id="89"/>
      <w:r>
        <w:rPr>
          <w:b w:val="0"/>
        </w:rPr>
      </w:r>
      <w:bookmarkStart w:name="_bookmark51" w:id="90"/>
      <w:bookmarkEnd w:id="90"/>
      <w:r>
        <w:rPr/>
        <w:t>Р</w:t>
      </w:r>
      <w:r>
        <w:rPr/>
        <w:t>езултат</w:t>
      </w:r>
      <w:r>
        <w:rPr>
          <w:spacing w:val="-5"/>
        </w:rPr>
        <w:t> </w:t>
      </w:r>
      <w:r>
        <w:rPr/>
        <w:t>пословања</w:t>
      </w:r>
      <w:r>
        <w:rPr>
          <w:b w:val="0"/>
        </w:rPr>
      </w:r>
    </w:p>
    <w:p>
      <w:pPr>
        <w:pStyle w:val="BodyText"/>
        <w:spacing w:line="240" w:lineRule="auto"/>
        <w:ind w:right="172" w:firstLine="566"/>
        <w:jc w:val="both"/>
      </w:pPr>
      <w:r>
        <w:rPr/>
        <w:t>Град Ниш је у 201</w:t>
      </w:r>
      <w:r>
        <w:rPr>
          <w:rFonts w:ascii="Times New Roman" w:hAnsi="Times New Roman" w:cs="Times New Roman" w:eastAsia="Times New Roman" w:hint="default"/>
        </w:rPr>
        <w:t>4</w:t>
      </w:r>
      <w:r>
        <w:rPr/>
        <w:t>. години исказао буџетски суфицит у износу од </w:t>
      </w:r>
      <w:r>
        <w:rPr>
          <w:rFonts w:ascii="Times New Roman" w:hAnsi="Times New Roman" w:cs="Times New Roman" w:eastAsia="Times New Roman" w:hint="default"/>
        </w:rPr>
        <w:t>212.119 </w:t>
      </w:r>
      <w:r>
        <w:rPr/>
        <w:t>хиљада динара. Буџетски суфицит коригован је за: део нераспоређеног вишка прихода и  примања из ранијих година који је коришћен за покриће расхода и издатака  текуће године у износу од 19.334 хиљаде динара, део новчаних средстава амортизације који је коришћен за набавку нефинансијске имовине у износу од 544 хиљаде динара, део пренетих неутрошених средстава из ранијих година коришћен за покриће расхода и издатака текуће године у износу од 4.956 хиљада динара, износ расхода и издатака за нефинансијску имовину финансираних из кредита у износу од 323.333 хиљаде динара и износ приватизационих примања и примања од отплате датих кредита коришћен за покриће расхода и издатака текуће године у износу од 158.330 хиљада динара. Покриће извршених издатака из текућих прихода и примања у износу од </w:t>
      </w:r>
      <w:r>
        <w:rPr>
          <w:rFonts w:ascii="Times New Roman" w:hAnsi="Times New Roman" w:cs="Times New Roman" w:eastAsia="Times New Roman" w:hint="default"/>
        </w:rPr>
        <w:t>696.287 </w:t>
      </w:r>
      <w:r>
        <w:rPr/>
        <w:t>хиљада динара извршено је из утрошених средстава текућих прихода и примања од продаје нефинансијске имовине за отплату обавеза по кредитима у износу од 694.688 хиљада динара и утрошених средстава текућих прихода и примања од продаје нефинансијске имовине за набавку финансијске имовине у износу од 1.599 хиљада динара, тако да је вишак прихода и примања – суфицит исказан у износу </w:t>
      </w:r>
      <w:r>
        <w:rPr>
          <w:rFonts w:ascii="Times New Roman" w:hAnsi="Times New Roman" w:cs="Times New Roman" w:eastAsia="Times New Roman" w:hint="default"/>
        </w:rPr>
        <w:t>22.329 </w:t>
      </w:r>
      <w:r>
        <w:rPr/>
        <w:t>хиљада динара. Вишак прихода и примања </w:t>
      </w:r>
      <w:r>
        <w:rPr>
          <w:rFonts w:ascii="Times New Roman" w:hAnsi="Times New Roman" w:cs="Times New Roman" w:eastAsia="Times New Roman" w:hint="default"/>
        </w:rPr>
        <w:t>- </w:t>
      </w:r>
      <w:r>
        <w:rPr/>
        <w:t>суфицит за пренос у наредну годину, наменски је опредељен за наредну годину у износу од 22.303 хиљаде динара и на нераспоређени вишак прихода и примања за пренос у наредну годину у износу од 26 хиљада</w:t>
      </w:r>
      <w:r>
        <w:rPr>
          <w:spacing w:val="-18"/>
        </w:rPr>
        <w:t> </w:t>
      </w:r>
      <w:r>
        <w:rPr/>
        <w:t>динара.</w:t>
      </w:r>
    </w:p>
    <w:p>
      <w:pPr>
        <w:pStyle w:val="Heading1"/>
        <w:spacing w:line="275" w:lineRule="exact"/>
        <w:ind w:right="141"/>
        <w:jc w:val="left"/>
        <w:rPr>
          <w:b w:val="0"/>
          <w:bCs w:val="0"/>
        </w:rPr>
      </w:pPr>
      <w:r>
        <w:rPr/>
        <w:t>На основу ревизије узоркованих података утврђено</w:t>
      </w:r>
      <w:r>
        <w:rPr>
          <w:spacing w:val="-17"/>
        </w:rPr>
        <w:t> </w:t>
      </w:r>
      <w:r>
        <w:rPr/>
        <w:t>је:</w:t>
      </w:r>
      <w:r>
        <w:rPr>
          <w:b w:val="0"/>
        </w:rPr>
      </w:r>
    </w:p>
    <w:p>
      <w:pPr>
        <w:pStyle w:val="BodyText"/>
        <w:spacing w:line="240" w:lineRule="auto"/>
        <w:ind w:right="174" w:firstLine="14"/>
        <w:jc w:val="both"/>
      </w:pPr>
      <w:r>
        <w:rPr>
          <w:rFonts w:ascii="Symbol" w:hAnsi="Symbol" w:cs="Symbol" w:eastAsia="Symbol" w:hint="default"/>
          <w:spacing w:val="8"/>
        </w:rPr>
        <w:t></w:t>
      </w:r>
      <w:r>
        <w:rPr>
          <w:spacing w:val="8"/>
        </w:rPr>
        <w:t>У </w:t>
      </w:r>
      <w:r>
        <w:rPr/>
        <w:t>Обрасцу </w:t>
      </w:r>
      <w:r>
        <w:rPr>
          <w:rFonts w:ascii="Times New Roman" w:hAnsi="Times New Roman" w:cs="Times New Roman" w:eastAsia="Times New Roman" w:hint="default"/>
        </w:rPr>
        <w:t>2, </w:t>
      </w:r>
      <w:r>
        <w:rPr/>
        <w:t>Текући приходи исказани су у мањем износу за </w:t>
      </w:r>
      <w:r>
        <w:rPr>
          <w:rFonts w:ascii="Times New Roman" w:hAnsi="Times New Roman" w:cs="Times New Roman" w:eastAsia="Times New Roman" w:hint="default"/>
        </w:rPr>
        <w:t>21.027 </w:t>
      </w:r>
      <w:r>
        <w:rPr/>
        <w:t>хиљада динара из разлога што нису евидентирани приходи који су уплаћени на подрачуне за пројекте, и то: износ од 6.489 хиљада динара од Комесаријата за избеглице, миграције Републике Србије и износ од 2.593 хиљаде динара од Бугарске за Пројекат „</w:t>
      </w:r>
      <w:r>
        <w:rPr>
          <w:rFonts w:ascii="Times New Roman" w:hAnsi="Times New Roman" w:cs="Times New Roman" w:eastAsia="Times New Roman" w:hint="default"/>
        </w:rPr>
        <w:t>Eco-milk</w:t>
      </w:r>
      <w:r>
        <w:rPr/>
        <w:t>“</w:t>
      </w:r>
      <w:r>
        <w:rPr>
          <w:rFonts w:ascii="Times New Roman" w:hAnsi="Times New Roman" w:cs="Times New Roman" w:eastAsia="Times New Roman" w:hint="default"/>
        </w:rPr>
        <w:t>, </w:t>
      </w:r>
      <w:r>
        <w:rPr/>
        <w:t>и у износу од 11.945 хиљада динара за Пројекат „Имовина локалних самоуправа у процесу ЕУ интеграција“</w:t>
      </w:r>
      <w:r>
        <w:rPr>
          <w:rFonts w:ascii="Times New Roman" w:hAnsi="Times New Roman" w:cs="Times New Roman" w:eastAsia="Times New Roman" w:hint="default"/>
        </w:rPr>
        <w:t>, </w:t>
      </w:r>
      <w:r>
        <w:rPr/>
        <w:t>што је супротно члану 9. Уредбе о буџетском</w:t>
      </w:r>
      <w:r>
        <w:rPr>
          <w:spacing w:val="-19"/>
        </w:rPr>
        <w:t> </w:t>
      </w:r>
      <w:r>
        <w:rPr/>
        <w:t>рачуноводству.</w:t>
      </w:r>
    </w:p>
    <w:p>
      <w:pPr>
        <w:pStyle w:val="BodyText"/>
        <w:spacing w:line="240" w:lineRule="auto" w:before="2"/>
        <w:ind w:right="173" w:firstLine="14"/>
        <w:jc w:val="both"/>
      </w:pPr>
      <w:r>
        <w:rPr>
          <w:rFonts w:ascii="Symbol" w:hAnsi="Symbol" w:cs="Symbol" w:eastAsia="Symbol" w:hint="default"/>
          <w:spacing w:val="8"/>
        </w:rPr>
        <w:t></w:t>
      </w:r>
      <w:r>
        <w:rPr>
          <w:spacing w:val="8"/>
        </w:rPr>
        <w:t>У </w:t>
      </w:r>
      <w:r>
        <w:rPr/>
        <w:t>Обрасцу </w:t>
      </w:r>
      <w:r>
        <w:rPr>
          <w:rFonts w:ascii="Times New Roman" w:hAnsi="Times New Roman" w:cs="Times New Roman" w:eastAsia="Times New Roman" w:hint="default"/>
        </w:rPr>
        <w:t>2, </w:t>
      </w:r>
      <w:r>
        <w:rPr/>
        <w:t>Текући расходи и издаци за нефинансијску имовину су мање исказани у укупном износу за 25.</w:t>
      </w:r>
      <w:r>
        <w:rPr>
          <w:rFonts w:ascii="Times New Roman" w:hAnsi="Times New Roman" w:cs="Times New Roman" w:eastAsia="Times New Roman" w:hint="default"/>
        </w:rPr>
        <w:t>795 </w:t>
      </w:r>
      <w:r>
        <w:rPr/>
        <w:t>хиљада динара из разлога што нису евидентирани расходи и издаци који су исплаћени са подрачуна за пројекте, и то: износ од 434 хиљаде динара по пројекту  са  Комесаријатом  за  избеглице,  износ  од  990  хиљада  динара  за    </w:t>
      </w:r>
      <w:r>
        <w:rPr>
          <w:spacing w:val="15"/>
        </w:rPr>
        <w:t> </w:t>
      </w:r>
      <w:r>
        <w:rPr/>
        <w:t>Пројекат</w:t>
      </w:r>
    </w:p>
    <w:p>
      <w:pPr>
        <w:spacing w:after="0" w:line="240" w:lineRule="auto"/>
        <w:jc w:val="both"/>
        <w:sectPr>
          <w:pgSz w:w="12240" w:h="15840"/>
          <w:pgMar w:header="740" w:footer="1274" w:top="1280" w:bottom="1460" w:left="1400" w:right="1260"/>
        </w:sectPr>
      </w:pPr>
    </w:p>
    <w:p>
      <w:pPr>
        <w:pStyle w:val="BodyText"/>
        <w:spacing w:line="240" w:lineRule="auto" w:before="122"/>
        <w:ind w:right="173"/>
        <w:jc w:val="both"/>
      </w:pPr>
      <w:r>
        <w:rPr/>
        <w:t>„Држава</w:t>
      </w:r>
      <w:r>
        <w:rPr>
          <w:rFonts w:ascii="Times New Roman" w:hAnsi="Times New Roman" w:cs="Times New Roman" w:eastAsia="Times New Roman" w:hint="default"/>
        </w:rPr>
        <w:t>-</w:t>
      </w:r>
      <w:r>
        <w:rPr/>
        <w:t>Црква</w:t>
      </w:r>
      <w:r>
        <w:rPr>
          <w:rFonts w:ascii="Times New Roman" w:hAnsi="Times New Roman" w:cs="Times New Roman" w:eastAsia="Times New Roman" w:hint="default"/>
        </w:rPr>
        <w:t>-</w:t>
      </w:r>
      <w:r>
        <w:rPr/>
        <w:t>Друштво“, износ од 1.702 хиљаде динара за Пројекат „1700 година Миланског едикта“, износ од 3.209 хиљада динара за пројекат са Бугарском „</w:t>
      </w:r>
      <w:r>
        <w:rPr>
          <w:rFonts w:ascii="Times New Roman" w:hAnsi="Times New Roman" w:cs="Times New Roman" w:eastAsia="Times New Roman" w:hint="default"/>
        </w:rPr>
        <w:t>Eco-milk</w:t>
      </w:r>
      <w:r>
        <w:rPr/>
        <w:t>“ и износ од 19.</w:t>
      </w:r>
      <w:r>
        <w:rPr>
          <w:rFonts w:ascii="Times New Roman" w:hAnsi="Times New Roman" w:cs="Times New Roman" w:eastAsia="Times New Roman" w:hint="default"/>
        </w:rPr>
        <w:t>568 </w:t>
      </w:r>
      <w:r>
        <w:rPr/>
        <w:t>хиљада динара за изградњу социјалних станова од Републичке агенције  за социјално становање, а више су евидентирани расходи у износу од 108 хиљада дианра код ПУ Пчелица што није у складу са чланом 9. Уредбе о буџетском</w:t>
      </w:r>
      <w:r>
        <w:rPr>
          <w:spacing w:val="-23"/>
        </w:rPr>
        <w:t> </w:t>
      </w:r>
      <w:r>
        <w:rPr/>
        <w:t>рачуноводству.</w:t>
      </w:r>
    </w:p>
    <w:p>
      <w:pPr>
        <w:pStyle w:val="ListParagraph"/>
        <w:numPr>
          <w:ilvl w:val="0"/>
          <w:numId w:val="9"/>
        </w:numPr>
        <w:tabs>
          <w:tab w:pos="341" w:val="left" w:leader="none"/>
        </w:tabs>
        <w:spacing w:line="240" w:lineRule="auto" w:before="2" w:after="0"/>
        <w:ind w:left="160" w:right="176" w:firstLine="14"/>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Обрасцу </w:t>
      </w:r>
      <w:r>
        <w:rPr>
          <w:rFonts w:ascii="Times New Roman" w:hAnsi="Times New Roman" w:cs="Times New Roman" w:eastAsia="Times New Roman" w:hint="default"/>
          <w:sz w:val="24"/>
          <w:szCs w:val="24"/>
        </w:rPr>
        <w:t>2</w:t>
      </w:r>
      <w:r>
        <w:rPr>
          <w:rFonts w:ascii="Times New Roman" w:hAnsi="Times New Roman" w:cs="Times New Roman" w:eastAsia="Times New Roman" w:hint="default"/>
          <w:sz w:val="24"/>
          <w:szCs w:val="24"/>
        </w:rPr>
        <w:t>, мање су исказани расходи на класи 400000, за износ од 1.650 хиљада динара, због погрешно евидентираних субвенција датих Слободној зони „Југ“ доо на класи 600000 – издаци за отплату главнице и набавку финансијске имовине, што је супротно члану 9. Уредбе о буџетском рачуноводству и Правилника о стандардном класификационом оквиру и контном плану за буџетски</w:t>
      </w:r>
      <w:r>
        <w:rPr>
          <w:rFonts w:ascii="Times New Roman" w:hAnsi="Times New Roman" w:cs="Times New Roman" w:eastAsia="Times New Roman" w:hint="default"/>
          <w:spacing w:val="-31"/>
          <w:sz w:val="24"/>
          <w:szCs w:val="24"/>
        </w:rPr>
        <w:t> </w:t>
      </w:r>
      <w:r>
        <w:rPr>
          <w:rFonts w:ascii="Times New Roman" w:hAnsi="Times New Roman" w:cs="Times New Roman" w:eastAsia="Times New Roman" w:hint="default"/>
          <w:sz w:val="24"/>
          <w:szCs w:val="24"/>
        </w:rPr>
        <w:t>систем.</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Обрасцу 2, на ОП 2353 – износ приватизационих примања и примања од отплате датих кредита коришћен за покриће расхода и издатака текуће године исказан је у мањем износу за 34.484 хиљаде динара, јер је за поменути износ мање исказано примање по основу отплате датих кредита (ЈКП </w:t>
      </w:r>
      <w:r>
        <w:rPr>
          <w:rFonts w:ascii="Times New Roman" w:hAnsi="Times New Roman" w:cs="Times New Roman" w:eastAsia="Times New Roman" w:hint="default"/>
          <w:sz w:val="24"/>
          <w:szCs w:val="24"/>
        </w:rPr>
        <w:t>Naissus </w:t>
      </w:r>
      <w:r>
        <w:rPr>
          <w:rFonts w:ascii="Times New Roman" w:hAnsi="Times New Roman" w:cs="Times New Roman" w:eastAsia="Times New Roman" w:hint="default"/>
          <w:sz w:val="24"/>
          <w:szCs w:val="24"/>
        </w:rPr>
        <w:t>је у 2014. години уплатио износ од 108.878 хиљада динара, а исказано је примање у износу од 74.394 хиљаде динара), што је супротно Правилнику о начину припреме, састављања и подношења финансијских извештаја корисника буџетских средстава и корисника средстава организација  за обавезно социјално осигурање и буџетских</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фондова</w:t>
      </w:r>
      <w:r>
        <w:rPr>
          <w:rFonts w:ascii="Times New Roman" w:hAnsi="Times New Roman" w:cs="Times New Roman" w:eastAsia="Times New Roman" w:hint="default"/>
          <w:sz w:val="24"/>
          <w:szCs w:val="24"/>
        </w:rPr>
        <w:t>.</w:t>
      </w:r>
    </w:p>
    <w:p>
      <w:pPr>
        <w:pStyle w:val="ListParagraph"/>
        <w:numPr>
          <w:ilvl w:val="0"/>
          <w:numId w:val="9"/>
        </w:numPr>
        <w:tabs>
          <w:tab w:pos="341" w:val="left" w:leader="none"/>
        </w:tabs>
        <w:spacing w:line="240" w:lineRule="auto" w:before="2" w:after="0"/>
        <w:ind w:left="160" w:right="171" w:firstLine="0"/>
        <w:jc w:val="both"/>
        <w:rPr>
          <w:rFonts w:ascii="Times New Roman" w:hAnsi="Times New Roman" w:cs="Times New Roman" w:eastAsia="Times New Roman" w:hint="default"/>
          <w:sz w:val="24"/>
          <w:szCs w:val="24"/>
        </w:rPr>
      </w:pPr>
      <w:r>
        <w:rPr>
          <w:rFonts w:ascii="Times New Roman" w:hAnsi="Times New Roman"/>
          <w:sz w:val="24"/>
        </w:rPr>
        <w:t>Вишак прихода и примања</w:t>
      </w:r>
      <w:r>
        <w:rPr>
          <w:rFonts w:ascii="Times New Roman" w:hAnsi="Times New Roman"/>
          <w:sz w:val="24"/>
        </w:rPr>
        <w:t>-</w:t>
      </w:r>
      <w:r>
        <w:rPr>
          <w:rFonts w:ascii="Times New Roman" w:hAnsi="Times New Roman"/>
          <w:sz w:val="24"/>
        </w:rPr>
        <w:t>суфицит мање је исказан у износу од </w:t>
      </w:r>
      <w:r>
        <w:rPr>
          <w:rFonts w:ascii="Times New Roman" w:hAnsi="Times New Roman"/>
          <w:sz w:val="24"/>
        </w:rPr>
        <w:t>72.787 </w:t>
      </w:r>
      <w:r>
        <w:rPr>
          <w:rFonts w:ascii="Times New Roman" w:hAnsi="Times New Roman"/>
          <w:sz w:val="24"/>
        </w:rPr>
        <w:t>хиљада динара, због неевидентираних подрачуна и неевидентираних средства примљених на девизном рачуну, средстава неевидентираних у девизној благајни (у Управи за финансије) и средства у динарској благајни код индиректних корисника, што је супротно Правилнику о начину припреме, састављања и подношења финансијских извештаја корисника буџетских средстава</w:t>
      </w:r>
      <w:r>
        <w:rPr>
          <w:rFonts w:ascii="Times New Roman" w:hAnsi="Times New Roman"/>
          <w:sz w:val="24"/>
        </w:rPr>
        <w:t>, </w:t>
      </w:r>
      <w:r>
        <w:rPr>
          <w:rFonts w:ascii="Times New Roman" w:hAnsi="Times New Roman"/>
          <w:sz w:val="24"/>
        </w:rPr>
        <w:t>корисника средстава организација за обавезно социјално осигурање и буџетских</w:t>
      </w:r>
      <w:r>
        <w:rPr>
          <w:rFonts w:ascii="Times New Roman" w:hAnsi="Times New Roman"/>
          <w:spacing w:val="-4"/>
          <w:sz w:val="24"/>
        </w:rPr>
        <w:t> </w:t>
      </w:r>
      <w:r>
        <w:rPr>
          <w:rFonts w:ascii="Times New Roman" w:hAnsi="Times New Roman"/>
          <w:sz w:val="24"/>
        </w:rPr>
        <w:t>фондова</w:t>
      </w:r>
      <w:r>
        <w:rPr>
          <w:rFonts w:ascii="Times New Roman" w:hAnsi="Times New Roman"/>
          <w:sz w:val="24"/>
        </w:rPr>
        <w:t>.</w:t>
      </w:r>
    </w:p>
    <w:p>
      <w:pPr>
        <w:pStyle w:val="Heading2"/>
        <w:spacing w:line="240" w:lineRule="auto"/>
        <w:ind w:right="173"/>
        <w:jc w:val="both"/>
        <w:rPr>
          <w:b w:val="0"/>
          <w:bCs w:val="0"/>
          <w:i w:val="0"/>
        </w:rPr>
      </w:pPr>
      <w:r>
        <w:rPr>
          <w:i/>
        </w:rPr>
        <w:t>Препоручује се одговорним лицима да обезбеде правилну примену Правилника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буџетских фондова, да евидентирају средства на свим подрачунима буџета града у складу са Уредбом о буџетском</w:t>
      </w:r>
      <w:r>
        <w:rPr>
          <w:i/>
          <w:spacing w:val="-15"/>
        </w:rPr>
        <w:t> </w:t>
      </w:r>
      <w:r>
        <w:rPr>
          <w:i/>
        </w:rPr>
        <w:t>рачуноводству.</w:t>
      </w:r>
      <w:r>
        <w:rPr>
          <w:b w:val="0"/>
          <w:i w:val="0"/>
        </w:rPr>
      </w:r>
    </w:p>
    <w:p>
      <w:pPr>
        <w:spacing w:line="240" w:lineRule="auto" w:before="4"/>
        <w:rPr>
          <w:rFonts w:ascii="Times New Roman" w:hAnsi="Times New Roman" w:cs="Times New Roman" w:eastAsia="Times New Roman" w:hint="default"/>
          <w:b/>
          <w:bCs/>
          <w:i/>
          <w:sz w:val="23"/>
          <w:szCs w:val="23"/>
        </w:rPr>
      </w:pPr>
    </w:p>
    <w:p>
      <w:pPr>
        <w:pStyle w:val="Heading1"/>
        <w:spacing w:line="274" w:lineRule="exact" w:before="0"/>
        <w:ind w:left="160" w:right="0"/>
        <w:jc w:val="both"/>
        <w:rPr>
          <w:rFonts w:ascii="Times New Roman" w:hAnsi="Times New Roman" w:cs="Times New Roman" w:eastAsia="Times New Roman" w:hint="default"/>
          <w:b w:val="0"/>
          <w:bCs w:val="0"/>
        </w:rPr>
      </w:pPr>
      <w:bookmarkStart w:name="_bookmark52" w:id="91"/>
      <w:bookmarkEnd w:id="91"/>
      <w:r>
        <w:rPr>
          <w:b w:val="0"/>
          <w:bCs w:val="0"/>
        </w:rPr>
      </w:r>
      <w:r>
        <w:rPr>
          <w:rFonts w:ascii="Times New Roman" w:hAnsi="Times New Roman" w:cs="Times New Roman" w:eastAsia="Times New Roman" w:hint="default"/>
        </w:rPr>
        <w:t>4.3    </w:t>
      </w:r>
      <w:r>
        <w:rPr/>
        <w:t>Биланс стања – Образац </w:t>
      </w:r>
      <w:r>
        <w:rPr>
          <w:spacing w:val="21"/>
        </w:rPr>
        <w:t> </w:t>
      </w:r>
      <w:r>
        <w:rPr>
          <w:rFonts w:ascii="Times New Roman" w:hAnsi="Times New Roman" w:cs="Times New Roman" w:eastAsia="Times New Roman" w:hint="default"/>
        </w:rPr>
        <w:t>1</w:t>
      </w:r>
      <w:r>
        <w:rPr>
          <w:rFonts w:ascii="Times New Roman" w:hAnsi="Times New Roman" w:cs="Times New Roman" w:eastAsia="Times New Roman" w:hint="default"/>
          <w:b w:val="0"/>
          <w:bCs w:val="0"/>
        </w:rPr>
      </w:r>
    </w:p>
    <w:p>
      <w:pPr>
        <w:pStyle w:val="BodyText"/>
        <w:spacing w:line="276" w:lineRule="exact" w:before="1"/>
        <w:ind w:right="177" w:firstLine="566"/>
        <w:jc w:val="both"/>
      </w:pPr>
      <w:r>
        <w:rPr/>
        <w:t>Биланс стања </w:t>
      </w:r>
      <w:r>
        <w:rPr>
          <w:rFonts w:ascii="Times New Roman" w:hAnsi="Times New Roman"/>
        </w:rPr>
        <w:t>- </w:t>
      </w:r>
      <w:r>
        <w:rPr/>
        <w:t>Образац 1 представља један од прописаних образаца из садржаја Завршног рачуна који су дефинисани чланом 79. Закона о буџетском систему, чланом 7. Уредбе о буџетском рачуноводству и чланом 3. Правилника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буџетских фондова</w:t>
      </w:r>
      <w:r>
        <w:rPr>
          <w:rFonts w:ascii="Times New Roman" w:hAnsi="Times New Roman"/>
          <w:position w:val="11"/>
          <w:sz w:val="16"/>
        </w:rPr>
        <w:t>73</w:t>
      </w:r>
      <w:r>
        <w:rPr/>
        <w:t>. У Билансу стања су исказане билансне позиције које одражавају стање имовине, обавеза и капитала на дан 31.12. године за коју се</w:t>
      </w:r>
      <w:r>
        <w:rPr>
          <w:spacing w:val="-22"/>
        </w:rPr>
        <w:t> </w:t>
      </w:r>
      <w:r>
        <w:rPr/>
        <w:t>састaвља.</w:t>
      </w:r>
    </w:p>
    <w:p>
      <w:pPr>
        <w:pStyle w:val="BodyText"/>
        <w:spacing w:line="240" w:lineRule="auto"/>
        <w:ind w:right="175" w:firstLine="566"/>
        <w:jc w:val="both"/>
      </w:pPr>
      <w:r>
        <w:rPr/>
        <w:t>У поступку ревизије података исказаних у обрасцу Биланс стања на дан 31.12.201</w:t>
      </w:r>
      <w:r>
        <w:rPr>
          <w:rFonts w:ascii="Times New Roman" w:hAnsi="Times New Roman"/>
        </w:rPr>
        <w:t>4. </w:t>
      </w:r>
      <w:r>
        <w:rPr/>
        <w:t>године извршена је провера почетног стања. Провера је извршена поређењем података исказаних у Билансу стања на дан 31.12.201</w:t>
      </w:r>
      <w:r>
        <w:rPr>
          <w:rFonts w:ascii="Times New Roman" w:hAnsi="Times New Roman"/>
        </w:rPr>
        <w:t>4</w:t>
      </w:r>
      <w:r>
        <w:rPr/>
        <w:t>. године у колони 4, износ из претходне године (почетно стање) са подацима исказаним у обрасцу Биланс стања на  дан </w:t>
      </w:r>
      <w:r>
        <w:rPr>
          <w:rFonts w:ascii="Times New Roman" w:hAnsi="Times New Roman"/>
        </w:rPr>
        <w:t>31.12.2013</w:t>
      </w:r>
      <w:r>
        <w:rPr/>
        <w:t>.</w:t>
      </w:r>
      <w:r>
        <w:rPr>
          <w:spacing w:val="-1"/>
        </w:rPr>
        <w:t> </w:t>
      </w:r>
      <w:r>
        <w:rPr/>
        <w:t>године.</w:t>
      </w:r>
    </w:p>
    <w:p>
      <w:pPr>
        <w:spacing w:line="240" w:lineRule="auto" w:before="0"/>
        <w:rPr>
          <w:rFonts w:ascii="Times New Roman" w:hAnsi="Times New Roman" w:cs="Times New Roman" w:eastAsia="Times New Roman" w:hint="default"/>
          <w:sz w:val="20"/>
          <w:szCs w:val="20"/>
        </w:rPr>
      </w:pPr>
    </w:p>
    <w:p>
      <w:pPr>
        <w:spacing w:line="240" w:lineRule="auto" w:before="9"/>
        <w:rPr>
          <w:rFonts w:ascii="Times New Roman" w:hAnsi="Times New Roman" w:cs="Times New Roman" w:eastAsia="Times New Roman" w:hint="default"/>
          <w:sz w:val="15"/>
          <w:szCs w:val="15"/>
        </w:rPr>
      </w:pPr>
      <w:r>
        <w:rPr/>
        <w:pict>
          <v:group style="position:absolute;margin-left:78.024002pt;margin-top:10.325282pt;width:144.050pt;height:.1pt;mso-position-horizontal-relative:page;mso-position-vertical-relative:paragraph;z-index:1912;mso-wrap-distance-left:0;mso-wrap-distance-right:0" coordorigin="1560,207" coordsize="2881,2">
            <v:shape style="position:absolute;left:1560;top:207;width:2881;height:2" coordorigin="1560,207" coordsize="2881,0" path="m1560,207l4441,207e" filled="false" stroked="true" strokeweight=".599980pt" strokecolor="#000000">
              <v:path arrowok="t"/>
            </v:shape>
            <w10:wrap type="topAndBottom"/>
          </v:group>
        </w:pict>
      </w:r>
    </w:p>
    <w:p>
      <w:pPr>
        <w:spacing w:before="52"/>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73 </w:t>
      </w:r>
      <w:r>
        <w:rPr>
          <w:rFonts w:ascii="Times New Roman" w:hAnsi="Times New Roman" w:cs="Times New Roman" w:eastAsia="Times New Roman" w:hint="default"/>
          <w:sz w:val="16"/>
          <w:szCs w:val="16"/>
        </w:rPr>
        <w:t>„Службени гласник Републике Србије“ број</w:t>
      </w:r>
      <w:r>
        <w:rPr>
          <w:rFonts w:ascii="Times New Roman" w:hAnsi="Times New Roman" w:cs="Times New Roman" w:eastAsia="Times New Roman" w:hint="default"/>
          <w:spacing w:val="-6"/>
          <w:sz w:val="16"/>
          <w:szCs w:val="16"/>
        </w:rPr>
        <w:t> </w:t>
      </w:r>
      <w:r>
        <w:rPr>
          <w:rFonts w:ascii="Times New Roman" w:hAnsi="Times New Roman" w:cs="Times New Roman" w:eastAsia="Times New Roman" w:hint="default"/>
          <w:sz w:val="16"/>
          <w:szCs w:val="16"/>
        </w:rPr>
        <w:t>18/2015</w:t>
      </w:r>
    </w:p>
    <w:p>
      <w:pPr>
        <w:spacing w:after="0"/>
        <w:jc w:val="left"/>
        <w:rPr>
          <w:rFonts w:ascii="Times New Roman" w:hAnsi="Times New Roman" w:cs="Times New Roman" w:eastAsia="Times New Roman" w:hint="default"/>
          <w:sz w:val="16"/>
          <w:szCs w:val="16"/>
        </w:rPr>
        <w:sectPr>
          <w:pgSz w:w="12240" w:h="15840"/>
          <w:pgMar w:header="740" w:footer="1274" w:top="1280" w:bottom="1460" w:left="1400" w:right="1260"/>
        </w:sectPr>
      </w:pPr>
    </w:p>
    <w:p>
      <w:pPr>
        <w:pStyle w:val="BodyText"/>
        <w:spacing w:line="240" w:lineRule="auto" w:before="122"/>
        <w:ind w:right="175" w:firstLine="566"/>
        <w:jc w:val="both"/>
      </w:pPr>
      <w:r>
        <w:rPr/>
        <w:t>Нисмо вршили ревизију консолидованих финансијских извештаја завршног рачуна буџета града Ниша за 201</w:t>
      </w:r>
      <w:r>
        <w:rPr>
          <w:rFonts w:ascii="Times New Roman" w:hAnsi="Times New Roman"/>
        </w:rPr>
        <w:t>3</w:t>
      </w:r>
      <w:r>
        <w:rPr/>
        <w:t>. годину, па се не можемо изјаснити о тачности података исказаних у почетном</w:t>
      </w:r>
      <w:r>
        <w:rPr>
          <w:spacing w:val="-16"/>
        </w:rPr>
        <w:t> </w:t>
      </w:r>
      <w:r>
        <w:rPr/>
        <w:t>стању.</w:t>
      </w:r>
    </w:p>
    <w:p>
      <w:pPr>
        <w:pStyle w:val="BodyText"/>
        <w:spacing w:line="240" w:lineRule="auto"/>
        <w:ind w:left="726" w:right="141"/>
        <w:jc w:val="left"/>
        <w:rPr>
          <w:rFonts w:ascii="Times New Roman" w:hAnsi="Times New Roman" w:cs="Times New Roman" w:eastAsia="Times New Roman" w:hint="default"/>
        </w:rPr>
      </w:pPr>
      <w:r>
        <w:rPr/>
        <w:t>Консолидовани Биланс стања на дан 31.12.201</w:t>
      </w:r>
      <w:r>
        <w:rPr>
          <w:rFonts w:ascii="Times New Roman" w:hAnsi="Times New Roman"/>
        </w:rPr>
        <w:t>4. </w:t>
      </w:r>
      <w:r>
        <w:rPr/>
        <w:t>године</w:t>
      </w:r>
      <w:r>
        <w:rPr>
          <w:spacing w:val="-14"/>
        </w:rPr>
        <w:t> </w:t>
      </w:r>
      <w:r>
        <w:rPr/>
        <w:t>обухвата</w:t>
      </w:r>
      <w:r>
        <w:rPr>
          <w:rFonts w:ascii="Times New Roman" w:hAnsi="Times New Roman"/>
        </w:rPr>
        <w:t>:</w:t>
      </w:r>
    </w:p>
    <w:p>
      <w:pPr>
        <w:pStyle w:val="ListParagraph"/>
        <w:numPr>
          <w:ilvl w:val="0"/>
          <w:numId w:val="59"/>
        </w:numPr>
        <w:tabs>
          <w:tab w:pos="444"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консолидоване билансе стања директних корисника буџета Града Ниша који у својој надлежности имају индиректне кориснике буџета града Ниша и то: Управа за дечију, социјалну и примарну здравствену заштиту, Управа за образовање, Управа за културу, Управа за омладину и спорт, Управа за комуналне делатности, енергетику и саобраћај, Управа за планирање и изградњу, Управа за привреду, одрживи развој и заштиту  животне средине, Управа за пољопривреду и развој</w:t>
      </w:r>
      <w:r>
        <w:rPr>
          <w:rFonts w:ascii="Times New Roman" w:hAnsi="Times New Roman"/>
          <w:spacing w:val="-18"/>
          <w:sz w:val="24"/>
        </w:rPr>
        <w:t> </w:t>
      </w:r>
      <w:r>
        <w:rPr>
          <w:rFonts w:ascii="Times New Roman" w:hAnsi="Times New Roman"/>
          <w:sz w:val="24"/>
        </w:rPr>
        <w:t>села;</w:t>
      </w:r>
    </w:p>
    <w:p>
      <w:pPr>
        <w:pStyle w:val="ListParagraph"/>
        <w:numPr>
          <w:ilvl w:val="0"/>
          <w:numId w:val="59"/>
        </w:numPr>
        <w:tabs>
          <w:tab w:pos="444"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билансе стања директних корисника буџета града Ниша који у својој надлежности немају индиректне кориснике буџета и то: Скупштина града, Градоначелник, Градско веће, Заштитник грађана, Градско јавно правобранилаштво, Управа за грађанска стања и опште послове, Управа за финансије, изворне приходе локалне самоуправе и јавне набавке, Управа за имовину и инспекцијске послове, Служба за одржавање и информатичко</w:t>
      </w:r>
      <w:r>
        <w:rPr>
          <w:rFonts w:ascii="Times New Roman" w:hAnsi="Times New Roman"/>
          <w:sz w:val="24"/>
        </w:rPr>
        <w:t>-</w:t>
      </w:r>
      <w:r>
        <w:rPr>
          <w:rFonts w:ascii="Times New Roman" w:hAnsi="Times New Roman"/>
          <w:sz w:val="24"/>
        </w:rPr>
        <w:t>комуникационе технологије</w:t>
      </w:r>
      <w:r>
        <w:rPr>
          <w:rFonts w:ascii="Times New Roman" w:hAnsi="Times New Roman"/>
          <w:spacing w:val="-15"/>
          <w:sz w:val="24"/>
        </w:rPr>
        <w:t> </w:t>
      </w:r>
      <w:r>
        <w:rPr>
          <w:rFonts w:ascii="Times New Roman" w:hAnsi="Times New Roman"/>
          <w:sz w:val="24"/>
        </w:rPr>
        <w:t>и</w:t>
      </w:r>
    </w:p>
    <w:p>
      <w:pPr>
        <w:pStyle w:val="ListParagraph"/>
        <w:numPr>
          <w:ilvl w:val="0"/>
          <w:numId w:val="59"/>
        </w:numPr>
        <w:tabs>
          <w:tab w:pos="444" w:val="left" w:leader="none"/>
        </w:tabs>
        <w:spacing w:line="240" w:lineRule="auto" w:before="0" w:after="0"/>
        <w:ind w:left="443" w:right="0" w:hanging="283"/>
        <w:jc w:val="both"/>
        <w:rPr>
          <w:rFonts w:ascii="Times New Roman" w:hAnsi="Times New Roman" w:cs="Times New Roman" w:eastAsia="Times New Roman" w:hint="default"/>
          <w:sz w:val="24"/>
          <w:szCs w:val="24"/>
        </w:rPr>
      </w:pPr>
      <w:r>
        <w:rPr>
          <w:rFonts w:ascii="Times New Roman" w:hAnsi="Times New Roman"/>
          <w:sz w:val="24"/>
        </w:rPr>
        <w:t>биланс стања који се не односи на конкретног корисника већ на град</w:t>
      </w:r>
      <w:r>
        <w:rPr>
          <w:rFonts w:ascii="Times New Roman" w:hAnsi="Times New Roman"/>
          <w:spacing w:val="-23"/>
          <w:sz w:val="24"/>
        </w:rPr>
        <w:t> </w:t>
      </w:r>
      <w:r>
        <w:rPr>
          <w:rFonts w:ascii="Times New Roman" w:hAnsi="Times New Roman"/>
          <w:sz w:val="24"/>
        </w:rPr>
        <w:t>Ниш.</w:t>
      </w:r>
    </w:p>
    <w:p>
      <w:pPr>
        <w:pStyle w:val="BodyText"/>
        <w:spacing w:line="240" w:lineRule="auto"/>
        <w:ind w:right="175" w:firstLine="566"/>
        <w:jc w:val="both"/>
      </w:pPr>
      <w:r>
        <w:rPr/>
        <w:t>Нисмо присуствовали попису имовине и обавеза, jер је спровођење ревизорских поступака почело </w:t>
      </w:r>
      <w:r>
        <w:rPr>
          <w:rFonts w:ascii="Times New Roman" w:hAnsi="Times New Roman"/>
        </w:rPr>
        <w:t>12.02.2015. </w:t>
      </w:r>
      <w:r>
        <w:rPr/>
        <w:t>године. Ревизија је извршена накнадним прегледом пописних листа, извештаја пописних комисија и одлука у вези са</w:t>
      </w:r>
      <w:r>
        <w:rPr>
          <w:spacing w:val="-31"/>
        </w:rPr>
        <w:t> </w:t>
      </w:r>
      <w:r>
        <w:rPr/>
        <w:t>пописом.</w:t>
      </w:r>
    </w:p>
    <w:p>
      <w:pPr>
        <w:pStyle w:val="Heading1"/>
        <w:spacing w:line="274"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2" w:firstLine="0"/>
        <w:jc w:val="both"/>
        <w:rPr>
          <w:rFonts w:ascii="Times New Roman" w:hAnsi="Times New Roman" w:cs="Times New Roman" w:eastAsia="Times New Roman" w:hint="default"/>
          <w:sz w:val="22"/>
          <w:szCs w:val="22"/>
        </w:rPr>
      </w:pPr>
      <w:r>
        <w:rPr>
          <w:rFonts w:ascii="Times New Roman" w:hAnsi="Times New Roman" w:cs="Times New Roman" w:eastAsia="Times New Roman" w:hint="default"/>
          <w:sz w:val="24"/>
          <w:szCs w:val="24"/>
        </w:rPr>
        <w:t>Податак унет у колону 4. који се односи на стање из претходне године не одговара податку исказаном у обрасцу Биланса стања на дан 31.12.2013. године у колони на контима 100000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финансијска имовина, 351000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ванбилансна актива, 230000 – обавезе  по основу расхода за запослене, 291300 – обрачунати ненаплаћени приходи и примања, јер су неправилно сабирани износи при састављању биланса стања на дан 31.12.2013. године, што је супротно Правилнику о начину припреме, састављања и подношења финансијских извештаја корисника буџетских средстава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корисника средстава организација за обавезно социјално осигурање и буџетских</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фондова.</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У колони </w:t>
      </w:r>
      <w:r>
        <w:rPr>
          <w:rFonts w:ascii="Times New Roman" w:hAnsi="Times New Roman"/>
          <w:sz w:val="24"/>
        </w:rPr>
        <w:t>5-</w:t>
      </w:r>
      <w:r>
        <w:rPr>
          <w:rFonts w:ascii="Times New Roman" w:hAnsi="Times New Roman"/>
          <w:sz w:val="24"/>
        </w:rPr>
        <w:t>бруто износ и колони </w:t>
      </w:r>
      <w:r>
        <w:rPr>
          <w:rFonts w:ascii="Times New Roman" w:hAnsi="Times New Roman"/>
          <w:sz w:val="24"/>
        </w:rPr>
        <w:t>6-</w:t>
      </w:r>
      <w:r>
        <w:rPr>
          <w:rFonts w:ascii="Times New Roman" w:hAnsi="Times New Roman"/>
          <w:sz w:val="24"/>
        </w:rPr>
        <w:t>исправка вредности текуће године унети су подаци који одговарају промету дуговне и потражне стране конта на крају периода, у билансима стања свих директних корисника као и у консолидованом билансу стања града а не преузимањем стања са конта на крају периода за који се обрачун саставља, што је супротно члану 6. Правилника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буџетских</w:t>
      </w:r>
      <w:r>
        <w:rPr>
          <w:rFonts w:ascii="Times New Roman" w:hAnsi="Times New Roman"/>
          <w:spacing w:val="-23"/>
          <w:sz w:val="24"/>
        </w:rPr>
        <w:t> </w:t>
      </w:r>
      <w:r>
        <w:rPr>
          <w:rFonts w:ascii="Times New Roman" w:hAnsi="Times New Roman"/>
          <w:sz w:val="24"/>
        </w:rPr>
        <w:t>фондова.</w:t>
      </w:r>
    </w:p>
    <w:p>
      <w:pPr>
        <w:pStyle w:val="ListParagraph"/>
        <w:numPr>
          <w:ilvl w:val="0"/>
          <w:numId w:val="9"/>
        </w:numPr>
        <w:tabs>
          <w:tab w:pos="303" w:val="left" w:leader="none"/>
        </w:tabs>
        <w:spacing w:line="232" w:lineRule="auto" w:before="9"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У Биланс стања града Ниша исказан је већи део имовине града, уместо у билансу стања Управе под чијом је надлежношћу управљање појединим деловима имовине. Одлуком о прибављању, располагању и управљању стварима у јавној својини града  Ниша</w:t>
      </w:r>
      <w:r>
        <w:rPr>
          <w:rFonts w:ascii="Times New Roman" w:hAnsi="Times New Roman"/>
          <w:position w:val="11"/>
          <w:sz w:val="16"/>
        </w:rPr>
        <w:t>74  </w:t>
      </w:r>
      <w:r>
        <w:rPr>
          <w:rFonts w:ascii="Times New Roman" w:hAnsi="Times New Roman"/>
          <w:sz w:val="24"/>
        </w:rPr>
        <w:t>одређено је да непокретним стварима у јавној својини Града управља управа надлежна за имовину града  Ниша,  а то је Управа за имовину и инспекцијске послове,  а  у    </w:t>
      </w:r>
      <w:r>
        <w:rPr>
          <w:rFonts w:ascii="Times New Roman" w:hAnsi="Times New Roman"/>
          <w:spacing w:val="3"/>
          <w:sz w:val="24"/>
        </w:rPr>
        <w:t> </w:t>
      </w:r>
      <w:r>
        <w:rPr>
          <w:rFonts w:ascii="Times New Roman" w:hAnsi="Times New Roman"/>
          <w:sz w:val="24"/>
        </w:rPr>
        <w:t>Билансу</w:t>
      </w:r>
    </w:p>
    <w:p>
      <w:pPr>
        <w:pStyle w:val="BodyText"/>
        <w:spacing w:line="240" w:lineRule="auto" w:before="1"/>
        <w:ind w:right="175"/>
        <w:jc w:val="both"/>
      </w:pPr>
      <w:r>
        <w:rPr/>
        <w:t>стања Управе за имовину није исказана вредност нефинансијске имовине. Такође, Одлуком о прибављању, располагању и управљању стварима у јавној својини  града Ниша одређено је да покретним стварима у јавној својини, осим новца и хартија од вредности,   управља   Служба   града   Ниша  надлежна  за  одржавање  и </w:t>
      </w:r>
      <w:r>
        <w:rPr>
          <w:spacing w:val="28"/>
        </w:rPr>
        <w:t> </w:t>
      </w:r>
      <w:r>
        <w:rPr/>
        <w:t>информатичко</w:t>
      </w:r>
    </w:p>
    <w:p>
      <w:pPr>
        <w:spacing w:after="0" w:line="240" w:lineRule="auto"/>
        <w:jc w:val="both"/>
        <w:sectPr>
          <w:footerReference w:type="default" r:id="rId81"/>
          <w:pgSz w:w="12240" w:h="15840"/>
          <w:pgMar w:footer="1610" w:header="740" w:top="1280" w:bottom="1800" w:left="1400" w:right="1260"/>
          <w:pgNumType w:start="227"/>
        </w:sectPr>
      </w:pPr>
    </w:p>
    <w:p>
      <w:pPr>
        <w:pStyle w:val="BodyText"/>
        <w:spacing w:line="240" w:lineRule="auto" w:before="122"/>
        <w:ind w:right="186"/>
        <w:jc w:val="both"/>
      </w:pPr>
      <w:r>
        <w:rPr/>
        <w:t>комуникационе технологије, док је покретна имовина исказана у билансима стања код више</w:t>
      </w:r>
      <w:r>
        <w:rPr>
          <w:spacing w:val="-4"/>
        </w:rPr>
        <w:t> </w:t>
      </w:r>
      <w:r>
        <w:rPr/>
        <w:t>Управа.</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ЈП „Градска стамбена агенција“ у 2013. години од </w:t>
      </w:r>
      <w:r>
        <w:rPr>
          <w:rFonts w:ascii="Times New Roman" w:hAnsi="Times New Roman" w:cs="Times New Roman" w:eastAsia="Times New Roman" w:hint="default"/>
          <w:sz w:val="24"/>
          <w:szCs w:val="24"/>
        </w:rPr>
        <w:t>01.0</w:t>
      </w:r>
      <w:r>
        <w:rPr>
          <w:rFonts w:ascii="Times New Roman" w:hAnsi="Times New Roman" w:cs="Times New Roman" w:eastAsia="Times New Roman" w:hint="default"/>
          <w:sz w:val="24"/>
          <w:szCs w:val="24"/>
        </w:rPr>
        <w:t>5.2013. године, од када је постала индиректни корисник буџета града до 31.12.2013. године, није водила пословне књиге по контном плану за буџетски систем, већ по контном плану за привредна друштва, задруге, друга правна лица и предузетнике, што је супротно члану 29. Закона о буџетском систему.</w:t>
      </w:r>
    </w:p>
    <w:p>
      <w:pPr>
        <w:pStyle w:val="ListParagraph"/>
        <w:numPr>
          <w:ilvl w:val="0"/>
          <w:numId w:val="9"/>
        </w:numPr>
        <w:tabs>
          <w:tab w:pos="303" w:val="left" w:leader="none"/>
        </w:tabs>
        <w:spacing w:line="240" w:lineRule="auto" w:before="2" w:after="0"/>
        <w:ind w:left="160" w:right="171" w:firstLine="0"/>
        <w:jc w:val="both"/>
        <w:rPr>
          <w:rFonts w:ascii="Times New Roman" w:hAnsi="Times New Roman" w:cs="Times New Roman" w:eastAsia="Times New Roman" w:hint="default"/>
          <w:sz w:val="24"/>
          <w:szCs w:val="24"/>
        </w:rPr>
      </w:pPr>
      <w:r>
        <w:rPr>
          <w:rFonts w:ascii="Times New Roman" w:hAnsi="Times New Roman"/>
          <w:sz w:val="24"/>
        </w:rPr>
        <w:t>Биланс стања Регионалног центра за професионални развој запослених у образовању исказује стање потраживања и обавеза из 2014. године, а не стање потраживања и обавеза на дан 31.12.2014. године, што је супротно Правилнику о начину припреме, састављања и подношења финансијских извештаја корисника буџетских средстава</w:t>
      </w:r>
      <w:r>
        <w:rPr>
          <w:rFonts w:ascii="Times New Roman" w:hAnsi="Times New Roman"/>
          <w:sz w:val="24"/>
        </w:rPr>
        <w:t>, </w:t>
      </w:r>
      <w:r>
        <w:rPr>
          <w:rFonts w:ascii="Times New Roman" w:hAnsi="Times New Roman"/>
          <w:sz w:val="24"/>
        </w:rPr>
        <w:t>корисника средстава организација за обавезно социјално осигурање и буџетских</w:t>
      </w:r>
      <w:r>
        <w:rPr>
          <w:rFonts w:ascii="Times New Roman" w:hAnsi="Times New Roman"/>
          <w:spacing w:val="-22"/>
          <w:sz w:val="24"/>
        </w:rPr>
        <w:t> </w:t>
      </w:r>
      <w:r>
        <w:rPr>
          <w:rFonts w:ascii="Times New Roman" w:hAnsi="Times New Roman"/>
          <w:sz w:val="24"/>
        </w:rPr>
        <w:t>фондова.</w:t>
      </w:r>
    </w:p>
    <w:p>
      <w:pPr>
        <w:pStyle w:val="Heading2"/>
        <w:spacing w:line="240" w:lineRule="auto"/>
        <w:ind w:right="177"/>
        <w:jc w:val="both"/>
        <w:rPr>
          <w:b w:val="0"/>
          <w:bCs w:val="0"/>
          <w:i w:val="0"/>
        </w:rPr>
      </w:pPr>
      <w:r>
        <w:rPr>
          <w:i/>
        </w:rPr>
        <w:t>Препоручује се одговорним лицима да обезбеде правилну примену одредби Правилника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буџетских фондова и Закона о буџетском</w:t>
      </w:r>
      <w:r>
        <w:rPr>
          <w:i/>
          <w:spacing w:val="-17"/>
        </w:rPr>
        <w:t> </w:t>
      </w:r>
      <w:r>
        <w:rPr>
          <w:i/>
        </w:rPr>
        <w:t>систему.</w:t>
      </w:r>
      <w:r>
        <w:rPr>
          <w:b w:val="0"/>
          <w:i w:val="0"/>
        </w:rPr>
      </w:r>
    </w:p>
    <w:p>
      <w:pPr>
        <w:spacing w:line="240" w:lineRule="auto" w:before="0"/>
        <w:rPr>
          <w:rFonts w:ascii="Times New Roman" w:hAnsi="Times New Roman" w:cs="Times New Roman" w:eastAsia="Times New Roman" w:hint="default"/>
          <w:b/>
          <w:bCs/>
          <w:i/>
          <w:sz w:val="24"/>
          <w:szCs w:val="24"/>
        </w:rPr>
      </w:pPr>
    </w:p>
    <w:p>
      <w:pPr>
        <w:pStyle w:val="Heading1"/>
        <w:spacing w:line="274" w:lineRule="exact" w:before="0"/>
        <w:ind w:left="160" w:right="0"/>
        <w:jc w:val="both"/>
        <w:rPr>
          <w:b w:val="0"/>
          <w:bCs w:val="0"/>
        </w:rPr>
      </w:pPr>
      <w:bookmarkStart w:name="_bookmark53" w:id="92"/>
      <w:bookmarkEnd w:id="92"/>
      <w:r>
        <w:rPr>
          <w:b w:val="0"/>
        </w:rPr>
      </w:r>
      <w:r>
        <w:rPr>
          <w:rFonts w:ascii="Times New Roman" w:hAnsi="Times New Roman"/>
        </w:rPr>
        <w:t>4.3.1  </w:t>
      </w:r>
      <w:r>
        <w:rPr/>
        <w:t>Попис имовине и</w:t>
      </w:r>
      <w:r>
        <w:rPr>
          <w:spacing w:val="-6"/>
        </w:rPr>
        <w:t> </w:t>
      </w:r>
      <w:r>
        <w:rPr/>
        <w:t>обавеза</w:t>
      </w:r>
      <w:r>
        <w:rPr>
          <w:b w:val="0"/>
        </w:rPr>
      </w:r>
    </w:p>
    <w:p>
      <w:pPr>
        <w:pStyle w:val="BodyText"/>
        <w:spacing w:line="240" w:lineRule="auto"/>
        <w:ind w:right="176" w:firstLine="566"/>
        <w:jc w:val="both"/>
      </w:pPr>
      <w:r>
        <w:rPr/>
        <w:t>Чланом 18. став 2. Уредбе о буџетском рачуноводству утврђена је обавеза корисника буџетских средстава да изврше усклађивање стања имовине и обавеза у књиговодственој евиденцији са стварним стањем, односно да изврше попис имовине и обавеза на крају буџетске године, са стањем на дан 31.12. године за коју се врши</w:t>
      </w:r>
      <w:r>
        <w:rPr>
          <w:spacing w:val="-26"/>
        </w:rPr>
        <w:t> </w:t>
      </w:r>
      <w:r>
        <w:rPr/>
        <w:t>попис.</w:t>
      </w:r>
    </w:p>
    <w:p>
      <w:pPr>
        <w:pStyle w:val="BodyText"/>
        <w:spacing w:line="276" w:lineRule="exact" w:before="3"/>
        <w:ind w:right="175"/>
        <w:jc w:val="both"/>
      </w:pPr>
      <w:r>
        <w:rPr/>
        <w:t>Попис регулишу следећи прописи: Уредба о буџетском рачуноводству, Уредба о евиденцији и попису непокретности и других средстава у државној својини</w:t>
      </w:r>
      <w:r>
        <w:rPr>
          <w:rFonts w:ascii="Times New Roman" w:hAnsi="Times New Roman"/>
          <w:position w:val="11"/>
          <w:sz w:val="16"/>
        </w:rPr>
        <w:t>75</w:t>
      </w:r>
      <w:r>
        <w:rPr/>
        <w:t>, Правилник о начину и роковима вршења пописа и усклађивања књиговодственог стања са стварним стањем</w:t>
      </w:r>
      <w:r>
        <w:rPr>
          <w:rFonts w:ascii="Times New Roman" w:hAnsi="Times New Roman"/>
          <w:position w:val="11"/>
          <w:sz w:val="16"/>
        </w:rPr>
        <w:t>76</w:t>
      </w:r>
      <w:r>
        <w:rPr>
          <w:rFonts w:ascii="Times New Roman" w:hAnsi="Times New Roman"/>
        </w:rPr>
        <w:t>, </w:t>
      </w:r>
      <w:r>
        <w:rPr/>
        <w:t>Правилник о буџетском рачуноводству и рачуноводственим политикама  Управе за финансије, изворне приходе локалне самоуправе и јавне набавке града Ниша број 11</w:t>
      </w:r>
      <w:r>
        <w:rPr>
          <w:rFonts w:ascii="Times New Roman" w:hAnsi="Times New Roman"/>
        </w:rPr>
        <w:t>-</w:t>
      </w:r>
      <w:r>
        <w:rPr/>
        <w:t>1519/11 од 28.09.2011.</w:t>
      </w:r>
      <w:r>
        <w:rPr>
          <w:spacing w:val="-1"/>
        </w:rPr>
        <w:t> </w:t>
      </w:r>
      <w:r>
        <w:rPr/>
        <w:t>године.</w:t>
      </w:r>
    </w:p>
    <w:p>
      <w:pPr>
        <w:pStyle w:val="BodyText"/>
        <w:spacing w:line="240" w:lineRule="auto"/>
        <w:ind w:right="174" w:firstLine="566"/>
        <w:jc w:val="both"/>
      </w:pPr>
      <w:r>
        <w:rPr/>
        <w:t>Градоначелник града Ниша донео је дана </w:t>
      </w:r>
      <w:r>
        <w:rPr>
          <w:rFonts w:ascii="Times New Roman" w:hAnsi="Times New Roman"/>
        </w:rPr>
        <w:t>27.11.2014. </w:t>
      </w:r>
      <w:r>
        <w:rPr/>
        <w:t>године Решење о попису и образовању комисија за попис имовине број 4038/2014</w:t>
      </w:r>
      <w:r>
        <w:rPr>
          <w:rFonts w:ascii="Times New Roman" w:hAnsi="Times New Roman"/>
        </w:rPr>
        <w:t>-</w:t>
      </w:r>
      <w:r>
        <w:rPr/>
        <w:t>01 ради утврђивања стварног стања имовине, обавеза и потраживања и усклађивања књиговодственог стања са стварним стањем. На основу наведеног Решења, Начелник Управе за финансије, изворне приходе локалне самоуправе и јавне набавке сачинио је Упутство за рад комисија за попис број </w:t>
      </w:r>
      <w:r>
        <w:rPr>
          <w:rFonts w:ascii="Times New Roman" w:hAnsi="Times New Roman"/>
        </w:rPr>
        <w:t>11-</w:t>
      </w:r>
      <w:r>
        <w:rPr/>
        <w:t>1724/2014 од 27.11.2014. године по коме ће се извршити попис. Решењем о попису и образовању комисија за попис имовине образовано је 10 комисија и то: централна комисија, седам комисија за попис нефинансијске имовине у сталним средствима и то: комисија за попис градског грађевинског земљишта и комуналних објеката, комисија за попис пољопривредног земљишта, комисија за попис зграда, пословног простора и других грађевинских објеката, комисија за попис станова, комисија за попис нематеријалних улагања основних средстава и ситног инвентара, комисија за попис нематеријалних улагања основних средстава и ситног инвентара по месним канцеларијама, комисија за попис рачунарске опреме, затим комисија за попис залиха робних резерви и комисија за попис новчаних средстава, хартија од вредности, финансијских пласмана, потраживања и</w:t>
      </w:r>
      <w:r>
        <w:rPr>
          <w:spacing w:val="-17"/>
        </w:rPr>
        <w:t> </w:t>
      </w:r>
      <w:r>
        <w:rPr/>
        <w:t>обавеза.</w:t>
      </w:r>
    </w:p>
    <w:p>
      <w:pPr>
        <w:spacing w:line="240" w:lineRule="auto" w:before="9"/>
        <w:rPr>
          <w:rFonts w:ascii="Times New Roman" w:hAnsi="Times New Roman" w:cs="Times New Roman" w:eastAsia="Times New Roman" w:hint="default"/>
          <w:sz w:val="20"/>
          <w:szCs w:val="20"/>
        </w:rPr>
      </w:pPr>
      <w:r>
        <w:rPr/>
        <w:pict>
          <v:group style="position:absolute;margin-left:78.024002pt;margin-top:13.184309pt;width:144.050pt;height:.1pt;mso-position-horizontal-relative:page;mso-position-vertical-relative:paragraph;z-index:1936;mso-wrap-distance-left:0;mso-wrap-distance-right:0" coordorigin="1560,264" coordsize="2881,2">
            <v:shape style="position:absolute;left:1560;top:264;width:2881;height:2" coordorigin="1560,264" coordsize="2881,0" path="m1560,264l4441,264e" filled="false" stroked="true" strokeweight=".599980pt" strokecolor="#000000">
              <v:path arrowok="t"/>
            </v:shape>
            <w10:wrap type="topAndBottom"/>
          </v:group>
        </w:pict>
      </w:r>
    </w:p>
    <w:p>
      <w:pPr>
        <w:spacing w:line="191" w:lineRule="exact" w:before="5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75 </w:t>
      </w:r>
      <w:r>
        <w:rPr>
          <w:rFonts w:ascii="Times New Roman" w:hAnsi="Times New Roman" w:cs="Times New Roman" w:eastAsia="Times New Roman" w:hint="default"/>
          <w:sz w:val="16"/>
          <w:szCs w:val="16"/>
        </w:rPr>
        <w:t>„Службени гласник Републике Србије“ број</w:t>
      </w:r>
      <w:r>
        <w:rPr>
          <w:rFonts w:ascii="Times New Roman" w:hAnsi="Times New Roman" w:cs="Times New Roman" w:eastAsia="Times New Roman" w:hint="default"/>
          <w:spacing w:val="-6"/>
          <w:sz w:val="16"/>
          <w:szCs w:val="16"/>
        </w:rPr>
        <w:t> </w:t>
      </w:r>
      <w:r>
        <w:rPr>
          <w:rFonts w:ascii="Times New Roman" w:hAnsi="Times New Roman" w:cs="Times New Roman" w:eastAsia="Times New Roman" w:hint="default"/>
          <w:sz w:val="16"/>
          <w:szCs w:val="16"/>
        </w:rPr>
        <w:t>27/1996</w:t>
      </w:r>
    </w:p>
    <w:p>
      <w:pPr>
        <w:spacing w:line="191" w:lineRule="exact" w:before="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76 </w:t>
      </w:r>
      <w:r>
        <w:rPr>
          <w:rFonts w:ascii="Times New Roman" w:hAnsi="Times New Roman" w:cs="Times New Roman" w:eastAsia="Times New Roman" w:hint="default"/>
          <w:sz w:val="16"/>
          <w:szCs w:val="16"/>
        </w:rPr>
        <w:t>„Службени гласник Републике Србије“ број 118/2013,</w:t>
      </w:r>
      <w:r>
        <w:rPr>
          <w:rFonts w:ascii="Times New Roman" w:hAnsi="Times New Roman" w:cs="Times New Roman" w:eastAsia="Times New Roman" w:hint="default"/>
          <w:spacing w:val="-15"/>
          <w:sz w:val="16"/>
          <w:szCs w:val="16"/>
        </w:rPr>
        <w:t> </w:t>
      </w:r>
      <w:r>
        <w:rPr>
          <w:rFonts w:ascii="Times New Roman" w:hAnsi="Times New Roman" w:cs="Times New Roman" w:eastAsia="Times New Roman" w:hint="default"/>
          <w:sz w:val="16"/>
          <w:szCs w:val="16"/>
        </w:rPr>
        <w:t>137/2014</w:t>
      </w:r>
    </w:p>
    <w:p>
      <w:pPr>
        <w:spacing w:after="0" w:line="191" w:lineRule="exact"/>
        <w:jc w:val="left"/>
        <w:rPr>
          <w:rFonts w:ascii="Times New Roman" w:hAnsi="Times New Roman" w:cs="Times New Roman" w:eastAsia="Times New Roman" w:hint="default"/>
          <w:sz w:val="16"/>
          <w:szCs w:val="16"/>
        </w:rPr>
        <w:sectPr>
          <w:footerReference w:type="default" r:id="rId82"/>
          <w:pgSz w:w="12240" w:h="15840"/>
          <w:pgMar w:footer="1274" w:header="740" w:top="1280" w:bottom="1460" w:left="1400" w:right="1260"/>
          <w:pgNumType w:start="228"/>
        </w:sectPr>
      </w:pPr>
    </w:p>
    <w:p>
      <w:pPr>
        <w:pStyle w:val="BodyText"/>
        <w:spacing w:line="240" w:lineRule="auto" w:before="122"/>
        <w:ind w:right="180" w:firstLine="566"/>
        <w:jc w:val="both"/>
      </w:pPr>
      <w:r>
        <w:rPr/>
        <w:t>Извештај Централне пописне комисије за попис имовине града Ниша о извршеном попису са стањем на дан 31.12.2014. године од 18.03.2015. године усвојен је Закључком Градоначелника града Ниша број 1116/2015</w:t>
      </w:r>
      <w:r>
        <w:rPr>
          <w:rFonts w:ascii="Times New Roman" w:hAnsi="Times New Roman"/>
        </w:rPr>
        <w:t>-</w:t>
      </w:r>
      <w:r>
        <w:rPr/>
        <w:t>01 од 30.03.2015. године, а на   </w:t>
      </w:r>
      <w:r>
        <w:rPr>
          <w:spacing w:val="12"/>
        </w:rPr>
        <w:t> </w:t>
      </w:r>
      <w:r>
        <w:rPr/>
        <w:t>основу члана</w:t>
      </w:r>
    </w:p>
    <w:p>
      <w:pPr>
        <w:pStyle w:val="BodyText"/>
        <w:spacing w:line="240" w:lineRule="auto"/>
        <w:ind w:right="177"/>
        <w:jc w:val="both"/>
        <w:rPr>
          <w:rFonts w:ascii="Times New Roman" w:hAnsi="Times New Roman" w:cs="Times New Roman" w:eastAsia="Times New Roman" w:hint="default"/>
        </w:rPr>
      </w:pPr>
      <w:r>
        <w:rPr/>
        <w:t>48. Правилника о буџетском рачуноводству и рачуноводственим политикама Управе за финансије, изворне приходе локалне самоуправе и јавне набавке града</w:t>
      </w:r>
      <w:r>
        <w:rPr>
          <w:spacing w:val="-17"/>
        </w:rPr>
        <w:t> </w:t>
      </w:r>
      <w:r>
        <w:rPr/>
        <w:t>Ниша</w:t>
      </w:r>
      <w:r>
        <w:rPr>
          <w:rFonts w:ascii="Times New Roman" w:hAnsi="Times New Roman"/>
        </w:rPr>
        <w:t>.</w:t>
      </w:r>
    </w:p>
    <w:p>
      <w:pPr>
        <w:pStyle w:val="BodyText"/>
        <w:spacing w:line="240" w:lineRule="auto"/>
        <w:ind w:right="177" w:firstLine="566"/>
        <w:jc w:val="both"/>
      </w:pPr>
      <w:r>
        <w:rPr/>
        <w:t>Нисмо присуствовали попису имовине и обавеза, jер је спровођење ревизорских поступака почело 12.02.2015. године. Ревизија је извршена накнадним прегледом пописних листа, извештаја пописних комисија и одлука у вези са</w:t>
      </w:r>
      <w:r>
        <w:rPr>
          <w:spacing w:val="-26"/>
        </w:rPr>
        <w:t> </w:t>
      </w:r>
      <w:r>
        <w:rPr/>
        <w:t>пописом.</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8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Решење о попису и образовању комисија за попис имовине донето је на основу прописа и то: Закона о рачуноводству и ревизији („Службени гласник Републике Србије“ број </w:t>
      </w:r>
      <w:r>
        <w:rPr>
          <w:rFonts w:ascii="Times New Roman" w:hAnsi="Times New Roman" w:cs="Times New Roman" w:eastAsia="Times New Roman" w:hint="default"/>
          <w:sz w:val="24"/>
          <w:szCs w:val="24"/>
        </w:rPr>
        <w:t>46/200</w:t>
      </w:r>
      <w:r>
        <w:rPr>
          <w:rFonts w:ascii="Times New Roman" w:hAnsi="Times New Roman" w:cs="Times New Roman" w:eastAsia="Times New Roman" w:hint="default"/>
          <w:sz w:val="24"/>
          <w:szCs w:val="24"/>
        </w:rPr>
        <w:t>6 и 111/2009) и Правилника о начину и роковима вршења пописа и усклађивања књиговодственог стања са стварним стањем („Службени гласник Републике Србије“ број 106/2006) који су престали да</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важе.</w:t>
      </w:r>
    </w:p>
    <w:p>
      <w:pPr>
        <w:pStyle w:val="ListParagraph"/>
        <w:numPr>
          <w:ilvl w:val="0"/>
          <w:numId w:val="9"/>
        </w:numPr>
        <w:tabs>
          <w:tab w:pos="303"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Централна пописна комисија поднела је Извештај о извршеном попису са стањем на</w:t>
      </w:r>
      <w:r>
        <w:rPr>
          <w:rFonts w:ascii="Times New Roman" w:hAnsi="Times New Roman"/>
          <w:spacing w:val="-24"/>
          <w:sz w:val="24"/>
        </w:rPr>
        <w:t> </w:t>
      </w:r>
      <w:r>
        <w:rPr>
          <w:rFonts w:ascii="Times New Roman" w:hAnsi="Times New Roman"/>
          <w:sz w:val="24"/>
        </w:rPr>
        <w:t>дан </w:t>
      </w:r>
      <w:r>
        <w:rPr>
          <w:rFonts w:ascii="Times New Roman" w:hAnsi="Times New Roman"/>
          <w:sz w:val="24"/>
        </w:rPr>
        <w:t>31.12.2014. године дана 18.03.2015. године, што је супротно члану 1. Решења о попису и образовању комисија за попис имовине, по коме је рок састављања и достављања Извештаја Градоначелнику до 20.02.2015.</w:t>
      </w:r>
      <w:r>
        <w:rPr>
          <w:rFonts w:ascii="Times New Roman" w:hAnsi="Times New Roman"/>
          <w:spacing w:val="-8"/>
          <w:sz w:val="24"/>
        </w:rPr>
        <w:t> </w:t>
      </w:r>
      <w:r>
        <w:rPr>
          <w:rFonts w:ascii="Times New Roman" w:hAnsi="Times New Roman"/>
          <w:sz w:val="24"/>
        </w:rPr>
        <w:t>године.</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Задатак појединих пописних комисија и предмет њиховог пописа, утврђени Решењем о попису и образовању комисија за попис имовине, међусобно се преплићу, као  на  пример: формиране су комисија за попис нематеријалних улагања, основних средстава и ситног инвентара и комисија за попис нематеријалних улагања, основних средстава и ситног инвентара по месним канцеларијама, при том је формирана и комисија за попис рачунарске опреме иако је рачунарска опрема основно средство као и комисија за попис зграда, пословног простора и других грађевинских објеката који такође представљају основно средство. Није одређена комисија за попис</w:t>
      </w:r>
      <w:r>
        <w:rPr>
          <w:rFonts w:ascii="Times New Roman" w:hAnsi="Times New Roman"/>
          <w:spacing w:val="-14"/>
          <w:sz w:val="24"/>
        </w:rPr>
        <w:t> </w:t>
      </w:r>
      <w:r>
        <w:rPr>
          <w:rFonts w:ascii="Times New Roman" w:hAnsi="Times New Roman"/>
          <w:sz w:val="24"/>
        </w:rPr>
        <w:t>шума.</w:t>
      </w:r>
    </w:p>
    <w:p>
      <w:pPr>
        <w:pStyle w:val="ListParagraph"/>
        <w:numPr>
          <w:ilvl w:val="0"/>
          <w:numId w:val="9"/>
        </w:numPr>
        <w:tabs>
          <w:tab w:pos="303" w:val="left" w:leader="none"/>
        </w:tabs>
        <w:spacing w:line="240" w:lineRule="auto" w:before="2"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Поређење пописаног стања према Извештајима комисија за попис извршено је са стањем исказаним у закључном листу из евиденције пословних књига града Ниша за период од 01.01.2014. године до 31.12.2014. године (са датумом штампе 05.06.2015. године), услед немогућности поређења са стањима исказаним у сачињеним билансима стања.</w:t>
      </w:r>
    </w:p>
    <w:p>
      <w:pPr>
        <w:pStyle w:val="Heading2"/>
        <w:spacing w:line="240" w:lineRule="auto"/>
        <w:ind w:right="173"/>
        <w:jc w:val="both"/>
        <w:rPr>
          <w:b w:val="0"/>
          <w:bCs w:val="0"/>
          <w:i w:val="0"/>
        </w:rPr>
      </w:pPr>
      <w:r>
        <w:rPr>
          <w:i/>
        </w:rPr>
        <w:t>Препоручује се одговорним лицима да акта доносе у складу са важећим законским прописима, примењују одредба интерних аката, прецизно дефинишу задатак и предмет пописа пописним</w:t>
      </w:r>
      <w:r>
        <w:rPr>
          <w:i/>
          <w:spacing w:val="-20"/>
        </w:rPr>
        <w:t> </w:t>
      </w:r>
      <w:r>
        <w:rPr>
          <w:i/>
        </w:rPr>
        <w:t>комисијама.</w:t>
      </w:r>
      <w:r>
        <w:rPr>
          <w:b w:val="0"/>
          <w:i w:val="0"/>
        </w:rPr>
      </w:r>
    </w:p>
    <w:p>
      <w:pPr>
        <w:pStyle w:val="BodyText"/>
        <w:spacing w:line="271" w:lineRule="exact"/>
        <w:ind w:left="726" w:right="141"/>
        <w:jc w:val="left"/>
      </w:pPr>
      <w:r>
        <w:rPr>
          <w:rFonts w:ascii="Times New Roman" w:hAnsi="Times New Roman"/>
        </w:rPr>
      </w:r>
      <w:r>
        <w:rPr>
          <w:rFonts w:ascii="Times New Roman" w:hAnsi="Times New Roman"/>
          <w:spacing w:val="-60"/>
          <w:u w:val="single" w:color="000000"/>
        </w:rPr>
        <w:t> </w:t>
      </w:r>
      <w:r>
        <w:rPr>
          <w:u w:val="single" w:color="000000"/>
        </w:rPr>
        <w:t>Попис нефинансијске имовине у сталним</w:t>
      </w:r>
      <w:r>
        <w:rPr>
          <w:spacing w:val="-10"/>
          <w:u w:val="single" w:color="000000"/>
        </w:rPr>
        <w:t> </w:t>
      </w:r>
      <w:r>
        <w:rPr>
          <w:u w:val="single" w:color="000000"/>
        </w:rPr>
        <w:t>средствима</w:t>
      </w:r>
      <w:r>
        <w:rPr/>
      </w:r>
    </w:p>
    <w:p>
      <w:pPr>
        <w:pStyle w:val="Heading1"/>
        <w:spacing w:line="240" w:lineRule="auto"/>
        <w:ind w:left="160" w:right="175" w:firstLine="566"/>
        <w:jc w:val="both"/>
        <w:rPr>
          <w:rFonts w:ascii="Times New Roman" w:hAnsi="Times New Roman" w:cs="Times New Roman" w:eastAsia="Times New Roman" w:hint="default"/>
          <w:b w:val="0"/>
          <w:bCs w:val="0"/>
        </w:rPr>
      </w:pPr>
      <w:r>
        <w:rPr/>
        <w:t>У поступку ревизије узоркованих пописних листа и извештаја Комисија за попис нефинансијске имовине у сталним средствима, утврђено</w:t>
      </w:r>
      <w:r>
        <w:rPr>
          <w:spacing w:val="-18"/>
        </w:rPr>
        <w:t> </w:t>
      </w:r>
      <w:r>
        <w:rPr/>
        <w:t>је</w:t>
      </w:r>
      <w:r>
        <w:rPr>
          <w:rFonts w:ascii="Times New Roman" w:hAnsi="Times New Roman"/>
        </w:rPr>
        <w:t>:</w:t>
      </w:r>
      <w:r>
        <w:rPr>
          <w:rFonts w:ascii="Times New Roman" w:hAnsi="Times New Roman"/>
          <w:b w:val="0"/>
        </w:rPr>
      </w:r>
    </w:p>
    <w:p>
      <w:pPr>
        <w:pStyle w:val="ListParagraph"/>
        <w:numPr>
          <w:ilvl w:val="0"/>
          <w:numId w:val="9"/>
        </w:numPr>
        <w:tabs>
          <w:tab w:pos="303" w:val="left" w:leader="none"/>
        </w:tabs>
        <w:spacing w:line="240" w:lineRule="auto" w:before="0"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Основна средства нису означена са инвентарским бројем, нумерисање није  вршено више година уназад, предлог комисије је да се изврши нумерисање свих основних средстава по објектима и да свака просторија има своју инвентарску листу и лице задужено за</w:t>
      </w:r>
      <w:r>
        <w:rPr>
          <w:rFonts w:ascii="Times New Roman" w:hAnsi="Times New Roman"/>
          <w:spacing w:val="-11"/>
          <w:sz w:val="24"/>
        </w:rPr>
        <w:t> </w:t>
      </w:r>
      <w:r>
        <w:rPr>
          <w:rFonts w:ascii="Times New Roman" w:hAnsi="Times New Roman"/>
          <w:sz w:val="24"/>
        </w:rPr>
        <w:t>исту.</w:t>
      </w:r>
    </w:p>
    <w:p>
      <w:pPr>
        <w:pStyle w:val="ListParagraph"/>
        <w:numPr>
          <w:ilvl w:val="0"/>
          <w:numId w:val="9"/>
        </w:numPr>
        <w:tabs>
          <w:tab w:pos="303"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Комисија за попис градског грађевинског земљишта и комуналних објеката</w:t>
      </w:r>
      <w:r>
        <w:rPr>
          <w:rFonts w:ascii="Times New Roman" w:hAnsi="Times New Roman"/>
          <w:sz w:val="24"/>
        </w:rPr>
        <w:t>, </w:t>
      </w:r>
      <w:r>
        <w:rPr>
          <w:rFonts w:ascii="Times New Roman" w:hAnsi="Times New Roman"/>
          <w:sz w:val="24"/>
        </w:rPr>
        <w:t>Комисија  за попис пољопривредног земљишта, Комисија за попис нематеријалних улагања, основних средстава и ситног инвентара, Комисија за попис нематеријалних улагања, основних средстава и ситног инвентара месних канцеларија и Централна пописна комисија</w:t>
      </w:r>
      <w:r>
        <w:rPr>
          <w:rFonts w:ascii="Times New Roman" w:hAnsi="Times New Roman"/>
          <w:spacing w:val="29"/>
          <w:sz w:val="24"/>
        </w:rPr>
        <w:t> </w:t>
      </w:r>
      <w:r>
        <w:rPr>
          <w:rFonts w:ascii="Times New Roman" w:hAnsi="Times New Roman"/>
          <w:sz w:val="24"/>
        </w:rPr>
        <w:t>није</w:t>
      </w:r>
      <w:r>
        <w:rPr>
          <w:rFonts w:ascii="Times New Roman" w:hAnsi="Times New Roman"/>
          <w:spacing w:val="28"/>
          <w:sz w:val="24"/>
        </w:rPr>
        <w:t> </w:t>
      </w:r>
      <w:r>
        <w:rPr>
          <w:rFonts w:ascii="Times New Roman" w:hAnsi="Times New Roman"/>
          <w:sz w:val="24"/>
        </w:rPr>
        <w:t>сачинила</w:t>
      </w:r>
      <w:r>
        <w:rPr>
          <w:rFonts w:ascii="Times New Roman" w:hAnsi="Times New Roman"/>
          <w:spacing w:val="28"/>
          <w:sz w:val="24"/>
        </w:rPr>
        <w:t> </w:t>
      </w:r>
      <w:r>
        <w:rPr>
          <w:rFonts w:ascii="Times New Roman" w:hAnsi="Times New Roman"/>
          <w:sz w:val="24"/>
        </w:rPr>
        <w:t>план</w:t>
      </w:r>
      <w:r>
        <w:rPr>
          <w:rFonts w:ascii="Times New Roman" w:hAnsi="Times New Roman"/>
          <w:spacing w:val="29"/>
          <w:sz w:val="24"/>
        </w:rPr>
        <w:t> </w:t>
      </w:r>
      <w:r>
        <w:rPr>
          <w:rFonts w:ascii="Times New Roman" w:hAnsi="Times New Roman"/>
          <w:sz w:val="24"/>
        </w:rPr>
        <w:t>рада</w:t>
      </w:r>
      <w:r>
        <w:rPr>
          <w:rFonts w:ascii="Times New Roman" w:hAnsi="Times New Roman"/>
          <w:spacing w:val="28"/>
          <w:sz w:val="24"/>
        </w:rPr>
        <w:t> </w:t>
      </w:r>
      <w:r>
        <w:rPr>
          <w:rFonts w:ascii="Times New Roman" w:hAnsi="Times New Roman"/>
          <w:sz w:val="24"/>
        </w:rPr>
        <w:t>по</w:t>
      </w:r>
      <w:r>
        <w:rPr>
          <w:rFonts w:ascii="Times New Roman" w:hAnsi="Times New Roman"/>
          <w:spacing w:val="28"/>
          <w:sz w:val="24"/>
        </w:rPr>
        <w:t> </w:t>
      </w:r>
      <w:r>
        <w:rPr>
          <w:rFonts w:ascii="Times New Roman" w:hAnsi="Times New Roman"/>
          <w:sz w:val="24"/>
        </w:rPr>
        <w:t>коме</w:t>
      </w:r>
      <w:r>
        <w:rPr>
          <w:rFonts w:ascii="Times New Roman" w:hAnsi="Times New Roman"/>
          <w:spacing w:val="28"/>
          <w:sz w:val="24"/>
        </w:rPr>
        <w:t> </w:t>
      </w:r>
      <w:r>
        <w:rPr>
          <w:rFonts w:ascii="Times New Roman" w:hAnsi="Times New Roman"/>
          <w:sz w:val="24"/>
        </w:rPr>
        <w:t>ће</w:t>
      </w:r>
      <w:r>
        <w:rPr>
          <w:rFonts w:ascii="Times New Roman" w:hAnsi="Times New Roman"/>
          <w:spacing w:val="28"/>
          <w:sz w:val="24"/>
        </w:rPr>
        <w:t> </w:t>
      </w:r>
      <w:r>
        <w:rPr>
          <w:rFonts w:ascii="Times New Roman" w:hAnsi="Times New Roman"/>
          <w:sz w:val="24"/>
        </w:rPr>
        <w:t>вршити</w:t>
      </w:r>
      <w:r>
        <w:rPr>
          <w:rFonts w:ascii="Times New Roman" w:hAnsi="Times New Roman"/>
          <w:spacing w:val="29"/>
          <w:sz w:val="24"/>
        </w:rPr>
        <w:t> </w:t>
      </w:r>
      <w:r>
        <w:rPr>
          <w:rFonts w:ascii="Times New Roman" w:hAnsi="Times New Roman"/>
          <w:sz w:val="24"/>
        </w:rPr>
        <w:t>попис,</w:t>
      </w:r>
      <w:r>
        <w:rPr>
          <w:rFonts w:ascii="Times New Roman" w:hAnsi="Times New Roman"/>
          <w:spacing w:val="28"/>
          <w:sz w:val="24"/>
        </w:rPr>
        <w:t> </w:t>
      </w:r>
      <w:r>
        <w:rPr>
          <w:rFonts w:ascii="Times New Roman" w:hAnsi="Times New Roman"/>
          <w:sz w:val="24"/>
        </w:rPr>
        <w:t>што</w:t>
      </w:r>
      <w:r>
        <w:rPr>
          <w:rFonts w:ascii="Times New Roman" w:hAnsi="Times New Roman"/>
          <w:spacing w:val="26"/>
          <w:sz w:val="24"/>
        </w:rPr>
        <w:t> </w:t>
      </w:r>
      <w:r>
        <w:rPr>
          <w:rFonts w:ascii="Times New Roman" w:hAnsi="Times New Roman"/>
          <w:sz w:val="24"/>
        </w:rPr>
        <w:t>је</w:t>
      </w:r>
      <w:r>
        <w:rPr>
          <w:rFonts w:ascii="Times New Roman" w:hAnsi="Times New Roman"/>
          <w:spacing w:val="28"/>
          <w:sz w:val="24"/>
        </w:rPr>
        <w:t> </w:t>
      </w:r>
      <w:r>
        <w:rPr>
          <w:rFonts w:ascii="Times New Roman" w:hAnsi="Times New Roman"/>
          <w:sz w:val="24"/>
        </w:rPr>
        <w:t>супротно</w:t>
      </w:r>
      <w:r>
        <w:rPr>
          <w:rFonts w:ascii="Times New Roman" w:hAnsi="Times New Roman"/>
          <w:spacing w:val="28"/>
          <w:sz w:val="24"/>
        </w:rPr>
        <w:t> </w:t>
      </w:r>
      <w:r>
        <w:rPr>
          <w:rFonts w:ascii="Times New Roman" w:hAnsi="Times New Roman"/>
          <w:sz w:val="24"/>
        </w:rPr>
        <w:t>члану</w:t>
      </w:r>
      <w:r>
        <w:rPr>
          <w:rFonts w:ascii="Times New Roman" w:hAnsi="Times New Roman"/>
          <w:spacing w:val="24"/>
          <w:sz w:val="24"/>
        </w:rPr>
        <w:t> </w:t>
      </w:r>
      <w:r>
        <w:rPr>
          <w:rFonts w:ascii="Times New Roman" w:hAnsi="Times New Roman"/>
          <w:sz w:val="24"/>
        </w:rPr>
        <w:t>8.</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82"/>
        <w:jc w:val="both"/>
      </w:pPr>
      <w:r>
        <w:rPr/>
        <w:t>Правилника о начину и роковима вршења пописа и усклађивања књиговодственог стања са стварним стањем и тачки 4. Решења о попису и образовању комисија за попис имовине.</w:t>
      </w:r>
    </w:p>
    <w:p>
      <w:pPr>
        <w:pStyle w:val="ListParagraph"/>
        <w:numPr>
          <w:ilvl w:val="0"/>
          <w:numId w:val="9"/>
        </w:numPr>
        <w:tabs>
          <w:tab w:pos="303" w:val="left" w:leader="none"/>
        </w:tabs>
        <w:spacing w:line="240" w:lineRule="auto" w:before="2"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Комисија за попис градског грађевинског земљишта и комуналних објеката није сачинила пописне листе градског грађевинског земљишта и комуналних објеката, тако да попис није ни извршен, што је супротно члану 18. Уредбе о буџетском рачуноводству, члану 2. и 9. Правилника о начину и роковима вршења пописа и усклађивања књиговодственог стања са стварним стањем и члану 42. Правилника о буџетском рачуноводству и рачуноводственим</w:t>
      </w:r>
      <w:r>
        <w:rPr>
          <w:rFonts w:ascii="Times New Roman" w:hAnsi="Times New Roman"/>
          <w:spacing w:val="-21"/>
          <w:sz w:val="24"/>
        </w:rPr>
        <w:t> </w:t>
      </w:r>
      <w:r>
        <w:rPr>
          <w:rFonts w:ascii="Times New Roman" w:hAnsi="Times New Roman"/>
          <w:sz w:val="24"/>
        </w:rPr>
        <w:t>политикама.</w:t>
      </w:r>
    </w:p>
    <w:p>
      <w:pPr>
        <w:pStyle w:val="ListParagraph"/>
        <w:numPr>
          <w:ilvl w:val="0"/>
          <w:numId w:val="9"/>
        </w:numPr>
        <w:tabs>
          <w:tab w:pos="303"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Извештај комисије за попис градског грађевинског земљишта и комуналних објеката није свеобухватан, јер не садржи пописану количину и вредност укупног градског грађевинског земљишта и свих комуналних објеката у својини града Ниша на дан 31.12.2014. године већ само нове завршене инвестиције преузете од ЈП „Дирекција за изградњу града Ниша“ Записником о примопредаји имовине стечене средствима града Ниша број 04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8577 од 30.12.2014. године и повећање, односно смањење величине градског грађевинског земљишта током 2014. године, што је супротно члану </w:t>
      </w:r>
      <w:r>
        <w:rPr>
          <w:rFonts w:ascii="Times New Roman" w:hAnsi="Times New Roman" w:cs="Times New Roman" w:eastAsia="Times New Roman" w:hint="default"/>
          <w:spacing w:val="2"/>
          <w:sz w:val="24"/>
          <w:szCs w:val="24"/>
        </w:rPr>
        <w:t>13</w:t>
      </w:r>
      <w:r>
        <w:rPr>
          <w:rFonts w:ascii="Times New Roman" w:hAnsi="Times New Roman" w:cs="Times New Roman" w:eastAsia="Times New Roman" w:hint="default"/>
          <w:color w:val="FF0000"/>
          <w:spacing w:val="2"/>
          <w:sz w:val="24"/>
          <w:szCs w:val="24"/>
        </w:rPr>
        <w:t>. </w:t>
      </w:r>
      <w:r>
        <w:rPr>
          <w:rFonts w:ascii="Times New Roman" w:hAnsi="Times New Roman" w:cs="Times New Roman" w:eastAsia="Times New Roman" w:hint="default"/>
          <w:spacing w:val="2"/>
          <w:sz w:val="24"/>
          <w:szCs w:val="24"/>
        </w:rPr>
      </w:r>
      <w:r>
        <w:rPr>
          <w:rFonts w:ascii="Times New Roman" w:hAnsi="Times New Roman" w:cs="Times New Roman" w:eastAsia="Times New Roman" w:hint="default"/>
          <w:sz w:val="24"/>
          <w:szCs w:val="24"/>
        </w:rPr>
        <w:t>Правилника о начину и роковима вршења пописа и усклађивања књиговодственог стања </w:t>
      </w:r>
      <w:r>
        <w:rPr>
          <w:rFonts w:ascii="Times New Roman" w:hAnsi="Times New Roman" w:cs="Times New Roman" w:eastAsia="Times New Roman" w:hint="default"/>
          <w:sz w:val="24"/>
          <w:szCs w:val="24"/>
        </w:rPr>
        <w:t>са стварним</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стањем.</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Комисија за попис пољопривредног земљишта извршила је попис на основу података које је доставио Републички геодетски завод – Служба за катастар непокретности Ниш.  У извештају комисије </w:t>
      </w:r>
      <w:r>
        <w:rPr>
          <w:rFonts w:ascii="Times New Roman" w:hAnsi="Times New Roman" w:cs="Times New Roman" w:eastAsia="Times New Roman" w:hint="default"/>
          <w:spacing w:val="2"/>
          <w:sz w:val="24"/>
          <w:szCs w:val="24"/>
        </w:rPr>
        <w:t>од </w:t>
      </w:r>
      <w:r>
        <w:rPr>
          <w:rFonts w:ascii="Times New Roman" w:hAnsi="Times New Roman" w:cs="Times New Roman" w:eastAsia="Times New Roman" w:hint="default"/>
          <w:sz w:val="24"/>
          <w:szCs w:val="24"/>
        </w:rPr>
        <w:t>26.01.2015. године наведена је величина земљишта према врсти </w:t>
      </w:r>
      <w:r>
        <w:rPr>
          <w:rFonts w:ascii="Times New Roman" w:hAnsi="Times New Roman" w:cs="Times New Roman" w:eastAsia="Times New Roman" w:hint="default"/>
          <w:sz w:val="24"/>
          <w:szCs w:val="24"/>
        </w:rPr>
        <w:t>(обрадиво пољопривредно земљиште, ливаде и пашњаци, шуме и јаруге, земљиште под зградама и остало неплодно земљиште). Као пописне листе приложен је преглед Службе за катастар непокретности Ниш, који садржи катастарску општину, број поседовног листа, површину парцеле, али не садржи књиговодствено натурално стање пописаног земљишта, цене пописаног земљишта, вредност пописаног земљишта, што је супротно члану 9. Правилника о начину и роковима вршења пописа и усклађивања књиговодственог стања са стварним</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стањем.</w:t>
      </w:r>
    </w:p>
    <w:p>
      <w:pPr>
        <w:pStyle w:val="ListParagraph"/>
        <w:numPr>
          <w:ilvl w:val="0"/>
          <w:numId w:val="9"/>
        </w:numPr>
        <w:tabs>
          <w:tab w:pos="303"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Извештај комисије за попис пољопривредног земљишта не садржи књиговодствено стање пописане имовине, разлике између стварног стања утврђеног пописом и књиговодственог стања; Извештај комисије о извршеном попису нематеријалних улагања, основних средстава и ситног инвентара не садржи стварно и књиговодствено стање имовине, разлике између стварног стања утврђеног пописом и књиговодственог стања јер нису ни утврђене; Извештај комисије за попис нематеријалних улагања, основних средстава и ситног инвентара по месним канцеларијама Градске управе града Ниша не садржи стварно и књиговодствено стање имовине, разлике између стварног стања утврђеног пописом и књиговодственог стања; Извештај комисије за попис рачунарске опреме не садржи књиговодствено стање имовине, разлике између стварног стања утврђеног пописом и књиговодственог стања</w:t>
      </w:r>
      <w:r>
        <w:rPr>
          <w:rFonts w:ascii="Times New Roman" w:hAnsi="Times New Roman"/>
          <w:sz w:val="24"/>
        </w:rPr>
        <w:t>; </w:t>
      </w:r>
      <w:r>
        <w:rPr>
          <w:rFonts w:ascii="Times New Roman" w:hAnsi="Times New Roman"/>
          <w:sz w:val="24"/>
        </w:rPr>
        <w:t>Извештај Централне пописне комисије не садржи стварно и књиговодствено стање пописане имовине, разлике између стварног стања утврђеног пописом и књиговодственог стања, што је супротно члану 13</w:t>
      </w:r>
      <w:r>
        <w:rPr>
          <w:rFonts w:ascii="Times New Roman" w:hAnsi="Times New Roman"/>
          <w:color w:val="FF0000"/>
          <w:sz w:val="24"/>
        </w:rPr>
        <w:t>. </w:t>
      </w:r>
      <w:r>
        <w:rPr>
          <w:rFonts w:ascii="Times New Roman" w:hAnsi="Times New Roman"/>
          <w:sz w:val="24"/>
        </w:rPr>
        <w:t>Правилника о начину и роковима вршења пописа и усклађивања књиговодственог стања са стварним</w:t>
      </w:r>
      <w:r>
        <w:rPr>
          <w:rFonts w:ascii="Times New Roman" w:hAnsi="Times New Roman"/>
          <w:spacing w:val="-9"/>
          <w:sz w:val="24"/>
        </w:rPr>
        <w:t> </w:t>
      </w:r>
      <w:r>
        <w:rPr>
          <w:rFonts w:ascii="Times New Roman" w:hAnsi="Times New Roman"/>
          <w:sz w:val="24"/>
        </w:rPr>
        <w:t>стањем.</w:t>
      </w:r>
    </w:p>
    <w:p>
      <w:pPr>
        <w:pStyle w:val="ListParagraph"/>
        <w:numPr>
          <w:ilvl w:val="0"/>
          <w:numId w:val="9"/>
        </w:numPr>
        <w:tabs>
          <w:tab w:pos="303" w:val="left" w:leader="none"/>
        </w:tabs>
        <w:spacing w:line="274" w:lineRule="exact" w:before="24" w:after="0"/>
        <w:ind w:left="160" w:right="187" w:firstLine="0"/>
        <w:jc w:val="both"/>
        <w:rPr>
          <w:rFonts w:ascii="Times New Roman" w:hAnsi="Times New Roman" w:cs="Times New Roman" w:eastAsia="Times New Roman" w:hint="default"/>
          <w:sz w:val="24"/>
          <w:szCs w:val="24"/>
        </w:rPr>
      </w:pPr>
      <w:r>
        <w:rPr>
          <w:rFonts w:ascii="Times New Roman" w:hAnsi="Times New Roman"/>
          <w:sz w:val="24"/>
        </w:rPr>
        <w:t>Преглед Комисије за попис пољопривредног земљишта, који је </w:t>
      </w:r>
      <w:r>
        <w:rPr>
          <w:rFonts w:ascii="Times New Roman" w:hAnsi="Times New Roman"/>
          <w:spacing w:val="-4"/>
          <w:sz w:val="24"/>
        </w:rPr>
        <w:t>уз</w:t>
      </w:r>
      <w:r>
        <w:rPr>
          <w:rFonts w:ascii="Times New Roman" w:hAnsi="Times New Roman"/>
          <w:spacing w:val="52"/>
          <w:sz w:val="24"/>
        </w:rPr>
        <w:t> </w:t>
      </w:r>
      <w:r>
        <w:rPr>
          <w:rFonts w:ascii="Times New Roman" w:hAnsi="Times New Roman"/>
          <w:sz w:val="24"/>
        </w:rPr>
        <w:t>Извештај о </w:t>
      </w:r>
      <w:r>
        <w:rPr>
          <w:rFonts w:ascii="Times New Roman" w:hAnsi="Times New Roman"/>
          <w:sz w:val="24"/>
        </w:rPr>
        <w:t>извршеном попису приложен као пописне листе, потписан је од стране само једног</w:t>
      </w:r>
      <w:r>
        <w:rPr>
          <w:rFonts w:ascii="Times New Roman" w:hAnsi="Times New Roman"/>
          <w:spacing w:val="21"/>
          <w:sz w:val="24"/>
        </w:rPr>
        <w:t> </w:t>
      </w:r>
      <w:r>
        <w:rPr>
          <w:rFonts w:ascii="Times New Roman" w:hAnsi="Times New Roman"/>
          <w:sz w:val="24"/>
        </w:rPr>
        <w:t>члана</w:t>
      </w:r>
    </w:p>
    <w:p>
      <w:pPr>
        <w:spacing w:after="0" w:line="274" w:lineRule="exact"/>
        <w:jc w:val="both"/>
        <w:rPr>
          <w:rFonts w:ascii="Times New Roman" w:hAnsi="Times New Roman" w:cs="Times New Roman" w:eastAsia="Times New Roman" w:hint="default"/>
          <w:sz w:val="24"/>
          <w:szCs w:val="24"/>
        </w:rPr>
        <w:sectPr>
          <w:footerReference w:type="default" r:id="rId83"/>
          <w:pgSz w:w="12240" w:h="15840"/>
          <w:pgMar w:footer="1274" w:header="740" w:top="1280" w:bottom="1460" w:left="1400" w:right="1260"/>
          <w:pgNumType w:start="230"/>
        </w:sectPr>
      </w:pPr>
    </w:p>
    <w:p>
      <w:pPr>
        <w:pStyle w:val="BodyText"/>
        <w:spacing w:line="240" w:lineRule="auto" w:before="122"/>
        <w:ind w:right="178"/>
        <w:jc w:val="both"/>
      </w:pPr>
      <w:r>
        <w:rPr/>
        <w:t>пописне комисије, што је супротно члану 9. Правилника о начину и роковима вршења пописа и усклађивања књиговодственог стања са стварним</w:t>
      </w:r>
      <w:r>
        <w:rPr>
          <w:spacing w:val="-21"/>
        </w:rPr>
        <w:t> </w:t>
      </w:r>
      <w:r>
        <w:rPr/>
        <w:t>стањем.</w:t>
      </w:r>
    </w:p>
    <w:p>
      <w:pPr>
        <w:pStyle w:val="ListParagraph"/>
        <w:numPr>
          <w:ilvl w:val="0"/>
          <w:numId w:val="9"/>
        </w:numPr>
        <w:tabs>
          <w:tab w:pos="303" w:val="left" w:leader="none"/>
        </w:tabs>
        <w:spacing w:line="230" w:lineRule="auto" w:before="11"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Комисија за попис пољопривредног земљишта у свом Извештају је навела да је  у оквиру пољопривредног земљишта пописала шуме у укупној површини од 46 ари и 10м</w:t>
      </w:r>
      <w:r>
        <w:rPr>
          <w:rFonts w:ascii="Times New Roman" w:hAnsi="Times New Roman"/>
          <w:position w:val="11"/>
          <w:sz w:val="16"/>
        </w:rPr>
        <w:t>2</w:t>
      </w:r>
      <w:r>
        <w:rPr>
          <w:rFonts w:ascii="Times New Roman" w:hAnsi="Times New Roman"/>
          <w:sz w:val="24"/>
        </w:rPr>
        <w:t>, </w:t>
      </w:r>
      <w:r>
        <w:rPr>
          <w:rFonts w:ascii="Times New Roman" w:hAnsi="Times New Roman"/>
          <w:sz w:val="24"/>
        </w:rPr>
      </w:r>
      <w:r>
        <w:rPr>
          <w:rFonts w:ascii="Times New Roman" w:hAnsi="Times New Roman"/>
          <w:sz w:val="24"/>
        </w:rPr>
        <w:t>попис шума није извршен од стране других комисија, тако да се не може утврдити да ли је извршен попис шума које се воде у пословним књигама града</w:t>
      </w:r>
      <w:r>
        <w:rPr>
          <w:rFonts w:ascii="Times New Roman" w:hAnsi="Times New Roman"/>
          <w:spacing w:val="-17"/>
          <w:sz w:val="24"/>
        </w:rPr>
        <w:t> </w:t>
      </w:r>
      <w:r>
        <w:rPr>
          <w:rFonts w:ascii="Times New Roman" w:hAnsi="Times New Roman"/>
          <w:sz w:val="24"/>
        </w:rPr>
        <w:t>Ниша.</w:t>
      </w:r>
    </w:p>
    <w:p>
      <w:pPr>
        <w:pStyle w:val="ListParagraph"/>
        <w:numPr>
          <w:ilvl w:val="0"/>
          <w:numId w:val="9"/>
        </w:numPr>
        <w:tabs>
          <w:tab w:pos="303" w:val="left" w:leader="none"/>
        </w:tabs>
        <w:spacing w:line="237" w:lineRule="auto" w:before="6"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Извештај Комисије о извршеном попису зграда, пословног простора и других грађевинских објеката састављен је дана 24.02.2015. године, касније у односу на задати рок, што је супротно члану 5. Решења о попису и образовању комисија за попис</w:t>
      </w:r>
      <w:r>
        <w:rPr>
          <w:rFonts w:ascii="Times New Roman" w:hAnsi="Times New Roman"/>
          <w:spacing w:val="-28"/>
          <w:sz w:val="24"/>
        </w:rPr>
        <w:t> </w:t>
      </w:r>
      <w:r>
        <w:rPr>
          <w:rFonts w:ascii="Times New Roman" w:hAnsi="Times New Roman"/>
          <w:sz w:val="24"/>
        </w:rPr>
        <w:t>имовине.</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Комисија за попис зграда, пословног простора и других грађевинских објеката извршила је попис на основу постојеће документације – евиденције основних средстава коју воде Управа за финансије, изворне приходе локалне самоуправе и јавне набавке и Управа за имовину и инспекцијске послове</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Одсек за пословни простор. Комисија је установила да постоје неслагања у евиденцији пословног простора код наведених  Управа, што је табеларно приказано и предложила међусобно усаглашавање. Пописне листе пословног простора и пословних зграда не садрже: књиговодствено натурално стање имовине, цене пописане имовине, вредност пописане имовине, што је супротно члану 9. Правилника о начину и роковима вршења пописа и усклађивања књиговодственог стања са стварним</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стањем.</w:t>
      </w:r>
    </w:p>
    <w:p>
      <w:pPr>
        <w:pStyle w:val="ListParagraph"/>
        <w:numPr>
          <w:ilvl w:val="0"/>
          <w:numId w:val="9"/>
        </w:numPr>
        <w:tabs>
          <w:tab w:pos="303" w:val="left" w:leader="none"/>
        </w:tabs>
        <w:spacing w:line="274" w:lineRule="exact" w:before="24" w:after="0"/>
        <w:ind w:left="160" w:right="184" w:firstLine="0"/>
        <w:jc w:val="both"/>
        <w:rPr>
          <w:rFonts w:ascii="Times New Roman" w:hAnsi="Times New Roman" w:cs="Times New Roman" w:eastAsia="Times New Roman" w:hint="default"/>
          <w:sz w:val="24"/>
          <w:szCs w:val="24"/>
        </w:rPr>
      </w:pPr>
      <w:r>
        <w:rPr>
          <w:rFonts w:ascii="Times New Roman" w:hAnsi="Times New Roman"/>
          <w:sz w:val="24"/>
        </w:rPr>
        <w:t>Пописне листе пословног простора и пословних зграда нису потписане од стране рачунополагача.</w:t>
      </w:r>
    </w:p>
    <w:p>
      <w:pPr>
        <w:pStyle w:val="ListParagraph"/>
        <w:numPr>
          <w:ilvl w:val="0"/>
          <w:numId w:val="9"/>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Извештај о извршеном попису зграда, пословног простора и других грађевинских објеката не садржи стварно и књиговодствено стање имовине, већ само преглед пословног простора по адреси и површини који треба искњижити из пословних књига јер је решењима Агенције за реституцију имовина враћена власницима, преглед пословног простора (по адреси и површини) који се води у пословним књигама града Ниша а не води се у евиденцији Управе за имовину и инспекцијске послове и преглед пословног простора који се води у евиденцији Управе за имовину али се не води у пословним књигама града или се води без површине, што је супротно члану 13. Правилника  о начину и роковима вршења пописа и усклађивања књиговодственог стања са стварним стањем.</w:t>
      </w:r>
    </w:p>
    <w:p>
      <w:pPr>
        <w:pStyle w:val="ListParagraph"/>
        <w:numPr>
          <w:ilvl w:val="0"/>
          <w:numId w:val="9"/>
        </w:numPr>
        <w:tabs>
          <w:tab w:pos="303" w:val="left" w:leader="none"/>
        </w:tabs>
        <w:spacing w:line="240" w:lineRule="auto" w:before="2"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Из пословних књига града Ниша није искњижен пословни простор за који је комисија утврдила да није у власништву града Ниша, нити је евидентиран пословни простор за који је комисија утврдила да је у власништву града Ниша, тако да није извршено усклађивање књиговодственог стања са стварним стањем, што је супротно члану 14. Правилника о начину и роковима вршења пописа и усклађивања књиговодственог стања са стварним</w:t>
      </w:r>
      <w:r>
        <w:rPr>
          <w:rFonts w:ascii="Times New Roman" w:hAnsi="Times New Roman"/>
          <w:spacing w:val="-9"/>
          <w:sz w:val="24"/>
        </w:rPr>
        <w:t> </w:t>
      </w:r>
      <w:r>
        <w:rPr>
          <w:rFonts w:ascii="Times New Roman" w:hAnsi="Times New Roman"/>
          <w:sz w:val="24"/>
        </w:rPr>
        <w:t>стањем.</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Извештај комисије за попис станова не садржи књиговодствено стање пописане имовине, нити стварно стање утврђено пописом са тачно наведеним становима, већ је само наведено да је град Ниш носилац права располагања на 495 стамбена простора, затим да је потребно из пописних листа избрисати 13 стамбених простора, над којима град Ниш нема право располагања, у пословним књигама евидентирати 91 стамбени простор на којима, према комисији, град Ниш има право располагања, као и да треба избрисати дупло евидентиране стамбене просторе укупно осам и један стамбени простор, под инвентарским бројем 459 који није било могуће идентификовати јер је у пописној листи</w:t>
      </w:r>
      <w:r>
        <w:rPr>
          <w:rFonts w:ascii="Times New Roman" w:hAnsi="Times New Roman"/>
          <w:spacing w:val="27"/>
          <w:sz w:val="24"/>
        </w:rPr>
        <w:t> </w:t>
      </w:r>
      <w:r>
        <w:rPr>
          <w:rFonts w:ascii="Times New Roman" w:hAnsi="Times New Roman"/>
          <w:sz w:val="24"/>
        </w:rPr>
        <w:t>наведена</w:t>
      </w:r>
      <w:r>
        <w:rPr>
          <w:rFonts w:ascii="Times New Roman" w:hAnsi="Times New Roman"/>
          <w:spacing w:val="28"/>
          <w:sz w:val="24"/>
        </w:rPr>
        <w:t> </w:t>
      </w:r>
      <w:r>
        <w:rPr>
          <w:rFonts w:ascii="Times New Roman" w:hAnsi="Times New Roman"/>
          <w:sz w:val="24"/>
        </w:rPr>
        <w:t>само</w:t>
      </w:r>
      <w:r>
        <w:rPr>
          <w:rFonts w:ascii="Times New Roman" w:hAnsi="Times New Roman"/>
          <w:spacing w:val="28"/>
          <w:sz w:val="24"/>
        </w:rPr>
        <w:t> </w:t>
      </w:r>
      <w:r>
        <w:rPr>
          <w:rFonts w:ascii="Times New Roman" w:hAnsi="Times New Roman"/>
          <w:sz w:val="24"/>
        </w:rPr>
        <w:t>адреса</w:t>
      </w:r>
      <w:r>
        <w:rPr>
          <w:rFonts w:ascii="Times New Roman" w:hAnsi="Times New Roman"/>
          <w:spacing w:val="28"/>
          <w:sz w:val="24"/>
        </w:rPr>
        <w:t> </w:t>
      </w:r>
      <w:r>
        <w:rPr>
          <w:rFonts w:ascii="Times New Roman" w:hAnsi="Times New Roman"/>
          <w:sz w:val="24"/>
        </w:rPr>
        <w:t>без</w:t>
      </w:r>
      <w:r>
        <w:rPr>
          <w:rFonts w:ascii="Times New Roman" w:hAnsi="Times New Roman"/>
          <w:spacing w:val="29"/>
          <w:sz w:val="24"/>
        </w:rPr>
        <w:t> </w:t>
      </w:r>
      <w:r>
        <w:rPr>
          <w:rFonts w:ascii="Times New Roman" w:hAnsi="Times New Roman"/>
          <w:sz w:val="24"/>
        </w:rPr>
        <w:t>кућног</w:t>
      </w:r>
      <w:r>
        <w:rPr>
          <w:rFonts w:ascii="Times New Roman" w:hAnsi="Times New Roman"/>
          <w:spacing w:val="28"/>
          <w:sz w:val="24"/>
        </w:rPr>
        <w:t> </w:t>
      </w:r>
      <w:r>
        <w:rPr>
          <w:rFonts w:ascii="Times New Roman" w:hAnsi="Times New Roman"/>
          <w:sz w:val="24"/>
        </w:rPr>
        <w:t>броја,</w:t>
      </w:r>
      <w:r>
        <w:rPr>
          <w:rFonts w:ascii="Times New Roman" w:hAnsi="Times New Roman"/>
          <w:spacing w:val="30"/>
          <w:sz w:val="24"/>
        </w:rPr>
        <w:t> </w:t>
      </w:r>
      <w:r>
        <w:rPr>
          <w:rFonts w:ascii="Times New Roman" w:hAnsi="Times New Roman"/>
          <w:sz w:val="24"/>
        </w:rPr>
        <w:t>што</w:t>
      </w:r>
      <w:r>
        <w:rPr>
          <w:rFonts w:ascii="Times New Roman" w:hAnsi="Times New Roman"/>
          <w:spacing w:val="28"/>
          <w:sz w:val="24"/>
        </w:rPr>
        <w:t> </w:t>
      </w:r>
      <w:r>
        <w:rPr>
          <w:rFonts w:ascii="Times New Roman" w:hAnsi="Times New Roman"/>
          <w:sz w:val="24"/>
        </w:rPr>
        <w:t>је</w:t>
      </w:r>
      <w:r>
        <w:rPr>
          <w:rFonts w:ascii="Times New Roman" w:hAnsi="Times New Roman"/>
          <w:spacing w:val="26"/>
          <w:sz w:val="24"/>
        </w:rPr>
        <w:t> </w:t>
      </w:r>
      <w:r>
        <w:rPr>
          <w:rFonts w:ascii="Times New Roman" w:hAnsi="Times New Roman"/>
          <w:sz w:val="24"/>
        </w:rPr>
        <w:t>супротно</w:t>
      </w:r>
      <w:r>
        <w:rPr>
          <w:rFonts w:ascii="Times New Roman" w:hAnsi="Times New Roman"/>
          <w:spacing w:val="28"/>
          <w:sz w:val="24"/>
        </w:rPr>
        <w:t> </w:t>
      </w:r>
      <w:r>
        <w:rPr>
          <w:rFonts w:ascii="Times New Roman" w:hAnsi="Times New Roman"/>
          <w:sz w:val="24"/>
        </w:rPr>
        <w:t>члану</w:t>
      </w:r>
      <w:r>
        <w:rPr>
          <w:rFonts w:ascii="Times New Roman" w:hAnsi="Times New Roman"/>
          <w:spacing w:val="26"/>
          <w:sz w:val="24"/>
        </w:rPr>
        <w:t> </w:t>
      </w:r>
      <w:r>
        <w:rPr>
          <w:rFonts w:ascii="Times New Roman" w:hAnsi="Times New Roman"/>
          <w:sz w:val="24"/>
        </w:rPr>
        <w:t>13.</w:t>
      </w:r>
      <w:r>
        <w:rPr>
          <w:rFonts w:ascii="Times New Roman" w:hAnsi="Times New Roman"/>
          <w:spacing w:val="28"/>
          <w:sz w:val="24"/>
        </w:rPr>
        <w:t> </w:t>
      </w:r>
      <w:r>
        <w:rPr>
          <w:rFonts w:ascii="Times New Roman" w:hAnsi="Times New Roman"/>
          <w:sz w:val="24"/>
        </w:rPr>
        <w:t>Правилника</w:t>
      </w:r>
      <w:r>
        <w:rPr>
          <w:rFonts w:ascii="Times New Roman" w:hAnsi="Times New Roman"/>
          <w:spacing w:val="35"/>
          <w:sz w:val="24"/>
        </w:rPr>
        <w:t> </w:t>
      </w:r>
      <w:r>
        <w:rPr>
          <w:rFonts w:ascii="Times New Roman" w:hAnsi="Times New Roman"/>
          <w:sz w:val="24"/>
        </w:rPr>
        <w:t>о</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84"/>
        <w:jc w:val="both"/>
        <w:rPr>
          <w:rFonts w:ascii="Times New Roman" w:hAnsi="Times New Roman" w:cs="Times New Roman" w:eastAsia="Times New Roman" w:hint="default"/>
        </w:rPr>
      </w:pPr>
      <w:r>
        <w:rPr/>
        <w:t>начину и роковима вршења пописа и усклађивања књиговодственог стања са стварним стањем</w:t>
      </w:r>
      <w:r>
        <w:rPr>
          <w:rFonts w:ascii="Times New Roman" w:hAnsi="Times New Roman"/>
        </w:rPr>
        <w:t>.</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Из пословних књига града Ниша нису искњижени станови који су дупло евидентирани, на пример стан под редним бројем у пописној листи 318 (инвентарски број 520) и стан под редним бројем 339 (инвентарски број 543); стан под редним бројем 159 у пописној листи (инвентарски број 265) и стан под редним бројем 396 (инвентарски број 601), тако да није извршено усклађивање књиговодственог стања са стварним стањем, што је супротно члану 14. Правилника о начину и роковима вршења пописа и усклађивања књиговодственог стања са стварним</w:t>
      </w:r>
      <w:r>
        <w:rPr>
          <w:rFonts w:ascii="Times New Roman" w:hAnsi="Times New Roman"/>
          <w:spacing w:val="-13"/>
          <w:sz w:val="24"/>
        </w:rPr>
        <w:t> </w:t>
      </w:r>
      <w:r>
        <w:rPr>
          <w:rFonts w:ascii="Times New Roman" w:hAnsi="Times New Roman"/>
          <w:sz w:val="24"/>
        </w:rPr>
        <w:t>стањем.</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Пописне листе станова не садрже: количину пописаних станова, књиговодствено натурално стање станова, цене пописане имовине, вредност пописане имовине, садрже само потписе чланова комисије и такве (бланко) предате су председнику Централне пописне комисије, што је супротно члану 9. Правилника о начину и роковима вршења пописа и усклађивања књиговодственог стања са стварним</w:t>
      </w:r>
      <w:r>
        <w:rPr>
          <w:rFonts w:ascii="Times New Roman" w:hAnsi="Times New Roman"/>
          <w:spacing w:val="-21"/>
          <w:sz w:val="24"/>
        </w:rPr>
        <w:t> </w:t>
      </w:r>
      <w:r>
        <w:rPr>
          <w:rFonts w:ascii="Times New Roman" w:hAnsi="Times New Roman"/>
          <w:sz w:val="24"/>
        </w:rPr>
        <w:t>стањем.</w:t>
      </w:r>
    </w:p>
    <w:p>
      <w:pPr>
        <w:pStyle w:val="ListParagraph"/>
        <w:numPr>
          <w:ilvl w:val="0"/>
          <w:numId w:val="9"/>
        </w:numPr>
        <w:tabs>
          <w:tab w:pos="303" w:val="left" w:leader="none"/>
        </w:tabs>
        <w:spacing w:line="240" w:lineRule="auto" w:before="2" w:after="0"/>
        <w:ind w:left="160" w:right="183" w:firstLine="0"/>
        <w:jc w:val="both"/>
        <w:rPr>
          <w:rFonts w:ascii="Times New Roman" w:hAnsi="Times New Roman" w:cs="Times New Roman" w:eastAsia="Times New Roman" w:hint="default"/>
          <w:sz w:val="24"/>
          <w:szCs w:val="24"/>
        </w:rPr>
      </w:pPr>
      <w:r>
        <w:rPr>
          <w:rFonts w:ascii="Times New Roman" w:hAnsi="Times New Roman"/>
          <w:sz w:val="24"/>
        </w:rPr>
        <w:t>Пописне листе станова потписане су од стране два члана комисије за попис, док комисија броји три члана и нису потписане од стране рачунополагача, што је супротно Правилнику о начину и роковима вршења пописа и усклађивања књиговодственог стања са стварним</w:t>
      </w:r>
      <w:r>
        <w:rPr>
          <w:rFonts w:ascii="Times New Roman" w:hAnsi="Times New Roman"/>
          <w:spacing w:val="-9"/>
          <w:sz w:val="24"/>
        </w:rPr>
        <w:t> </w:t>
      </w:r>
      <w:r>
        <w:rPr>
          <w:rFonts w:ascii="Times New Roman" w:hAnsi="Times New Roman"/>
          <w:sz w:val="24"/>
        </w:rPr>
        <w:t>стањем.</w:t>
      </w:r>
    </w:p>
    <w:p>
      <w:pPr>
        <w:pStyle w:val="ListParagraph"/>
        <w:numPr>
          <w:ilvl w:val="0"/>
          <w:numId w:val="9"/>
        </w:numPr>
        <w:tabs>
          <w:tab w:pos="303" w:val="left" w:leader="none"/>
        </w:tabs>
        <w:spacing w:line="237" w:lineRule="auto" w:before="4" w:after="0"/>
        <w:ind w:left="160" w:right="183" w:firstLine="0"/>
        <w:jc w:val="both"/>
        <w:rPr>
          <w:rFonts w:ascii="Times New Roman" w:hAnsi="Times New Roman" w:cs="Times New Roman" w:eastAsia="Times New Roman" w:hint="default"/>
          <w:sz w:val="24"/>
          <w:szCs w:val="24"/>
        </w:rPr>
      </w:pPr>
      <w:r>
        <w:rPr>
          <w:rFonts w:ascii="Times New Roman" w:hAnsi="Times New Roman"/>
          <w:sz w:val="24"/>
        </w:rPr>
        <w:t>Извештај комисије о извршеном попису нематеријалних улагања, основних средстава и ситног инвентара састављен је дана 02.03.2015. године, касније у односу на задати рок, што је супротно члану 5. Решења о попису и образовању комисија за попис</w:t>
      </w:r>
      <w:r>
        <w:rPr>
          <w:rFonts w:ascii="Times New Roman" w:hAnsi="Times New Roman"/>
          <w:spacing w:val="-27"/>
          <w:sz w:val="24"/>
        </w:rPr>
        <w:t> </w:t>
      </w:r>
      <w:r>
        <w:rPr>
          <w:rFonts w:ascii="Times New Roman" w:hAnsi="Times New Roman"/>
          <w:sz w:val="24"/>
        </w:rPr>
        <w:t>имовине.</w:t>
      </w:r>
    </w:p>
    <w:p>
      <w:pPr>
        <w:pStyle w:val="ListParagraph"/>
        <w:numPr>
          <w:ilvl w:val="0"/>
          <w:numId w:val="9"/>
        </w:numPr>
        <w:tabs>
          <w:tab w:pos="303" w:val="left" w:leader="none"/>
        </w:tabs>
        <w:spacing w:line="240" w:lineRule="auto" w:before="3"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У поступку ревизије пописне листе нематеријалне имовине нису достављене на</w:t>
      </w:r>
      <w:r>
        <w:rPr>
          <w:rFonts w:ascii="Times New Roman" w:hAnsi="Times New Roman"/>
          <w:spacing w:val="-30"/>
          <w:sz w:val="24"/>
        </w:rPr>
        <w:t> </w:t>
      </w:r>
      <w:r>
        <w:rPr>
          <w:rFonts w:ascii="Times New Roman" w:hAnsi="Times New Roman"/>
          <w:sz w:val="24"/>
        </w:rPr>
        <w:t>увид.</w:t>
      </w:r>
    </w:p>
    <w:p>
      <w:pPr>
        <w:pStyle w:val="ListParagraph"/>
        <w:numPr>
          <w:ilvl w:val="0"/>
          <w:numId w:val="9"/>
        </w:numPr>
        <w:tabs>
          <w:tab w:pos="303" w:val="left" w:leader="none"/>
        </w:tabs>
        <w:spacing w:line="240" w:lineRule="auto" w:before="1"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Комисија за попис нематеријалних улагања, основних средстава и ситног инвентара у свом Извештају о извршеном попису од 02.03.2015. године истиче да није надлежна, односно компетентна за процену вредности вишка или мањка средстава и да мањак и вишак није ни утврђен, што је супротно члану 9. Правилника о начину и роковима вршења пописа и усклађивања књиговодственог стања са стварним стањем и Решењу о попису и образовању комисија за попис имовине број 4038/2014</w:t>
      </w:r>
      <w:r>
        <w:rPr>
          <w:rFonts w:ascii="Times New Roman" w:hAnsi="Times New Roman"/>
          <w:sz w:val="24"/>
        </w:rPr>
        <w:t>-</w:t>
      </w:r>
      <w:r>
        <w:rPr>
          <w:rFonts w:ascii="Times New Roman" w:hAnsi="Times New Roman"/>
          <w:sz w:val="24"/>
        </w:rPr>
        <w:t>01 од 27.11.2014</w:t>
      </w:r>
      <w:r>
        <w:rPr>
          <w:rFonts w:ascii="Times New Roman" w:hAnsi="Times New Roman"/>
          <w:sz w:val="24"/>
        </w:rPr>
        <w:t>. </w:t>
      </w:r>
      <w:r>
        <w:rPr>
          <w:rFonts w:ascii="Times New Roman" w:hAnsi="Times New Roman"/>
          <w:sz w:val="24"/>
        </w:rPr>
        <w:t>године донетом од стране</w:t>
      </w:r>
      <w:r>
        <w:rPr>
          <w:rFonts w:ascii="Times New Roman" w:hAnsi="Times New Roman"/>
          <w:spacing w:val="-7"/>
          <w:sz w:val="24"/>
        </w:rPr>
        <w:t> </w:t>
      </w:r>
      <w:r>
        <w:rPr>
          <w:rFonts w:ascii="Times New Roman" w:hAnsi="Times New Roman"/>
          <w:sz w:val="24"/>
        </w:rPr>
        <w:t>Градоначелника.</w:t>
      </w:r>
    </w:p>
    <w:p>
      <w:pPr>
        <w:pStyle w:val="ListParagraph"/>
        <w:numPr>
          <w:ilvl w:val="0"/>
          <w:numId w:val="9"/>
        </w:numPr>
        <w:tabs>
          <w:tab w:pos="303" w:val="left" w:leader="none"/>
        </w:tabs>
        <w:spacing w:line="240" w:lineRule="auto" w:before="2"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Комисија за попис нематеријалних улагања, основних средстава и ситног инвентара у свом Извештају је истакла да треба промене, односно уношење нових средстава по просторијама и објектима током године евидентирати на инвентарним листама и тиме олакшати комисијама обављање</w:t>
      </w:r>
      <w:r>
        <w:rPr>
          <w:rFonts w:ascii="Times New Roman" w:hAnsi="Times New Roman"/>
          <w:spacing w:val="-13"/>
          <w:sz w:val="24"/>
        </w:rPr>
        <w:t> </w:t>
      </w:r>
      <w:r>
        <w:rPr>
          <w:rFonts w:ascii="Times New Roman" w:hAnsi="Times New Roman"/>
          <w:sz w:val="24"/>
        </w:rPr>
        <w:t>пописа.</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пописним листама нематеријалних улагања, основних средстава и ситног инвентара комисија је бележила да неких средстава нема, као на пример на пописној листи за пописно место број 00310030 (00300000) канцеларија број 3, први спрат (на полеђини пописне листе забележена адреса Вождова 16) наведено је да нема средстава – витрина  са инвентарским бројевима 697 и 698; на пописној листи за пописно место 0020</w:t>
      </w:r>
      <w:r>
        <w:rPr>
          <w:rFonts w:ascii="Times New Roman" w:hAnsi="Times New Roman" w:cs="Times New Roman" w:eastAsia="Times New Roman" w:hint="default"/>
          <w:sz w:val="24"/>
          <w:szCs w:val="24"/>
        </w:rPr>
        <w:t>STRO </w:t>
      </w:r>
      <w:r>
        <w:rPr>
          <w:rFonts w:ascii="Times New Roman" w:hAnsi="Times New Roman" w:cs="Times New Roman" w:eastAsia="Times New Roman" w:hint="default"/>
          <w:sz w:val="24"/>
          <w:szCs w:val="24"/>
        </w:rPr>
        <w:t>(00200000) Столарска радионица наведено је да нема средстава под инвентарским бројевима 14760 – столарска тезга, 16882 – тестера убодна, 16994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брусилица и</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друго.</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пописној листи комисије за попис нематеријалних улагања, основних средстава и ситног инвентара за пописно место под бројем 00800040 (00800000) – канцеларија број 4 комисија је забележила да се средства под инвентарским бројевима 14672, 14673, 14674</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конференцијски сто, затим 14676, 14677, 14678, 14679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сточић из гарнитуре,  затим 14682,  14683  (све  до  броја  14693)  –  фотеље  метал  скај  и  друга  средства  налазе    </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у</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82"/>
        <w:jc w:val="both"/>
      </w:pPr>
      <w:r>
        <w:rPr/>
        <w:t>Светозара Марковића са назнаком „тако кажу“, реверси, у поступку ревизије, нису дати на</w:t>
      </w:r>
      <w:r>
        <w:rPr>
          <w:spacing w:val="-5"/>
        </w:rPr>
        <w:t> </w:t>
      </w:r>
      <w:r>
        <w:rPr/>
        <w:t>увид.</w:t>
      </w:r>
    </w:p>
    <w:p>
      <w:pPr>
        <w:pStyle w:val="ListParagraph"/>
        <w:numPr>
          <w:ilvl w:val="0"/>
          <w:numId w:val="9"/>
        </w:numPr>
        <w:tabs>
          <w:tab w:pos="303" w:val="left" w:leader="none"/>
        </w:tabs>
        <w:spacing w:line="240" w:lineRule="auto" w:before="2"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Пописне листе нематеријалних улагања, основних средстава и ситног инвентара не садрже: књиговодствено натурално стање имовине, цене пописане имовине, вредност пописане имовине, што је супротно члану 9. Правилника о начину и роковима вршења пописа и усклађивања књиговодственог стања са стварним</w:t>
      </w:r>
      <w:r>
        <w:rPr>
          <w:rFonts w:ascii="Times New Roman" w:hAnsi="Times New Roman"/>
          <w:spacing w:val="-19"/>
          <w:sz w:val="24"/>
        </w:rPr>
        <w:t> </w:t>
      </w:r>
      <w:r>
        <w:rPr>
          <w:rFonts w:ascii="Times New Roman" w:hAnsi="Times New Roman"/>
          <w:sz w:val="24"/>
        </w:rPr>
        <w:t>стањем.</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Извештај комисије о извршеном попису нематеријалних улагања, основних средстава и ситног инвентара по месним канцеларијама Градске управе града Ниша састављен је  дана 27.02.2015. године, касније у односу на задати рок, што је супротно члану 5. Решења о попису и образовању комисија за попис</w:t>
      </w:r>
      <w:r>
        <w:rPr>
          <w:rFonts w:ascii="Times New Roman" w:hAnsi="Times New Roman"/>
          <w:spacing w:val="-22"/>
          <w:sz w:val="24"/>
        </w:rPr>
        <w:t> </w:t>
      </w:r>
      <w:r>
        <w:rPr>
          <w:rFonts w:ascii="Times New Roman" w:hAnsi="Times New Roman"/>
          <w:sz w:val="24"/>
        </w:rPr>
        <w:t>имовине.</w:t>
      </w:r>
    </w:p>
    <w:p>
      <w:pPr>
        <w:pStyle w:val="ListParagraph"/>
        <w:numPr>
          <w:ilvl w:val="0"/>
          <w:numId w:val="9"/>
        </w:numPr>
        <w:tabs>
          <w:tab w:pos="303"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Комисија за попис нематеријалних улагања, основних средстава и ситног инвентара месних канцеларија пописала је на посебним пописним листама имовину коју је предложила за расход (38 клима уређаја, 40 телефонских апарата, 6 рачунских машина и заштитна одећа: јакна вијетнамка</w:t>
      </w:r>
      <w:r>
        <w:rPr>
          <w:rFonts w:ascii="Times New Roman" w:hAnsi="Times New Roman"/>
          <w:sz w:val="24"/>
        </w:rPr>
        <w:t>-</w:t>
      </w:r>
      <w:r>
        <w:rPr>
          <w:rFonts w:ascii="Times New Roman" w:hAnsi="Times New Roman"/>
          <w:sz w:val="24"/>
        </w:rPr>
        <w:t>7, прслук</w:t>
      </w:r>
      <w:r>
        <w:rPr>
          <w:rFonts w:ascii="Times New Roman" w:hAnsi="Times New Roman"/>
          <w:sz w:val="24"/>
        </w:rPr>
        <w:t>-</w:t>
      </w:r>
      <w:r>
        <w:rPr>
          <w:rFonts w:ascii="Times New Roman" w:hAnsi="Times New Roman"/>
          <w:sz w:val="24"/>
        </w:rPr>
        <w:t>7, дукс</w:t>
      </w:r>
      <w:r>
        <w:rPr>
          <w:rFonts w:ascii="Times New Roman" w:hAnsi="Times New Roman"/>
          <w:sz w:val="24"/>
        </w:rPr>
        <w:t>-</w:t>
      </w:r>
      <w:r>
        <w:rPr>
          <w:rFonts w:ascii="Times New Roman" w:hAnsi="Times New Roman"/>
          <w:sz w:val="24"/>
        </w:rPr>
        <w:t>14, мајица</w:t>
      </w:r>
      <w:r>
        <w:rPr>
          <w:rFonts w:ascii="Times New Roman" w:hAnsi="Times New Roman"/>
          <w:sz w:val="24"/>
        </w:rPr>
        <w:t>-</w:t>
      </w:r>
      <w:r>
        <w:rPr>
          <w:rFonts w:ascii="Times New Roman" w:hAnsi="Times New Roman"/>
          <w:sz w:val="24"/>
        </w:rPr>
        <w:t>28, панталоне</w:t>
      </w:r>
      <w:r>
        <w:rPr>
          <w:rFonts w:ascii="Times New Roman" w:hAnsi="Times New Roman"/>
          <w:sz w:val="24"/>
        </w:rPr>
        <w:t>-</w:t>
      </w:r>
      <w:r>
        <w:rPr>
          <w:rFonts w:ascii="Times New Roman" w:hAnsi="Times New Roman"/>
          <w:sz w:val="24"/>
        </w:rPr>
        <w:t>14 и друго), без навођења инвентарског броја и утврђивања вредносног износа предлога за расход, што је супротно члану 9. Правилника о начину и роковима вршења пописа  и усклађивања књиговодственог стања са стварним</w:t>
      </w:r>
      <w:r>
        <w:rPr>
          <w:rFonts w:ascii="Times New Roman" w:hAnsi="Times New Roman"/>
          <w:spacing w:val="-16"/>
          <w:sz w:val="24"/>
        </w:rPr>
        <w:t> </w:t>
      </w:r>
      <w:r>
        <w:rPr>
          <w:rFonts w:ascii="Times New Roman" w:hAnsi="Times New Roman"/>
          <w:sz w:val="24"/>
        </w:rPr>
        <w:t>стањем.</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Комисија за попис нематеријалних улагања, основних средстава и ситног инвентара по месним канцеларијама Градске управе града Ниша пописала је на посебним пописним листама имовину коју је предложила за расход са навођењем инвентарског броја, назива средства, количине, месне канцеларије у којој се средство налази, без утврђивања износа вредности предлога за расход, а пописна листа гласи на датум 31.12.2013.</w:t>
      </w:r>
      <w:r>
        <w:rPr>
          <w:rFonts w:ascii="Times New Roman" w:hAnsi="Times New Roman"/>
          <w:spacing w:val="-18"/>
          <w:sz w:val="24"/>
        </w:rPr>
        <w:t> </w:t>
      </w:r>
      <w:r>
        <w:rPr>
          <w:rFonts w:ascii="Times New Roman" w:hAnsi="Times New Roman"/>
          <w:sz w:val="24"/>
        </w:rPr>
        <w:t>године.</w:t>
      </w:r>
    </w:p>
    <w:p>
      <w:pPr>
        <w:pStyle w:val="ListParagraph"/>
        <w:numPr>
          <w:ilvl w:val="0"/>
          <w:numId w:val="9"/>
        </w:numPr>
        <w:tabs>
          <w:tab w:pos="303" w:val="left" w:leader="none"/>
        </w:tabs>
        <w:spacing w:line="240" w:lineRule="auto" w:before="2"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Комисија за попис рачунарске опреме извршила је попис на посебним евиденционим листовима основних средстава услед, како је навела у свом извештају, немогућности коришћења пописних листи из књиговодства, због њихове непрегледности, нејасноће, немогућности повезивања средства са листе и средства на терену (јер нису обележени инвентарским бројевима). Тако сачињене листе садрже само пописано стање у  количини, што је супротно члану </w:t>
      </w:r>
      <w:r>
        <w:rPr>
          <w:rFonts w:ascii="Times New Roman" w:hAnsi="Times New Roman"/>
          <w:sz w:val="24"/>
        </w:rPr>
        <w:t>9. </w:t>
      </w:r>
      <w:r>
        <w:rPr>
          <w:rFonts w:ascii="Times New Roman" w:hAnsi="Times New Roman"/>
          <w:sz w:val="24"/>
        </w:rPr>
        <w:t>Правилника о начину и роковима вршења пописа и усклађивања књиговодственог стања са стварним</w:t>
      </w:r>
      <w:r>
        <w:rPr>
          <w:rFonts w:ascii="Times New Roman" w:hAnsi="Times New Roman"/>
          <w:spacing w:val="-16"/>
          <w:sz w:val="24"/>
        </w:rPr>
        <w:t> </w:t>
      </w:r>
      <w:r>
        <w:rPr>
          <w:rFonts w:ascii="Times New Roman" w:hAnsi="Times New Roman"/>
          <w:sz w:val="24"/>
        </w:rPr>
        <w:t>стањем.</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Усклађивање стварног стања рачунарске опреме утврђеног пописом и књиговодственог стања, није извршено, што је супротно члану 14. Правилника о начину и роковима вршења пописа и усклађивања књиговодственог стања са стварним</w:t>
      </w:r>
      <w:r>
        <w:rPr>
          <w:rFonts w:ascii="Times New Roman" w:hAnsi="Times New Roman"/>
          <w:spacing w:val="-21"/>
          <w:sz w:val="24"/>
        </w:rPr>
        <w:t> </w:t>
      </w:r>
      <w:r>
        <w:rPr>
          <w:rFonts w:ascii="Times New Roman" w:hAnsi="Times New Roman"/>
          <w:sz w:val="24"/>
        </w:rPr>
        <w:t>стањем.</w:t>
      </w:r>
    </w:p>
    <w:p>
      <w:pPr>
        <w:pStyle w:val="ListParagraph"/>
        <w:numPr>
          <w:ilvl w:val="0"/>
          <w:numId w:val="9"/>
        </w:numPr>
        <w:tabs>
          <w:tab w:pos="303" w:val="left" w:leader="none"/>
        </w:tabs>
        <w:spacing w:line="240" w:lineRule="auto" w:before="2"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У Извештају комисије наведено је да је извршен попис опреме код других органа и установа којима је уступљена опрема на коришћење а за коју постоје реверси у Служби ИКТ, али попис имовине која је дата на коришћење није извршен на посебним пописним листама, јер такве пописне листе нису дате на увид, што је супротно члану 10. Правилника о начину и роковима вршења пописа и усклађивања књиговодственог стања са стварним</w:t>
      </w:r>
      <w:r>
        <w:rPr>
          <w:rFonts w:ascii="Times New Roman" w:hAnsi="Times New Roman"/>
          <w:spacing w:val="-9"/>
          <w:sz w:val="24"/>
        </w:rPr>
        <w:t> </w:t>
      </w:r>
      <w:r>
        <w:rPr>
          <w:rFonts w:ascii="Times New Roman" w:hAnsi="Times New Roman"/>
          <w:sz w:val="24"/>
        </w:rPr>
        <w:t>стањем.</w:t>
      </w:r>
    </w:p>
    <w:p>
      <w:pPr>
        <w:pStyle w:val="ListParagraph"/>
        <w:numPr>
          <w:ilvl w:val="0"/>
          <w:numId w:val="9"/>
        </w:numPr>
        <w:tabs>
          <w:tab w:pos="303" w:val="left" w:leader="none"/>
        </w:tabs>
        <w:spacing w:line="240" w:lineRule="auto" w:before="47"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У Извештају Централне пописне комисије о извршеном попису имовине града Ниша са стањем на дан 31.12.2014. године наведена је вредност пописане имовине у износу од 20.812.621 хиљаде динара, са навођењем врсте имовине и то: градско грађевинско земљиште у износу од 6.795.641 хиљаде динара, пољопривредно земљиште у износу од 2.458.637 хиљада динара, шуме у износу од 25.106 хиљада динара, опрема у износу од 1.135.730 хиљада динара, уметничке слике у износу од 264 хиљаде динара, зграде и грађевински објекти у износу од 8.476.342 хиљаде динара, робне резерве у износу од 27.973</w:t>
      </w:r>
      <w:r>
        <w:rPr>
          <w:rFonts w:ascii="Times New Roman" w:hAnsi="Times New Roman"/>
          <w:spacing w:val="17"/>
          <w:sz w:val="24"/>
        </w:rPr>
        <w:t> </w:t>
      </w:r>
      <w:r>
        <w:rPr>
          <w:rFonts w:ascii="Times New Roman" w:hAnsi="Times New Roman"/>
          <w:sz w:val="24"/>
        </w:rPr>
        <w:t>хиљаде</w:t>
      </w:r>
      <w:r>
        <w:rPr>
          <w:rFonts w:ascii="Times New Roman" w:hAnsi="Times New Roman"/>
          <w:spacing w:val="17"/>
          <w:sz w:val="24"/>
        </w:rPr>
        <w:t> </w:t>
      </w:r>
      <w:r>
        <w:rPr>
          <w:rFonts w:ascii="Times New Roman" w:hAnsi="Times New Roman"/>
          <w:sz w:val="24"/>
        </w:rPr>
        <w:t>динара,</w:t>
      </w:r>
      <w:r>
        <w:rPr>
          <w:rFonts w:ascii="Times New Roman" w:hAnsi="Times New Roman"/>
          <w:spacing w:val="17"/>
          <w:sz w:val="24"/>
        </w:rPr>
        <w:t> </w:t>
      </w:r>
      <w:r>
        <w:rPr>
          <w:rFonts w:ascii="Times New Roman" w:hAnsi="Times New Roman"/>
          <w:sz w:val="24"/>
        </w:rPr>
        <w:t>станови</w:t>
      </w:r>
      <w:r>
        <w:rPr>
          <w:rFonts w:ascii="Times New Roman" w:hAnsi="Times New Roman"/>
          <w:spacing w:val="20"/>
          <w:sz w:val="24"/>
        </w:rPr>
        <w:t> </w:t>
      </w:r>
      <w:r>
        <w:rPr>
          <w:rFonts w:ascii="Times New Roman" w:hAnsi="Times New Roman"/>
          <w:sz w:val="24"/>
        </w:rPr>
        <w:t>у</w:t>
      </w:r>
      <w:r>
        <w:rPr>
          <w:rFonts w:ascii="Times New Roman" w:hAnsi="Times New Roman"/>
          <w:spacing w:val="13"/>
          <w:sz w:val="24"/>
        </w:rPr>
        <w:t> </w:t>
      </w:r>
      <w:r>
        <w:rPr>
          <w:rFonts w:ascii="Times New Roman" w:hAnsi="Times New Roman"/>
          <w:sz w:val="24"/>
        </w:rPr>
        <w:t>износу</w:t>
      </w:r>
      <w:r>
        <w:rPr>
          <w:rFonts w:ascii="Times New Roman" w:hAnsi="Times New Roman"/>
          <w:spacing w:val="15"/>
          <w:sz w:val="24"/>
        </w:rPr>
        <w:t> </w:t>
      </w:r>
      <w:r>
        <w:rPr>
          <w:rFonts w:ascii="Times New Roman" w:hAnsi="Times New Roman"/>
          <w:sz w:val="24"/>
        </w:rPr>
        <w:t>од</w:t>
      </w:r>
      <w:r>
        <w:rPr>
          <w:rFonts w:ascii="Times New Roman" w:hAnsi="Times New Roman"/>
          <w:spacing w:val="18"/>
          <w:sz w:val="24"/>
        </w:rPr>
        <w:t> </w:t>
      </w:r>
      <w:r>
        <w:rPr>
          <w:rFonts w:ascii="Times New Roman" w:hAnsi="Times New Roman"/>
          <w:sz w:val="24"/>
        </w:rPr>
        <w:t>764.003</w:t>
      </w:r>
      <w:r>
        <w:rPr>
          <w:rFonts w:ascii="Times New Roman" w:hAnsi="Times New Roman"/>
          <w:spacing w:val="17"/>
          <w:sz w:val="24"/>
        </w:rPr>
        <w:t> </w:t>
      </w:r>
      <w:r>
        <w:rPr>
          <w:rFonts w:ascii="Times New Roman" w:hAnsi="Times New Roman"/>
          <w:sz w:val="24"/>
        </w:rPr>
        <w:t>хиљаде</w:t>
      </w:r>
      <w:r>
        <w:rPr>
          <w:rFonts w:ascii="Times New Roman" w:hAnsi="Times New Roman"/>
          <w:spacing w:val="17"/>
          <w:sz w:val="24"/>
        </w:rPr>
        <w:t> </w:t>
      </w:r>
      <w:r>
        <w:rPr>
          <w:rFonts w:ascii="Times New Roman" w:hAnsi="Times New Roman"/>
          <w:sz w:val="24"/>
        </w:rPr>
        <w:t>динара,</w:t>
      </w:r>
      <w:r>
        <w:rPr>
          <w:rFonts w:ascii="Times New Roman" w:hAnsi="Times New Roman"/>
          <w:spacing w:val="17"/>
          <w:sz w:val="24"/>
        </w:rPr>
        <w:t> </w:t>
      </w:r>
      <w:r>
        <w:rPr>
          <w:rFonts w:ascii="Times New Roman" w:hAnsi="Times New Roman"/>
          <w:sz w:val="24"/>
        </w:rPr>
        <w:t>пословни</w:t>
      </w:r>
      <w:r>
        <w:rPr>
          <w:rFonts w:ascii="Times New Roman" w:hAnsi="Times New Roman"/>
          <w:spacing w:val="18"/>
          <w:sz w:val="24"/>
        </w:rPr>
        <w:t> </w:t>
      </w:r>
      <w:r>
        <w:rPr>
          <w:rFonts w:ascii="Times New Roman" w:hAnsi="Times New Roman"/>
          <w:sz w:val="24"/>
        </w:rPr>
        <w:t>простор</w:t>
      </w:r>
      <w:r>
        <w:rPr>
          <w:rFonts w:ascii="Times New Roman" w:hAnsi="Times New Roman"/>
          <w:spacing w:val="17"/>
          <w:sz w:val="24"/>
        </w:rPr>
        <w:t> </w:t>
      </w:r>
      <w:r>
        <w:rPr>
          <w:rFonts w:ascii="Times New Roman" w:hAnsi="Times New Roman"/>
          <w:sz w:val="24"/>
        </w:rPr>
        <w:t>и</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80"/>
        <w:jc w:val="both"/>
        <w:rPr>
          <w:rFonts w:ascii="Times New Roman" w:hAnsi="Times New Roman" w:cs="Times New Roman" w:eastAsia="Times New Roman" w:hint="default"/>
        </w:rPr>
      </w:pPr>
      <w:r>
        <w:rPr/>
        <w:t>пословне зграде у износу од 815.104 хиљаде динара, остала нематеријална имовина у износу од 276.216 хиљада динара и инвестиције у току у износу од 37.605 хиљада динара без пописа потраживања, која су део имовине</w:t>
      </w:r>
      <w:r>
        <w:rPr>
          <w:spacing w:val="-15"/>
        </w:rPr>
        <w:t> </w:t>
      </w:r>
      <w:r>
        <w:rPr/>
        <w:t>града</w:t>
      </w:r>
      <w:r>
        <w:rPr>
          <w:rFonts w:ascii="Times New Roman" w:hAnsi="Times New Roman"/>
        </w:rPr>
        <w:t>.</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Вредност пописане имовине наведене у Извештају Централне пописне комисије у износу од 20.812.621 хиљаде динара представља садашњу вредност нефинансијске имовине исказану у пословним књигама града Ниша по почетном стању, односно на дан 01.01.2014. године, која је увећана за евидентиране набавке, односно увећања и отуђења земљишта током 2014.</w:t>
      </w:r>
      <w:r>
        <w:rPr>
          <w:rFonts w:ascii="Times New Roman" w:hAnsi="Times New Roman"/>
          <w:spacing w:val="-7"/>
          <w:sz w:val="24"/>
        </w:rPr>
        <w:t> </w:t>
      </w:r>
      <w:r>
        <w:rPr>
          <w:rFonts w:ascii="Times New Roman" w:hAnsi="Times New Roman"/>
          <w:sz w:val="24"/>
        </w:rPr>
        <w:t>године.</w:t>
      </w:r>
    </w:p>
    <w:p>
      <w:pPr>
        <w:pStyle w:val="Heading2"/>
        <w:spacing w:line="240" w:lineRule="auto"/>
        <w:ind w:right="175"/>
        <w:jc w:val="both"/>
        <w:rPr>
          <w:b w:val="0"/>
          <w:bCs w:val="0"/>
          <w:i w:val="0"/>
        </w:rPr>
      </w:pPr>
      <w:r>
        <w:rPr>
          <w:i/>
        </w:rPr>
        <w:t>Препоручује се одговорним лицима да: успоставе и воде свеобухватну евиденцију нефинансијске имовине којом располажу, врше усклађивање књиговодственог стања са стварним стањем и да попис нефинансијске имовине врше у складу са Уредбом о буџетском рачуноводству, Уредбом о евиденцији и попису непокретности и других средстава у државној својини</w:t>
      </w:r>
      <w:r>
        <w:rPr>
          <w:rFonts w:ascii="Times New Roman" w:hAnsi="Times New Roman"/>
          <w:i/>
        </w:rPr>
        <w:t>, </w:t>
      </w:r>
      <w:r>
        <w:rPr>
          <w:i/>
        </w:rPr>
        <w:t>Правилником о начину и роковима вршења пописа и усклађивања књиговодственог стања са стварним стањем и интерним</w:t>
      </w:r>
      <w:r>
        <w:rPr>
          <w:i/>
          <w:spacing w:val="-21"/>
        </w:rPr>
        <w:t> </w:t>
      </w:r>
      <w:r>
        <w:rPr>
          <w:i/>
        </w:rPr>
        <w:t>актима.</w:t>
      </w:r>
      <w:r>
        <w:rPr>
          <w:b w:val="0"/>
          <w:i w:val="0"/>
        </w:rPr>
      </w:r>
    </w:p>
    <w:p>
      <w:pPr>
        <w:pStyle w:val="BodyText"/>
        <w:spacing w:line="271" w:lineRule="exact"/>
        <w:ind w:left="726" w:right="141"/>
        <w:jc w:val="left"/>
      </w:pPr>
      <w:r>
        <w:rPr>
          <w:rFonts w:ascii="Times New Roman" w:hAnsi="Times New Roman"/>
        </w:rPr>
      </w:r>
      <w:r>
        <w:rPr>
          <w:rFonts w:ascii="Times New Roman" w:hAnsi="Times New Roman"/>
          <w:spacing w:val="-60"/>
          <w:u w:val="single" w:color="000000"/>
        </w:rPr>
        <w:t> </w:t>
      </w:r>
      <w:r>
        <w:rPr>
          <w:u w:val="single" w:color="000000"/>
        </w:rPr>
        <w:t>Попис залиха робних</w:t>
      </w:r>
      <w:r>
        <w:rPr>
          <w:spacing w:val="-7"/>
          <w:u w:val="single" w:color="000000"/>
        </w:rPr>
        <w:t> </w:t>
      </w:r>
      <w:r>
        <w:rPr>
          <w:u w:val="single" w:color="000000"/>
        </w:rPr>
        <w:t>резерви</w:t>
      </w:r>
      <w:r>
        <w:rPr/>
      </w:r>
    </w:p>
    <w:p>
      <w:pPr>
        <w:pStyle w:val="Heading1"/>
        <w:spacing w:line="240" w:lineRule="auto"/>
        <w:ind w:left="160" w:right="182" w:firstLine="566"/>
        <w:jc w:val="both"/>
        <w:rPr>
          <w:b w:val="0"/>
          <w:bCs w:val="0"/>
        </w:rPr>
      </w:pPr>
      <w:r>
        <w:rPr/>
        <w:t>У поступку ревизије узоркованих пописних листа и извештаја Комисије утврђено је</w:t>
      </w:r>
      <w:r>
        <w:rPr>
          <w:spacing w:val="-5"/>
        </w:rPr>
        <w:t> </w:t>
      </w:r>
      <w:r>
        <w:rPr/>
        <w:t>да:</w:t>
      </w:r>
      <w:r>
        <w:rPr>
          <w:b w:val="0"/>
        </w:rPr>
      </w:r>
    </w:p>
    <w:p>
      <w:pPr>
        <w:pStyle w:val="ListParagraph"/>
        <w:numPr>
          <w:ilvl w:val="0"/>
          <w:numId w:val="9"/>
        </w:numPr>
        <w:tabs>
          <w:tab w:pos="303"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Комисија за попис робних резерви није сачинила план рада по коме ће вршити попис, што је супротно члану 8. Правилника о начину и роковима вршења пописа  и усклађивања књиговодственог стања са стварним стањем и тачки 4. Решења о попису и образовању комисија за попис</w:t>
      </w:r>
      <w:r>
        <w:rPr>
          <w:rFonts w:ascii="Times New Roman" w:hAnsi="Times New Roman"/>
          <w:spacing w:val="-11"/>
          <w:sz w:val="24"/>
        </w:rPr>
        <w:t> </w:t>
      </w:r>
      <w:r>
        <w:rPr>
          <w:rFonts w:ascii="Times New Roman" w:hAnsi="Times New Roman"/>
          <w:sz w:val="24"/>
        </w:rPr>
        <w:t>имовине</w:t>
      </w:r>
      <w:r>
        <w:rPr>
          <w:rFonts w:ascii="Times New Roman" w:hAnsi="Times New Roman"/>
          <w:sz w:val="24"/>
        </w:rPr>
        <w:t>.</w:t>
      </w:r>
    </w:p>
    <w:p>
      <w:pPr>
        <w:pStyle w:val="ListParagraph"/>
        <w:numPr>
          <w:ilvl w:val="0"/>
          <w:numId w:val="9"/>
        </w:numPr>
        <w:tabs>
          <w:tab w:pos="303" w:val="left" w:leader="none"/>
        </w:tabs>
        <w:spacing w:line="240" w:lineRule="auto" w:before="2"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У Извештају комисије за попис залиха робних резерви исказано је натурално стање утврђено пописом на пет локација </w:t>
      </w:r>
      <w:r>
        <w:rPr>
          <w:rFonts w:ascii="Times New Roman" w:hAnsi="Times New Roman"/>
          <w:spacing w:val="-4"/>
          <w:sz w:val="24"/>
        </w:rPr>
        <w:t>уз </w:t>
      </w:r>
      <w:r>
        <w:rPr>
          <w:rFonts w:ascii="Times New Roman" w:hAnsi="Times New Roman"/>
          <w:sz w:val="24"/>
        </w:rPr>
        <w:t>напомену да се већи део робних резерви налази на </w:t>
      </w:r>
      <w:r>
        <w:rPr>
          <w:rFonts w:ascii="Times New Roman" w:hAnsi="Times New Roman"/>
          <w:sz w:val="24"/>
        </w:rPr>
        <w:t>местима предвиђеним за те намене (силоси и танкови) који нису приступачни, па је чињенично стање утврђено на основу изјава одговорних и овлашћених лица </w:t>
      </w:r>
      <w:r>
        <w:rPr>
          <w:rFonts w:ascii="Times New Roman" w:hAnsi="Times New Roman"/>
          <w:spacing w:val="-4"/>
          <w:sz w:val="24"/>
        </w:rPr>
        <w:t>уз </w:t>
      </w:r>
      <w:r>
        <w:rPr>
          <w:rFonts w:ascii="Times New Roman" w:hAnsi="Times New Roman"/>
          <w:sz w:val="24"/>
        </w:rPr>
        <w:t>потпис и </w:t>
      </w:r>
      <w:r>
        <w:rPr>
          <w:rFonts w:ascii="Times New Roman" w:hAnsi="Times New Roman"/>
          <w:sz w:val="24"/>
        </w:rPr>
        <w:t>печат, што је супротно члану 9. Правилника о начину и роковима вршења пописа и усклађивања књиговодственог стања са стварним</w:t>
      </w:r>
      <w:r>
        <w:rPr>
          <w:rFonts w:ascii="Times New Roman" w:hAnsi="Times New Roman"/>
          <w:spacing w:val="-18"/>
          <w:sz w:val="24"/>
        </w:rPr>
        <w:t> </w:t>
      </w:r>
      <w:r>
        <w:rPr>
          <w:rFonts w:ascii="Times New Roman" w:hAnsi="Times New Roman"/>
          <w:sz w:val="24"/>
        </w:rPr>
        <w:t>стањем.</w:t>
      </w:r>
    </w:p>
    <w:p>
      <w:pPr>
        <w:pStyle w:val="ListParagraph"/>
        <w:numPr>
          <w:ilvl w:val="0"/>
          <w:numId w:val="9"/>
        </w:numPr>
        <w:tabs>
          <w:tab w:pos="303" w:val="left" w:leader="none"/>
        </w:tabs>
        <w:spacing w:line="240" w:lineRule="auto" w:before="2"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Извештај комисије о попису залиха робних резерви не садржи књиговодствено стање имовине, разлике између стварног стања утврђеног пописом и књиговодственог стања, што је супротно члану 13. Правилника о начину и роковима вршења пописа и усклађивања књиговодственог стања са стварним</w:t>
      </w:r>
      <w:r>
        <w:rPr>
          <w:rFonts w:ascii="Times New Roman" w:hAnsi="Times New Roman"/>
          <w:spacing w:val="-15"/>
          <w:sz w:val="24"/>
        </w:rPr>
        <w:t> </w:t>
      </w:r>
      <w:r>
        <w:rPr>
          <w:rFonts w:ascii="Times New Roman" w:hAnsi="Times New Roman"/>
          <w:sz w:val="24"/>
        </w:rPr>
        <w:t>стањем.</w:t>
      </w:r>
    </w:p>
    <w:p>
      <w:pPr>
        <w:pStyle w:val="ListParagraph"/>
        <w:numPr>
          <w:ilvl w:val="0"/>
          <w:numId w:val="9"/>
        </w:numPr>
        <w:tabs>
          <w:tab w:pos="303" w:val="left" w:leader="none"/>
        </w:tabs>
        <w:spacing w:line="240" w:lineRule="auto" w:before="2"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Пописне листе залиха робних резерви састављене су за свих пет локација и потписане су од стране пописне комисије и рачунополагача код којих је на чувању, али не садрже књиговодствено натурално стање робних резерви, цене пописаних робних резерви, вредност пописаних робних резерви, што је супротно члану 9. Правилника о начину и роковима вршења пописа и усклађивања књиговодственог стања са стварним</w:t>
      </w:r>
      <w:r>
        <w:rPr>
          <w:rFonts w:ascii="Times New Roman" w:hAnsi="Times New Roman"/>
          <w:spacing w:val="-24"/>
          <w:sz w:val="24"/>
        </w:rPr>
        <w:t> </w:t>
      </w:r>
      <w:r>
        <w:rPr>
          <w:rFonts w:ascii="Times New Roman" w:hAnsi="Times New Roman"/>
          <w:sz w:val="24"/>
        </w:rPr>
        <w:t>стањем.</w:t>
      </w:r>
    </w:p>
    <w:p>
      <w:pPr>
        <w:pStyle w:val="Heading2"/>
        <w:spacing w:line="240" w:lineRule="auto"/>
        <w:ind w:right="183"/>
        <w:jc w:val="both"/>
        <w:rPr>
          <w:b w:val="0"/>
          <w:bCs w:val="0"/>
          <w:i w:val="0"/>
        </w:rPr>
      </w:pPr>
      <w:r>
        <w:rPr>
          <w:i/>
        </w:rPr>
        <w:t>Препоручује се одговорним лицима да попис залиха врше у складу са Правилником о начину и роковима вршења пописа и усклађивања књиговодственог стања са стварним стањем и интерним</w:t>
      </w:r>
      <w:r>
        <w:rPr>
          <w:i/>
          <w:spacing w:val="-13"/>
        </w:rPr>
        <w:t> </w:t>
      </w:r>
      <w:r>
        <w:rPr>
          <w:i/>
        </w:rPr>
        <w:t>актима.</w:t>
      </w:r>
      <w:r>
        <w:rPr>
          <w:b w:val="0"/>
          <w:i w:val="0"/>
        </w:rPr>
      </w:r>
    </w:p>
    <w:p>
      <w:pPr>
        <w:pStyle w:val="BodyText"/>
        <w:spacing w:line="271" w:lineRule="exact"/>
        <w:ind w:left="726" w:right="141"/>
        <w:jc w:val="left"/>
      </w:pPr>
      <w:r>
        <w:rPr>
          <w:rFonts w:ascii="Times New Roman" w:hAnsi="Times New Roman"/>
        </w:rPr>
      </w:r>
      <w:r>
        <w:rPr>
          <w:rFonts w:ascii="Times New Roman" w:hAnsi="Times New Roman"/>
          <w:spacing w:val="-60"/>
          <w:u w:val="single" w:color="000000"/>
        </w:rPr>
        <w:t> </w:t>
      </w:r>
      <w:r>
        <w:rPr>
          <w:u w:val="single" w:color="000000"/>
        </w:rPr>
        <w:t>Попис финансијске имовине, потраживања и</w:t>
      </w:r>
      <w:r>
        <w:rPr>
          <w:spacing w:val="-14"/>
          <w:u w:val="single" w:color="000000"/>
        </w:rPr>
        <w:t> </w:t>
      </w:r>
      <w:r>
        <w:rPr>
          <w:u w:val="single" w:color="000000"/>
        </w:rPr>
        <w:t>обавеза</w:t>
      </w:r>
      <w:r>
        <w:rPr/>
      </w:r>
    </w:p>
    <w:p>
      <w:pPr>
        <w:pStyle w:val="Heading1"/>
        <w:spacing w:line="240" w:lineRule="auto"/>
        <w:ind w:left="160" w:right="181" w:firstLine="566"/>
        <w:jc w:val="both"/>
        <w:rPr>
          <w:b w:val="0"/>
          <w:bCs w:val="0"/>
        </w:rPr>
      </w:pPr>
      <w:r>
        <w:rPr/>
        <w:t>У поступку ревизије узоркованих пописних листа и извештаја Комисије утврђено је</w:t>
      </w:r>
      <w:r>
        <w:rPr>
          <w:spacing w:val="-5"/>
        </w:rPr>
        <w:t> </w:t>
      </w:r>
      <w:r>
        <w:rPr/>
        <w:t>да:</w:t>
      </w:r>
      <w:r>
        <w:rPr>
          <w:b w:val="0"/>
        </w:rPr>
      </w:r>
    </w:p>
    <w:p>
      <w:pPr>
        <w:pStyle w:val="ListParagraph"/>
        <w:numPr>
          <w:ilvl w:val="0"/>
          <w:numId w:val="9"/>
        </w:numPr>
        <w:tabs>
          <w:tab w:pos="303" w:val="left" w:leader="none"/>
        </w:tabs>
        <w:spacing w:line="240" w:lineRule="auto" w:before="0"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Комисија за попис новчаних средстава, хартија од вредности, финансијских пласмана, потраживања и обавеза саставила је План рада по коме ће вршити попис, у коме су планирани рокови каснији у односу на рокове задате Решењем о попису и образовању комисија за попис имовине и Упутством за рад комисија за</w:t>
      </w:r>
      <w:r>
        <w:rPr>
          <w:rFonts w:ascii="Times New Roman" w:hAnsi="Times New Roman"/>
          <w:spacing w:val="-27"/>
          <w:sz w:val="24"/>
        </w:rPr>
        <w:t> </w:t>
      </w:r>
      <w:r>
        <w:rPr>
          <w:rFonts w:ascii="Times New Roman" w:hAnsi="Times New Roman"/>
          <w:sz w:val="24"/>
        </w:rPr>
        <w:t>попис.</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ListParagraph"/>
        <w:numPr>
          <w:ilvl w:val="0"/>
          <w:numId w:val="9"/>
        </w:numPr>
        <w:tabs>
          <w:tab w:pos="303" w:val="left" w:leader="none"/>
        </w:tabs>
        <w:spacing w:line="237" w:lineRule="auto" w:before="126"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Комисија за попис новчаних средстава, хартија од вредности, финансијских пласмана, потраживања и обавеза у Извештају о извршеном попису навела је да је извршила попис са стањем на дан 31.12.2013. године, а да је попис обављен дана 05.03.2015.</w:t>
      </w:r>
      <w:r>
        <w:rPr>
          <w:rFonts w:ascii="Times New Roman" w:hAnsi="Times New Roman"/>
          <w:spacing w:val="-11"/>
          <w:sz w:val="24"/>
        </w:rPr>
        <w:t> </w:t>
      </w:r>
      <w:r>
        <w:rPr>
          <w:rFonts w:ascii="Times New Roman" w:hAnsi="Times New Roman"/>
          <w:sz w:val="24"/>
        </w:rPr>
        <w:t>године.</w:t>
      </w:r>
    </w:p>
    <w:p>
      <w:pPr>
        <w:pStyle w:val="ListParagraph"/>
        <w:numPr>
          <w:ilvl w:val="0"/>
          <w:numId w:val="9"/>
        </w:numPr>
        <w:tabs>
          <w:tab w:pos="303" w:val="left" w:leader="none"/>
        </w:tabs>
        <w:spacing w:line="237" w:lineRule="auto" w:before="5"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Комисија је попис обавила дана 05.03.2015. године, касније у односу на задати период, што је супротно тачки 5. Решења о попису и образовању комисија за попис имовине и тачки 3. Упутства за рад комисија за</w:t>
      </w:r>
      <w:r>
        <w:rPr>
          <w:rFonts w:ascii="Times New Roman" w:hAnsi="Times New Roman"/>
          <w:spacing w:val="-15"/>
          <w:sz w:val="24"/>
        </w:rPr>
        <w:t> </w:t>
      </w:r>
      <w:r>
        <w:rPr>
          <w:rFonts w:ascii="Times New Roman" w:hAnsi="Times New Roman"/>
          <w:sz w:val="24"/>
        </w:rPr>
        <w:t>попис.</w:t>
      </w:r>
    </w:p>
    <w:p>
      <w:pPr>
        <w:pStyle w:val="ListParagraph"/>
        <w:numPr>
          <w:ilvl w:val="0"/>
          <w:numId w:val="9"/>
        </w:numPr>
        <w:tabs>
          <w:tab w:pos="303" w:val="left" w:leader="none"/>
        </w:tabs>
        <w:spacing w:line="240" w:lineRule="auto" w:before="2"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Комисија за попис новчаних средстава, хартија од вредности, финансијских пласмана, потраживања и обавеза доставила је свој Извештај Централној пописној комисији дана 09.03.2015. године, односно касније у односу на задати рок, што је супротно члану 5. Решења о попису и образовању комисија за попис</w:t>
      </w:r>
      <w:r>
        <w:rPr>
          <w:rFonts w:ascii="Times New Roman" w:hAnsi="Times New Roman"/>
          <w:spacing w:val="-21"/>
          <w:sz w:val="24"/>
        </w:rPr>
        <w:t> </w:t>
      </w:r>
      <w:r>
        <w:rPr>
          <w:rFonts w:ascii="Times New Roman" w:hAnsi="Times New Roman"/>
          <w:sz w:val="24"/>
        </w:rPr>
        <w:t>имовине.</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Комисија за попис извршила је попис затеченог стања девизних средстава у благајни бројањем према апоенима и притом је утврђено стварно стање девиза у девизној благајни у износу од 820 евра и 635 америчких долара. Усклађивање књиговодственог стања девизне благајне са стварним стањем утврђеним пописом није извршено, што је супротно члану 18. Уредбе о буџетском</w:t>
      </w:r>
      <w:r>
        <w:rPr>
          <w:rFonts w:ascii="Times New Roman" w:hAnsi="Times New Roman"/>
          <w:spacing w:val="-12"/>
          <w:sz w:val="24"/>
        </w:rPr>
        <w:t> </w:t>
      </w:r>
      <w:r>
        <w:rPr>
          <w:rFonts w:ascii="Times New Roman" w:hAnsi="Times New Roman"/>
          <w:sz w:val="24"/>
        </w:rPr>
        <w:t>рачуноводству.</w:t>
      </w:r>
    </w:p>
    <w:p>
      <w:pPr>
        <w:pStyle w:val="ListParagraph"/>
        <w:numPr>
          <w:ilvl w:val="0"/>
          <w:numId w:val="9"/>
        </w:numPr>
        <w:tabs>
          <w:tab w:pos="303" w:val="left" w:leader="none"/>
        </w:tabs>
        <w:spacing w:line="240" w:lineRule="auto" w:before="2"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У поступку ревизије извршен је попис динарске и девизне благајне града Ниша на дан 04.06.2015. године, које се воде у Одсеку за буџетско рачуноводство и извештавање при Управи за финансије, јавне приходе локалне самоуправе и јавне набавке. Пописом динарске благајне утврђено је да је стање новчаних средстава нула динара, последњи дневник благајне састављен је на дан 04.05.2015. године, са прометом у износу од 229 хиљада динара и салдом од нула</w:t>
      </w:r>
      <w:r>
        <w:rPr>
          <w:rFonts w:ascii="Times New Roman" w:hAnsi="Times New Roman"/>
          <w:spacing w:val="-9"/>
          <w:sz w:val="24"/>
        </w:rPr>
        <w:t> </w:t>
      </w:r>
      <w:r>
        <w:rPr>
          <w:rFonts w:ascii="Times New Roman" w:hAnsi="Times New Roman"/>
          <w:sz w:val="24"/>
        </w:rPr>
        <w:t>динара.</w:t>
      </w:r>
    </w:p>
    <w:p>
      <w:pPr>
        <w:pStyle w:val="ListParagraph"/>
        <w:numPr>
          <w:ilvl w:val="0"/>
          <w:numId w:val="9"/>
        </w:numPr>
        <w:tabs>
          <w:tab w:pos="303" w:val="left" w:leader="none"/>
        </w:tabs>
        <w:spacing w:line="240" w:lineRule="auto" w:before="2"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За подигнута средства са текућег рачуна у износу од 100 хиљада динара дана </w:t>
      </w:r>
      <w:r>
        <w:rPr>
          <w:rFonts w:ascii="Times New Roman" w:hAnsi="Times New Roman"/>
          <w:sz w:val="24"/>
        </w:rPr>
        <w:t>02.06.2015. </w:t>
      </w:r>
      <w:r>
        <w:rPr>
          <w:rFonts w:ascii="Times New Roman" w:hAnsi="Times New Roman"/>
          <w:sz w:val="24"/>
        </w:rPr>
        <w:t>године, пописом је пописан </w:t>
      </w:r>
      <w:r>
        <w:rPr>
          <w:rFonts w:ascii="Times New Roman" w:hAnsi="Times New Roman"/>
          <w:spacing w:val="-3"/>
          <w:sz w:val="24"/>
        </w:rPr>
        <w:t>улаз </w:t>
      </w:r>
      <w:r>
        <w:rPr>
          <w:rFonts w:ascii="Times New Roman" w:hAnsi="Times New Roman"/>
          <w:sz w:val="24"/>
        </w:rPr>
        <w:t>и излаз из благајне у износу од 100 хиљада </w:t>
      </w:r>
      <w:r>
        <w:rPr>
          <w:rFonts w:ascii="Times New Roman" w:hAnsi="Times New Roman"/>
          <w:sz w:val="24"/>
        </w:rPr>
        <w:t>динара, односно налог благајне наплатите и налог благајне исплатите и салдо у износу од нула динара. За подигнута средства дана 02.06.2015. године није састављен благајнички дневник до дана пописа, односно до 04.06.2015. године, што је супротно члану 16. Уредбе о буџетском</w:t>
      </w:r>
      <w:r>
        <w:rPr>
          <w:rFonts w:ascii="Times New Roman" w:hAnsi="Times New Roman"/>
          <w:spacing w:val="-11"/>
          <w:sz w:val="24"/>
        </w:rPr>
        <w:t> </w:t>
      </w:r>
      <w:r>
        <w:rPr>
          <w:rFonts w:ascii="Times New Roman" w:hAnsi="Times New Roman"/>
          <w:sz w:val="24"/>
        </w:rPr>
        <w:t>рачуноводству.</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Пописом девизне благајне извршеним дана 04.06.2015. године утврђено је стварно стање девизних средстава и то из ранијих година у износу од 700 </w:t>
      </w:r>
      <w:r>
        <w:rPr>
          <w:rFonts w:ascii="Times New Roman" w:hAnsi="Times New Roman"/>
          <w:spacing w:val="2"/>
          <w:sz w:val="24"/>
        </w:rPr>
        <w:t>евра </w:t>
      </w:r>
      <w:r>
        <w:rPr>
          <w:rFonts w:ascii="Times New Roman" w:hAnsi="Times New Roman"/>
          <w:sz w:val="24"/>
        </w:rPr>
        <w:t>и у износу од 620 </w:t>
      </w:r>
      <w:r>
        <w:rPr>
          <w:rFonts w:ascii="Times New Roman" w:hAnsi="Times New Roman"/>
          <w:sz w:val="24"/>
        </w:rPr>
        <w:t>америчких долара и из 2014. године у износу од 120 евра и 15 америчких долара, што укупно чини 820 евра и 635 америчких долара, које одговара стварном стању утврђеном по попису благајне на дан 31.12.2014. године, тако да ни до дана пописа од стране ревизора девизна средства нису</w:t>
      </w:r>
      <w:r>
        <w:rPr>
          <w:rFonts w:ascii="Times New Roman" w:hAnsi="Times New Roman"/>
          <w:spacing w:val="-15"/>
          <w:sz w:val="24"/>
        </w:rPr>
        <w:t> </w:t>
      </w:r>
      <w:r>
        <w:rPr>
          <w:rFonts w:ascii="Times New Roman" w:hAnsi="Times New Roman"/>
          <w:sz w:val="24"/>
        </w:rPr>
        <w:t>евидентирана.</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Попис потраживања и обавеза извршен је на основу књиговодствене евиденције, према стању у пословним књигама и делу закључног листа за период 01.01.2014. године до 31.12.2014. године од 05.03.2015. године (почев од субаналитичког конта 111511 – кредити домаћим јавним нефинансисјким институцијама до субаналитичког  конта </w:t>
      </w:r>
      <w:r>
        <w:rPr>
          <w:rFonts w:ascii="Times New Roman" w:hAnsi="Times New Roman" w:cs="Times New Roman" w:eastAsia="Times New Roman" w:hint="default"/>
          <w:sz w:val="24"/>
          <w:szCs w:val="24"/>
        </w:rPr>
        <w:t>291919 </w:t>
      </w:r>
      <w:r>
        <w:rPr>
          <w:rFonts w:ascii="Times New Roman" w:hAnsi="Times New Roman" w:cs="Times New Roman" w:eastAsia="Times New Roman" w:hint="default"/>
          <w:sz w:val="24"/>
          <w:szCs w:val="24"/>
        </w:rPr>
        <w:t>– остала пасивна временска разграничења) без постојања веродостојне исправе, што је супротно члану 18. Уредбе о буџетском рачуноводству и члану 12. Правилника о начину и роковима вршења пописа и усклађивања књиговодственог стања са стварним стањем.</w:t>
      </w:r>
    </w:p>
    <w:p>
      <w:pPr>
        <w:pStyle w:val="ListParagraph"/>
        <w:numPr>
          <w:ilvl w:val="0"/>
          <w:numId w:val="9"/>
        </w:numPr>
        <w:tabs>
          <w:tab w:pos="303"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У Извештају комисије за попис финансијске имовине, потраживања и обавеза је наведено да је од послатих 224 ИОС образаца ради потврде исказаног стања, до тренутка израде извештаја потврђено 42 потраживања. У току поступка ревизије нисмо се уверили у тачност налаза комисије за попис потраживања и обавеза, јер је у само пар ИОС образаца потврђено стање (код оних ИОС образаца код којих је исказан салдо    дуговања</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85"/>
        <w:jc w:val="both"/>
      </w:pPr>
      <w:r>
        <w:rPr/>
        <w:t>од нула динара, или пет до десет хиљада динара). Од враћених ИОС образаца, у већини њих је оспорено исказано стање потраживања Града од</w:t>
      </w:r>
      <w:r>
        <w:rPr>
          <w:spacing w:val="-20"/>
        </w:rPr>
        <w:t> </w:t>
      </w:r>
      <w:r>
        <w:rPr/>
        <w:t>купаца.</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Попис обавеза извршен је, на основу књиговодствене евиденције, према стању у пословним књигама, а да претходно није вршено усаглашавање обавеза са повериоцима и о томе не постоји веродостојна исправа, што је супротно члану 18. Уредбе о буџетском рачуноводству и члану 12. Правилника о начину и роковима вршења пописа и усклађивања књиговодственог стања са стварним стањем. Увидом у документацију, утврђено је да град Ниш није одговорио ни на један од примљених захтева поверилаца</w:t>
      </w:r>
      <w:r>
        <w:rPr>
          <w:rFonts w:ascii="Times New Roman" w:hAnsi="Times New Roman"/>
          <w:sz w:val="24"/>
        </w:rPr>
        <w:t>- </w:t>
      </w:r>
      <w:r>
        <w:rPr>
          <w:rFonts w:ascii="Times New Roman" w:hAnsi="Times New Roman"/>
          <w:sz w:val="24"/>
        </w:rPr>
        <w:t>добављача за усаглашавање стања дуговања током 2014.</w:t>
      </w:r>
      <w:r>
        <w:rPr>
          <w:rFonts w:ascii="Times New Roman" w:hAnsi="Times New Roman"/>
          <w:spacing w:val="-12"/>
          <w:sz w:val="24"/>
        </w:rPr>
        <w:t> </w:t>
      </w:r>
      <w:r>
        <w:rPr>
          <w:rFonts w:ascii="Times New Roman" w:hAnsi="Times New Roman"/>
          <w:sz w:val="24"/>
        </w:rPr>
        <w:t>године.</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У односу на стање по закључном листу из евиденције пословних књига града Ниша (са датумом штампе 05.06.2015. године), комисија за попис финансијске имовине, потраживања и</w:t>
      </w:r>
      <w:r>
        <w:rPr>
          <w:rFonts w:ascii="Times New Roman" w:hAnsi="Times New Roman"/>
          <w:spacing w:val="-7"/>
          <w:sz w:val="24"/>
        </w:rPr>
        <w:t> </w:t>
      </w:r>
      <w:r>
        <w:rPr>
          <w:rFonts w:ascii="Times New Roman" w:hAnsi="Times New Roman"/>
          <w:sz w:val="24"/>
        </w:rPr>
        <w:t>обавеза:</w:t>
      </w:r>
    </w:p>
    <w:p>
      <w:pPr>
        <w:pStyle w:val="ListParagraph"/>
        <w:numPr>
          <w:ilvl w:val="0"/>
          <w:numId w:val="12"/>
        </w:numPr>
        <w:tabs>
          <w:tab w:pos="305"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пописала је потраживања за 1.597 хиљада динара мање од стања по пословним књигама и то учешћа капитала у домаћим јавним нефинансијским предузећима и институцијама (салдо промета текућег</w:t>
      </w:r>
      <w:r>
        <w:rPr>
          <w:rFonts w:ascii="Times New Roman" w:hAnsi="Times New Roman"/>
          <w:spacing w:val="-6"/>
          <w:sz w:val="24"/>
        </w:rPr>
        <w:t> </w:t>
      </w:r>
      <w:r>
        <w:rPr>
          <w:rFonts w:ascii="Times New Roman" w:hAnsi="Times New Roman"/>
          <w:sz w:val="24"/>
        </w:rPr>
        <w:t>периода),</w:t>
      </w:r>
    </w:p>
    <w:p>
      <w:pPr>
        <w:pStyle w:val="ListParagraph"/>
        <w:numPr>
          <w:ilvl w:val="0"/>
          <w:numId w:val="12"/>
        </w:numPr>
        <w:tabs>
          <w:tab w:pos="382" w:val="left" w:leader="none"/>
        </w:tabs>
        <w:spacing w:line="240" w:lineRule="auto" w:before="0" w:after="0"/>
        <w:ind w:left="160" w:right="184" w:firstLine="0"/>
        <w:jc w:val="both"/>
        <w:rPr>
          <w:rFonts w:ascii="Times New Roman" w:hAnsi="Times New Roman" w:cs="Times New Roman" w:eastAsia="Times New Roman" w:hint="default"/>
          <w:sz w:val="24"/>
          <w:szCs w:val="24"/>
        </w:rPr>
      </w:pPr>
      <w:r>
        <w:rPr>
          <w:rFonts w:ascii="Times New Roman" w:hAnsi="Times New Roman"/>
          <w:sz w:val="24"/>
        </w:rPr>
        <w:t>није пописала вредност исказаних активних временских разграничења у укупном износу од 1.265.396 хиљада</w:t>
      </w:r>
      <w:r>
        <w:rPr>
          <w:rFonts w:ascii="Times New Roman" w:hAnsi="Times New Roman"/>
          <w:spacing w:val="-10"/>
          <w:sz w:val="24"/>
        </w:rPr>
        <w:t> </w:t>
      </w:r>
      <w:r>
        <w:rPr>
          <w:rFonts w:ascii="Times New Roman" w:hAnsi="Times New Roman"/>
          <w:sz w:val="24"/>
        </w:rPr>
        <w:t>динара,</w:t>
      </w:r>
    </w:p>
    <w:p>
      <w:pPr>
        <w:pStyle w:val="ListParagraph"/>
        <w:numPr>
          <w:ilvl w:val="0"/>
          <w:numId w:val="12"/>
        </w:numPr>
        <w:tabs>
          <w:tab w:pos="355"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пописала је виши износ обавеза од исказаних у укупном износу од 41.244 хиљаде динара и то: обавезе по основу дугорочних кредита од домаћих пословних банака у износу од 41.044 хиљаде динара и обавезе према добављачима у износу од 200 хиљада динара,</w:t>
      </w:r>
    </w:p>
    <w:p>
      <w:pPr>
        <w:pStyle w:val="ListParagraph"/>
        <w:numPr>
          <w:ilvl w:val="0"/>
          <w:numId w:val="12"/>
        </w:numPr>
        <w:tabs>
          <w:tab w:pos="334"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мање је пописала обавезе у укупном износу од 273 хиљаде динара и то: 269 хиљада динара на име обавеза по основу службених путовања и услуга по уговору о делу и четири хиљаде динара на име обавеза за социјалне доприносе на терет</w:t>
      </w:r>
      <w:r>
        <w:rPr>
          <w:rFonts w:ascii="Times New Roman" w:hAnsi="Times New Roman"/>
          <w:spacing w:val="-24"/>
          <w:sz w:val="24"/>
        </w:rPr>
        <w:t> </w:t>
      </w:r>
      <w:r>
        <w:rPr>
          <w:rFonts w:ascii="Times New Roman" w:hAnsi="Times New Roman"/>
          <w:sz w:val="24"/>
        </w:rPr>
        <w:t>послодавца,</w:t>
      </w:r>
    </w:p>
    <w:p>
      <w:pPr>
        <w:pStyle w:val="ListParagraph"/>
        <w:numPr>
          <w:ilvl w:val="0"/>
          <w:numId w:val="12"/>
        </w:numPr>
        <w:tabs>
          <w:tab w:pos="353" w:val="left" w:leader="none"/>
        </w:tabs>
        <w:spacing w:line="240" w:lineRule="auto" w:before="0" w:after="0"/>
        <w:ind w:left="160" w:right="186" w:firstLine="0"/>
        <w:jc w:val="both"/>
        <w:rPr>
          <w:rFonts w:ascii="Times New Roman" w:hAnsi="Times New Roman" w:cs="Times New Roman" w:eastAsia="Times New Roman" w:hint="default"/>
          <w:sz w:val="24"/>
          <w:szCs w:val="24"/>
        </w:rPr>
      </w:pPr>
      <w:r>
        <w:rPr>
          <w:rFonts w:ascii="Times New Roman" w:hAnsi="Times New Roman"/>
          <w:sz w:val="24"/>
        </w:rPr>
        <w:t>није пописала исказану обавезу по основу осталих пореза у износу од 494 хиљаде динара,</w:t>
      </w:r>
    </w:p>
    <w:p>
      <w:pPr>
        <w:pStyle w:val="ListParagraph"/>
        <w:numPr>
          <w:ilvl w:val="0"/>
          <w:numId w:val="12"/>
        </w:numPr>
        <w:tabs>
          <w:tab w:pos="372" w:val="left" w:leader="none"/>
        </w:tabs>
        <w:spacing w:line="240" w:lineRule="auto" w:before="0" w:after="0"/>
        <w:ind w:left="160" w:right="186" w:firstLine="0"/>
        <w:jc w:val="both"/>
        <w:rPr>
          <w:rFonts w:ascii="Times New Roman" w:hAnsi="Times New Roman" w:cs="Times New Roman" w:eastAsia="Times New Roman" w:hint="default"/>
          <w:sz w:val="24"/>
          <w:szCs w:val="24"/>
        </w:rPr>
      </w:pPr>
      <w:r>
        <w:rPr>
          <w:rFonts w:ascii="Times New Roman" w:hAnsi="Times New Roman"/>
          <w:sz w:val="24"/>
        </w:rPr>
        <w:t>више је пописала вредност пасивних временских разграничења у износу од шест хиљада динара на име плаћених аванса за куповину услуга</w:t>
      </w:r>
      <w:r>
        <w:rPr>
          <w:rFonts w:ascii="Times New Roman" w:hAnsi="Times New Roman"/>
          <w:spacing w:val="-19"/>
          <w:sz w:val="24"/>
        </w:rPr>
        <w:t> </w:t>
      </w:r>
      <w:r>
        <w:rPr>
          <w:rFonts w:ascii="Times New Roman" w:hAnsi="Times New Roman"/>
          <w:sz w:val="24"/>
        </w:rPr>
        <w:t>и</w:t>
      </w:r>
    </w:p>
    <w:p>
      <w:pPr>
        <w:pStyle w:val="ListParagraph"/>
        <w:numPr>
          <w:ilvl w:val="0"/>
          <w:numId w:val="12"/>
        </w:numPr>
        <w:tabs>
          <w:tab w:pos="324" w:val="left" w:leader="none"/>
        </w:tabs>
        <w:spacing w:line="240" w:lineRule="auto" w:before="0" w:after="0"/>
        <w:ind w:left="160" w:right="183" w:firstLine="0"/>
        <w:jc w:val="both"/>
        <w:rPr>
          <w:rFonts w:ascii="Times New Roman" w:hAnsi="Times New Roman" w:cs="Times New Roman" w:eastAsia="Times New Roman" w:hint="default"/>
          <w:sz w:val="24"/>
          <w:szCs w:val="24"/>
        </w:rPr>
      </w:pPr>
      <w:r>
        <w:rPr>
          <w:rFonts w:ascii="Times New Roman" w:hAnsi="Times New Roman"/>
          <w:sz w:val="24"/>
        </w:rPr>
        <w:t>није пописала вредност пасивних временских разграничења у износу од 3.339 хиљада динара на име аконтација за пословна путовања, тако да попис потраживања и обавеза није свеобухватан, што је супротно члану 18. Уредбе о буџетском рачуноводству и</w:t>
      </w:r>
      <w:r>
        <w:rPr>
          <w:rFonts w:ascii="Times New Roman" w:hAnsi="Times New Roman"/>
          <w:spacing w:val="21"/>
          <w:sz w:val="24"/>
        </w:rPr>
        <w:t> </w:t>
      </w:r>
      <w:r>
        <w:rPr>
          <w:rFonts w:ascii="Times New Roman" w:hAnsi="Times New Roman"/>
          <w:sz w:val="24"/>
        </w:rPr>
        <w:t>члану</w:t>
      </w:r>
    </w:p>
    <w:p>
      <w:pPr>
        <w:pStyle w:val="BodyText"/>
        <w:spacing w:line="240" w:lineRule="auto"/>
        <w:ind w:right="181"/>
        <w:jc w:val="both"/>
      </w:pPr>
      <w:r>
        <w:rPr/>
        <w:t>2. Правилника о начину и роковима вршења пописа и усклађивања књиговодственог стања са стварним</w:t>
      </w:r>
      <w:r>
        <w:rPr>
          <w:spacing w:val="-9"/>
        </w:rPr>
        <w:t> </w:t>
      </w:r>
      <w:r>
        <w:rPr/>
        <w:t>стањем.</w:t>
      </w:r>
    </w:p>
    <w:p>
      <w:pPr>
        <w:pStyle w:val="ListParagraph"/>
        <w:numPr>
          <w:ilvl w:val="0"/>
          <w:numId w:val="9"/>
        </w:numPr>
        <w:tabs>
          <w:tab w:pos="303" w:val="left" w:leader="none"/>
        </w:tabs>
        <w:spacing w:line="240" w:lineRule="auto" w:before="2"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Није извршен попис примљених меница, као средства обезбеђења за добро извршење посла и средства обезбеђења у гарантном року, што је супротно члану 18. Уредбе о буџетском рачуноводству и Правилнику о начину и роковима вршења пописа и усклађивања књиговодственог стања са стварним</w:t>
      </w:r>
      <w:r>
        <w:rPr>
          <w:rFonts w:ascii="Times New Roman" w:hAnsi="Times New Roman"/>
          <w:spacing w:val="-15"/>
          <w:sz w:val="24"/>
        </w:rPr>
        <w:t> </w:t>
      </w:r>
      <w:r>
        <w:rPr>
          <w:rFonts w:ascii="Times New Roman" w:hAnsi="Times New Roman"/>
          <w:sz w:val="24"/>
        </w:rPr>
        <w:t>стањем.</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Ревизија усаглашавања потраживања и обавеза вршена је и путем захтева за конфирмацијом, које је по налогу ревизора, послала Управа за финансије, изворне приходе локалне самоуправе и јавне набавке града Ниша. Део захтева за конфирмацијом упућен је и од стране ревизора. Од укупно 112 послатих захтева за конфирмацијом стања достављено нам је 58 конфирмација (48 за добављаче и 27 за купце), од којих је девет добављача и шест купаца потврдило стање исказано у пословним књигама града Ниша. Од послатих захтева, 14 је неуручено са назнаком на повратници због одсељења  са адресе, погрешне или непотпуне адресе. Неусаглашено стање обавеза града са добављачима,</w:t>
      </w:r>
      <w:r>
        <w:rPr>
          <w:rFonts w:ascii="Times New Roman" w:hAnsi="Times New Roman"/>
          <w:spacing w:val="32"/>
          <w:sz w:val="24"/>
        </w:rPr>
        <w:t> </w:t>
      </w:r>
      <w:r>
        <w:rPr>
          <w:rFonts w:ascii="Times New Roman" w:hAnsi="Times New Roman"/>
          <w:sz w:val="24"/>
        </w:rPr>
        <w:t>на</w:t>
      </w:r>
      <w:r>
        <w:rPr>
          <w:rFonts w:ascii="Times New Roman" w:hAnsi="Times New Roman"/>
          <w:spacing w:val="31"/>
          <w:sz w:val="24"/>
        </w:rPr>
        <w:t> </w:t>
      </w:r>
      <w:r>
        <w:rPr>
          <w:rFonts w:ascii="Times New Roman" w:hAnsi="Times New Roman"/>
          <w:sz w:val="24"/>
        </w:rPr>
        <w:t>основу</w:t>
      </w:r>
      <w:r>
        <w:rPr>
          <w:rFonts w:ascii="Times New Roman" w:hAnsi="Times New Roman"/>
          <w:spacing w:val="29"/>
          <w:sz w:val="24"/>
        </w:rPr>
        <w:t> </w:t>
      </w:r>
      <w:r>
        <w:rPr>
          <w:rFonts w:ascii="Times New Roman" w:hAnsi="Times New Roman"/>
          <w:sz w:val="24"/>
        </w:rPr>
        <w:t>39</w:t>
      </w:r>
      <w:r>
        <w:rPr>
          <w:rFonts w:ascii="Times New Roman" w:hAnsi="Times New Roman"/>
          <w:spacing w:val="34"/>
          <w:sz w:val="24"/>
        </w:rPr>
        <w:t> </w:t>
      </w:r>
      <w:r>
        <w:rPr>
          <w:rFonts w:ascii="Times New Roman" w:hAnsi="Times New Roman"/>
          <w:sz w:val="24"/>
        </w:rPr>
        <w:t>конфирмација,</w:t>
      </w:r>
      <w:r>
        <w:rPr>
          <w:rFonts w:ascii="Times New Roman" w:hAnsi="Times New Roman"/>
          <w:spacing w:val="31"/>
          <w:sz w:val="24"/>
        </w:rPr>
        <w:t> </w:t>
      </w:r>
      <w:r>
        <w:rPr>
          <w:rFonts w:ascii="Times New Roman" w:hAnsi="Times New Roman"/>
          <w:sz w:val="24"/>
        </w:rPr>
        <w:t>износи</w:t>
      </w:r>
      <w:r>
        <w:rPr>
          <w:rFonts w:ascii="Times New Roman" w:hAnsi="Times New Roman"/>
          <w:spacing w:val="33"/>
          <w:sz w:val="24"/>
        </w:rPr>
        <w:t> </w:t>
      </w:r>
      <w:r>
        <w:rPr>
          <w:rFonts w:ascii="Times New Roman" w:hAnsi="Times New Roman"/>
          <w:sz w:val="24"/>
        </w:rPr>
        <w:t>374.710</w:t>
      </w:r>
      <w:r>
        <w:rPr>
          <w:rFonts w:ascii="Times New Roman" w:hAnsi="Times New Roman"/>
          <w:spacing w:val="32"/>
          <w:sz w:val="24"/>
        </w:rPr>
        <w:t> </w:t>
      </w:r>
      <w:r>
        <w:rPr>
          <w:rFonts w:ascii="Times New Roman" w:hAnsi="Times New Roman"/>
          <w:sz w:val="24"/>
        </w:rPr>
        <w:t>хиљада</w:t>
      </w:r>
      <w:r>
        <w:rPr>
          <w:rFonts w:ascii="Times New Roman" w:hAnsi="Times New Roman"/>
          <w:spacing w:val="31"/>
          <w:sz w:val="24"/>
        </w:rPr>
        <w:t> </w:t>
      </w:r>
      <w:r>
        <w:rPr>
          <w:rFonts w:ascii="Times New Roman" w:hAnsi="Times New Roman"/>
          <w:sz w:val="24"/>
        </w:rPr>
        <w:t>динара</w:t>
      </w:r>
      <w:r>
        <w:rPr>
          <w:rFonts w:ascii="Times New Roman" w:hAnsi="Times New Roman"/>
          <w:spacing w:val="31"/>
          <w:sz w:val="24"/>
        </w:rPr>
        <w:t> </w:t>
      </w:r>
      <w:r>
        <w:rPr>
          <w:rFonts w:ascii="Times New Roman" w:hAnsi="Times New Roman"/>
          <w:sz w:val="24"/>
        </w:rPr>
        <w:t>и</w:t>
      </w:r>
      <w:r>
        <w:rPr>
          <w:rFonts w:ascii="Times New Roman" w:hAnsi="Times New Roman"/>
          <w:spacing w:val="33"/>
          <w:sz w:val="24"/>
        </w:rPr>
        <w:t> </w:t>
      </w:r>
      <w:r>
        <w:rPr>
          <w:rFonts w:ascii="Times New Roman" w:hAnsi="Times New Roman"/>
          <w:sz w:val="24"/>
        </w:rPr>
        <w:t>то:</w:t>
      </w:r>
      <w:r>
        <w:rPr>
          <w:rFonts w:ascii="Times New Roman" w:hAnsi="Times New Roman"/>
          <w:spacing w:val="32"/>
          <w:sz w:val="24"/>
        </w:rPr>
        <w:t> </w:t>
      </w:r>
      <w:r>
        <w:rPr>
          <w:rFonts w:ascii="Times New Roman" w:hAnsi="Times New Roman"/>
          <w:sz w:val="24"/>
        </w:rPr>
        <w:t>код</w:t>
      </w:r>
      <w:r>
        <w:rPr>
          <w:rFonts w:ascii="Times New Roman" w:hAnsi="Times New Roman"/>
          <w:spacing w:val="32"/>
          <w:sz w:val="24"/>
        </w:rPr>
        <w:t> </w:t>
      </w:r>
      <w:r>
        <w:rPr>
          <w:rFonts w:ascii="Times New Roman" w:hAnsi="Times New Roman"/>
          <w:sz w:val="24"/>
        </w:rPr>
        <w:t>25</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left="320" w:right="334"/>
        <w:jc w:val="both"/>
      </w:pPr>
      <w:r>
        <w:rPr/>
        <w:t>добављача исказане су обавезе у већем износу од обавеза исказаних у пословним књигама града Ниша за укупно 349.766 хиљада динара, док је код 14 добављача исказана обавеза у мањем износу за укупно 24.944 хиљаде динара него у пословним књигама  града Ниша. Неусаглашено стање потраживања града са купцима, на основу 21 конфирмације, износи 242.637 хиљада динара и то: код 10 купаца исказана су потраживања у мањем износу за укупно 232.072 хиљаде динара него у пословним књигама града Ниша, док је код 11 купаца исказано потраживања у већем износу за укупно 10.565 хиљада динара него у пословним књигама града Ниша. Наведено је супротно члану 18. тачка 5. Уредбе о буџетском рачуноводству и члану 12. Правилника о начину и роковима вршења пописа и усклађивања књиговодственог стања са стварним стањем, што је приказано у наредној</w:t>
      </w:r>
      <w:r>
        <w:rPr>
          <w:spacing w:val="-12"/>
        </w:rPr>
        <w:t> </w:t>
      </w:r>
      <w:r>
        <w:rPr/>
        <w:t>табели:</w:t>
      </w:r>
    </w:p>
    <w:p>
      <w:pPr>
        <w:tabs>
          <w:tab w:pos="7862" w:val="left" w:leader="none"/>
        </w:tabs>
        <w:spacing w:before="0"/>
        <w:ind w:left="1100" w:right="0" w:firstLine="0"/>
        <w:jc w:val="left"/>
        <w:rPr>
          <w:rFonts w:ascii="Times New Roman" w:hAnsi="Times New Roman" w:cs="Times New Roman" w:eastAsia="Times New Roman" w:hint="default"/>
          <w:sz w:val="18"/>
          <w:szCs w:val="18"/>
        </w:rPr>
      </w:pPr>
      <w:r>
        <w:rPr>
          <w:rFonts w:ascii="Times New Roman" w:hAnsi="Times New Roman"/>
          <w:sz w:val="24"/>
        </w:rPr>
        <w:t>Преглед купаца и добављача који су </w:t>
      </w:r>
      <w:r>
        <w:rPr>
          <w:rFonts w:ascii="Times New Roman" w:hAnsi="Times New Roman"/>
          <w:spacing w:val="39"/>
          <w:sz w:val="24"/>
        </w:rPr>
        <w:t> </w:t>
      </w:r>
      <w:r>
        <w:rPr>
          <w:rFonts w:ascii="Times New Roman" w:hAnsi="Times New Roman"/>
          <w:sz w:val="24"/>
        </w:rPr>
        <w:t>послали</w:t>
      </w:r>
      <w:r>
        <w:rPr>
          <w:rFonts w:ascii="Times New Roman" w:hAnsi="Times New Roman"/>
          <w:spacing w:val="18"/>
          <w:sz w:val="24"/>
        </w:rPr>
        <w:t> </w:t>
      </w:r>
      <w:r>
        <w:rPr>
          <w:rFonts w:ascii="Times New Roman" w:hAnsi="Times New Roman"/>
          <w:sz w:val="24"/>
        </w:rPr>
        <w:t>конфирмацију:</w:t>
        <w:tab/>
      </w:r>
      <w:r>
        <w:rPr>
          <w:rFonts w:ascii="Times New Roman" w:hAnsi="Times New Roman"/>
          <w:sz w:val="18"/>
        </w:rPr>
        <w:t>(у хиљадама</w:t>
      </w:r>
      <w:r>
        <w:rPr>
          <w:rFonts w:ascii="Times New Roman" w:hAnsi="Times New Roman"/>
          <w:spacing w:val="-9"/>
          <w:sz w:val="18"/>
        </w:rPr>
        <w:t> </w:t>
      </w:r>
      <w:r>
        <w:rPr>
          <w:rFonts w:ascii="Times New Roman" w:hAnsi="Times New Roman"/>
          <w:sz w:val="18"/>
        </w:rPr>
        <w:t>динара)</w:t>
      </w:r>
    </w:p>
    <w:p>
      <w:pPr>
        <w:spacing w:line="240" w:lineRule="auto" w:before="7"/>
        <w:rPr>
          <w:rFonts w:ascii="Times New Roman" w:hAnsi="Times New Roman" w:cs="Times New Roman" w:eastAsia="Times New Roman" w:hint="default"/>
          <w:sz w:val="12"/>
          <w:szCs w:val="12"/>
        </w:rPr>
      </w:pPr>
    </w:p>
    <w:tbl>
      <w:tblPr>
        <w:tblW w:w="0" w:type="auto"/>
        <w:jc w:val="left"/>
        <w:tblInd w:w="104" w:type="dxa"/>
        <w:tblLayout w:type="fixed"/>
        <w:tblCellMar>
          <w:top w:w="0" w:type="dxa"/>
          <w:left w:w="0" w:type="dxa"/>
          <w:bottom w:w="0" w:type="dxa"/>
          <w:right w:w="0" w:type="dxa"/>
        </w:tblCellMar>
        <w:tblLook w:val="01E0"/>
      </w:tblPr>
      <w:tblGrid>
        <w:gridCol w:w="425"/>
        <w:gridCol w:w="3087"/>
        <w:gridCol w:w="1133"/>
        <w:gridCol w:w="994"/>
        <w:gridCol w:w="992"/>
        <w:gridCol w:w="1135"/>
        <w:gridCol w:w="905"/>
        <w:gridCol w:w="991"/>
      </w:tblGrid>
      <w:tr>
        <w:trPr>
          <w:trHeight w:val="104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
              <w:ind w:right="0"/>
              <w:jc w:val="left"/>
              <w:rPr>
                <w:rFonts w:ascii="Times New Roman" w:hAnsi="Times New Roman" w:cs="Times New Roman" w:eastAsia="Times New Roman" w:hint="default"/>
                <w:sz w:val="17"/>
                <w:szCs w:val="17"/>
              </w:rPr>
            </w:pPr>
          </w:p>
          <w:p>
            <w:pPr>
              <w:pStyle w:val="TableParagraph"/>
              <w:spacing w:line="207" w:lineRule="exact"/>
              <w:ind w:left="119" w:right="119"/>
              <w:jc w:val="center"/>
              <w:rPr>
                <w:rFonts w:ascii="Times New Roman" w:hAnsi="Times New Roman" w:cs="Times New Roman" w:eastAsia="Times New Roman" w:hint="default"/>
                <w:sz w:val="18"/>
                <w:szCs w:val="18"/>
              </w:rPr>
            </w:pPr>
            <w:r>
              <w:rPr>
                <w:rFonts w:ascii="Times New Roman" w:hAnsi="Times New Roman"/>
                <w:sz w:val="18"/>
              </w:rPr>
              <w:t>Р.</w:t>
            </w:r>
          </w:p>
          <w:p>
            <w:pPr>
              <w:pStyle w:val="TableParagraph"/>
              <w:spacing w:line="207" w:lineRule="exact"/>
              <w:ind w:left="118" w:right="119"/>
              <w:jc w:val="center"/>
              <w:rPr>
                <w:rFonts w:ascii="Times New Roman" w:hAnsi="Times New Roman" w:cs="Times New Roman" w:eastAsia="Times New Roman" w:hint="default"/>
                <w:sz w:val="18"/>
                <w:szCs w:val="18"/>
              </w:rPr>
            </w:pPr>
            <w:r>
              <w:rPr>
                <w:rFonts w:ascii="Times New Roman" w:hAnsi="Times New Roman"/>
                <w:sz w:val="18"/>
              </w:rPr>
              <w:t>б.</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
              <w:ind w:right="0"/>
              <w:jc w:val="left"/>
              <w:rPr>
                <w:rFonts w:ascii="Times New Roman" w:hAnsi="Times New Roman" w:cs="Times New Roman" w:eastAsia="Times New Roman" w:hint="default"/>
                <w:sz w:val="17"/>
                <w:szCs w:val="17"/>
              </w:rPr>
            </w:pPr>
          </w:p>
          <w:p>
            <w:pPr>
              <w:pStyle w:val="TableParagraph"/>
              <w:spacing w:line="240" w:lineRule="auto"/>
              <w:ind w:left="739" w:right="0"/>
              <w:jc w:val="left"/>
              <w:rPr>
                <w:rFonts w:ascii="Times New Roman" w:hAnsi="Times New Roman" w:cs="Times New Roman" w:eastAsia="Times New Roman" w:hint="default"/>
                <w:sz w:val="18"/>
                <w:szCs w:val="18"/>
              </w:rPr>
            </w:pPr>
            <w:r>
              <w:rPr>
                <w:rFonts w:ascii="Times New Roman" w:hAnsi="Times New Roman"/>
                <w:sz w:val="18"/>
              </w:rPr>
              <w:t>Дужници/повериоци</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30" w:right="120" w:firstLine="1"/>
              <w:jc w:val="center"/>
              <w:rPr>
                <w:rFonts w:ascii="Times New Roman" w:hAnsi="Times New Roman" w:cs="Times New Roman" w:eastAsia="Times New Roman" w:hint="default"/>
                <w:sz w:val="18"/>
                <w:szCs w:val="18"/>
              </w:rPr>
            </w:pPr>
            <w:r>
              <w:rPr>
                <w:rFonts w:ascii="Times New Roman" w:hAnsi="Times New Roman"/>
                <w:sz w:val="18"/>
              </w:rPr>
              <w:t>Потражи вања по конфирма цијама</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27" w:right="18" w:firstLine="3"/>
              <w:jc w:val="center"/>
              <w:rPr>
                <w:rFonts w:ascii="Times New Roman" w:hAnsi="Times New Roman" w:cs="Times New Roman" w:eastAsia="Times New Roman" w:hint="default"/>
                <w:sz w:val="18"/>
                <w:szCs w:val="18"/>
              </w:rPr>
            </w:pPr>
            <w:r>
              <w:rPr>
                <w:rFonts w:ascii="Times New Roman" w:hAnsi="Times New Roman"/>
                <w:sz w:val="18"/>
              </w:rPr>
              <w:t>Потражи вања по пословним књигама</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92" w:right="87"/>
              <w:jc w:val="center"/>
              <w:rPr>
                <w:rFonts w:ascii="Times New Roman" w:hAnsi="Times New Roman" w:cs="Times New Roman" w:eastAsia="Times New Roman" w:hint="default"/>
                <w:sz w:val="18"/>
                <w:szCs w:val="18"/>
              </w:rPr>
            </w:pPr>
            <w:r>
              <w:rPr>
                <w:rFonts w:ascii="Times New Roman" w:hAnsi="Times New Roman"/>
                <w:spacing w:val="-1"/>
                <w:sz w:val="18"/>
              </w:rPr>
              <w:t>Неусагла </w:t>
            </w:r>
            <w:r>
              <w:rPr>
                <w:rFonts w:ascii="Times New Roman" w:hAnsi="Times New Roman"/>
                <w:sz w:val="18"/>
              </w:rPr>
              <w:t>шено </w:t>
            </w:r>
            <w:r>
              <w:rPr>
                <w:rFonts w:ascii="Times New Roman" w:hAnsi="Times New Roman"/>
                <w:sz w:val="18"/>
              </w:rPr>
              <w:t>стање потражи вања</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91" w:right="85"/>
              <w:jc w:val="center"/>
              <w:rPr>
                <w:rFonts w:ascii="Times New Roman" w:hAnsi="Times New Roman" w:cs="Times New Roman" w:eastAsia="Times New Roman" w:hint="default"/>
                <w:sz w:val="18"/>
                <w:szCs w:val="18"/>
              </w:rPr>
            </w:pPr>
            <w:r>
              <w:rPr>
                <w:rFonts w:ascii="Times New Roman" w:hAnsi="Times New Roman"/>
                <w:sz w:val="18"/>
              </w:rPr>
              <w:t>Обавезе по конфирма цијама</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7" w:right="107" w:hanging="1"/>
              <w:jc w:val="center"/>
              <w:rPr>
                <w:rFonts w:ascii="Times New Roman" w:hAnsi="Times New Roman" w:cs="Times New Roman" w:eastAsia="Times New Roman" w:hint="default"/>
                <w:sz w:val="18"/>
                <w:szCs w:val="18"/>
              </w:rPr>
            </w:pPr>
            <w:r>
              <w:rPr>
                <w:rFonts w:ascii="Times New Roman" w:hAnsi="Times New Roman"/>
                <w:sz w:val="18"/>
              </w:rPr>
              <w:t>Обавезе по посло вним књигама</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94" w:right="84"/>
              <w:jc w:val="center"/>
              <w:rPr>
                <w:rFonts w:ascii="Times New Roman" w:hAnsi="Times New Roman" w:cs="Times New Roman" w:eastAsia="Times New Roman" w:hint="default"/>
                <w:sz w:val="18"/>
                <w:szCs w:val="18"/>
              </w:rPr>
            </w:pPr>
            <w:r>
              <w:rPr>
                <w:rFonts w:ascii="Times New Roman" w:hAnsi="Times New Roman"/>
                <w:spacing w:val="-1"/>
                <w:sz w:val="18"/>
              </w:rPr>
              <w:t>Неусагла </w:t>
            </w:r>
            <w:r>
              <w:rPr>
                <w:rFonts w:ascii="Times New Roman" w:hAnsi="Times New Roman"/>
                <w:sz w:val="18"/>
              </w:rPr>
              <w:t>шено </w:t>
            </w:r>
            <w:r>
              <w:rPr>
                <w:rFonts w:ascii="Times New Roman" w:hAnsi="Times New Roman"/>
                <w:sz w:val="18"/>
              </w:rPr>
              <w:t>стање обавеза</w:t>
            </w:r>
          </w:p>
        </w:tc>
      </w:tr>
      <w:tr>
        <w:trPr>
          <w:trHeight w:val="14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left="177" w:right="0"/>
              <w:jc w:val="left"/>
              <w:rPr>
                <w:rFonts w:ascii="Times New Roman" w:hAnsi="Times New Roman" w:cs="Times New Roman" w:eastAsia="Times New Roman" w:hint="default"/>
                <w:sz w:val="12"/>
                <w:szCs w:val="12"/>
              </w:rPr>
            </w:pPr>
            <w:r>
              <w:rPr>
                <w:rFonts w:ascii="Times New Roman"/>
                <w:sz w:val="12"/>
              </w:rPr>
              <w:t>1</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1"/>
              <w:jc w:val="center"/>
              <w:rPr>
                <w:rFonts w:ascii="Times New Roman" w:hAnsi="Times New Roman" w:cs="Times New Roman" w:eastAsia="Times New Roman" w:hint="default"/>
                <w:sz w:val="12"/>
                <w:szCs w:val="12"/>
              </w:rPr>
            </w:pPr>
            <w:r>
              <w:rPr>
                <w:rFonts w:ascii="Times New Roman"/>
                <w:sz w:val="12"/>
              </w:rPr>
              <w:t>2</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3</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4</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5</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2"/>
              <w:jc w:val="center"/>
              <w:rPr>
                <w:rFonts w:ascii="Times New Roman" w:hAnsi="Times New Roman" w:cs="Times New Roman" w:eastAsia="Times New Roman" w:hint="default"/>
                <w:sz w:val="12"/>
                <w:szCs w:val="12"/>
              </w:rPr>
            </w:pPr>
            <w:r>
              <w:rPr>
                <w:rFonts w:ascii="Times New Roman"/>
                <w:sz w:val="12"/>
              </w:rPr>
              <w:t>6</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7</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134" w:lineRule="exact"/>
              <w:ind w:right="0"/>
              <w:jc w:val="center"/>
              <w:rPr>
                <w:rFonts w:ascii="Times New Roman" w:hAnsi="Times New Roman" w:cs="Times New Roman" w:eastAsia="Times New Roman" w:hint="default"/>
                <w:sz w:val="12"/>
                <w:szCs w:val="12"/>
              </w:rPr>
            </w:pPr>
            <w:r>
              <w:rPr>
                <w:rFonts w:ascii="Times New Roman"/>
                <w:sz w:val="12"/>
              </w:rPr>
              <w:t>8</w:t>
            </w:r>
          </w:p>
        </w:tc>
      </w:tr>
      <w:tr>
        <w:trPr>
          <w:trHeight w:val="218"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220" w:right="0"/>
              <w:jc w:val="left"/>
              <w:rPr>
                <w:rFonts w:ascii="Times New Roman" w:hAnsi="Times New Roman" w:cs="Times New Roman" w:eastAsia="Times New Roman" w:hint="default"/>
                <w:sz w:val="18"/>
                <w:szCs w:val="18"/>
              </w:rPr>
            </w:pPr>
            <w:r>
              <w:rPr>
                <w:rFonts w:ascii="Times New Roman"/>
                <w:sz w:val="18"/>
              </w:rPr>
              <w:t>1</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МУП  Полицијска управа</w:t>
            </w:r>
            <w:r>
              <w:rPr>
                <w:rFonts w:ascii="Times New Roman" w:hAnsi="Times New Roman"/>
                <w:spacing w:val="-11"/>
                <w:sz w:val="18"/>
              </w:rPr>
              <w:t> </w:t>
            </w:r>
            <w:r>
              <w:rPr>
                <w:rFonts w:ascii="Times New Roman" w:hAnsi="Times New Roman"/>
                <w:sz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127</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1.389</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1.262</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736</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6"/>
              <w:jc w:val="right"/>
              <w:rPr>
                <w:rFonts w:ascii="Times New Roman" w:hAnsi="Times New Roman" w:cs="Times New Roman" w:eastAsia="Times New Roman" w:hint="default"/>
                <w:sz w:val="18"/>
                <w:szCs w:val="18"/>
              </w:rPr>
            </w:pPr>
            <w:r>
              <w:rPr>
                <w:rFonts w:ascii="Times New Roman"/>
                <w:sz w:val="18"/>
              </w:rPr>
              <w:t>736</w:t>
            </w:r>
          </w:p>
        </w:tc>
      </w:tr>
      <w:tr>
        <w:trPr>
          <w:trHeight w:val="21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220" w:right="0"/>
              <w:jc w:val="left"/>
              <w:rPr>
                <w:rFonts w:ascii="Times New Roman" w:hAnsi="Times New Roman" w:cs="Times New Roman" w:eastAsia="Times New Roman" w:hint="default"/>
                <w:sz w:val="18"/>
                <w:szCs w:val="18"/>
              </w:rPr>
            </w:pPr>
            <w:r>
              <w:rPr>
                <w:rFonts w:ascii="Times New Roman"/>
                <w:sz w:val="18"/>
              </w:rPr>
              <w:t>2</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Дом здравља</w:t>
            </w:r>
            <w:r>
              <w:rPr>
                <w:rFonts w:ascii="Times New Roman" w:hAnsi="Times New Roman"/>
                <w:spacing w:val="-5"/>
                <w:sz w:val="18"/>
              </w:rPr>
              <w:t> </w:t>
            </w:r>
            <w:r>
              <w:rPr>
                <w:rFonts w:ascii="Times New Roman" w:hAnsi="Times New Roman"/>
                <w:sz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171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325</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154</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306</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134</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6"/>
              <w:jc w:val="right"/>
              <w:rPr>
                <w:rFonts w:ascii="Times New Roman" w:hAnsi="Times New Roman" w:cs="Times New Roman" w:eastAsia="Times New Roman" w:hint="default"/>
                <w:sz w:val="18"/>
                <w:szCs w:val="18"/>
              </w:rPr>
            </w:pPr>
            <w:r>
              <w:rPr>
                <w:rFonts w:ascii="Times New Roman"/>
                <w:sz w:val="18"/>
              </w:rPr>
              <w:t>172</w:t>
            </w:r>
          </w:p>
        </w:tc>
      </w:tr>
      <w:tr>
        <w:trPr>
          <w:trHeight w:val="21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220" w:right="0"/>
              <w:jc w:val="left"/>
              <w:rPr>
                <w:rFonts w:ascii="Times New Roman" w:hAnsi="Times New Roman" w:cs="Times New Roman" w:eastAsia="Times New Roman" w:hint="default"/>
                <w:sz w:val="18"/>
                <w:szCs w:val="18"/>
              </w:rPr>
            </w:pPr>
            <w:r>
              <w:rPr>
                <w:rFonts w:ascii="Times New Roman"/>
                <w:sz w:val="18"/>
              </w:rPr>
              <w:t>3</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РГЗ</w:t>
            </w:r>
            <w:r>
              <w:rPr>
                <w:rFonts w:ascii="Times New Roman" w:hAnsi="Times New Roman"/>
                <w:spacing w:val="-1"/>
                <w:sz w:val="18"/>
              </w:rPr>
              <w:t> </w:t>
            </w:r>
            <w:r>
              <w:rPr>
                <w:rFonts w:ascii="Times New Roman" w:hAnsi="Times New Roman"/>
                <w:sz w:val="18"/>
              </w:rPr>
              <w:t>Београд</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74</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3.213</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3.139</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4"/>
              <w:jc w:val="right"/>
              <w:rPr>
                <w:rFonts w:ascii="Times New Roman" w:hAnsi="Times New Roman" w:cs="Times New Roman" w:eastAsia="Times New Roman" w:hint="default"/>
                <w:sz w:val="18"/>
                <w:szCs w:val="18"/>
              </w:rPr>
            </w:pPr>
            <w:r>
              <w:rPr>
                <w:rFonts w:ascii="Times New Roman"/>
                <w:sz w:val="18"/>
              </w:rPr>
              <w:t>0</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419</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6"/>
              <w:jc w:val="right"/>
              <w:rPr>
                <w:rFonts w:ascii="Times New Roman" w:hAnsi="Times New Roman" w:cs="Times New Roman" w:eastAsia="Times New Roman" w:hint="default"/>
                <w:sz w:val="18"/>
                <w:szCs w:val="18"/>
              </w:rPr>
            </w:pPr>
            <w:r>
              <w:rPr>
                <w:rFonts w:ascii="Times New Roman"/>
                <w:sz w:val="18"/>
              </w:rPr>
              <w:t>419</w:t>
            </w:r>
          </w:p>
        </w:tc>
      </w:tr>
      <w:tr>
        <w:trPr>
          <w:trHeight w:val="218"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220" w:right="0"/>
              <w:jc w:val="left"/>
              <w:rPr>
                <w:rFonts w:ascii="Times New Roman" w:hAnsi="Times New Roman" w:cs="Times New Roman" w:eastAsia="Times New Roman" w:hint="default"/>
                <w:sz w:val="18"/>
                <w:szCs w:val="18"/>
              </w:rPr>
            </w:pPr>
            <w:r>
              <w:rPr>
                <w:rFonts w:ascii="Times New Roman"/>
                <w:sz w:val="18"/>
              </w:rPr>
              <w:t>4</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Рајк комерц доо Доње</w:t>
            </w:r>
            <w:r>
              <w:rPr>
                <w:rFonts w:ascii="Times New Roman" w:hAnsi="Times New Roman"/>
                <w:spacing w:val="-10"/>
                <w:sz w:val="18"/>
              </w:rPr>
              <w:t> </w:t>
            </w:r>
            <w:r>
              <w:rPr>
                <w:rFonts w:ascii="Times New Roman" w:hAnsi="Times New Roman"/>
                <w:sz w:val="18"/>
              </w:rPr>
              <w:t>Међурово</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221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9"/>
              <w:jc w:val="right"/>
              <w:rPr>
                <w:rFonts w:ascii="Times New Roman" w:hAnsi="Times New Roman" w:cs="Times New Roman" w:eastAsia="Times New Roman" w:hint="default"/>
                <w:sz w:val="18"/>
                <w:szCs w:val="18"/>
              </w:rPr>
            </w:pPr>
            <w:r>
              <w:rPr>
                <w:rFonts w:ascii="Times New Roman"/>
                <w:sz w:val="18"/>
              </w:rPr>
              <w:t>221</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z w:val="18"/>
              </w:rPr>
              <w:t>21</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9</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6"/>
              <w:jc w:val="right"/>
              <w:rPr>
                <w:rFonts w:ascii="Times New Roman" w:hAnsi="Times New Roman" w:cs="Times New Roman" w:eastAsia="Times New Roman" w:hint="default"/>
                <w:sz w:val="18"/>
                <w:szCs w:val="18"/>
              </w:rPr>
            </w:pPr>
            <w:r>
              <w:rPr>
                <w:rFonts w:ascii="Times New Roman"/>
                <w:sz w:val="18"/>
              </w:rPr>
              <w:t>12</w:t>
            </w:r>
          </w:p>
        </w:tc>
      </w:tr>
      <w:tr>
        <w:trPr>
          <w:trHeight w:val="21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220" w:right="0"/>
              <w:jc w:val="left"/>
              <w:rPr>
                <w:rFonts w:ascii="Times New Roman" w:hAnsi="Times New Roman" w:cs="Times New Roman" w:eastAsia="Times New Roman" w:hint="default"/>
                <w:sz w:val="18"/>
                <w:szCs w:val="18"/>
              </w:rPr>
            </w:pPr>
            <w:r>
              <w:rPr>
                <w:rFonts w:ascii="Times New Roman"/>
                <w:sz w:val="18"/>
              </w:rPr>
              <w:t>5</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Ниш експрес ад</w:t>
            </w:r>
            <w:r>
              <w:rPr>
                <w:rFonts w:ascii="Times New Roman" w:hAnsi="Times New Roman"/>
                <w:spacing w:val="-8"/>
                <w:sz w:val="18"/>
              </w:rPr>
              <w:t> </w:t>
            </w:r>
            <w:r>
              <w:rPr>
                <w:rFonts w:ascii="Times New Roman" w:hAnsi="Times New Roman"/>
                <w:sz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659</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22</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637</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(7)</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1</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8</w:t>
            </w:r>
          </w:p>
        </w:tc>
      </w:tr>
      <w:tr>
        <w:trPr>
          <w:trHeight w:val="218"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220" w:right="0"/>
              <w:jc w:val="left"/>
              <w:rPr>
                <w:rFonts w:ascii="Times New Roman" w:hAnsi="Times New Roman" w:cs="Times New Roman" w:eastAsia="Times New Roman" w:hint="default"/>
                <w:sz w:val="18"/>
                <w:szCs w:val="18"/>
              </w:rPr>
            </w:pPr>
            <w:r>
              <w:rPr>
                <w:rFonts w:ascii="Times New Roman"/>
                <w:sz w:val="18"/>
              </w:rPr>
              <w:t>6</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Пољ. савет. и стр.служба  доо</w:t>
            </w:r>
            <w:r>
              <w:rPr>
                <w:rFonts w:ascii="Times New Roman" w:hAnsi="Times New Roman"/>
                <w:spacing w:val="-11"/>
                <w:sz w:val="18"/>
              </w:rPr>
              <w:t> </w:t>
            </w:r>
            <w:r>
              <w:rPr>
                <w:rFonts w:ascii="Times New Roman" w:hAnsi="Times New Roman"/>
                <w:sz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330</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956</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6"/>
              <w:jc w:val="right"/>
              <w:rPr>
                <w:rFonts w:ascii="Times New Roman" w:hAnsi="Times New Roman" w:cs="Times New Roman" w:eastAsia="Times New Roman" w:hint="default"/>
                <w:sz w:val="18"/>
                <w:szCs w:val="18"/>
              </w:rPr>
            </w:pPr>
            <w:r>
              <w:rPr>
                <w:rFonts w:ascii="Times New Roman"/>
                <w:sz w:val="18"/>
              </w:rPr>
              <w:t>626</w:t>
            </w:r>
          </w:p>
        </w:tc>
      </w:tr>
      <w:tr>
        <w:trPr>
          <w:trHeight w:val="21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220" w:right="0"/>
              <w:jc w:val="left"/>
              <w:rPr>
                <w:rFonts w:ascii="Times New Roman" w:hAnsi="Times New Roman" w:cs="Times New Roman" w:eastAsia="Times New Roman" w:hint="default"/>
                <w:sz w:val="18"/>
                <w:szCs w:val="18"/>
              </w:rPr>
            </w:pPr>
            <w:r>
              <w:rPr>
                <w:rFonts w:ascii="Times New Roman"/>
                <w:sz w:val="18"/>
              </w:rPr>
              <w:t>7</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03" w:right="0"/>
              <w:jc w:val="left"/>
              <w:rPr>
                <w:rFonts w:ascii="Times New Roman" w:hAnsi="Times New Roman" w:cs="Times New Roman" w:eastAsia="Times New Roman" w:hint="default"/>
                <w:sz w:val="18"/>
                <w:szCs w:val="18"/>
              </w:rPr>
            </w:pPr>
            <w:r>
              <w:rPr>
                <w:rFonts w:ascii="Times New Roman" w:hAnsi="Times New Roman"/>
                <w:sz w:val="18"/>
              </w:rPr>
              <w:t>ЈП Службени гласник</w:t>
            </w:r>
            <w:r>
              <w:rPr>
                <w:rFonts w:ascii="Times New Roman" w:hAnsi="Times New Roman"/>
                <w:spacing w:val="-6"/>
                <w:sz w:val="18"/>
              </w:rPr>
              <w:t> </w:t>
            </w:r>
            <w:r>
              <w:rPr>
                <w:rFonts w:ascii="Times New Roman" w:hAnsi="Times New Roman"/>
                <w:sz w:val="18"/>
              </w:rPr>
              <w:t>Београд</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2"/>
              <w:jc w:val="right"/>
              <w:rPr>
                <w:rFonts w:ascii="Times New Roman" w:hAnsi="Times New Roman" w:cs="Times New Roman" w:eastAsia="Times New Roman" w:hint="default"/>
                <w:sz w:val="18"/>
                <w:szCs w:val="18"/>
              </w:rPr>
            </w:pPr>
            <w:r>
              <w:rPr>
                <w:rFonts w:ascii="Times New Roman"/>
                <w:sz w:val="18"/>
              </w:rPr>
              <w:t>1.373</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z w:val="18"/>
              </w:rPr>
              <w:t>1.455</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96"/>
              <w:jc w:val="right"/>
              <w:rPr>
                <w:rFonts w:ascii="Times New Roman" w:hAnsi="Times New Roman" w:cs="Times New Roman" w:eastAsia="Times New Roman" w:hint="default"/>
                <w:sz w:val="18"/>
                <w:szCs w:val="18"/>
              </w:rPr>
            </w:pPr>
            <w:r>
              <w:rPr>
                <w:rFonts w:ascii="Times New Roman"/>
                <w:sz w:val="18"/>
              </w:rPr>
              <w:t>82</w:t>
            </w:r>
          </w:p>
        </w:tc>
      </w:tr>
      <w:tr>
        <w:trPr>
          <w:trHeight w:val="218"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220" w:right="0"/>
              <w:jc w:val="left"/>
              <w:rPr>
                <w:rFonts w:ascii="Times New Roman" w:hAnsi="Times New Roman" w:cs="Times New Roman" w:eastAsia="Times New Roman" w:hint="default"/>
                <w:sz w:val="18"/>
                <w:szCs w:val="18"/>
              </w:rPr>
            </w:pPr>
            <w:r>
              <w:rPr>
                <w:rFonts w:ascii="Times New Roman"/>
                <w:sz w:val="18"/>
              </w:rPr>
              <w:t>8</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Факултет заштите на раду</w:t>
            </w:r>
            <w:r>
              <w:rPr>
                <w:rFonts w:ascii="Times New Roman" w:hAnsi="Times New Roman"/>
                <w:spacing w:val="34"/>
                <w:sz w:val="18"/>
              </w:rPr>
              <w:t> </w:t>
            </w:r>
            <w:r>
              <w:rPr>
                <w:rFonts w:ascii="Times New Roman" w:hAnsi="Times New Roman"/>
                <w:sz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1.374</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1.374</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0</w:t>
            </w:r>
          </w:p>
        </w:tc>
      </w:tr>
      <w:tr>
        <w:trPr>
          <w:trHeight w:val="21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220" w:right="0"/>
              <w:jc w:val="left"/>
              <w:rPr>
                <w:rFonts w:ascii="Times New Roman" w:hAnsi="Times New Roman" w:cs="Times New Roman" w:eastAsia="Times New Roman" w:hint="default"/>
                <w:sz w:val="18"/>
                <w:szCs w:val="18"/>
              </w:rPr>
            </w:pPr>
            <w:r>
              <w:rPr>
                <w:rFonts w:ascii="Times New Roman"/>
                <w:sz w:val="18"/>
              </w:rPr>
              <w:t>9</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sz w:val="18"/>
              </w:rPr>
              <w:t>Help-hilfe zur selbsthilfe</w:t>
            </w:r>
            <w:r>
              <w:rPr>
                <w:rFonts w:ascii="Times New Roman"/>
                <w:spacing w:val="-9"/>
                <w:sz w:val="18"/>
              </w:rPr>
              <w:t> </w:t>
            </w:r>
            <w:r>
              <w:rPr>
                <w:rFonts w:ascii="Times New Roman"/>
                <w:sz w:val="18"/>
              </w:rPr>
              <w:t>E.V.</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5.534</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5.594</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6"/>
              <w:jc w:val="right"/>
              <w:rPr>
                <w:rFonts w:ascii="Times New Roman" w:hAnsi="Times New Roman" w:cs="Times New Roman" w:eastAsia="Times New Roman" w:hint="default"/>
                <w:sz w:val="18"/>
                <w:szCs w:val="18"/>
              </w:rPr>
            </w:pPr>
            <w:r>
              <w:rPr>
                <w:rFonts w:ascii="Times New Roman"/>
                <w:sz w:val="18"/>
              </w:rPr>
              <w:t>60</w:t>
            </w:r>
          </w:p>
        </w:tc>
      </w:tr>
      <w:tr>
        <w:trPr>
          <w:trHeight w:val="21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1" w:right="0"/>
              <w:jc w:val="left"/>
              <w:rPr>
                <w:rFonts w:ascii="Times New Roman" w:hAnsi="Times New Roman" w:cs="Times New Roman" w:eastAsia="Times New Roman" w:hint="default"/>
                <w:sz w:val="18"/>
                <w:szCs w:val="18"/>
              </w:rPr>
            </w:pPr>
            <w:r>
              <w:rPr>
                <w:rFonts w:ascii="Times New Roman"/>
                <w:sz w:val="18"/>
              </w:rPr>
              <w:t>10</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Algotech </w:t>
            </w:r>
            <w:r>
              <w:rPr>
                <w:rFonts w:ascii="Times New Roman" w:hAnsi="Times New Roman"/>
                <w:sz w:val="18"/>
              </w:rPr>
              <w:t>доо</w:t>
            </w:r>
            <w:r>
              <w:rPr>
                <w:rFonts w:ascii="Times New Roman" w:hAnsi="Times New Roman"/>
                <w:spacing w:val="-4"/>
                <w:sz w:val="18"/>
              </w:rPr>
              <w:t> </w:t>
            </w:r>
            <w:r>
              <w:rPr>
                <w:rFonts w:ascii="Times New Roman" w:hAnsi="Times New Roman"/>
                <w:sz w:val="18"/>
              </w:rPr>
              <w:t>Београд</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518</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348</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6"/>
              <w:jc w:val="right"/>
              <w:rPr>
                <w:rFonts w:ascii="Times New Roman" w:hAnsi="Times New Roman" w:cs="Times New Roman" w:eastAsia="Times New Roman" w:hint="default"/>
                <w:sz w:val="18"/>
                <w:szCs w:val="18"/>
              </w:rPr>
            </w:pPr>
            <w:r>
              <w:rPr>
                <w:rFonts w:ascii="Times New Roman"/>
                <w:sz w:val="18"/>
              </w:rPr>
              <w:t>170</w:t>
            </w:r>
          </w:p>
        </w:tc>
      </w:tr>
      <w:tr>
        <w:trPr>
          <w:trHeight w:val="218"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31" w:right="0"/>
              <w:jc w:val="left"/>
              <w:rPr>
                <w:rFonts w:ascii="Times New Roman" w:hAnsi="Times New Roman" w:cs="Times New Roman" w:eastAsia="Times New Roman" w:hint="default"/>
                <w:sz w:val="18"/>
                <w:szCs w:val="18"/>
              </w:rPr>
            </w:pPr>
            <w:r>
              <w:rPr>
                <w:rFonts w:ascii="Times New Roman"/>
                <w:sz w:val="18"/>
              </w:rPr>
              <w:t>11</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СОЗ Актер</w:t>
            </w:r>
            <w:r>
              <w:rPr>
                <w:rFonts w:ascii="Times New Roman" w:hAnsi="Times New Roman"/>
                <w:spacing w:val="-6"/>
                <w:sz w:val="18"/>
              </w:rPr>
              <w:t> </w:t>
            </w:r>
            <w:r>
              <w:rPr>
                <w:rFonts w:ascii="Times New Roman" w:hAnsi="Times New Roman"/>
                <w:sz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z w:val="18"/>
              </w:rPr>
              <w:t>55</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6"/>
              <w:jc w:val="right"/>
              <w:rPr>
                <w:rFonts w:ascii="Times New Roman" w:hAnsi="Times New Roman" w:cs="Times New Roman" w:eastAsia="Times New Roman" w:hint="default"/>
                <w:sz w:val="18"/>
                <w:szCs w:val="18"/>
              </w:rPr>
            </w:pPr>
            <w:r>
              <w:rPr>
                <w:rFonts w:ascii="Times New Roman"/>
                <w:sz w:val="18"/>
              </w:rPr>
              <w:t>55</w:t>
            </w:r>
          </w:p>
        </w:tc>
      </w:tr>
      <w:tr>
        <w:trPr>
          <w:trHeight w:val="21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1" w:right="0"/>
              <w:jc w:val="left"/>
              <w:rPr>
                <w:rFonts w:ascii="Times New Roman" w:hAnsi="Times New Roman" w:cs="Times New Roman" w:eastAsia="Times New Roman" w:hint="default"/>
                <w:sz w:val="18"/>
                <w:szCs w:val="18"/>
              </w:rPr>
            </w:pPr>
            <w:r>
              <w:rPr>
                <w:rFonts w:ascii="Times New Roman"/>
                <w:sz w:val="18"/>
              </w:rPr>
              <w:t>12</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Тончев градња доо</w:t>
            </w:r>
            <w:r>
              <w:rPr>
                <w:rFonts w:ascii="Times New Roman" w:hAnsi="Times New Roman"/>
                <w:spacing w:val="-9"/>
                <w:sz w:val="18"/>
              </w:rPr>
              <w:t> </w:t>
            </w:r>
            <w:r>
              <w:rPr>
                <w:rFonts w:ascii="Times New Roman" w:hAnsi="Times New Roman"/>
                <w:sz w:val="18"/>
              </w:rPr>
              <w:t>Сурдулица</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8.230</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21.137</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12.907</w:t>
            </w:r>
          </w:p>
        </w:tc>
      </w:tr>
      <w:tr>
        <w:trPr>
          <w:trHeight w:val="218"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1" w:right="0"/>
              <w:jc w:val="left"/>
              <w:rPr>
                <w:rFonts w:ascii="Times New Roman" w:hAnsi="Times New Roman" w:cs="Times New Roman" w:eastAsia="Times New Roman" w:hint="default"/>
                <w:sz w:val="18"/>
                <w:szCs w:val="18"/>
              </w:rPr>
            </w:pPr>
            <w:r>
              <w:rPr>
                <w:rFonts w:ascii="Times New Roman"/>
                <w:sz w:val="18"/>
              </w:rPr>
              <w:t>13</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Србијаводе ВЦ</w:t>
            </w:r>
            <w:r>
              <w:rPr>
                <w:rFonts w:ascii="Times New Roman" w:hAnsi="Times New Roman"/>
                <w:spacing w:val="-7"/>
                <w:sz w:val="18"/>
              </w:rPr>
              <w:t> </w:t>
            </w:r>
            <w:r>
              <w:rPr>
                <w:rFonts w:ascii="Times New Roman" w:hAnsi="Times New Roman"/>
                <w:sz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19.024</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1.485</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17.539</w:t>
            </w:r>
          </w:p>
        </w:tc>
      </w:tr>
      <w:tr>
        <w:trPr>
          <w:trHeight w:val="21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1" w:right="0"/>
              <w:jc w:val="left"/>
              <w:rPr>
                <w:rFonts w:ascii="Times New Roman" w:hAnsi="Times New Roman" w:cs="Times New Roman" w:eastAsia="Times New Roman" w:hint="default"/>
                <w:sz w:val="18"/>
                <w:szCs w:val="18"/>
              </w:rPr>
            </w:pPr>
            <w:r>
              <w:rPr>
                <w:rFonts w:ascii="Times New Roman"/>
                <w:sz w:val="18"/>
              </w:rPr>
              <w:t>14</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48" w:right="0"/>
              <w:jc w:val="left"/>
              <w:rPr>
                <w:rFonts w:ascii="Times New Roman" w:hAnsi="Times New Roman" w:cs="Times New Roman" w:eastAsia="Times New Roman" w:hint="default"/>
                <w:sz w:val="18"/>
                <w:szCs w:val="18"/>
              </w:rPr>
            </w:pPr>
            <w:r>
              <w:rPr>
                <w:rFonts w:ascii="Times New Roman" w:hAnsi="Times New Roman"/>
                <w:sz w:val="18"/>
              </w:rPr>
              <w:t>Урбим доо</w:t>
            </w:r>
            <w:r>
              <w:rPr>
                <w:rFonts w:ascii="Times New Roman" w:hAnsi="Times New Roman"/>
                <w:spacing w:val="-4"/>
                <w:sz w:val="18"/>
              </w:rPr>
              <w:t> </w:t>
            </w:r>
            <w:r>
              <w:rPr>
                <w:rFonts w:ascii="Times New Roman" w:hAnsi="Times New Roman"/>
                <w:sz w:val="18"/>
              </w:rPr>
              <w:t>Београд</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329</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657</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6"/>
              <w:jc w:val="right"/>
              <w:rPr>
                <w:rFonts w:ascii="Times New Roman" w:hAnsi="Times New Roman" w:cs="Times New Roman" w:eastAsia="Times New Roman" w:hint="default"/>
                <w:sz w:val="18"/>
                <w:szCs w:val="18"/>
              </w:rPr>
            </w:pPr>
            <w:r>
              <w:rPr>
                <w:rFonts w:ascii="Times New Roman"/>
                <w:sz w:val="18"/>
              </w:rPr>
              <w:t>328</w:t>
            </w:r>
          </w:p>
        </w:tc>
      </w:tr>
      <w:tr>
        <w:trPr>
          <w:trHeight w:val="21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1" w:right="0"/>
              <w:jc w:val="left"/>
              <w:rPr>
                <w:rFonts w:ascii="Times New Roman" w:hAnsi="Times New Roman" w:cs="Times New Roman" w:eastAsia="Times New Roman" w:hint="default"/>
                <w:sz w:val="18"/>
                <w:szCs w:val="18"/>
              </w:rPr>
            </w:pPr>
            <w:r>
              <w:rPr>
                <w:rFonts w:ascii="Times New Roman"/>
                <w:sz w:val="18"/>
              </w:rPr>
              <w:t>15</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ВД  Ерозија доо</w:t>
            </w:r>
            <w:r>
              <w:rPr>
                <w:rFonts w:ascii="Times New Roman" w:hAnsi="Times New Roman"/>
                <w:spacing w:val="-3"/>
                <w:sz w:val="18"/>
              </w:rPr>
              <w:t> </w:t>
            </w:r>
            <w:r>
              <w:rPr>
                <w:rFonts w:ascii="Times New Roman" w:hAnsi="Times New Roman"/>
                <w:sz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4.688</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4.602</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6"/>
              <w:jc w:val="right"/>
              <w:rPr>
                <w:rFonts w:ascii="Times New Roman" w:hAnsi="Times New Roman" w:cs="Times New Roman" w:eastAsia="Times New Roman" w:hint="default"/>
                <w:sz w:val="18"/>
                <w:szCs w:val="18"/>
              </w:rPr>
            </w:pPr>
            <w:r>
              <w:rPr>
                <w:rFonts w:ascii="Times New Roman"/>
                <w:sz w:val="18"/>
              </w:rPr>
              <w:t>86</w:t>
            </w:r>
          </w:p>
        </w:tc>
      </w:tr>
      <w:tr>
        <w:trPr>
          <w:trHeight w:val="218"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31" w:right="0"/>
              <w:jc w:val="left"/>
              <w:rPr>
                <w:rFonts w:ascii="Times New Roman" w:hAnsi="Times New Roman" w:cs="Times New Roman" w:eastAsia="Times New Roman" w:hint="default"/>
                <w:sz w:val="18"/>
                <w:szCs w:val="18"/>
              </w:rPr>
            </w:pPr>
            <w:r>
              <w:rPr>
                <w:rFonts w:ascii="Times New Roman"/>
                <w:sz w:val="18"/>
              </w:rPr>
              <w:t>16</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Телеком Србија ад</w:t>
            </w:r>
            <w:r>
              <w:rPr>
                <w:rFonts w:ascii="Times New Roman" w:hAnsi="Times New Roman"/>
                <w:spacing w:val="-8"/>
                <w:sz w:val="18"/>
              </w:rPr>
              <w:t> </w:t>
            </w:r>
            <w:r>
              <w:rPr>
                <w:rFonts w:ascii="Times New Roman" w:hAnsi="Times New Roman"/>
                <w:sz w:val="18"/>
              </w:rPr>
              <w:t>Београд</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pacing w:val="-1"/>
                <w:sz w:val="18"/>
              </w:rPr>
              <w:t>15.161</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7.548</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7.613</w:t>
            </w:r>
          </w:p>
        </w:tc>
      </w:tr>
      <w:tr>
        <w:trPr>
          <w:trHeight w:val="21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1" w:right="0"/>
              <w:jc w:val="left"/>
              <w:rPr>
                <w:rFonts w:ascii="Times New Roman" w:hAnsi="Times New Roman" w:cs="Times New Roman" w:eastAsia="Times New Roman" w:hint="default"/>
                <w:sz w:val="18"/>
                <w:szCs w:val="18"/>
              </w:rPr>
            </w:pPr>
            <w:r>
              <w:rPr>
                <w:rFonts w:ascii="Times New Roman"/>
                <w:sz w:val="18"/>
              </w:rPr>
              <w:t>17</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48" w:right="0"/>
              <w:jc w:val="left"/>
              <w:rPr>
                <w:rFonts w:ascii="Times New Roman" w:hAnsi="Times New Roman" w:cs="Times New Roman" w:eastAsia="Times New Roman" w:hint="default"/>
                <w:sz w:val="18"/>
                <w:szCs w:val="18"/>
              </w:rPr>
            </w:pPr>
            <w:r>
              <w:rPr>
                <w:rFonts w:ascii="Times New Roman" w:hAnsi="Times New Roman"/>
                <w:sz w:val="18"/>
              </w:rPr>
              <w:t>Електродистрибуција</w:t>
            </w:r>
            <w:r>
              <w:rPr>
                <w:rFonts w:ascii="Times New Roman" w:hAnsi="Times New Roman"/>
                <w:spacing w:val="-10"/>
                <w:sz w:val="18"/>
              </w:rPr>
              <w:t> </w:t>
            </w:r>
            <w:r>
              <w:rPr>
                <w:rFonts w:ascii="Times New Roman" w:hAnsi="Times New Roman"/>
                <w:sz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23.056</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12.214</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10.842</w:t>
            </w:r>
          </w:p>
        </w:tc>
      </w:tr>
      <w:tr>
        <w:trPr>
          <w:trHeight w:val="218"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1" w:right="0"/>
              <w:jc w:val="left"/>
              <w:rPr>
                <w:rFonts w:ascii="Times New Roman" w:hAnsi="Times New Roman" w:cs="Times New Roman" w:eastAsia="Times New Roman" w:hint="default"/>
                <w:sz w:val="18"/>
                <w:szCs w:val="18"/>
              </w:rPr>
            </w:pPr>
            <w:r>
              <w:rPr>
                <w:rFonts w:ascii="Times New Roman"/>
                <w:sz w:val="18"/>
              </w:rPr>
              <w:t>18</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ЕПС Снабдевање доо</w:t>
            </w:r>
            <w:r>
              <w:rPr>
                <w:rFonts w:ascii="Times New Roman" w:hAnsi="Times New Roman"/>
                <w:spacing w:val="-4"/>
                <w:sz w:val="18"/>
              </w:rPr>
              <w:t> </w:t>
            </w:r>
            <w:r>
              <w:rPr>
                <w:rFonts w:ascii="Times New Roman" w:hAnsi="Times New Roman"/>
                <w:sz w:val="18"/>
              </w:rPr>
              <w:t>Београд</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6.677</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3</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6.674</w:t>
            </w:r>
          </w:p>
        </w:tc>
      </w:tr>
      <w:tr>
        <w:trPr>
          <w:trHeight w:val="21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1" w:right="0"/>
              <w:jc w:val="left"/>
              <w:rPr>
                <w:rFonts w:ascii="Times New Roman" w:hAnsi="Times New Roman" w:cs="Times New Roman" w:eastAsia="Times New Roman" w:hint="default"/>
                <w:sz w:val="18"/>
                <w:szCs w:val="18"/>
              </w:rPr>
            </w:pPr>
            <w:r>
              <w:rPr>
                <w:rFonts w:ascii="Times New Roman"/>
                <w:sz w:val="18"/>
              </w:rPr>
              <w:t>19</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Лекон доо</w:t>
            </w:r>
            <w:r>
              <w:rPr>
                <w:rFonts w:ascii="Times New Roman" w:hAnsi="Times New Roman"/>
                <w:spacing w:val="-1"/>
                <w:sz w:val="18"/>
              </w:rPr>
              <w:t> </w:t>
            </w:r>
            <w:r>
              <w:rPr>
                <w:rFonts w:ascii="Times New Roman" w:hAnsi="Times New Roman"/>
                <w:sz w:val="18"/>
              </w:rPr>
              <w:t>Београд</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65.161</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65.161</w:t>
            </w:r>
          </w:p>
        </w:tc>
      </w:tr>
      <w:tr>
        <w:trPr>
          <w:trHeight w:val="217"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1" w:right="0"/>
              <w:jc w:val="left"/>
              <w:rPr>
                <w:rFonts w:ascii="Times New Roman" w:hAnsi="Times New Roman" w:cs="Times New Roman" w:eastAsia="Times New Roman" w:hint="default"/>
                <w:sz w:val="18"/>
                <w:szCs w:val="18"/>
              </w:rPr>
            </w:pPr>
            <w:r>
              <w:rPr>
                <w:rFonts w:ascii="Times New Roman"/>
                <w:sz w:val="18"/>
              </w:rPr>
              <w:t>20</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CD His </w:t>
            </w:r>
            <w:r>
              <w:rPr>
                <w:rFonts w:ascii="Times New Roman" w:hAnsi="Times New Roman"/>
                <w:sz w:val="18"/>
              </w:rPr>
              <w:t>доо</w:t>
            </w:r>
            <w:r>
              <w:rPr>
                <w:rFonts w:ascii="Times New Roman" w:hAnsi="Times New Roman"/>
                <w:spacing w:val="-1"/>
                <w:sz w:val="18"/>
              </w:rPr>
              <w:t> </w:t>
            </w:r>
            <w:r>
              <w:rPr>
                <w:rFonts w:ascii="Times New Roman" w:hAnsi="Times New Roman"/>
                <w:sz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7.305</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5.209</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2.096</w:t>
            </w:r>
          </w:p>
        </w:tc>
      </w:tr>
      <w:tr>
        <w:trPr>
          <w:trHeight w:val="218"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31" w:right="0"/>
              <w:jc w:val="left"/>
              <w:rPr>
                <w:rFonts w:ascii="Times New Roman" w:hAnsi="Times New Roman" w:cs="Times New Roman" w:eastAsia="Times New Roman" w:hint="default"/>
                <w:sz w:val="18"/>
                <w:szCs w:val="18"/>
              </w:rPr>
            </w:pPr>
            <w:r>
              <w:rPr>
                <w:rFonts w:ascii="Times New Roman"/>
                <w:sz w:val="18"/>
              </w:rPr>
              <w:t>21</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Геосонда</w:t>
            </w:r>
            <w:r>
              <w:rPr>
                <w:rFonts w:ascii="Times New Roman" w:hAnsi="Times New Roman"/>
                <w:sz w:val="18"/>
              </w:rPr>
              <w:t>-</w:t>
            </w:r>
            <w:r>
              <w:rPr>
                <w:rFonts w:ascii="Times New Roman" w:hAnsi="Times New Roman"/>
                <w:sz w:val="18"/>
              </w:rPr>
              <w:t>истражно бушење доо</w:t>
            </w:r>
            <w:r>
              <w:rPr>
                <w:rFonts w:ascii="Times New Roman" w:hAnsi="Times New Roman"/>
                <w:spacing w:val="-5"/>
                <w:sz w:val="18"/>
              </w:rPr>
              <w:t> </w:t>
            </w:r>
            <w:r>
              <w:rPr>
                <w:rFonts w:ascii="Times New Roman" w:hAnsi="Times New Roman"/>
                <w:sz w:val="18"/>
              </w:rPr>
              <w:t>Бгд</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4"/>
              <w:jc w:val="right"/>
              <w:rPr>
                <w:rFonts w:ascii="Times New Roman" w:hAnsi="Times New Roman" w:cs="Times New Roman" w:eastAsia="Times New Roman" w:hint="default"/>
                <w:sz w:val="18"/>
                <w:szCs w:val="18"/>
              </w:rPr>
            </w:pPr>
            <w:r>
              <w:rPr>
                <w:rFonts w:ascii="Times New Roman"/>
                <w:sz w:val="18"/>
              </w:rPr>
              <w:t>0</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z w:val="18"/>
              </w:rPr>
              <w:t>0</w:t>
            </w:r>
          </w:p>
        </w:tc>
      </w:tr>
      <w:tr>
        <w:trPr>
          <w:trHeight w:val="21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1" w:right="0"/>
              <w:jc w:val="left"/>
              <w:rPr>
                <w:rFonts w:ascii="Times New Roman" w:hAnsi="Times New Roman" w:cs="Times New Roman" w:eastAsia="Times New Roman" w:hint="default"/>
                <w:sz w:val="18"/>
                <w:szCs w:val="18"/>
              </w:rPr>
            </w:pPr>
            <w:r>
              <w:rPr>
                <w:rFonts w:ascii="Times New Roman"/>
                <w:sz w:val="18"/>
              </w:rPr>
              <w:t>22</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Завод за здрав</w:t>
            </w:r>
            <w:r>
              <w:rPr>
                <w:rFonts w:ascii="Times New Roman" w:hAnsi="Times New Roman"/>
                <w:sz w:val="18"/>
              </w:rPr>
              <w:t>. </w:t>
            </w:r>
            <w:r>
              <w:rPr>
                <w:rFonts w:ascii="Times New Roman" w:hAnsi="Times New Roman"/>
                <w:sz w:val="18"/>
              </w:rPr>
              <w:t>заш</w:t>
            </w:r>
            <w:r>
              <w:rPr>
                <w:rFonts w:ascii="Times New Roman" w:hAnsi="Times New Roman"/>
                <w:sz w:val="18"/>
              </w:rPr>
              <w:t>. </w:t>
            </w:r>
            <w:r>
              <w:rPr>
                <w:rFonts w:ascii="Times New Roman" w:hAnsi="Times New Roman"/>
                <w:sz w:val="18"/>
              </w:rPr>
              <w:t>радника</w:t>
            </w:r>
            <w:r>
              <w:rPr>
                <w:rFonts w:ascii="Times New Roman" w:hAnsi="Times New Roman"/>
                <w:spacing w:val="-10"/>
                <w:sz w:val="18"/>
              </w:rPr>
              <w:t> </w:t>
            </w:r>
            <w:r>
              <w:rPr>
                <w:rFonts w:ascii="Times New Roman" w:hAnsi="Times New Roman"/>
                <w:sz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420</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6"/>
              <w:jc w:val="right"/>
              <w:rPr>
                <w:rFonts w:ascii="Times New Roman" w:hAnsi="Times New Roman" w:cs="Times New Roman" w:eastAsia="Times New Roman" w:hint="default"/>
                <w:sz w:val="18"/>
                <w:szCs w:val="18"/>
              </w:rPr>
            </w:pPr>
            <w:r>
              <w:rPr>
                <w:rFonts w:ascii="Times New Roman"/>
                <w:sz w:val="18"/>
              </w:rPr>
              <w:t>420</w:t>
            </w:r>
          </w:p>
        </w:tc>
      </w:tr>
      <w:tr>
        <w:trPr>
          <w:trHeight w:val="218"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1" w:right="0"/>
              <w:jc w:val="left"/>
              <w:rPr>
                <w:rFonts w:ascii="Times New Roman" w:hAnsi="Times New Roman" w:cs="Times New Roman" w:eastAsia="Times New Roman" w:hint="default"/>
                <w:sz w:val="18"/>
                <w:szCs w:val="18"/>
              </w:rPr>
            </w:pPr>
            <w:r>
              <w:rPr>
                <w:rFonts w:ascii="Times New Roman"/>
                <w:sz w:val="18"/>
              </w:rPr>
              <w:t>23</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РЗЗО Филијала за Нишавски</w:t>
            </w:r>
            <w:r>
              <w:rPr>
                <w:rFonts w:ascii="Times New Roman" w:hAnsi="Times New Roman"/>
                <w:spacing w:val="-16"/>
                <w:sz w:val="18"/>
              </w:rPr>
              <w:t> </w:t>
            </w:r>
            <w:r>
              <w:rPr>
                <w:rFonts w:ascii="Times New Roman" w:hAnsi="Times New Roman"/>
                <w:sz w:val="18"/>
              </w:rPr>
              <w:t>округ</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3.034</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3.035</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1</w:t>
            </w:r>
          </w:p>
        </w:tc>
      </w:tr>
      <w:tr>
        <w:trPr>
          <w:trHeight w:val="21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1" w:right="0"/>
              <w:jc w:val="left"/>
              <w:rPr>
                <w:rFonts w:ascii="Times New Roman" w:hAnsi="Times New Roman" w:cs="Times New Roman" w:eastAsia="Times New Roman" w:hint="default"/>
                <w:sz w:val="18"/>
                <w:szCs w:val="18"/>
              </w:rPr>
            </w:pPr>
            <w:r>
              <w:rPr>
                <w:rFonts w:ascii="Times New Roman"/>
                <w:sz w:val="18"/>
              </w:rPr>
              <w:t>24</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48" w:right="0"/>
              <w:jc w:val="left"/>
              <w:rPr>
                <w:rFonts w:ascii="Times New Roman" w:hAnsi="Times New Roman" w:cs="Times New Roman" w:eastAsia="Times New Roman" w:hint="default"/>
                <w:sz w:val="18"/>
                <w:szCs w:val="18"/>
              </w:rPr>
            </w:pPr>
            <w:r>
              <w:rPr>
                <w:rFonts w:ascii="Times New Roman" w:hAnsi="Times New Roman"/>
                <w:sz w:val="18"/>
              </w:rPr>
              <w:t>Извор доо</w:t>
            </w:r>
            <w:r>
              <w:rPr>
                <w:rFonts w:ascii="Times New Roman" w:hAnsi="Times New Roman"/>
                <w:spacing w:val="-2"/>
                <w:sz w:val="18"/>
              </w:rPr>
              <w:t> </w:t>
            </w:r>
            <w:r>
              <w:rPr>
                <w:rFonts w:ascii="Times New Roman" w:hAnsi="Times New Roman"/>
                <w:sz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3.562</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2.544</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1.018</w:t>
            </w:r>
          </w:p>
        </w:tc>
      </w:tr>
      <w:tr>
        <w:trPr>
          <w:trHeight w:val="21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1" w:right="0"/>
              <w:jc w:val="left"/>
              <w:rPr>
                <w:rFonts w:ascii="Times New Roman" w:hAnsi="Times New Roman" w:cs="Times New Roman" w:eastAsia="Times New Roman" w:hint="default"/>
                <w:sz w:val="18"/>
                <w:szCs w:val="18"/>
              </w:rPr>
            </w:pPr>
            <w:r>
              <w:rPr>
                <w:rFonts w:ascii="Times New Roman"/>
                <w:sz w:val="18"/>
              </w:rPr>
              <w:t>25</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Институт за јавно здравље</w:t>
            </w:r>
            <w:r>
              <w:rPr>
                <w:rFonts w:ascii="Times New Roman" w:hAnsi="Times New Roman"/>
                <w:spacing w:val="-9"/>
                <w:sz w:val="18"/>
              </w:rPr>
              <w:t> </w:t>
            </w:r>
            <w:r>
              <w:rPr>
                <w:rFonts w:ascii="Times New Roman" w:hAnsi="Times New Roman"/>
                <w:sz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6.295</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6.742</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6"/>
              <w:jc w:val="right"/>
              <w:rPr>
                <w:rFonts w:ascii="Times New Roman" w:hAnsi="Times New Roman" w:cs="Times New Roman" w:eastAsia="Times New Roman" w:hint="default"/>
                <w:sz w:val="18"/>
                <w:szCs w:val="18"/>
              </w:rPr>
            </w:pPr>
            <w:r>
              <w:rPr>
                <w:rFonts w:ascii="Times New Roman"/>
                <w:sz w:val="18"/>
              </w:rPr>
              <w:t>447</w:t>
            </w:r>
          </w:p>
        </w:tc>
      </w:tr>
      <w:tr>
        <w:trPr>
          <w:trHeight w:val="218"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31" w:right="0"/>
              <w:jc w:val="left"/>
              <w:rPr>
                <w:rFonts w:ascii="Times New Roman" w:hAnsi="Times New Roman" w:cs="Times New Roman" w:eastAsia="Times New Roman" w:hint="default"/>
                <w:sz w:val="18"/>
                <w:szCs w:val="18"/>
              </w:rPr>
            </w:pPr>
            <w:r>
              <w:rPr>
                <w:rFonts w:ascii="Times New Roman"/>
                <w:sz w:val="18"/>
              </w:rPr>
              <w:t>26</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К</w:t>
            </w:r>
            <w:r>
              <w:rPr>
                <w:rFonts w:ascii="Times New Roman" w:hAnsi="Times New Roman"/>
                <w:sz w:val="18"/>
              </w:rPr>
              <w:t>opernikus cable network </w:t>
            </w:r>
            <w:r>
              <w:rPr>
                <w:rFonts w:ascii="Times New Roman" w:hAnsi="Times New Roman"/>
                <w:sz w:val="18"/>
              </w:rPr>
              <w:t>доо</w:t>
            </w:r>
            <w:r>
              <w:rPr>
                <w:rFonts w:ascii="Times New Roman" w:hAnsi="Times New Roman"/>
                <w:spacing w:val="-8"/>
                <w:sz w:val="18"/>
              </w:rPr>
              <w:t> </w:t>
            </w:r>
            <w:r>
              <w:rPr>
                <w:rFonts w:ascii="Times New Roman" w:hAnsi="Times New Roman"/>
                <w:sz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z w:val="18"/>
              </w:rPr>
              <w:t>84</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9"/>
              <w:jc w:val="right"/>
              <w:rPr>
                <w:rFonts w:ascii="Times New Roman" w:hAnsi="Times New Roman" w:cs="Times New Roman" w:eastAsia="Times New Roman" w:hint="default"/>
                <w:sz w:val="18"/>
                <w:szCs w:val="18"/>
              </w:rPr>
            </w:pPr>
            <w:r>
              <w:rPr>
                <w:rFonts w:ascii="Times New Roman"/>
                <w:sz w:val="18"/>
              </w:rPr>
              <w:t>366</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6"/>
              <w:jc w:val="right"/>
              <w:rPr>
                <w:rFonts w:ascii="Times New Roman" w:hAnsi="Times New Roman" w:cs="Times New Roman" w:eastAsia="Times New Roman" w:hint="default"/>
                <w:sz w:val="18"/>
                <w:szCs w:val="18"/>
              </w:rPr>
            </w:pPr>
            <w:r>
              <w:rPr>
                <w:rFonts w:ascii="Times New Roman"/>
                <w:sz w:val="18"/>
              </w:rPr>
              <w:t>282</w:t>
            </w:r>
          </w:p>
        </w:tc>
      </w:tr>
      <w:tr>
        <w:trPr>
          <w:trHeight w:val="21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1" w:right="0"/>
              <w:jc w:val="left"/>
              <w:rPr>
                <w:rFonts w:ascii="Times New Roman" w:hAnsi="Times New Roman" w:cs="Times New Roman" w:eastAsia="Times New Roman" w:hint="default"/>
                <w:sz w:val="18"/>
                <w:szCs w:val="18"/>
              </w:rPr>
            </w:pPr>
            <w:r>
              <w:rPr>
                <w:rFonts w:ascii="Times New Roman"/>
                <w:sz w:val="18"/>
              </w:rPr>
              <w:t>27</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Minelinženjering Eving доо</w:t>
            </w:r>
            <w:r>
              <w:rPr>
                <w:rFonts w:ascii="Times New Roman" w:hAnsi="Times New Roman"/>
                <w:spacing w:val="-5"/>
                <w:sz w:val="18"/>
              </w:rPr>
              <w:t> </w:t>
            </w:r>
            <w:r>
              <w:rPr>
                <w:rFonts w:ascii="Times New Roman" w:hAnsi="Times New Roman"/>
                <w:sz w:val="18"/>
              </w:rPr>
              <w:t>Београд</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4"/>
              <w:jc w:val="right"/>
              <w:rPr>
                <w:rFonts w:ascii="Times New Roman" w:hAnsi="Times New Roman" w:cs="Times New Roman" w:eastAsia="Times New Roman" w:hint="default"/>
                <w:sz w:val="18"/>
                <w:szCs w:val="18"/>
              </w:rPr>
            </w:pPr>
            <w:r>
              <w:rPr>
                <w:rFonts w:ascii="Times New Roman"/>
                <w:sz w:val="18"/>
              </w:rPr>
              <w:t>0</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0</w:t>
            </w:r>
          </w:p>
        </w:tc>
      </w:tr>
      <w:tr>
        <w:trPr>
          <w:trHeight w:val="218"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1" w:right="0"/>
              <w:jc w:val="left"/>
              <w:rPr>
                <w:rFonts w:ascii="Times New Roman" w:hAnsi="Times New Roman" w:cs="Times New Roman" w:eastAsia="Times New Roman" w:hint="default"/>
                <w:sz w:val="18"/>
                <w:szCs w:val="18"/>
              </w:rPr>
            </w:pPr>
            <w:r>
              <w:rPr>
                <w:rFonts w:ascii="Times New Roman"/>
                <w:sz w:val="18"/>
              </w:rPr>
              <w:t>28</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Јупитер доо</w:t>
            </w:r>
            <w:r>
              <w:rPr>
                <w:rFonts w:ascii="Times New Roman" w:hAnsi="Times New Roman"/>
                <w:spacing w:val="-5"/>
                <w:sz w:val="18"/>
              </w:rPr>
              <w:t> </w:t>
            </w:r>
            <w:r>
              <w:rPr>
                <w:rFonts w:ascii="Times New Roman" w:hAnsi="Times New Roman"/>
                <w:sz w:val="18"/>
              </w:rPr>
              <w:t>Пирот</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145</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6"/>
              <w:jc w:val="right"/>
              <w:rPr>
                <w:rFonts w:ascii="Times New Roman" w:hAnsi="Times New Roman" w:cs="Times New Roman" w:eastAsia="Times New Roman" w:hint="default"/>
                <w:sz w:val="18"/>
                <w:szCs w:val="18"/>
              </w:rPr>
            </w:pPr>
            <w:r>
              <w:rPr>
                <w:rFonts w:ascii="Times New Roman"/>
                <w:sz w:val="18"/>
              </w:rPr>
              <w:t>145</w:t>
            </w:r>
          </w:p>
        </w:tc>
      </w:tr>
      <w:tr>
        <w:trPr>
          <w:trHeight w:val="21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1" w:right="0"/>
              <w:jc w:val="left"/>
              <w:rPr>
                <w:rFonts w:ascii="Times New Roman" w:hAnsi="Times New Roman" w:cs="Times New Roman" w:eastAsia="Times New Roman" w:hint="default"/>
                <w:sz w:val="18"/>
                <w:szCs w:val="18"/>
              </w:rPr>
            </w:pPr>
            <w:r>
              <w:rPr>
                <w:rFonts w:ascii="Times New Roman"/>
                <w:sz w:val="18"/>
              </w:rPr>
              <w:t>29</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Грамонт инжењеринг доо</w:t>
            </w:r>
            <w:r>
              <w:rPr>
                <w:rFonts w:ascii="Times New Roman" w:hAnsi="Times New Roman"/>
                <w:spacing w:val="-4"/>
                <w:sz w:val="18"/>
              </w:rPr>
              <w:t> </w:t>
            </w:r>
            <w:r>
              <w:rPr>
                <w:rFonts w:ascii="Times New Roman" w:hAnsi="Times New Roman"/>
                <w:sz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4"/>
              <w:jc w:val="right"/>
              <w:rPr>
                <w:rFonts w:ascii="Times New Roman" w:hAnsi="Times New Roman" w:cs="Times New Roman" w:eastAsia="Times New Roman" w:hint="default"/>
                <w:sz w:val="18"/>
                <w:szCs w:val="18"/>
              </w:rPr>
            </w:pPr>
            <w:r>
              <w:rPr>
                <w:rFonts w:ascii="Times New Roman"/>
                <w:sz w:val="18"/>
              </w:rPr>
              <w:t>0</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0</w:t>
            </w:r>
          </w:p>
        </w:tc>
      </w:tr>
      <w:tr>
        <w:trPr>
          <w:trHeight w:val="218"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1" w:right="0"/>
              <w:jc w:val="left"/>
              <w:rPr>
                <w:rFonts w:ascii="Times New Roman" w:hAnsi="Times New Roman" w:cs="Times New Roman" w:eastAsia="Times New Roman" w:hint="default"/>
                <w:sz w:val="18"/>
                <w:szCs w:val="18"/>
              </w:rPr>
            </w:pPr>
            <w:r>
              <w:rPr>
                <w:rFonts w:ascii="Times New Roman"/>
                <w:sz w:val="18"/>
              </w:rPr>
              <w:t>30</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PWW </w:t>
            </w:r>
            <w:r>
              <w:rPr>
                <w:rFonts w:ascii="Times New Roman" w:hAnsi="Times New Roman"/>
                <w:sz w:val="18"/>
              </w:rPr>
              <w:t>доо</w:t>
            </w:r>
            <w:r>
              <w:rPr>
                <w:rFonts w:ascii="Times New Roman" w:hAnsi="Times New Roman"/>
                <w:spacing w:val="-3"/>
                <w:sz w:val="18"/>
              </w:rPr>
              <w:t> </w:t>
            </w:r>
            <w:r>
              <w:rPr>
                <w:rFonts w:ascii="Times New Roman" w:hAnsi="Times New Roman"/>
                <w:sz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3.101</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12.278</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9.177</w:t>
            </w:r>
          </w:p>
        </w:tc>
      </w:tr>
      <w:tr>
        <w:trPr>
          <w:trHeight w:val="21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1" w:right="0"/>
              <w:jc w:val="left"/>
              <w:rPr>
                <w:rFonts w:ascii="Times New Roman" w:hAnsi="Times New Roman" w:cs="Times New Roman" w:eastAsia="Times New Roman" w:hint="default"/>
                <w:sz w:val="18"/>
                <w:szCs w:val="18"/>
              </w:rPr>
            </w:pPr>
            <w:r>
              <w:rPr>
                <w:rFonts w:ascii="Times New Roman"/>
                <w:sz w:val="18"/>
              </w:rPr>
              <w:t>31</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Зона плус доо</w:t>
            </w:r>
            <w:r>
              <w:rPr>
                <w:rFonts w:ascii="Times New Roman" w:hAnsi="Times New Roman"/>
                <w:spacing w:val="-4"/>
                <w:sz w:val="18"/>
              </w:rPr>
              <w:t> </w:t>
            </w:r>
            <w:r>
              <w:rPr>
                <w:rFonts w:ascii="Times New Roman" w:hAnsi="Times New Roman"/>
                <w:sz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720</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6"/>
              <w:jc w:val="right"/>
              <w:rPr>
                <w:rFonts w:ascii="Times New Roman" w:hAnsi="Times New Roman" w:cs="Times New Roman" w:eastAsia="Times New Roman" w:hint="default"/>
                <w:sz w:val="18"/>
                <w:szCs w:val="18"/>
              </w:rPr>
            </w:pPr>
            <w:r>
              <w:rPr>
                <w:rFonts w:ascii="Times New Roman"/>
                <w:sz w:val="18"/>
              </w:rPr>
              <w:t>720</w:t>
            </w:r>
          </w:p>
        </w:tc>
      </w:tr>
      <w:tr>
        <w:trPr>
          <w:trHeight w:val="21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1" w:right="0"/>
              <w:jc w:val="left"/>
              <w:rPr>
                <w:rFonts w:ascii="Times New Roman" w:hAnsi="Times New Roman" w:cs="Times New Roman" w:eastAsia="Times New Roman" w:hint="default"/>
                <w:sz w:val="18"/>
                <w:szCs w:val="18"/>
              </w:rPr>
            </w:pPr>
            <w:r>
              <w:rPr>
                <w:rFonts w:ascii="Times New Roman"/>
                <w:sz w:val="18"/>
              </w:rPr>
              <w:t>32</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Југоинспект ад</w:t>
            </w:r>
            <w:r>
              <w:rPr>
                <w:rFonts w:ascii="Times New Roman" w:hAnsi="Times New Roman"/>
                <w:spacing w:val="-9"/>
                <w:sz w:val="18"/>
              </w:rPr>
              <w:t> </w:t>
            </w:r>
            <w:r>
              <w:rPr>
                <w:rFonts w:ascii="Times New Roman" w:hAnsi="Times New Roman"/>
                <w:sz w:val="18"/>
              </w:rPr>
              <w:t>Београд</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4"/>
              <w:jc w:val="right"/>
              <w:rPr>
                <w:rFonts w:ascii="Times New Roman" w:hAnsi="Times New Roman" w:cs="Times New Roman" w:eastAsia="Times New Roman" w:hint="default"/>
                <w:sz w:val="18"/>
                <w:szCs w:val="18"/>
              </w:rPr>
            </w:pPr>
            <w:r>
              <w:rPr>
                <w:rFonts w:ascii="Times New Roman"/>
                <w:sz w:val="18"/>
              </w:rPr>
              <w:t>0</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0</w:t>
            </w:r>
          </w:p>
        </w:tc>
      </w:tr>
      <w:tr>
        <w:trPr>
          <w:trHeight w:val="218"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31" w:right="0"/>
              <w:jc w:val="left"/>
              <w:rPr>
                <w:rFonts w:ascii="Times New Roman" w:hAnsi="Times New Roman" w:cs="Times New Roman" w:eastAsia="Times New Roman" w:hint="default"/>
                <w:sz w:val="18"/>
                <w:szCs w:val="18"/>
              </w:rPr>
            </w:pPr>
            <w:r>
              <w:rPr>
                <w:rFonts w:ascii="Times New Roman"/>
                <w:sz w:val="18"/>
              </w:rPr>
              <w:t>33</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Транспродукт бус превоз  доо</w:t>
            </w:r>
            <w:r>
              <w:rPr>
                <w:rFonts w:ascii="Times New Roman" w:hAnsi="Times New Roman"/>
                <w:spacing w:val="-8"/>
                <w:sz w:val="18"/>
              </w:rPr>
              <w:t> </w:t>
            </w:r>
            <w:r>
              <w:rPr>
                <w:rFonts w:ascii="Times New Roman" w:hAnsi="Times New Roman"/>
                <w:sz w:val="18"/>
              </w:rPr>
              <w:t>Бгд</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4"/>
              <w:jc w:val="right"/>
              <w:rPr>
                <w:rFonts w:ascii="Times New Roman" w:hAnsi="Times New Roman" w:cs="Times New Roman" w:eastAsia="Times New Roman" w:hint="default"/>
                <w:sz w:val="18"/>
                <w:szCs w:val="18"/>
              </w:rPr>
            </w:pPr>
            <w:r>
              <w:rPr>
                <w:rFonts w:ascii="Times New Roman"/>
                <w:sz w:val="18"/>
              </w:rPr>
              <w:t>0</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z w:val="18"/>
              </w:rPr>
              <w:t>0</w:t>
            </w:r>
          </w:p>
        </w:tc>
      </w:tr>
      <w:tr>
        <w:trPr>
          <w:trHeight w:val="21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31" w:right="0"/>
              <w:jc w:val="left"/>
              <w:rPr>
                <w:rFonts w:ascii="Times New Roman" w:hAnsi="Times New Roman" w:cs="Times New Roman" w:eastAsia="Times New Roman" w:hint="default"/>
                <w:sz w:val="18"/>
                <w:szCs w:val="18"/>
              </w:rPr>
            </w:pPr>
            <w:r>
              <w:rPr>
                <w:rFonts w:ascii="Times New Roman"/>
                <w:sz w:val="18"/>
              </w:rPr>
              <w:t>34</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03" w:right="0"/>
              <w:jc w:val="left"/>
              <w:rPr>
                <w:rFonts w:ascii="Times New Roman" w:hAnsi="Times New Roman" w:cs="Times New Roman" w:eastAsia="Times New Roman" w:hint="default"/>
                <w:sz w:val="18"/>
                <w:szCs w:val="18"/>
              </w:rPr>
            </w:pPr>
            <w:r>
              <w:rPr>
                <w:rFonts w:ascii="Times New Roman" w:hAnsi="Times New Roman"/>
                <w:sz w:val="18"/>
              </w:rPr>
              <w:t>Формула доо</w:t>
            </w:r>
            <w:r>
              <w:rPr>
                <w:rFonts w:ascii="Times New Roman" w:hAnsi="Times New Roman"/>
                <w:spacing w:val="-5"/>
                <w:sz w:val="18"/>
              </w:rPr>
              <w:t> </w:t>
            </w:r>
            <w:r>
              <w:rPr>
                <w:rFonts w:ascii="Times New Roman" w:hAnsi="Times New Roman"/>
                <w:sz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4"/>
              <w:jc w:val="right"/>
              <w:rPr>
                <w:rFonts w:ascii="Times New Roman" w:hAnsi="Times New Roman" w:cs="Times New Roman" w:eastAsia="Times New Roman" w:hint="default"/>
                <w:sz w:val="18"/>
                <w:szCs w:val="18"/>
              </w:rPr>
            </w:pPr>
            <w:r>
              <w:rPr>
                <w:rFonts w:ascii="Times New Roman"/>
                <w:sz w:val="18"/>
              </w:rPr>
              <w:t>0</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99"/>
              <w:jc w:val="right"/>
              <w:rPr>
                <w:rFonts w:ascii="Times New Roman" w:hAnsi="Times New Roman" w:cs="Times New Roman" w:eastAsia="Times New Roman" w:hint="default"/>
                <w:sz w:val="18"/>
                <w:szCs w:val="18"/>
              </w:rPr>
            </w:pPr>
            <w:r>
              <w:rPr>
                <w:rFonts w:ascii="Times New Roman"/>
                <w:sz w:val="18"/>
              </w:rPr>
              <w:t>97</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96"/>
              <w:jc w:val="right"/>
              <w:rPr>
                <w:rFonts w:ascii="Times New Roman" w:hAnsi="Times New Roman" w:cs="Times New Roman" w:eastAsia="Times New Roman" w:hint="default"/>
                <w:sz w:val="18"/>
                <w:szCs w:val="18"/>
              </w:rPr>
            </w:pPr>
            <w:r>
              <w:rPr>
                <w:rFonts w:ascii="Times New Roman"/>
                <w:sz w:val="18"/>
              </w:rPr>
              <w:t>97</w:t>
            </w:r>
          </w:p>
        </w:tc>
      </w:tr>
      <w:tr>
        <w:trPr>
          <w:trHeight w:val="218"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1" w:right="0"/>
              <w:jc w:val="left"/>
              <w:rPr>
                <w:rFonts w:ascii="Times New Roman" w:hAnsi="Times New Roman" w:cs="Times New Roman" w:eastAsia="Times New Roman" w:hint="default"/>
                <w:sz w:val="18"/>
                <w:szCs w:val="18"/>
              </w:rPr>
            </w:pPr>
            <w:r>
              <w:rPr>
                <w:rFonts w:ascii="Times New Roman"/>
                <w:sz w:val="18"/>
              </w:rPr>
              <w:t>35</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Montenegro airlines </w:t>
            </w:r>
            <w:r>
              <w:rPr>
                <w:rFonts w:ascii="Times New Roman" w:hAnsi="Times New Roman"/>
                <w:sz w:val="18"/>
              </w:rPr>
              <w:t>доо</w:t>
            </w:r>
            <w:r>
              <w:rPr>
                <w:rFonts w:ascii="Times New Roman" w:hAnsi="Times New Roman"/>
                <w:spacing w:val="-10"/>
                <w:sz w:val="18"/>
              </w:rPr>
              <w:t> </w:t>
            </w:r>
            <w:r>
              <w:rPr>
                <w:rFonts w:ascii="Times New Roman" w:hAnsi="Times New Roman"/>
                <w:sz w:val="18"/>
              </w:rPr>
              <w:t>Подгорица</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124</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6"/>
              <w:jc w:val="right"/>
              <w:rPr>
                <w:rFonts w:ascii="Times New Roman" w:hAnsi="Times New Roman" w:cs="Times New Roman" w:eastAsia="Times New Roman" w:hint="default"/>
                <w:sz w:val="18"/>
                <w:szCs w:val="18"/>
              </w:rPr>
            </w:pPr>
            <w:r>
              <w:rPr>
                <w:rFonts w:ascii="Times New Roman"/>
                <w:sz w:val="18"/>
              </w:rPr>
              <w:t>124</w:t>
            </w:r>
          </w:p>
        </w:tc>
      </w:tr>
      <w:tr>
        <w:trPr>
          <w:trHeight w:val="21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1" w:right="0"/>
              <w:jc w:val="left"/>
              <w:rPr>
                <w:rFonts w:ascii="Times New Roman" w:hAnsi="Times New Roman" w:cs="Times New Roman" w:eastAsia="Times New Roman" w:hint="default"/>
                <w:sz w:val="18"/>
                <w:szCs w:val="18"/>
              </w:rPr>
            </w:pPr>
            <w:r>
              <w:rPr>
                <w:rFonts w:ascii="Times New Roman"/>
                <w:sz w:val="18"/>
              </w:rPr>
              <w:t>36</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СОЗ  </w:t>
            </w:r>
            <w:r>
              <w:rPr>
                <w:rFonts w:ascii="Times New Roman" w:hAnsi="Times New Roman"/>
                <w:sz w:val="18"/>
              </w:rPr>
              <w:t>SKC Index</w:t>
            </w:r>
            <w:r>
              <w:rPr>
                <w:rFonts w:ascii="Times New Roman" w:hAnsi="Times New Roman"/>
                <w:spacing w:val="-6"/>
                <w:sz w:val="18"/>
              </w:rPr>
              <w:t> </w:t>
            </w:r>
            <w:r>
              <w:rPr>
                <w:rFonts w:ascii="Times New Roman" w:hAnsi="Times New Roman"/>
                <w:sz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4"/>
              <w:jc w:val="right"/>
              <w:rPr>
                <w:rFonts w:ascii="Times New Roman" w:hAnsi="Times New Roman" w:cs="Times New Roman" w:eastAsia="Times New Roman" w:hint="default"/>
                <w:sz w:val="18"/>
                <w:szCs w:val="18"/>
              </w:rPr>
            </w:pPr>
            <w:r>
              <w:rPr>
                <w:rFonts w:ascii="Times New Roman"/>
                <w:sz w:val="18"/>
              </w:rPr>
              <w:t>0</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0</w:t>
            </w:r>
          </w:p>
        </w:tc>
      </w:tr>
      <w:tr>
        <w:trPr>
          <w:trHeight w:val="21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1" w:right="0"/>
              <w:jc w:val="left"/>
              <w:rPr>
                <w:rFonts w:ascii="Times New Roman" w:hAnsi="Times New Roman" w:cs="Times New Roman" w:eastAsia="Times New Roman" w:hint="default"/>
                <w:sz w:val="18"/>
                <w:szCs w:val="18"/>
              </w:rPr>
            </w:pPr>
            <w:r>
              <w:rPr>
                <w:rFonts w:ascii="Times New Roman"/>
                <w:sz w:val="18"/>
              </w:rPr>
              <w:t>37</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НИС Нафтна индустрија</w:t>
            </w:r>
            <w:r>
              <w:rPr>
                <w:rFonts w:ascii="Times New Roman" w:hAnsi="Times New Roman"/>
                <w:spacing w:val="-8"/>
                <w:sz w:val="18"/>
              </w:rPr>
              <w:t> </w:t>
            </w:r>
            <w:r>
              <w:rPr>
                <w:rFonts w:ascii="Times New Roman" w:hAnsi="Times New Roman"/>
                <w:sz w:val="18"/>
              </w:rPr>
              <w:t>Србије</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400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64</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336</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12.850</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6.420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6.430</w:t>
            </w:r>
          </w:p>
        </w:tc>
      </w:tr>
      <w:tr>
        <w:trPr>
          <w:trHeight w:val="218"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31" w:right="0"/>
              <w:jc w:val="left"/>
              <w:rPr>
                <w:rFonts w:ascii="Times New Roman" w:hAnsi="Times New Roman" w:cs="Times New Roman" w:eastAsia="Times New Roman" w:hint="default"/>
                <w:sz w:val="18"/>
                <w:szCs w:val="18"/>
              </w:rPr>
            </w:pPr>
            <w:r>
              <w:rPr>
                <w:rFonts w:ascii="Times New Roman"/>
                <w:sz w:val="18"/>
              </w:rPr>
              <w:t>38</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ЈП  Нишка телевизија</w:t>
            </w:r>
            <w:r>
              <w:rPr>
                <w:rFonts w:ascii="Times New Roman" w:hAnsi="Times New Roman"/>
                <w:spacing w:val="-10"/>
                <w:sz w:val="18"/>
              </w:rPr>
              <w:t> </w:t>
            </w:r>
            <w:r>
              <w:rPr>
                <w:rFonts w:ascii="Times New Roman" w:hAnsi="Times New Roman"/>
                <w:sz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15</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15</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3"/>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9"/>
              <w:jc w:val="right"/>
              <w:rPr>
                <w:rFonts w:ascii="Times New Roman" w:hAnsi="Times New Roman" w:cs="Times New Roman" w:eastAsia="Times New Roman" w:hint="default"/>
                <w:sz w:val="18"/>
                <w:szCs w:val="18"/>
              </w:rPr>
            </w:pPr>
            <w:r>
              <w:rPr>
                <w:rFonts w:ascii="Times New Roman"/>
                <w:sz w:val="18"/>
              </w:rPr>
              <w:t>386</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6"/>
              <w:jc w:val="right"/>
              <w:rPr>
                <w:rFonts w:ascii="Times New Roman" w:hAnsi="Times New Roman" w:cs="Times New Roman" w:eastAsia="Times New Roman" w:hint="default"/>
                <w:sz w:val="18"/>
                <w:szCs w:val="18"/>
              </w:rPr>
            </w:pPr>
            <w:r>
              <w:rPr>
                <w:rFonts w:ascii="Times New Roman"/>
                <w:sz w:val="18"/>
              </w:rPr>
              <w:t>386</w:t>
            </w:r>
          </w:p>
        </w:tc>
      </w:tr>
    </w:tbl>
    <w:p>
      <w:pPr>
        <w:spacing w:after="0" w:line="205" w:lineRule="exact"/>
        <w:jc w:val="right"/>
        <w:rPr>
          <w:rFonts w:ascii="Times New Roman" w:hAnsi="Times New Roman" w:cs="Times New Roman" w:eastAsia="Times New Roman" w:hint="default"/>
          <w:sz w:val="18"/>
          <w:szCs w:val="18"/>
        </w:rPr>
        <w:sectPr>
          <w:pgSz w:w="12240" w:h="15840"/>
          <w:pgMar w:header="740" w:footer="1274" w:top="1280" w:bottom="1460" w:left="1240" w:right="1100"/>
        </w:sectPr>
      </w:pPr>
    </w:p>
    <w:p>
      <w:pPr>
        <w:spacing w:line="240" w:lineRule="auto" w:before="3"/>
        <w:rPr>
          <w:rFonts w:ascii="Times New Roman" w:hAnsi="Times New Roman" w:cs="Times New Roman" w:eastAsia="Times New Roman" w:hint="default"/>
          <w:sz w:val="11"/>
          <w:szCs w:val="11"/>
        </w:rPr>
      </w:pPr>
    </w:p>
    <w:tbl>
      <w:tblPr>
        <w:tblW w:w="0" w:type="auto"/>
        <w:jc w:val="left"/>
        <w:tblInd w:w="104" w:type="dxa"/>
        <w:tblLayout w:type="fixed"/>
        <w:tblCellMar>
          <w:top w:w="0" w:type="dxa"/>
          <w:left w:w="0" w:type="dxa"/>
          <w:bottom w:w="0" w:type="dxa"/>
          <w:right w:w="0" w:type="dxa"/>
        </w:tblCellMar>
        <w:tblLook w:val="01E0"/>
      </w:tblPr>
      <w:tblGrid>
        <w:gridCol w:w="425"/>
        <w:gridCol w:w="3087"/>
        <w:gridCol w:w="1133"/>
        <w:gridCol w:w="994"/>
        <w:gridCol w:w="992"/>
        <w:gridCol w:w="1135"/>
        <w:gridCol w:w="905"/>
        <w:gridCol w:w="991"/>
      </w:tblGrid>
      <w:tr>
        <w:trPr>
          <w:trHeight w:val="21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98"/>
              <w:jc w:val="right"/>
              <w:rPr>
                <w:rFonts w:ascii="Times New Roman" w:hAnsi="Times New Roman" w:cs="Times New Roman" w:eastAsia="Times New Roman" w:hint="default"/>
                <w:sz w:val="18"/>
                <w:szCs w:val="18"/>
              </w:rPr>
            </w:pPr>
            <w:r>
              <w:rPr>
                <w:rFonts w:ascii="Times New Roman"/>
                <w:sz w:val="18"/>
              </w:rPr>
              <w:t>39</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03" w:right="0"/>
              <w:jc w:val="left"/>
              <w:rPr>
                <w:rFonts w:ascii="Times New Roman" w:hAnsi="Times New Roman" w:cs="Times New Roman" w:eastAsia="Times New Roman" w:hint="default"/>
                <w:sz w:val="18"/>
                <w:szCs w:val="18"/>
              </w:rPr>
            </w:pPr>
            <w:r>
              <w:rPr>
                <w:rFonts w:ascii="Times New Roman" w:hAnsi="Times New Roman"/>
                <w:sz w:val="18"/>
              </w:rPr>
              <w:t>ЈП  Градска топлана</w:t>
            </w:r>
            <w:r>
              <w:rPr>
                <w:rFonts w:ascii="Times New Roman" w:hAnsi="Times New Roman"/>
                <w:spacing w:val="-9"/>
                <w:sz w:val="18"/>
              </w:rPr>
              <w:t> </w:t>
            </w:r>
            <w:r>
              <w:rPr>
                <w:rFonts w:ascii="Times New Roman" w:hAnsi="Times New Roman"/>
                <w:sz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pacing w:val="-1"/>
                <w:sz w:val="18"/>
              </w:rPr>
              <w:t>216.802</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1"/>
              <w:jc w:val="right"/>
              <w:rPr>
                <w:rFonts w:ascii="Times New Roman" w:hAnsi="Times New Roman" w:cs="Times New Roman" w:eastAsia="Times New Roman" w:hint="default"/>
                <w:sz w:val="18"/>
                <w:szCs w:val="18"/>
              </w:rPr>
            </w:pPr>
            <w:r>
              <w:rPr>
                <w:rFonts w:ascii="Times New Roman"/>
                <w:spacing w:val="-1"/>
                <w:sz w:val="18"/>
              </w:rPr>
              <w:t>216.802</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2"/>
              <w:jc w:val="right"/>
              <w:rPr>
                <w:rFonts w:ascii="Times New Roman" w:hAnsi="Times New Roman" w:cs="Times New Roman" w:eastAsia="Times New Roman" w:hint="default"/>
                <w:sz w:val="18"/>
                <w:szCs w:val="18"/>
              </w:rPr>
            </w:pPr>
            <w:r>
              <w:rPr>
                <w:rFonts w:ascii="Times New Roman"/>
                <w:spacing w:val="-1"/>
                <w:sz w:val="18"/>
              </w:rPr>
              <w:t>10.193</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z w:val="18"/>
              </w:rPr>
              <w:t>3.205</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98"/>
              <w:jc w:val="right"/>
              <w:rPr>
                <w:rFonts w:ascii="Times New Roman" w:hAnsi="Times New Roman" w:cs="Times New Roman" w:eastAsia="Times New Roman" w:hint="default"/>
                <w:sz w:val="18"/>
                <w:szCs w:val="18"/>
              </w:rPr>
            </w:pPr>
            <w:r>
              <w:rPr>
                <w:rFonts w:ascii="Times New Roman"/>
                <w:sz w:val="18"/>
              </w:rPr>
              <w:t>6.988</w:t>
            </w:r>
          </w:p>
        </w:tc>
      </w:tr>
      <w:tr>
        <w:trPr>
          <w:trHeight w:val="218"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40</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ЈКП  Наисус</w:t>
            </w:r>
            <w:r>
              <w:rPr>
                <w:rFonts w:ascii="Times New Roman" w:hAnsi="Times New Roman"/>
                <w:spacing w:val="-8"/>
                <w:sz w:val="18"/>
              </w:rPr>
              <w:t> </w:t>
            </w:r>
            <w:r>
              <w:rPr>
                <w:rFonts w:ascii="Times New Roman" w:hAnsi="Times New Roman"/>
                <w:sz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33</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33</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62.078</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34.773</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27.305</w:t>
            </w:r>
          </w:p>
        </w:tc>
      </w:tr>
      <w:tr>
        <w:trPr>
          <w:trHeight w:val="21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41</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ЈП  Нишстан</w:t>
            </w:r>
            <w:r>
              <w:rPr>
                <w:rFonts w:ascii="Times New Roman" w:hAnsi="Times New Roman"/>
                <w:spacing w:val="40"/>
                <w:sz w:val="18"/>
              </w:rPr>
              <w:t> </w:t>
            </w:r>
            <w:r>
              <w:rPr>
                <w:rFonts w:ascii="Times New Roman" w:hAnsi="Times New Roman"/>
                <w:sz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16</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16</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11.186</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21</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11.165</w:t>
            </w:r>
          </w:p>
        </w:tc>
      </w:tr>
      <w:tr>
        <w:trPr>
          <w:trHeight w:val="21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42</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ЈКП  Горица</w:t>
            </w:r>
            <w:r>
              <w:rPr>
                <w:rFonts w:ascii="Times New Roman" w:hAnsi="Times New Roman"/>
                <w:spacing w:val="-5"/>
                <w:sz w:val="18"/>
              </w:rPr>
              <w:t> </w:t>
            </w:r>
            <w:r>
              <w:rPr>
                <w:rFonts w:ascii="Times New Roman" w:hAnsi="Times New Roman"/>
                <w:sz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35</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27</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8</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39.750</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16.455</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23.295</w:t>
            </w:r>
          </w:p>
        </w:tc>
      </w:tr>
      <w:tr>
        <w:trPr>
          <w:trHeight w:val="218"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43</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ЈКП  Медијана</w:t>
            </w:r>
            <w:r>
              <w:rPr>
                <w:rFonts w:ascii="Times New Roman" w:hAnsi="Times New Roman"/>
                <w:spacing w:val="-8"/>
                <w:sz w:val="18"/>
              </w:rPr>
              <w:t> </w:t>
            </w:r>
            <w:r>
              <w:rPr>
                <w:rFonts w:ascii="Times New Roman" w:hAnsi="Times New Roman"/>
                <w:sz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21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4.706</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z w:val="18"/>
              </w:rPr>
              <w:t>4.685</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3"/>
              <w:jc w:val="right"/>
              <w:rPr>
                <w:rFonts w:ascii="Times New Roman" w:hAnsi="Times New Roman" w:cs="Times New Roman" w:eastAsia="Times New Roman" w:hint="default"/>
                <w:sz w:val="18"/>
                <w:szCs w:val="18"/>
              </w:rPr>
            </w:pPr>
            <w:r>
              <w:rPr>
                <w:rFonts w:ascii="Times New Roman"/>
                <w:spacing w:val="-1"/>
                <w:sz w:val="18"/>
              </w:rPr>
              <w:t>322.873</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pacing w:val="-1"/>
                <w:sz w:val="18"/>
              </w:rPr>
              <w:t>180.806</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pacing w:val="-1"/>
                <w:sz w:val="18"/>
              </w:rPr>
              <w:t>142.067</w:t>
            </w:r>
          </w:p>
        </w:tc>
      </w:tr>
      <w:tr>
        <w:trPr>
          <w:trHeight w:val="21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44</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ЈКП  Тржница</w:t>
            </w:r>
            <w:r>
              <w:rPr>
                <w:rFonts w:ascii="Times New Roman" w:hAnsi="Times New Roman"/>
                <w:spacing w:val="-7"/>
                <w:sz w:val="18"/>
              </w:rPr>
              <w:t> </w:t>
            </w:r>
            <w:r>
              <w:rPr>
                <w:rFonts w:ascii="Times New Roman" w:hAnsi="Times New Roman"/>
                <w:sz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3.258</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2.962</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296</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4"/>
              <w:jc w:val="right"/>
              <w:rPr>
                <w:rFonts w:ascii="Times New Roman" w:hAnsi="Times New Roman" w:cs="Times New Roman" w:eastAsia="Times New Roman" w:hint="default"/>
                <w:sz w:val="18"/>
                <w:szCs w:val="18"/>
              </w:rPr>
            </w:pPr>
            <w:r>
              <w:rPr>
                <w:rFonts w:ascii="Times New Roman"/>
                <w:sz w:val="18"/>
              </w:rPr>
              <w:t>0</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0</w:t>
            </w:r>
          </w:p>
        </w:tc>
      </w:tr>
      <w:tr>
        <w:trPr>
          <w:trHeight w:val="218"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45</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ЈП Аеродром</w:t>
            </w:r>
            <w:r>
              <w:rPr>
                <w:rFonts w:ascii="Times New Roman" w:hAnsi="Times New Roman"/>
                <w:spacing w:val="-4"/>
                <w:sz w:val="18"/>
              </w:rPr>
              <w:t> </w:t>
            </w:r>
            <w:r>
              <w:rPr>
                <w:rFonts w:ascii="Times New Roman" w:hAnsi="Times New Roman"/>
                <w:sz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16.208</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9.368</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6.840</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1.419</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1.419</w:t>
            </w:r>
          </w:p>
        </w:tc>
      </w:tr>
      <w:tr>
        <w:trPr>
          <w:trHeight w:val="21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46</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ЈП Дирекција за јавни превоз</w:t>
            </w:r>
            <w:r>
              <w:rPr>
                <w:rFonts w:ascii="Times New Roman" w:hAnsi="Times New Roman"/>
                <w:spacing w:val="-8"/>
                <w:sz w:val="18"/>
              </w:rPr>
              <w:t> </w:t>
            </w:r>
            <w:r>
              <w:rPr>
                <w:rFonts w:ascii="Times New Roman" w:hAnsi="Times New Roman"/>
                <w:sz w:val="18"/>
              </w:rPr>
              <w:t>града</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1.794</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6.909</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5.115</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85.084</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71.640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pacing w:val="-1"/>
                <w:sz w:val="18"/>
              </w:rPr>
              <w:t>13.444</w:t>
            </w:r>
          </w:p>
        </w:tc>
      </w:tr>
      <w:tr>
        <w:trPr>
          <w:trHeight w:val="218"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47</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ЈП Паркинг сервис</w:t>
            </w:r>
            <w:r>
              <w:rPr>
                <w:rFonts w:ascii="Times New Roman" w:hAnsi="Times New Roman"/>
                <w:spacing w:val="-11"/>
                <w:sz w:val="18"/>
              </w:rPr>
              <w:t> </w:t>
            </w:r>
            <w:r>
              <w:rPr>
                <w:rFonts w:ascii="Times New Roman" w:hAnsi="Times New Roman"/>
                <w:sz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4"/>
              <w:jc w:val="right"/>
              <w:rPr>
                <w:rFonts w:ascii="Times New Roman" w:hAnsi="Times New Roman" w:cs="Times New Roman" w:eastAsia="Times New Roman" w:hint="default"/>
                <w:sz w:val="18"/>
                <w:szCs w:val="18"/>
              </w:rPr>
            </w:pPr>
            <w:r>
              <w:rPr>
                <w:rFonts w:ascii="Times New Roman"/>
                <w:sz w:val="18"/>
              </w:rPr>
              <w:t>6</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6</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0</w:t>
            </w:r>
          </w:p>
        </w:tc>
      </w:tr>
      <w:tr>
        <w:trPr>
          <w:trHeight w:val="21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48</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ЈП Обједињена наплата</w:t>
            </w:r>
            <w:r>
              <w:rPr>
                <w:rFonts w:ascii="Times New Roman" w:hAnsi="Times New Roman"/>
                <w:spacing w:val="-10"/>
                <w:sz w:val="18"/>
              </w:rPr>
              <w:t> </w:t>
            </w:r>
            <w:r>
              <w:rPr>
                <w:rFonts w:ascii="Times New Roman" w:hAnsi="Times New Roman"/>
                <w:sz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6</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6</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5.472</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1.278</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4.194</w:t>
            </w:r>
          </w:p>
        </w:tc>
      </w:tr>
      <w:tr>
        <w:trPr>
          <w:trHeight w:val="21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49</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СО Бела</w:t>
            </w:r>
            <w:r>
              <w:rPr>
                <w:rFonts w:ascii="Times New Roman" w:hAnsi="Times New Roman"/>
                <w:spacing w:val="-7"/>
                <w:sz w:val="18"/>
              </w:rPr>
              <w:t> </w:t>
            </w:r>
            <w:r>
              <w:rPr>
                <w:rFonts w:ascii="Times New Roman" w:hAnsi="Times New Roman"/>
                <w:sz w:val="18"/>
              </w:rPr>
              <w:t>Паланка</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1.016</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1.068</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52</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r>
      <w:tr>
        <w:trPr>
          <w:trHeight w:val="218"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50</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Собим доо</w:t>
            </w:r>
            <w:r>
              <w:rPr>
                <w:rFonts w:ascii="Times New Roman" w:hAnsi="Times New Roman"/>
                <w:spacing w:val="-2"/>
                <w:sz w:val="18"/>
              </w:rPr>
              <w:t> </w:t>
            </w:r>
            <w:r>
              <w:rPr>
                <w:rFonts w:ascii="Times New Roman" w:hAnsi="Times New Roman"/>
                <w:sz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286</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9"/>
              <w:jc w:val="right"/>
              <w:rPr>
                <w:rFonts w:ascii="Times New Roman" w:hAnsi="Times New Roman" w:cs="Times New Roman" w:eastAsia="Times New Roman" w:hint="default"/>
                <w:sz w:val="18"/>
                <w:szCs w:val="18"/>
              </w:rPr>
            </w:pPr>
            <w:r>
              <w:rPr>
                <w:rFonts w:ascii="Times New Roman"/>
                <w:sz w:val="18"/>
              </w:rPr>
              <w:t>286</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3"/>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r>
      <w:tr>
        <w:trPr>
          <w:trHeight w:val="21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51</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Пореска управа Филијала</w:t>
            </w:r>
            <w:r>
              <w:rPr>
                <w:rFonts w:ascii="Times New Roman" w:hAnsi="Times New Roman"/>
                <w:spacing w:val="-12"/>
                <w:sz w:val="18"/>
              </w:rPr>
              <w:t> </w:t>
            </w:r>
            <w:r>
              <w:rPr>
                <w:rFonts w:ascii="Times New Roman" w:hAnsi="Times New Roman"/>
                <w:sz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842</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842</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r>
      <w:tr>
        <w:trPr>
          <w:trHeight w:val="219"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52</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Меркатор</w:t>
            </w:r>
            <w:r>
              <w:rPr>
                <w:rFonts w:ascii="Times New Roman" w:hAnsi="Times New Roman"/>
                <w:sz w:val="18"/>
              </w:rPr>
              <w:t>-</w:t>
            </w:r>
            <w:r>
              <w:rPr>
                <w:rFonts w:ascii="Times New Roman" w:hAnsi="Times New Roman"/>
                <w:sz w:val="18"/>
              </w:rPr>
              <w:t>С доо Нови</w:t>
            </w:r>
            <w:r>
              <w:rPr>
                <w:rFonts w:ascii="Times New Roman" w:hAnsi="Times New Roman"/>
                <w:spacing w:val="-5"/>
                <w:sz w:val="18"/>
              </w:rPr>
              <w:t> </w:t>
            </w:r>
            <w:r>
              <w:rPr>
                <w:rFonts w:ascii="Times New Roman" w:hAnsi="Times New Roman"/>
                <w:sz w:val="18"/>
              </w:rPr>
              <w:t>Сад</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4</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4</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r>
      <w:tr>
        <w:trPr>
          <w:trHeight w:val="21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53</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Хијероглиф  доо</w:t>
            </w:r>
            <w:r>
              <w:rPr>
                <w:rFonts w:ascii="Times New Roman" w:hAnsi="Times New Roman"/>
                <w:spacing w:val="-5"/>
                <w:sz w:val="18"/>
              </w:rPr>
              <w:t> </w:t>
            </w:r>
            <w:r>
              <w:rPr>
                <w:rFonts w:ascii="Times New Roman" w:hAnsi="Times New Roman"/>
                <w:sz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r>
      <w:tr>
        <w:trPr>
          <w:trHeight w:val="21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54</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Стефан доо</w:t>
            </w:r>
            <w:r>
              <w:rPr>
                <w:rFonts w:ascii="Times New Roman" w:hAnsi="Times New Roman"/>
                <w:spacing w:val="-3"/>
                <w:sz w:val="18"/>
              </w:rPr>
              <w:t> </w:t>
            </w:r>
            <w:r>
              <w:rPr>
                <w:rFonts w:ascii="Times New Roman" w:hAnsi="Times New Roman"/>
                <w:sz w:val="18"/>
              </w:rPr>
              <w:t>Београд</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1.431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1.431</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r>
      <w:tr>
        <w:trPr>
          <w:trHeight w:val="218"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55</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Lisca </w:t>
            </w:r>
            <w:r>
              <w:rPr>
                <w:rFonts w:ascii="Times New Roman" w:hAnsi="Times New Roman"/>
                <w:sz w:val="18"/>
              </w:rPr>
              <w:t>доо</w:t>
            </w:r>
            <w:r>
              <w:rPr>
                <w:rFonts w:ascii="Times New Roman" w:hAnsi="Times New Roman"/>
                <w:spacing w:val="-3"/>
                <w:sz w:val="18"/>
              </w:rPr>
              <w:t> </w:t>
            </w:r>
            <w:r>
              <w:rPr>
                <w:rFonts w:ascii="Times New Roman" w:hAnsi="Times New Roman"/>
                <w:sz w:val="18"/>
              </w:rPr>
              <w:t>Београд</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3"/>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r>
      <w:tr>
        <w:trPr>
          <w:trHeight w:val="21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56</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Ловац АГП  доо</w:t>
            </w:r>
            <w:r>
              <w:rPr>
                <w:rFonts w:ascii="Times New Roman" w:hAnsi="Times New Roman"/>
                <w:spacing w:val="-4"/>
                <w:sz w:val="18"/>
              </w:rPr>
              <w:t> </w:t>
            </w:r>
            <w:r>
              <w:rPr>
                <w:rFonts w:ascii="Times New Roman" w:hAnsi="Times New Roman"/>
                <w:sz w:val="18"/>
              </w:rPr>
              <w:t>Београд</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r>
      <w:tr>
        <w:trPr>
          <w:trHeight w:val="218"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57</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Пекара  Бранковић доо</w:t>
            </w:r>
            <w:r>
              <w:rPr>
                <w:rFonts w:ascii="Times New Roman" w:hAnsi="Times New Roman"/>
                <w:spacing w:val="-5"/>
                <w:sz w:val="18"/>
              </w:rPr>
              <w:t> </w:t>
            </w:r>
            <w:r>
              <w:rPr>
                <w:rFonts w:ascii="Times New Roman" w:hAnsi="Times New Roman"/>
                <w:sz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437</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437</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r>
      <w:tr>
        <w:trPr>
          <w:trHeight w:val="216" w:hRule="exact"/>
        </w:trPr>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58</w:t>
            </w:r>
          </w:p>
        </w:tc>
        <w:tc>
          <w:tcPr>
            <w:tcW w:w="308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cs="Times New Roman" w:eastAsia="Times New Roman" w:hint="default"/>
                <w:sz w:val="18"/>
                <w:szCs w:val="18"/>
              </w:rPr>
              <w:t>ЗУ „Апотека Медис</w:t>
            </w:r>
            <w:r>
              <w:rPr>
                <w:rFonts w:ascii="Times New Roman" w:hAnsi="Times New Roman" w:cs="Times New Roman" w:eastAsia="Times New Roman" w:hint="default"/>
                <w:sz w:val="18"/>
                <w:szCs w:val="18"/>
              </w:rPr>
              <w:t>-</w:t>
            </w:r>
            <w:r>
              <w:rPr>
                <w:rFonts w:ascii="Times New Roman" w:hAnsi="Times New Roman" w:cs="Times New Roman" w:eastAsia="Times New Roman" w:hint="default"/>
                <w:sz w:val="18"/>
                <w:szCs w:val="18"/>
              </w:rPr>
              <w:t>лек“  пр</w:t>
            </w:r>
            <w:r>
              <w:rPr>
                <w:rFonts w:ascii="Times New Roman" w:hAnsi="Times New Roman" w:cs="Times New Roman" w:eastAsia="Times New Roman" w:hint="default"/>
                <w:spacing w:val="-11"/>
                <w:sz w:val="18"/>
                <w:szCs w:val="18"/>
              </w:rPr>
              <w:t> </w:t>
            </w:r>
            <w:r>
              <w:rPr>
                <w:rFonts w:ascii="Times New Roman" w:hAnsi="Times New Roman" w:cs="Times New Roman" w:eastAsia="Times New Roman" w:hint="default"/>
                <w:sz w:val="18"/>
                <w:szCs w:val="18"/>
              </w:rPr>
              <w:t>Ниш</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69</w:t>
            </w:r>
          </w:p>
        </w:tc>
        <w:tc>
          <w:tcPr>
            <w:tcW w:w="994" w:type="dxa"/>
            <w:tcBorders>
              <w:top w:val="single" w:sz="4" w:space="0" w:color="000000"/>
              <w:left w:val="single" w:sz="4" w:space="0" w:color="000000"/>
              <w:bottom w:val="single" w:sz="4" w:space="0" w:color="000000"/>
              <w:right w:val="single" w:sz="4" w:space="0" w:color="000000"/>
            </w:tcBorders>
          </w:tcPr>
          <w:p>
            <w:pP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69</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r>
      <w:tr>
        <w:trPr>
          <w:trHeight w:val="218" w:hRule="exact"/>
        </w:trPr>
        <w:tc>
          <w:tcPr>
            <w:tcW w:w="3512"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0"/>
              <w:jc w:val="left"/>
              <w:rPr>
                <w:rFonts w:ascii="Times New Roman" w:hAnsi="Times New Roman" w:cs="Times New Roman" w:eastAsia="Times New Roman" w:hint="default"/>
                <w:sz w:val="18"/>
                <w:szCs w:val="18"/>
              </w:rPr>
            </w:pPr>
            <w:r>
              <w:rPr>
                <w:rFonts w:ascii="Times New Roman" w:hAnsi="Times New Roman"/>
                <w:b/>
                <w:sz w:val="18"/>
              </w:rPr>
              <w:t>Укупно</w:t>
            </w:r>
            <w:r>
              <w:rPr>
                <w:rFonts w:ascii="Times New Roman" w:hAnsi="Times New Roman"/>
                <w:sz w:val="18"/>
              </w:rPr>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26.260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247.767</w:t>
            </w:r>
            <w:r>
              <w:rPr>
                <w:rFonts w:ascii="Times New Roman"/>
                <w:spacing w:val="-1"/>
                <w:sz w:val="18"/>
              </w:rPr>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pacing w:val="-1"/>
                <w:sz w:val="18"/>
              </w:rPr>
              <w:t>242.637</w:t>
            </w:r>
            <w:r>
              <w:rPr>
                <w:rFonts w:ascii="Times New Roman"/>
                <w:spacing w:val="-1"/>
                <w:sz w:val="18"/>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3"/>
              <w:jc w:val="right"/>
              <w:rPr>
                <w:rFonts w:ascii="Times New Roman" w:hAnsi="Times New Roman" w:cs="Times New Roman" w:eastAsia="Times New Roman" w:hint="default"/>
                <w:sz w:val="18"/>
                <w:szCs w:val="18"/>
              </w:rPr>
            </w:pPr>
            <w:r>
              <w:rPr>
                <w:rFonts w:ascii="Times New Roman"/>
                <w:b/>
                <w:spacing w:val="-1"/>
                <w:sz w:val="18"/>
              </w:rPr>
              <w:t>728.143</w:t>
            </w:r>
            <w:r>
              <w:rPr>
                <w:rFonts w:ascii="Times New Roman"/>
                <w:spacing w:val="-1"/>
                <w:sz w:val="18"/>
              </w:rPr>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pacing w:val="-1"/>
                <w:sz w:val="18"/>
              </w:rPr>
              <w:t>403.321</w:t>
            </w:r>
            <w:r>
              <w:rPr>
                <w:rFonts w:ascii="Times New Roman"/>
                <w:spacing w:val="-1"/>
                <w:sz w:val="18"/>
              </w:rPr>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98"/>
              <w:jc w:val="right"/>
              <w:rPr>
                <w:rFonts w:ascii="Times New Roman" w:hAnsi="Times New Roman" w:cs="Times New Roman" w:eastAsia="Times New Roman" w:hint="default"/>
                <w:sz w:val="18"/>
                <w:szCs w:val="18"/>
              </w:rPr>
            </w:pPr>
            <w:r>
              <w:rPr>
                <w:rFonts w:ascii="Times New Roman"/>
                <w:b/>
                <w:spacing w:val="-1"/>
                <w:sz w:val="18"/>
              </w:rPr>
              <w:t>374.710</w:t>
            </w:r>
            <w:r>
              <w:rPr>
                <w:rFonts w:ascii="Times New Roman"/>
                <w:spacing w:val="-1"/>
                <w:sz w:val="18"/>
              </w:rPr>
            </w:r>
          </w:p>
        </w:tc>
      </w:tr>
    </w:tbl>
    <w:p>
      <w:pPr>
        <w:pStyle w:val="Heading2"/>
        <w:spacing w:line="240" w:lineRule="auto" w:before="0"/>
        <w:ind w:left="320" w:right="341"/>
        <w:jc w:val="both"/>
        <w:rPr>
          <w:b w:val="0"/>
          <w:bCs w:val="0"/>
          <w:i w:val="0"/>
        </w:rPr>
      </w:pPr>
      <w:r>
        <w:rPr>
          <w:i/>
        </w:rPr>
        <w:t>Препоручује се одговорним лицима да попис нефинансијске имовине, потраживања и обавеза врше у складу са важећим законским прописима, разлике између књиговодственог и стварног стања утврђеног пописом евидентирају у својим пословним књигама и редовно врше усаглашавање са својим дужницима и повериоцима.</w:t>
      </w:r>
      <w:r>
        <w:rPr>
          <w:b w:val="0"/>
          <w:i w:val="0"/>
        </w:rPr>
      </w:r>
    </w:p>
    <w:p>
      <w:pPr>
        <w:pStyle w:val="BodyText"/>
        <w:spacing w:line="240" w:lineRule="auto" w:before="132"/>
        <w:ind w:left="886" w:right="0"/>
        <w:jc w:val="left"/>
      </w:pPr>
      <w:r>
        <w:rPr>
          <w:rFonts w:ascii="Times New Roman" w:hAnsi="Times New Roman"/>
        </w:rPr>
      </w:r>
      <w:r>
        <w:rPr>
          <w:rFonts w:ascii="Times New Roman" w:hAnsi="Times New Roman"/>
          <w:spacing w:val="-60"/>
          <w:u w:val="single" w:color="000000"/>
        </w:rPr>
        <w:t> </w:t>
      </w:r>
      <w:r>
        <w:rPr>
          <w:u w:val="single" w:color="000000"/>
        </w:rPr>
        <w:t>Попис имовине и обавеза код индиректних</w:t>
      </w:r>
      <w:r>
        <w:rPr>
          <w:spacing w:val="-15"/>
          <w:u w:val="single" w:color="000000"/>
        </w:rPr>
        <w:t> </w:t>
      </w:r>
      <w:r>
        <w:rPr>
          <w:u w:val="single" w:color="000000"/>
        </w:rPr>
        <w:t>корисника</w:t>
      </w:r>
      <w:r>
        <w:rPr/>
      </w:r>
    </w:p>
    <w:p>
      <w:pPr>
        <w:pStyle w:val="Heading1"/>
        <w:spacing w:line="275" w:lineRule="exact"/>
        <w:ind w:left="886" w:right="0"/>
        <w:jc w:val="left"/>
        <w:rPr>
          <w:b w:val="0"/>
          <w:bCs w:val="0"/>
        </w:rPr>
      </w:pPr>
      <w:r>
        <w:rPr/>
        <w:t>На основу ревизије узорковане документације утврђено</w:t>
      </w:r>
      <w:r>
        <w:rPr>
          <w:spacing w:val="-13"/>
        </w:rPr>
        <w:t> </w:t>
      </w:r>
      <w:r>
        <w:rPr/>
        <w:t>је:</w:t>
      </w:r>
      <w:r>
        <w:rPr>
          <w:b w:val="0"/>
        </w:rPr>
      </w:r>
    </w:p>
    <w:p>
      <w:pPr>
        <w:pStyle w:val="ListParagraph"/>
        <w:numPr>
          <w:ilvl w:val="0"/>
          <w:numId w:val="60"/>
        </w:numPr>
        <w:tabs>
          <w:tab w:pos="463" w:val="left" w:leader="none"/>
        </w:tabs>
        <w:spacing w:line="274" w:lineRule="exact" w:before="20" w:after="0"/>
        <w:ind w:left="320" w:right="344" w:firstLine="0"/>
        <w:jc w:val="both"/>
        <w:rPr>
          <w:rFonts w:ascii="Times New Roman" w:hAnsi="Times New Roman" w:cs="Times New Roman" w:eastAsia="Times New Roman" w:hint="default"/>
          <w:sz w:val="24"/>
          <w:szCs w:val="24"/>
        </w:rPr>
      </w:pPr>
      <w:r>
        <w:rPr>
          <w:rFonts w:ascii="Times New Roman" w:hAnsi="Times New Roman"/>
          <w:sz w:val="24"/>
        </w:rPr>
        <w:t>Упутство за рад комисије за попис није донео директор Позоришта лутака, Галерије савремене ликовне</w:t>
      </w:r>
      <w:r>
        <w:rPr>
          <w:rFonts w:ascii="Times New Roman" w:hAnsi="Times New Roman"/>
          <w:spacing w:val="-7"/>
          <w:sz w:val="24"/>
        </w:rPr>
        <w:t> </w:t>
      </w:r>
      <w:r>
        <w:rPr>
          <w:rFonts w:ascii="Times New Roman" w:hAnsi="Times New Roman"/>
          <w:sz w:val="24"/>
        </w:rPr>
        <w:t>уметности.</w:t>
      </w:r>
    </w:p>
    <w:p>
      <w:pPr>
        <w:pStyle w:val="ListParagraph"/>
        <w:numPr>
          <w:ilvl w:val="0"/>
          <w:numId w:val="60"/>
        </w:numPr>
        <w:tabs>
          <w:tab w:pos="463" w:val="left" w:leader="none"/>
        </w:tabs>
        <w:spacing w:line="240" w:lineRule="auto" w:before="0" w:after="0"/>
        <w:ind w:left="320" w:right="335" w:firstLine="0"/>
        <w:jc w:val="both"/>
        <w:rPr>
          <w:rFonts w:ascii="Times New Roman" w:hAnsi="Times New Roman" w:cs="Times New Roman" w:eastAsia="Times New Roman" w:hint="default"/>
          <w:sz w:val="24"/>
          <w:szCs w:val="24"/>
        </w:rPr>
      </w:pPr>
      <w:r>
        <w:rPr>
          <w:rFonts w:ascii="Times New Roman" w:hAnsi="Times New Roman"/>
          <w:sz w:val="24"/>
        </w:rPr>
        <w:t>План рада по коме ће вршити попис нису сачиниле комисије за попис код: Позоришта лутака, Народног позоришта, Нишког симфонијског оркестра, Историјског архива, Дечијег центра, Народног музеја, Галерије савремене ликовне уметности, ЈП Дирекција и ЈП Градска стамбена агенција, што је супротно члану 8. Правилника о начину и роковима вршења пописа и усклађивања књиговодственог стања са стварним</w:t>
      </w:r>
      <w:r>
        <w:rPr>
          <w:rFonts w:ascii="Times New Roman" w:hAnsi="Times New Roman"/>
          <w:spacing w:val="-16"/>
          <w:sz w:val="24"/>
        </w:rPr>
        <w:t> </w:t>
      </w:r>
      <w:r>
        <w:rPr>
          <w:rFonts w:ascii="Times New Roman" w:hAnsi="Times New Roman"/>
          <w:sz w:val="24"/>
        </w:rPr>
        <w:t>стањем</w:t>
      </w:r>
      <w:r>
        <w:rPr>
          <w:rFonts w:ascii="Times New Roman" w:hAnsi="Times New Roman"/>
          <w:sz w:val="24"/>
        </w:rPr>
        <w:t>.</w:t>
      </w:r>
    </w:p>
    <w:p>
      <w:pPr>
        <w:pStyle w:val="ListParagraph"/>
        <w:numPr>
          <w:ilvl w:val="0"/>
          <w:numId w:val="60"/>
        </w:numPr>
        <w:tabs>
          <w:tab w:pos="463" w:val="left" w:leader="none"/>
        </w:tabs>
        <w:spacing w:line="240" w:lineRule="auto" w:before="2" w:after="0"/>
        <w:ind w:left="320" w:right="344" w:firstLine="0"/>
        <w:jc w:val="both"/>
        <w:rPr>
          <w:rFonts w:ascii="Times New Roman" w:hAnsi="Times New Roman" w:cs="Times New Roman" w:eastAsia="Times New Roman" w:hint="default"/>
          <w:sz w:val="24"/>
          <w:szCs w:val="24"/>
        </w:rPr>
      </w:pPr>
      <w:r>
        <w:rPr>
          <w:rFonts w:ascii="Times New Roman" w:hAnsi="Times New Roman"/>
          <w:sz w:val="24"/>
        </w:rPr>
        <w:t>Код Галерије савремене ликовне уметности и Завода за заштиту споменика културе из службе рачуноводства пописној комисији су дати подаци пре уписивања стварног стања у пописне листе, што је супротно члану 8. Правилника о начину и роковима вршења пописа и усклађивања књиговодственог стања са стварним</w:t>
      </w:r>
      <w:r>
        <w:rPr>
          <w:rFonts w:ascii="Times New Roman" w:hAnsi="Times New Roman"/>
          <w:spacing w:val="-21"/>
          <w:sz w:val="24"/>
        </w:rPr>
        <w:t> </w:t>
      </w:r>
      <w:r>
        <w:rPr>
          <w:rFonts w:ascii="Times New Roman" w:hAnsi="Times New Roman"/>
          <w:sz w:val="24"/>
        </w:rPr>
        <w:t>стањем.</w:t>
      </w:r>
    </w:p>
    <w:p>
      <w:pPr>
        <w:pStyle w:val="ListParagraph"/>
        <w:numPr>
          <w:ilvl w:val="0"/>
          <w:numId w:val="60"/>
        </w:numPr>
        <w:tabs>
          <w:tab w:pos="463" w:val="left" w:leader="none"/>
        </w:tabs>
        <w:spacing w:line="294" w:lineRule="exact" w:before="2" w:after="0"/>
        <w:ind w:left="462" w:right="0" w:hanging="142"/>
        <w:jc w:val="both"/>
        <w:rPr>
          <w:rFonts w:ascii="Times New Roman" w:hAnsi="Times New Roman" w:cs="Times New Roman" w:eastAsia="Times New Roman" w:hint="default"/>
          <w:sz w:val="24"/>
          <w:szCs w:val="24"/>
        </w:rPr>
      </w:pPr>
      <w:r>
        <w:rPr>
          <w:rFonts w:ascii="Times New Roman" w:hAnsi="Times New Roman"/>
          <w:sz w:val="24"/>
        </w:rPr>
        <w:t>Пописне</w:t>
      </w:r>
      <w:r>
        <w:rPr>
          <w:rFonts w:ascii="Times New Roman" w:hAnsi="Times New Roman"/>
          <w:spacing w:val="-3"/>
          <w:sz w:val="24"/>
        </w:rPr>
        <w:t> </w:t>
      </w:r>
      <w:r>
        <w:rPr>
          <w:rFonts w:ascii="Times New Roman" w:hAnsi="Times New Roman"/>
          <w:sz w:val="24"/>
        </w:rPr>
        <w:t>листе:</w:t>
      </w:r>
    </w:p>
    <w:p>
      <w:pPr>
        <w:pStyle w:val="BodyText"/>
        <w:spacing w:line="240" w:lineRule="auto"/>
        <w:ind w:left="320" w:right="344"/>
        <w:jc w:val="both"/>
      </w:pPr>
      <w:r>
        <w:rPr>
          <w:rFonts w:ascii="Times New Roman" w:hAnsi="Times New Roman"/>
        </w:rPr>
        <w:t>-</w:t>
      </w:r>
      <w:r>
        <w:rPr/>
        <w:t>није сачинио Дечији центар за основна средства, Историјски архив за опрему и ситан инвентар, Туристичка организација за мањак робе за даљу продају, што је  супротно члану 10. Правилника о начину и роковима вршења пописа и усклађивања књиговодственог стања са стварним</w:t>
      </w:r>
      <w:r>
        <w:rPr>
          <w:spacing w:val="-13"/>
        </w:rPr>
        <w:t> </w:t>
      </w:r>
      <w:r>
        <w:rPr/>
        <w:t>стањем;</w:t>
      </w:r>
    </w:p>
    <w:p>
      <w:pPr>
        <w:pStyle w:val="ListParagraph"/>
        <w:numPr>
          <w:ilvl w:val="1"/>
          <w:numId w:val="9"/>
        </w:numPr>
        <w:tabs>
          <w:tab w:pos="477" w:val="left" w:leader="none"/>
        </w:tabs>
        <w:spacing w:line="240" w:lineRule="auto" w:before="0" w:after="0"/>
        <w:ind w:left="320" w:right="336" w:firstLine="0"/>
        <w:jc w:val="both"/>
        <w:rPr>
          <w:rFonts w:ascii="Times New Roman" w:hAnsi="Times New Roman" w:cs="Times New Roman" w:eastAsia="Times New Roman" w:hint="default"/>
          <w:sz w:val="24"/>
          <w:szCs w:val="24"/>
        </w:rPr>
      </w:pPr>
      <w:r>
        <w:rPr>
          <w:rFonts w:ascii="Times New Roman" w:hAnsi="Times New Roman"/>
          <w:sz w:val="24"/>
        </w:rPr>
        <w:t>не садрже прописане елементе код корисника: Народно позориште, СЦ Чаир, Народна библиотека, Регионални центар за професионални развој запослених у образовању, ПУ Пчелица, Центар Мара и ЈП Градска стамбена агенција, што је супротно члану 9. Правилника о начину и роковима вршења пописа и усклађивања књиговодственог стања са стварним</w:t>
      </w:r>
      <w:r>
        <w:rPr>
          <w:rFonts w:ascii="Times New Roman" w:hAnsi="Times New Roman"/>
          <w:spacing w:val="-9"/>
          <w:sz w:val="24"/>
        </w:rPr>
        <w:t> </w:t>
      </w:r>
      <w:r>
        <w:rPr>
          <w:rFonts w:ascii="Times New Roman" w:hAnsi="Times New Roman"/>
          <w:sz w:val="24"/>
        </w:rPr>
        <w:t>стањем;</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240" w:right="1100"/>
        </w:sectPr>
      </w:pPr>
    </w:p>
    <w:p>
      <w:pPr>
        <w:pStyle w:val="ListParagraph"/>
        <w:numPr>
          <w:ilvl w:val="0"/>
          <w:numId w:val="12"/>
        </w:numPr>
        <w:tabs>
          <w:tab w:pos="315" w:val="left" w:leader="none"/>
        </w:tabs>
        <w:spacing w:line="240" w:lineRule="auto" w:before="122"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нису потписане од стране рачунополагача код Позоришта лутака, Народног позоришта и ЈП Дирекција, а нису потписане од стране свих чланова комисије код: Народног позоришта, Народне библиотеке, Центра Мара, Регионалног центра за професионални развој запослених у образовању и ЈП</w:t>
      </w:r>
      <w:r>
        <w:rPr>
          <w:rFonts w:ascii="Times New Roman" w:hAnsi="Times New Roman"/>
          <w:spacing w:val="-19"/>
          <w:sz w:val="24"/>
        </w:rPr>
        <w:t> </w:t>
      </w:r>
      <w:r>
        <w:rPr>
          <w:rFonts w:ascii="Times New Roman" w:hAnsi="Times New Roman"/>
          <w:sz w:val="24"/>
        </w:rPr>
        <w:t>Дирекција.</w:t>
      </w:r>
    </w:p>
    <w:p>
      <w:pPr>
        <w:pStyle w:val="ListParagraph"/>
        <w:numPr>
          <w:ilvl w:val="0"/>
          <w:numId w:val="9"/>
        </w:numPr>
        <w:tabs>
          <w:tab w:pos="303" w:val="left" w:leader="none"/>
        </w:tabs>
        <w:spacing w:line="292" w:lineRule="exact" w:before="2"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Попис потраживања и</w:t>
      </w:r>
      <w:r>
        <w:rPr>
          <w:rFonts w:ascii="Times New Roman" w:hAnsi="Times New Roman"/>
          <w:spacing w:val="-10"/>
          <w:sz w:val="24"/>
        </w:rPr>
        <w:t> </w:t>
      </w:r>
      <w:r>
        <w:rPr>
          <w:rFonts w:ascii="Times New Roman" w:hAnsi="Times New Roman"/>
          <w:sz w:val="24"/>
        </w:rPr>
        <w:t>обавеза:</w:t>
      </w:r>
    </w:p>
    <w:p>
      <w:pPr>
        <w:pStyle w:val="ListParagraph"/>
        <w:numPr>
          <w:ilvl w:val="0"/>
          <w:numId w:val="12"/>
        </w:numPr>
        <w:tabs>
          <w:tab w:pos="411" w:val="left" w:leader="none"/>
        </w:tabs>
        <w:spacing w:line="240" w:lineRule="auto" w:before="0"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Извршен је према стању у пословним књигама, а да претходно није вршено усаглашавање потраживања и обавеза са дужницима и повериоцима и о томе не постоји веродостојна исправа код корисника: Народно позориште, Народна библиотека, Народни музеј, Нишки културни центар, Галерија савремене ликовне уметности, Регионални центар за професионални развој запослених у образовању и ЈП Градска стамбена агенција, док је Туристичка организација послала неколико ИОС (од 27 купаца са исказаним стањем, послати су ИОС обрасци према шест купаца), што је супротно  </w:t>
      </w:r>
      <w:r>
        <w:rPr>
          <w:rFonts w:ascii="Times New Roman" w:hAnsi="Times New Roman"/>
          <w:spacing w:val="29"/>
          <w:sz w:val="24"/>
        </w:rPr>
        <w:t> </w:t>
      </w:r>
      <w:r>
        <w:rPr>
          <w:rFonts w:ascii="Times New Roman" w:hAnsi="Times New Roman"/>
          <w:sz w:val="24"/>
        </w:rPr>
        <w:t>члану</w:t>
      </w:r>
    </w:p>
    <w:p>
      <w:pPr>
        <w:pStyle w:val="BodyText"/>
        <w:spacing w:line="240" w:lineRule="auto"/>
        <w:ind w:right="182"/>
        <w:jc w:val="both"/>
      </w:pPr>
      <w:r>
        <w:rPr/>
        <w:t>18. Уредбе о буџетском рачуноводству и члану 12. Правилника о начину и роковима вршења пописа и усклађивања књиговодственог стања са стварним</w:t>
      </w:r>
      <w:r>
        <w:rPr>
          <w:spacing w:val="-21"/>
        </w:rPr>
        <w:t> </w:t>
      </w:r>
      <w:r>
        <w:rPr/>
        <w:t>стањем;</w:t>
      </w:r>
    </w:p>
    <w:p>
      <w:pPr>
        <w:pStyle w:val="ListParagraph"/>
        <w:numPr>
          <w:ilvl w:val="0"/>
          <w:numId w:val="12"/>
        </w:numPr>
        <w:tabs>
          <w:tab w:pos="307" w:val="left" w:leader="none"/>
        </w:tabs>
        <w:spacing w:line="240" w:lineRule="auto" w:before="0"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Извршен је само за обавезе и потраживања из 2014. године, док обавезе и потраживања из ранијих година нису пописана код Регионалног центра за професионални развој запослених у образовању, што је супротно члану 18. Уредбе о буџетском</w:t>
      </w:r>
      <w:r>
        <w:rPr>
          <w:rFonts w:ascii="Times New Roman" w:hAnsi="Times New Roman"/>
          <w:spacing w:val="-28"/>
          <w:sz w:val="24"/>
        </w:rPr>
        <w:t> </w:t>
      </w:r>
      <w:r>
        <w:rPr>
          <w:rFonts w:ascii="Times New Roman" w:hAnsi="Times New Roman"/>
          <w:sz w:val="24"/>
        </w:rPr>
        <w:t>рачуноводству,</w:t>
      </w:r>
    </w:p>
    <w:p>
      <w:pPr>
        <w:pStyle w:val="ListParagraph"/>
        <w:numPr>
          <w:ilvl w:val="0"/>
          <w:numId w:val="12"/>
        </w:numPr>
        <w:tabs>
          <w:tab w:pos="334" w:val="left" w:leader="none"/>
        </w:tabs>
        <w:spacing w:line="240" w:lineRule="auto" w:before="0"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Извршен је збирно, сва потраживања и све обавезе, уместо појединачно по купцима, односно добављачима код Дечијег</w:t>
      </w:r>
      <w:r>
        <w:rPr>
          <w:rFonts w:ascii="Times New Roman" w:hAnsi="Times New Roman"/>
          <w:spacing w:val="-9"/>
          <w:sz w:val="24"/>
        </w:rPr>
        <w:t> </w:t>
      </w:r>
      <w:r>
        <w:rPr>
          <w:rFonts w:ascii="Times New Roman" w:hAnsi="Times New Roman"/>
          <w:sz w:val="24"/>
        </w:rPr>
        <w:t>центра;</w:t>
      </w:r>
    </w:p>
    <w:p>
      <w:pPr>
        <w:pStyle w:val="ListParagraph"/>
        <w:numPr>
          <w:ilvl w:val="0"/>
          <w:numId w:val="12"/>
        </w:numPr>
        <w:tabs>
          <w:tab w:pos="370" w:val="left" w:leader="none"/>
        </w:tabs>
        <w:spacing w:line="240" w:lineRule="auto" w:before="0" w:after="0"/>
        <w:ind w:left="160" w:right="187" w:firstLine="0"/>
        <w:jc w:val="both"/>
        <w:rPr>
          <w:rFonts w:ascii="Times New Roman" w:hAnsi="Times New Roman" w:cs="Times New Roman" w:eastAsia="Times New Roman" w:hint="default"/>
          <w:sz w:val="24"/>
          <w:szCs w:val="24"/>
        </w:rPr>
      </w:pPr>
      <w:r>
        <w:rPr>
          <w:rFonts w:ascii="Times New Roman" w:hAnsi="Times New Roman"/>
          <w:sz w:val="24"/>
        </w:rPr>
        <w:t>Потраживања за које не постоји уредна документација нису исказана у посебним пописним листама, што је супротно члану 12. Правилника о начину и роковима вршења пописа и усклађивања књиговодственог стања са стварним стањем, код ЈП</w:t>
      </w:r>
      <w:r>
        <w:rPr>
          <w:rFonts w:ascii="Times New Roman" w:hAnsi="Times New Roman"/>
          <w:spacing w:val="-17"/>
          <w:sz w:val="24"/>
        </w:rPr>
        <w:t> </w:t>
      </w:r>
      <w:r>
        <w:rPr>
          <w:rFonts w:ascii="Times New Roman" w:hAnsi="Times New Roman"/>
          <w:sz w:val="24"/>
        </w:rPr>
        <w:t>Дирекција;</w:t>
      </w:r>
    </w:p>
    <w:p>
      <w:pPr>
        <w:pStyle w:val="ListParagraph"/>
        <w:numPr>
          <w:ilvl w:val="0"/>
          <w:numId w:val="12"/>
        </w:numPr>
        <w:tabs>
          <w:tab w:pos="307" w:val="left" w:leader="none"/>
        </w:tabs>
        <w:spacing w:line="240" w:lineRule="auto" w:before="0"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Извештај комисије за попис благајне, потраживања и обавеза не садржи потраживања и обавезе, већ су оне дате на посебном списку који комисија није потписала, тако да се из извештаја не може утврдити да ли су потраживања и обавезе пописане или је из књиговодства само приложен списак поменутих код Позоришта</w:t>
      </w:r>
      <w:r>
        <w:rPr>
          <w:rFonts w:ascii="Times New Roman" w:hAnsi="Times New Roman"/>
          <w:spacing w:val="-24"/>
          <w:sz w:val="24"/>
        </w:rPr>
        <w:t> </w:t>
      </w:r>
      <w:r>
        <w:rPr>
          <w:rFonts w:ascii="Times New Roman" w:hAnsi="Times New Roman"/>
          <w:sz w:val="24"/>
        </w:rPr>
        <w:t>лутака.</w:t>
      </w:r>
    </w:p>
    <w:p>
      <w:pPr>
        <w:pStyle w:val="ListParagraph"/>
        <w:numPr>
          <w:ilvl w:val="0"/>
          <w:numId w:val="9"/>
        </w:numPr>
        <w:tabs>
          <w:tab w:pos="303" w:val="left" w:leader="none"/>
        </w:tabs>
        <w:spacing w:line="292" w:lineRule="exact" w:before="2"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Није извршено усклађивање стварног и књиговодственог стања, што је супротно </w:t>
      </w:r>
      <w:r>
        <w:rPr>
          <w:rFonts w:ascii="Times New Roman" w:hAnsi="Times New Roman"/>
          <w:spacing w:val="45"/>
          <w:sz w:val="24"/>
        </w:rPr>
        <w:t> </w:t>
      </w:r>
      <w:r>
        <w:rPr>
          <w:rFonts w:ascii="Times New Roman" w:hAnsi="Times New Roman"/>
          <w:sz w:val="24"/>
        </w:rPr>
        <w:t>члану</w:t>
      </w:r>
    </w:p>
    <w:p>
      <w:pPr>
        <w:pStyle w:val="BodyText"/>
        <w:spacing w:line="240" w:lineRule="auto"/>
        <w:ind w:right="186"/>
        <w:jc w:val="both"/>
      </w:pPr>
      <w:r>
        <w:rPr/>
        <w:t>18. Уредбе о буџетском рачуноводству и члану 1. Правилника о начину и роковима вршења пописа и усклађивања књиговодственог стања са стварним стањем и то</w:t>
      </w:r>
      <w:r>
        <w:rPr>
          <w:spacing w:val="-16"/>
        </w:rPr>
        <w:t> </w:t>
      </w:r>
      <w:r>
        <w:rPr/>
        <w:t>код:</w:t>
      </w:r>
    </w:p>
    <w:p>
      <w:pPr>
        <w:pStyle w:val="ListParagraph"/>
        <w:numPr>
          <w:ilvl w:val="0"/>
          <w:numId w:val="12"/>
        </w:numPr>
        <w:tabs>
          <w:tab w:pos="303" w:val="left" w:leader="none"/>
        </w:tabs>
        <w:spacing w:line="240" w:lineRule="auto" w:before="0"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Туристичке организације, јер није у пословним књигама евидентиран мањак робе у објекту у Нишкој Бањи у износу од 12 хиљада</w:t>
      </w:r>
      <w:r>
        <w:rPr>
          <w:rFonts w:ascii="Times New Roman" w:hAnsi="Times New Roman"/>
          <w:spacing w:val="-14"/>
          <w:sz w:val="24"/>
        </w:rPr>
        <w:t> </w:t>
      </w:r>
      <w:r>
        <w:rPr>
          <w:rFonts w:ascii="Times New Roman" w:hAnsi="Times New Roman"/>
          <w:sz w:val="24"/>
        </w:rPr>
        <w:t>динара;</w:t>
      </w:r>
    </w:p>
    <w:p>
      <w:pPr>
        <w:pStyle w:val="ListParagraph"/>
        <w:numPr>
          <w:ilvl w:val="0"/>
          <w:numId w:val="12"/>
        </w:numPr>
        <w:tabs>
          <w:tab w:pos="303"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СЦ Чаир, јер су пописани грађевински објекти садашње вредности од 243.100 хиљада динара, грађевински објекти у припреми у износу од 12.693 хиљаде динара, остали краткорочни пласмани у износу од 8.584 хиљаде динара, а у пословним књигама су евидентирани грађевински објекти садашње вредности у износу од 255.285 хиљада динара, грађевински објекти у припреми у износу од 11.854 хиљаде динара, остали краткорочни пласмани у износу од 8.475 хиљада</w:t>
      </w:r>
      <w:r>
        <w:rPr>
          <w:rFonts w:ascii="Times New Roman" w:hAnsi="Times New Roman"/>
          <w:spacing w:val="-19"/>
          <w:sz w:val="24"/>
        </w:rPr>
        <w:t> </w:t>
      </w:r>
      <w:r>
        <w:rPr>
          <w:rFonts w:ascii="Times New Roman" w:hAnsi="Times New Roman"/>
          <w:sz w:val="24"/>
        </w:rPr>
        <w:t>динара;</w:t>
      </w:r>
    </w:p>
    <w:p>
      <w:pPr>
        <w:pStyle w:val="ListParagraph"/>
        <w:numPr>
          <w:ilvl w:val="0"/>
          <w:numId w:val="12"/>
        </w:numPr>
        <w:tabs>
          <w:tab w:pos="363" w:val="left" w:leader="none"/>
        </w:tabs>
        <w:spacing w:line="240" w:lineRule="auto" w:before="0"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ЈП ГСА и то: добављача у земљи за износ од 13.718 хиљада динара, потраживања од купаца за износ од 100.502 хиљаде динара и датих аванса за износ од 5.330 хиљада динара;</w:t>
      </w:r>
    </w:p>
    <w:p>
      <w:pPr>
        <w:pStyle w:val="ListParagraph"/>
        <w:numPr>
          <w:ilvl w:val="0"/>
          <w:numId w:val="12"/>
        </w:numPr>
        <w:tabs>
          <w:tab w:pos="303" w:val="left" w:leader="none"/>
        </w:tabs>
        <w:spacing w:line="240" w:lineRule="auto" w:before="0" w:after="0"/>
        <w:ind w:left="160" w:right="183" w:firstLine="0"/>
        <w:jc w:val="both"/>
        <w:rPr>
          <w:rFonts w:ascii="Times New Roman" w:hAnsi="Times New Roman" w:cs="Times New Roman" w:eastAsia="Times New Roman" w:hint="default"/>
          <w:sz w:val="24"/>
          <w:szCs w:val="24"/>
        </w:rPr>
      </w:pPr>
      <w:r>
        <w:rPr>
          <w:rFonts w:ascii="Times New Roman" w:hAnsi="Times New Roman"/>
          <w:sz w:val="24"/>
        </w:rPr>
        <w:t>ПУ Пчелица јер није у пословним књигама евидентирала 566 хиљада динара које је комисија за попис благајне пописала на дан 31.12.2014.</w:t>
      </w:r>
      <w:r>
        <w:rPr>
          <w:rFonts w:ascii="Times New Roman" w:hAnsi="Times New Roman"/>
          <w:spacing w:val="-17"/>
          <w:sz w:val="24"/>
        </w:rPr>
        <w:t> </w:t>
      </w:r>
      <w:r>
        <w:rPr>
          <w:rFonts w:ascii="Times New Roman" w:hAnsi="Times New Roman"/>
          <w:sz w:val="24"/>
        </w:rPr>
        <w:t>године;</w:t>
      </w:r>
    </w:p>
    <w:p>
      <w:pPr>
        <w:pStyle w:val="ListParagraph"/>
        <w:numPr>
          <w:ilvl w:val="0"/>
          <w:numId w:val="12"/>
        </w:numPr>
        <w:tabs>
          <w:tab w:pos="303"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Галерије савремене ликовне уметности, јер расход и мањак по попису нису евидентирани у пословним</w:t>
      </w:r>
      <w:r>
        <w:rPr>
          <w:rFonts w:ascii="Times New Roman" w:hAnsi="Times New Roman"/>
          <w:spacing w:val="-12"/>
          <w:sz w:val="24"/>
        </w:rPr>
        <w:t> </w:t>
      </w:r>
      <w:r>
        <w:rPr>
          <w:rFonts w:ascii="Times New Roman" w:hAnsi="Times New Roman"/>
          <w:sz w:val="24"/>
        </w:rPr>
        <w:t>књигама</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ListParagraph"/>
        <w:numPr>
          <w:ilvl w:val="0"/>
          <w:numId w:val="9"/>
        </w:numPr>
        <w:tabs>
          <w:tab w:pos="303" w:val="left" w:leader="none"/>
        </w:tabs>
        <w:spacing w:line="237" w:lineRule="auto" w:before="126"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Није извршен попис, што је супротно члану 18. Уредбе о буџетском рачуноводству и члану 2. Правилника о начину и роковима вршења пописа и усклађивања књиговодственог стања са стварним стањем и</w:t>
      </w:r>
      <w:r>
        <w:rPr>
          <w:rFonts w:ascii="Times New Roman" w:hAnsi="Times New Roman"/>
          <w:spacing w:val="-10"/>
          <w:sz w:val="24"/>
        </w:rPr>
        <w:t> </w:t>
      </w:r>
      <w:r>
        <w:rPr>
          <w:rFonts w:ascii="Times New Roman" w:hAnsi="Times New Roman"/>
          <w:sz w:val="24"/>
        </w:rPr>
        <w:t>то:</w:t>
      </w:r>
    </w:p>
    <w:p>
      <w:pPr>
        <w:pStyle w:val="ListParagraph"/>
        <w:numPr>
          <w:ilvl w:val="0"/>
          <w:numId w:val="12"/>
        </w:numPr>
        <w:tabs>
          <w:tab w:pos="444" w:val="left" w:leader="none"/>
        </w:tabs>
        <w:spacing w:line="240" w:lineRule="auto" w:before="0" w:after="0"/>
        <w:ind w:left="443" w:right="0" w:hanging="283"/>
        <w:jc w:val="both"/>
        <w:rPr>
          <w:rFonts w:ascii="Times New Roman" w:hAnsi="Times New Roman" w:cs="Times New Roman" w:eastAsia="Times New Roman" w:hint="default"/>
          <w:sz w:val="24"/>
          <w:szCs w:val="24"/>
        </w:rPr>
      </w:pPr>
      <w:r>
        <w:rPr>
          <w:rFonts w:ascii="Times New Roman" w:hAnsi="Times New Roman"/>
          <w:sz w:val="24"/>
        </w:rPr>
        <w:t>готовине у благајни у износу од 10 хиљада динара код Дечијег</w:t>
      </w:r>
      <w:r>
        <w:rPr>
          <w:rFonts w:ascii="Times New Roman" w:hAnsi="Times New Roman"/>
          <w:spacing w:val="-22"/>
          <w:sz w:val="24"/>
        </w:rPr>
        <w:t> </w:t>
      </w:r>
      <w:r>
        <w:rPr>
          <w:rFonts w:ascii="Times New Roman" w:hAnsi="Times New Roman"/>
          <w:sz w:val="24"/>
        </w:rPr>
        <w:t>центра;</w:t>
      </w:r>
    </w:p>
    <w:p>
      <w:pPr>
        <w:pStyle w:val="ListParagraph"/>
        <w:numPr>
          <w:ilvl w:val="0"/>
          <w:numId w:val="12"/>
        </w:numPr>
        <w:tabs>
          <w:tab w:pos="444"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новчаних средстава на жиро рачунима у износу од 148 хиљада динара, благајне у износу од нула динара, нити је формирана комсија са задатком да изврши наведене пописе код Регионалног центра за професионално усавршавање запослених у образовању;</w:t>
      </w:r>
    </w:p>
    <w:p>
      <w:pPr>
        <w:pStyle w:val="ListParagraph"/>
        <w:numPr>
          <w:ilvl w:val="0"/>
          <w:numId w:val="12"/>
        </w:numPr>
        <w:tabs>
          <w:tab w:pos="444" w:val="left" w:leader="none"/>
        </w:tabs>
        <w:spacing w:line="240" w:lineRule="auto" w:before="0" w:after="0"/>
        <w:ind w:left="443" w:right="0" w:hanging="283"/>
        <w:jc w:val="both"/>
        <w:rPr>
          <w:rFonts w:ascii="Times New Roman" w:hAnsi="Times New Roman" w:cs="Times New Roman" w:eastAsia="Times New Roman" w:hint="default"/>
          <w:sz w:val="24"/>
          <w:szCs w:val="24"/>
        </w:rPr>
      </w:pPr>
      <w:r>
        <w:rPr>
          <w:rFonts w:ascii="Times New Roman" w:hAnsi="Times New Roman"/>
          <w:sz w:val="24"/>
        </w:rPr>
        <w:t>меница у укупном износу од 1.049 хиљада динара код Народног</w:t>
      </w:r>
      <w:r>
        <w:rPr>
          <w:rFonts w:ascii="Times New Roman" w:hAnsi="Times New Roman"/>
          <w:spacing w:val="-27"/>
          <w:sz w:val="24"/>
        </w:rPr>
        <w:t> </w:t>
      </w:r>
      <w:r>
        <w:rPr>
          <w:rFonts w:ascii="Times New Roman" w:hAnsi="Times New Roman"/>
          <w:sz w:val="24"/>
        </w:rPr>
        <w:t>музеја;</w:t>
      </w:r>
    </w:p>
    <w:p>
      <w:pPr>
        <w:pStyle w:val="ListParagraph"/>
        <w:numPr>
          <w:ilvl w:val="0"/>
          <w:numId w:val="12"/>
        </w:numPr>
        <w:tabs>
          <w:tab w:pos="444"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нефинансијске имовине у припреми у износу од 77.811 хиљада динара, кредита физичким лицима и домаћинствима у земљи у износу од </w:t>
      </w:r>
      <w:r>
        <w:rPr>
          <w:rFonts w:ascii="Times New Roman" w:hAnsi="Times New Roman"/>
          <w:sz w:val="24"/>
        </w:rPr>
        <w:t>70.541 </w:t>
      </w:r>
      <w:r>
        <w:rPr>
          <w:rFonts w:ascii="Times New Roman" w:hAnsi="Times New Roman"/>
          <w:sz w:val="24"/>
        </w:rPr>
        <w:t>хиљаде динара</w:t>
      </w:r>
      <w:r>
        <w:rPr>
          <w:rFonts w:ascii="Times New Roman" w:hAnsi="Times New Roman"/>
          <w:sz w:val="24"/>
        </w:rPr>
        <w:t>, </w:t>
      </w:r>
      <w:r>
        <w:rPr>
          <w:rFonts w:ascii="Times New Roman" w:hAnsi="Times New Roman"/>
          <w:sz w:val="24"/>
        </w:rPr>
        <w:t>осталих новчаних средстава у износу од 13.</w:t>
      </w:r>
      <w:r>
        <w:rPr>
          <w:rFonts w:ascii="Times New Roman" w:hAnsi="Times New Roman"/>
          <w:sz w:val="24"/>
        </w:rPr>
        <w:t>621 </w:t>
      </w:r>
      <w:r>
        <w:rPr>
          <w:rFonts w:ascii="Times New Roman" w:hAnsi="Times New Roman"/>
          <w:sz w:val="24"/>
        </w:rPr>
        <w:t>хиљаде динара</w:t>
      </w:r>
      <w:r>
        <w:rPr>
          <w:rFonts w:ascii="Times New Roman" w:hAnsi="Times New Roman"/>
          <w:sz w:val="24"/>
        </w:rPr>
        <w:t>, </w:t>
      </w:r>
      <w:r>
        <w:rPr>
          <w:rFonts w:ascii="Times New Roman" w:hAnsi="Times New Roman"/>
          <w:sz w:val="24"/>
        </w:rPr>
        <w:t>краткорочних кредита у износу</w:t>
      </w:r>
      <w:r>
        <w:rPr>
          <w:rFonts w:ascii="Times New Roman" w:hAnsi="Times New Roman"/>
          <w:spacing w:val="-4"/>
          <w:sz w:val="24"/>
        </w:rPr>
        <w:t> </w:t>
      </w:r>
      <w:r>
        <w:rPr>
          <w:rFonts w:ascii="Times New Roman" w:hAnsi="Times New Roman"/>
          <w:sz w:val="24"/>
        </w:rPr>
        <w:t>од</w:t>
      </w:r>
    </w:p>
    <w:p>
      <w:pPr>
        <w:pStyle w:val="BodyText"/>
        <w:spacing w:line="240" w:lineRule="auto"/>
        <w:ind w:right="172"/>
        <w:jc w:val="both"/>
        <w:rPr>
          <w:rFonts w:ascii="Times New Roman" w:hAnsi="Times New Roman" w:cs="Times New Roman" w:eastAsia="Times New Roman" w:hint="default"/>
        </w:rPr>
      </w:pPr>
      <w:r>
        <w:rPr>
          <w:rFonts w:ascii="Times New Roman" w:hAnsi="Times New Roman"/>
        </w:rPr>
        <w:t>285.239 </w:t>
      </w:r>
      <w:r>
        <w:rPr/>
        <w:t>хиљада динара</w:t>
      </w:r>
      <w:r>
        <w:rPr>
          <w:rFonts w:ascii="Times New Roman" w:hAnsi="Times New Roman"/>
        </w:rPr>
        <w:t>, </w:t>
      </w:r>
      <w:r>
        <w:rPr/>
        <w:t>осталих краткорочних пласмана у износу од 18.975 хиљада динара, дугорочних обавеза за финансијске лизинге у износу од 16.335 хиљада динара, обавеза за плате и додатке у износу од 589 хиљада динара, обавеза по основу социјалних доприноса на терет послодавца у износу од 105 хиљада динара, обавеза по основу донација и дотација у износу од 112 хиљада динара, обавеза за остале расходе у износу  од 768 хиљада динара, примљених аванса, депозита и кауција у износу од 46.000 хиљаде динара и осталих обавеза у износу од 82.384 хиљаде динара код ЈП</w:t>
      </w:r>
      <w:r>
        <w:rPr>
          <w:spacing w:val="-13"/>
        </w:rPr>
        <w:t> </w:t>
      </w:r>
      <w:r>
        <w:rPr/>
        <w:t>ГСА</w:t>
      </w:r>
      <w:r>
        <w:rPr>
          <w:rFonts w:ascii="Times New Roman" w:hAnsi="Times New Roman"/>
        </w:rPr>
        <w:t>,</w:t>
      </w:r>
    </w:p>
    <w:p>
      <w:pPr>
        <w:pStyle w:val="ListParagraph"/>
        <w:numPr>
          <w:ilvl w:val="0"/>
          <w:numId w:val="12"/>
        </w:numPr>
        <w:tabs>
          <w:tab w:pos="444"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новчаних средстава у износу од 150 хиљада динара , потраживања у износу од 474 хиљаде динара и обавеза у износу од најмање 2.946 хиљада динара код Галерије савремене ликовне</w:t>
      </w:r>
      <w:r>
        <w:rPr>
          <w:rFonts w:ascii="Times New Roman" w:hAnsi="Times New Roman"/>
          <w:spacing w:val="-7"/>
          <w:sz w:val="24"/>
        </w:rPr>
        <w:t> </w:t>
      </w:r>
      <w:r>
        <w:rPr>
          <w:rFonts w:ascii="Times New Roman" w:hAnsi="Times New Roman"/>
          <w:sz w:val="24"/>
        </w:rPr>
        <w:t>уметности.</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Извештај комисије о извршеном попису не садржи све прописане елементе код: Позоришта лутака, Народног позоришта, Историјског архива, Галерије савремене ликовне уметности, Дечијег центра, Народне библиотеке, Народног музеја, Регионалног центра за професионални развој запослених у образовању, Фонда за развој и самофинансирање заједничких потреба грађана, ПУ Пчелица, Сигурна кућа, Центар Мара, ЈП Дирекција и ЈП Градска стамбена агенција, што је супротно члану 13. Правилника о начину и роковима вршења пописа и усклађивања књиговодственог стања са стварним</w:t>
      </w:r>
      <w:r>
        <w:rPr>
          <w:rFonts w:ascii="Times New Roman" w:hAnsi="Times New Roman"/>
          <w:spacing w:val="-9"/>
          <w:sz w:val="24"/>
        </w:rPr>
        <w:t> </w:t>
      </w:r>
      <w:r>
        <w:rPr>
          <w:rFonts w:ascii="Times New Roman" w:hAnsi="Times New Roman"/>
          <w:sz w:val="24"/>
        </w:rPr>
        <w:t>стањем.</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Управни одбор донео је Одлуку о усвајању пописа након рока за предају завршног рачуна код Нишког симфонијског оркестра, Галерије савремене ликовне уметности и Дечијег центра, док код Народног музеја Извештај о годишњем попису нематеријалних улагања, основних средстава и ситног инвентара није усвојен, што је супротно члану 18. Уредбе о буџетском</w:t>
      </w:r>
      <w:r>
        <w:rPr>
          <w:rFonts w:ascii="Times New Roman" w:hAnsi="Times New Roman"/>
          <w:spacing w:val="-8"/>
          <w:sz w:val="24"/>
        </w:rPr>
        <w:t> </w:t>
      </w:r>
      <w:r>
        <w:rPr>
          <w:rFonts w:ascii="Times New Roman" w:hAnsi="Times New Roman"/>
          <w:sz w:val="24"/>
        </w:rPr>
        <w:t>рачуноводству</w:t>
      </w:r>
      <w:r>
        <w:rPr>
          <w:rFonts w:ascii="Times New Roman" w:hAnsi="Times New Roman"/>
          <w:sz w:val="24"/>
        </w:rPr>
        <w:t>.</w:t>
      </w:r>
    </w:p>
    <w:p>
      <w:pPr>
        <w:pStyle w:val="ListParagraph"/>
        <w:numPr>
          <w:ilvl w:val="0"/>
          <w:numId w:val="9"/>
        </w:numPr>
        <w:tabs>
          <w:tab w:pos="303" w:val="left" w:leader="none"/>
        </w:tabs>
        <w:spacing w:line="240" w:lineRule="auto" w:before="2" w:after="0"/>
        <w:ind w:left="160" w:right="183" w:firstLine="0"/>
        <w:jc w:val="both"/>
        <w:rPr>
          <w:rFonts w:ascii="Times New Roman" w:hAnsi="Times New Roman" w:cs="Times New Roman" w:eastAsia="Times New Roman" w:hint="default"/>
          <w:sz w:val="24"/>
          <w:szCs w:val="24"/>
        </w:rPr>
      </w:pPr>
      <w:r>
        <w:rPr>
          <w:rFonts w:ascii="Times New Roman" w:hAnsi="Times New Roman"/>
          <w:sz w:val="24"/>
        </w:rPr>
        <w:t>Управни одбор Галерије савремене ликовне уметности је усвојио Извештај о  извршеном попису имовине и обавеза, који садржи нетачне податке, јер комисије за попис налажу евидентирање одређених основних средстава у пословне књиге а иста су већ евидентирана, затим налажу расход одређених средстава без вредности, а та средства имају садашњу вредност у пословним књигама и није одредио начин књижења расхода и отписа,</w:t>
      </w:r>
    </w:p>
    <w:p>
      <w:pPr>
        <w:pStyle w:val="ListParagraph"/>
        <w:numPr>
          <w:ilvl w:val="0"/>
          <w:numId w:val="9"/>
        </w:numPr>
        <w:tabs>
          <w:tab w:pos="303" w:val="left" w:leader="none"/>
        </w:tabs>
        <w:spacing w:line="274" w:lineRule="exact" w:before="24" w:after="0"/>
        <w:ind w:left="160" w:right="187" w:firstLine="0"/>
        <w:jc w:val="both"/>
        <w:rPr>
          <w:rFonts w:ascii="Times New Roman" w:hAnsi="Times New Roman" w:cs="Times New Roman" w:eastAsia="Times New Roman" w:hint="default"/>
          <w:sz w:val="24"/>
          <w:szCs w:val="24"/>
        </w:rPr>
      </w:pPr>
      <w:r>
        <w:rPr>
          <w:rFonts w:ascii="Times New Roman" w:hAnsi="Times New Roman"/>
          <w:sz w:val="24"/>
        </w:rPr>
        <w:t>Не поседују интерни акт којим је регулисан попис имовине и обавеза Регионални центар за професионални развој запослених у</w:t>
      </w:r>
      <w:r>
        <w:rPr>
          <w:rFonts w:ascii="Times New Roman" w:hAnsi="Times New Roman"/>
          <w:spacing w:val="-22"/>
          <w:sz w:val="24"/>
        </w:rPr>
        <w:t> </w:t>
      </w:r>
      <w:r>
        <w:rPr>
          <w:rFonts w:ascii="Times New Roman" w:hAnsi="Times New Roman"/>
          <w:sz w:val="24"/>
        </w:rPr>
        <w:t>образовању.</w:t>
      </w:r>
    </w:p>
    <w:p>
      <w:pPr>
        <w:pStyle w:val="ListParagraph"/>
        <w:numPr>
          <w:ilvl w:val="0"/>
          <w:numId w:val="9"/>
        </w:numPr>
        <w:tabs>
          <w:tab w:pos="303" w:val="left" w:leader="none"/>
        </w:tabs>
        <w:spacing w:line="274" w:lineRule="exact" w:before="21" w:after="0"/>
        <w:ind w:left="160" w:right="187" w:firstLine="0"/>
        <w:jc w:val="both"/>
        <w:rPr>
          <w:rFonts w:ascii="Times New Roman" w:hAnsi="Times New Roman" w:cs="Times New Roman" w:eastAsia="Times New Roman" w:hint="default"/>
          <w:sz w:val="24"/>
          <w:szCs w:val="24"/>
        </w:rPr>
      </w:pPr>
      <w:r>
        <w:rPr>
          <w:rFonts w:ascii="Times New Roman" w:hAnsi="Times New Roman"/>
          <w:sz w:val="24"/>
        </w:rPr>
        <w:t>Код Народне библиотеке Одлуком о усвајању извештаја о попису није утврђен начин књижења разлика по</w:t>
      </w:r>
      <w:r>
        <w:rPr>
          <w:rFonts w:ascii="Times New Roman" w:hAnsi="Times New Roman"/>
          <w:spacing w:val="-14"/>
          <w:sz w:val="24"/>
        </w:rPr>
        <w:t> </w:t>
      </w:r>
      <w:r>
        <w:rPr>
          <w:rFonts w:ascii="Times New Roman" w:hAnsi="Times New Roman"/>
          <w:sz w:val="24"/>
        </w:rPr>
        <w:t>попису.</w:t>
      </w:r>
    </w:p>
    <w:p>
      <w:pPr>
        <w:spacing w:after="0" w:line="274" w:lineRule="exact"/>
        <w:jc w:val="both"/>
        <w:rPr>
          <w:rFonts w:ascii="Times New Roman" w:hAnsi="Times New Roman" w:cs="Times New Roman" w:eastAsia="Times New Roman" w:hint="default"/>
          <w:sz w:val="24"/>
          <w:szCs w:val="24"/>
        </w:rPr>
        <w:sectPr>
          <w:footerReference w:type="default" r:id="rId84"/>
          <w:pgSz w:w="12240" w:h="15840"/>
          <w:pgMar w:footer="1274" w:header="740" w:top="1280" w:bottom="1460" w:left="1400" w:right="1260"/>
          <w:pgNumType w:start="240"/>
        </w:sectPr>
      </w:pPr>
    </w:p>
    <w:p>
      <w:pPr>
        <w:pStyle w:val="ListParagraph"/>
        <w:numPr>
          <w:ilvl w:val="0"/>
          <w:numId w:val="9"/>
        </w:numPr>
        <w:tabs>
          <w:tab w:pos="303" w:val="left" w:leader="none"/>
        </w:tabs>
        <w:spacing w:line="240" w:lineRule="auto" w:before="124"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Код Народног музеја комисија за попис нематеријалних улагања, основних средстава и ситног инвентара није одредила вредност утврђеног мањка по попису, већ је предложила у свом извештају да се формира посебна комисија која ће утврдити начин расходовања предложених основних средстава, утврдити ко је одговоран за настали мањак да би се мањак ставио на његов терет, што је супротно члану 9. Правилника о начину и роковима вршења пописа и ускађивања књиговодственог стања са стварним стањем и тачки 2. Упутства директора о попису. Народни музеј није од 2013. године, средствима којим се дужио покојник, задужио друге</w:t>
      </w:r>
      <w:r>
        <w:rPr>
          <w:rFonts w:ascii="Times New Roman" w:hAnsi="Times New Roman"/>
          <w:spacing w:val="-15"/>
          <w:sz w:val="24"/>
        </w:rPr>
        <w:t> </w:t>
      </w:r>
      <w:r>
        <w:rPr>
          <w:rFonts w:ascii="Times New Roman" w:hAnsi="Times New Roman"/>
          <w:sz w:val="24"/>
        </w:rPr>
        <w:t>запослене.</w:t>
      </w:r>
    </w:p>
    <w:p>
      <w:pPr>
        <w:pStyle w:val="ListParagraph"/>
        <w:numPr>
          <w:ilvl w:val="0"/>
          <w:numId w:val="9"/>
        </w:numPr>
        <w:tabs>
          <w:tab w:pos="303" w:val="left" w:leader="none"/>
        </w:tabs>
        <w:spacing w:line="240" w:lineRule="auto" w:before="2"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Мањак по попису евидентиран је на терет правног лица и то код: ЈП Дирекција и Туристичка организација јер запослена лица нису задужена за коришћење основних средстава. Код Народног музеја основним средствима задужена су лица која нису запослена у установи већ две</w:t>
      </w:r>
      <w:r>
        <w:rPr>
          <w:rFonts w:ascii="Times New Roman" w:hAnsi="Times New Roman"/>
          <w:spacing w:val="-10"/>
          <w:sz w:val="24"/>
        </w:rPr>
        <w:t> </w:t>
      </w:r>
      <w:r>
        <w:rPr>
          <w:rFonts w:ascii="Times New Roman" w:hAnsi="Times New Roman"/>
          <w:sz w:val="24"/>
        </w:rPr>
        <w:t>године.</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Није сачињен извештај о извршеном попису на дан 26.04.2014. године код Туристичке организације и Управни одбор није разматрао попис нити донео Одлуку о усвајању пописа и књижењу мањка робе у објектима у Тврђави, улица Обреновићева и у улици Вожда Карађорђа број 5, што је супротно члану 13. и 14. Правилника о начину и роковима вршења пописа и ускађивања књиговодственог стања са стварним</w:t>
      </w:r>
      <w:r>
        <w:rPr>
          <w:rFonts w:ascii="Times New Roman" w:hAnsi="Times New Roman"/>
          <w:spacing w:val="-21"/>
          <w:sz w:val="24"/>
        </w:rPr>
        <w:t> </w:t>
      </w:r>
      <w:r>
        <w:rPr>
          <w:rFonts w:ascii="Times New Roman" w:hAnsi="Times New Roman"/>
          <w:sz w:val="24"/>
        </w:rPr>
        <w:t>стањем.</w:t>
      </w:r>
    </w:p>
    <w:p>
      <w:pPr>
        <w:pStyle w:val="Heading2"/>
        <w:spacing w:line="240" w:lineRule="auto"/>
        <w:ind w:right="176"/>
        <w:jc w:val="both"/>
        <w:rPr>
          <w:rFonts w:ascii="Times New Roman" w:hAnsi="Times New Roman" w:cs="Times New Roman" w:eastAsia="Times New Roman" w:hint="default"/>
          <w:b w:val="0"/>
          <w:bCs w:val="0"/>
          <w:i w:val="0"/>
        </w:rPr>
      </w:pPr>
      <w:r>
        <w:rPr>
          <w:i/>
        </w:rPr>
        <w:t>Препоручује се одговорним лицима да попис имовине, потраживања и обавеза врше у складу са важећим законским прописима, ускладе књиговодствено и стварно стања и редовно врше усаглашавање са својим дужницима и</w:t>
      </w:r>
      <w:r>
        <w:rPr>
          <w:i/>
          <w:spacing w:val="-13"/>
        </w:rPr>
        <w:t> </w:t>
      </w:r>
      <w:r>
        <w:rPr>
          <w:i/>
        </w:rPr>
        <w:t>повериоцима</w:t>
      </w:r>
      <w:r>
        <w:rPr>
          <w:rFonts w:ascii="Times New Roman" w:hAnsi="Times New Roman"/>
          <w:i/>
        </w:rPr>
        <w:t>.</w:t>
      </w:r>
      <w:r>
        <w:rPr>
          <w:rFonts w:ascii="Times New Roman" w:hAnsi="Times New Roman"/>
          <w:b w:val="0"/>
          <w:i w:val="0"/>
        </w:rPr>
      </w:r>
    </w:p>
    <w:p>
      <w:pPr>
        <w:spacing w:line="240" w:lineRule="auto" w:before="0"/>
        <w:rPr>
          <w:rFonts w:ascii="Times New Roman" w:hAnsi="Times New Roman" w:cs="Times New Roman" w:eastAsia="Times New Roman" w:hint="default"/>
          <w:b/>
          <w:bCs/>
          <w:i/>
          <w:sz w:val="24"/>
          <w:szCs w:val="24"/>
        </w:rPr>
      </w:pPr>
    </w:p>
    <w:p>
      <w:pPr>
        <w:pStyle w:val="Heading1"/>
        <w:numPr>
          <w:ilvl w:val="2"/>
          <w:numId w:val="61"/>
        </w:numPr>
        <w:tabs>
          <w:tab w:pos="701" w:val="left" w:leader="none"/>
        </w:tabs>
        <w:spacing w:line="274" w:lineRule="exact" w:before="0" w:after="0"/>
        <w:ind w:left="700" w:right="0" w:hanging="540"/>
        <w:jc w:val="both"/>
        <w:rPr>
          <w:b w:val="0"/>
          <w:bCs w:val="0"/>
        </w:rPr>
      </w:pPr>
      <w:bookmarkStart w:name="_bookmark54" w:id="93"/>
      <w:bookmarkEnd w:id="93"/>
      <w:r>
        <w:rPr>
          <w:b w:val="0"/>
        </w:rPr>
      </w:r>
      <w:bookmarkStart w:name="_bookmark54" w:id="94"/>
      <w:bookmarkEnd w:id="94"/>
      <w:r>
        <w:rPr/>
        <w:t>Ак</w:t>
      </w:r>
      <w:r>
        <w:rPr/>
        <w:t>тива</w:t>
      </w:r>
      <w:r>
        <w:rPr>
          <w:b w:val="0"/>
        </w:rPr>
      </w:r>
    </w:p>
    <w:p>
      <w:pPr>
        <w:pStyle w:val="BodyText"/>
        <w:spacing w:line="240" w:lineRule="auto"/>
        <w:ind w:right="174" w:firstLine="566"/>
        <w:jc w:val="left"/>
      </w:pPr>
      <w:r>
        <w:rPr/>
        <w:t>Укупна нето актива исказана у Консолидованом Билансу стања града Ниша за 201</w:t>
      </w:r>
      <w:r>
        <w:rPr>
          <w:rFonts w:ascii="Times New Roman" w:hAnsi="Times New Roman"/>
        </w:rPr>
        <w:t>4. </w:t>
      </w:r>
      <w:r>
        <w:rPr/>
        <w:t>годину износи 25.812.437 хиљада</w:t>
      </w:r>
      <w:r>
        <w:rPr>
          <w:spacing w:val="-8"/>
        </w:rPr>
        <w:t> </w:t>
      </w:r>
      <w:r>
        <w:rPr/>
        <w:t>динара.</w:t>
      </w:r>
    </w:p>
    <w:p>
      <w:pPr>
        <w:pStyle w:val="Heading1"/>
        <w:numPr>
          <w:ilvl w:val="3"/>
          <w:numId w:val="61"/>
        </w:numPr>
        <w:tabs>
          <w:tab w:pos="986" w:val="left" w:leader="none"/>
        </w:tabs>
        <w:spacing w:line="274" w:lineRule="exact" w:before="5" w:after="0"/>
        <w:ind w:left="986" w:right="0" w:hanging="260"/>
        <w:jc w:val="left"/>
        <w:rPr>
          <w:b w:val="0"/>
          <w:bCs w:val="0"/>
        </w:rPr>
      </w:pPr>
      <w:r>
        <w:rPr/>
        <w:t>Нефинансијска</w:t>
      </w:r>
      <w:r>
        <w:rPr>
          <w:spacing w:val="-6"/>
        </w:rPr>
        <w:t> </w:t>
      </w:r>
      <w:r>
        <w:rPr/>
        <w:t>имовина</w:t>
      </w:r>
      <w:r>
        <w:rPr>
          <w:b w:val="0"/>
        </w:rPr>
      </w:r>
    </w:p>
    <w:p>
      <w:pPr>
        <w:pStyle w:val="BodyText"/>
        <w:spacing w:line="274" w:lineRule="exact"/>
        <w:ind w:left="726" w:right="141"/>
        <w:jc w:val="left"/>
      </w:pPr>
      <w:r>
        <w:rPr/>
        <w:t>Нефинансијска имовина исказана је у нето износу од 22.540.031 хиљаде</w:t>
      </w:r>
      <w:r>
        <w:rPr>
          <w:spacing w:val="-21"/>
        </w:rPr>
        <w:t> </w:t>
      </w:r>
      <w:r>
        <w:rPr/>
        <w:t>динара.</w:t>
      </w:r>
    </w:p>
    <w:p>
      <w:pPr>
        <w:spacing w:before="0"/>
        <w:ind w:left="160" w:right="141" w:firstLine="566"/>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Зграде и грађевински објекти, конто 011100 – </w:t>
      </w:r>
      <w:r>
        <w:rPr>
          <w:rFonts w:ascii="Times New Roman" w:hAnsi="Times New Roman" w:cs="Times New Roman" w:eastAsia="Times New Roman" w:hint="default"/>
          <w:sz w:val="24"/>
          <w:szCs w:val="24"/>
        </w:rPr>
        <w:t>Садашња вредност зграда и грађевинских објеката исказана је у износу од 10.716.403 хиљаде динара и то</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код:</w:t>
      </w:r>
    </w:p>
    <w:p>
      <w:pPr>
        <w:pStyle w:val="BodyText"/>
        <w:spacing w:line="240" w:lineRule="auto"/>
        <w:ind w:right="0"/>
        <w:jc w:val="both"/>
      </w:pPr>
      <w:r>
        <w:rPr>
          <w:rFonts w:ascii="Times New Roman" w:hAnsi="Times New Roman"/>
          <w:w w:val="99"/>
        </w:rPr>
      </w:r>
      <w:r>
        <w:rPr>
          <w:rFonts w:ascii="Times New Roman" w:hAnsi="Times New Roman"/>
          <w:u w:val="single" w:color="000000"/>
        </w:rPr>
        <w:t>-</w:t>
      </w:r>
      <w:r>
        <w:rPr>
          <w:u w:val="single" w:color="000000"/>
        </w:rPr>
        <w:t>Управе за финансије, изворне приходе локалне самоуправе и јавне набавке </w:t>
      </w:r>
      <w:r>
        <w:rPr/>
        <w:t>у износу    од</w:t>
      </w:r>
    </w:p>
    <w:p>
      <w:pPr>
        <w:pStyle w:val="BodyText"/>
        <w:spacing w:line="240" w:lineRule="auto"/>
        <w:ind w:right="0"/>
        <w:jc w:val="both"/>
      </w:pPr>
      <w:r>
        <w:rPr/>
        <w:t>77.208 хиљада</w:t>
      </w:r>
      <w:r>
        <w:rPr>
          <w:spacing w:val="-3"/>
        </w:rPr>
        <w:t> </w:t>
      </w:r>
      <w:r>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74" w:lineRule="exact" w:before="20"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Неправилно је код ове управе исказана вредност зграда и грађевинских објеката, уместо код управе надлежне за</w:t>
      </w:r>
      <w:r>
        <w:rPr>
          <w:rFonts w:ascii="Times New Roman" w:hAnsi="Times New Roman"/>
          <w:spacing w:val="-15"/>
          <w:sz w:val="24"/>
        </w:rPr>
        <w:t> </w:t>
      </w:r>
      <w:r>
        <w:rPr>
          <w:rFonts w:ascii="Times New Roman" w:hAnsi="Times New Roman"/>
          <w:sz w:val="24"/>
        </w:rPr>
        <w:t>имовину.</w:t>
      </w:r>
    </w:p>
    <w:p>
      <w:pPr>
        <w:pStyle w:val="ListParagraph"/>
        <w:numPr>
          <w:ilvl w:val="0"/>
          <w:numId w:val="9"/>
        </w:numPr>
        <w:tabs>
          <w:tab w:pos="303"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Помоћна књига наведених објеката води се у Служби за одржавање и информатичко</w:t>
      </w:r>
      <w:r>
        <w:rPr>
          <w:rFonts w:ascii="Times New Roman" w:hAnsi="Times New Roman"/>
          <w:sz w:val="24"/>
        </w:rPr>
        <w:t>- </w:t>
      </w:r>
      <w:r>
        <w:rPr>
          <w:rFonts w:ascii="Times New Roman" w:hAnsi="Times New Roman"/>
          <w:sz w:val="24"/>
        </w:rPr>
        <w:t>комуникационе технологије, а не у Управи за финансије, јавне приходе локалне самоуправе и јавне набавке, Одсек за рачуноводство, што је супротно члану </w:t>
      </w:r>
      <w:r>
        <w:rPr>
          <w:rFonts w:ascii="Times New Roman" w:hAnsi="Times New Roman"/>
          <w:sz w:val="24"/>
        </w:rPr>
        <w:t>4. </w:t>
      </w:r>
      <w:r>
        <w:rPr>
          <w:rFonts w:ascii="Times New Roman" w:hAnsi="Times New Roman"/>
          <w:sz w:val="24"/>
        </w:rPr>
        <w:t>Правилника о буџетском рачуноводству и рачуноводственим</w:t>
      </w:r>
      <w:r>
        <w:rPr>
          <w:rFonts w:ascii="Times New Roman" w:hAnsi="Times New Roman"/>
          <w:spacing w:val="-23"/>
          <w:sz w:val="24"/>
        </w:rPr>
        <w:t> </w:t>
      </w:r>
      <w:r>
        <w:rPr>
          <w:rFonts w:ascii="Times New Roman" w:hAnsi="Times New Roman"/>
          <w:sz w:val="24"/>
        </w:rPr>
        <w:t>политикама</w:t>
      </w:r>
      <w:r>
        <w:rPr>
          <w:rFonts w:ascii="Times New Roman" w:hAnsi="Times New Roman"/>
          <w:sz w:val="24"/>
        </w:rPr>
        <w:t>.</w:t>
      </w:r>
    </w:p>
    <w:p>
      <w:pPr>
        <w:pStyle w:val="ListParagraph"/>
        <w:numPr>
          <w:ilvl w:val="0"/>
          <w:numId w:val="9"/>
        </w:numPr>
        <w:tabs>
          <w:tab w:pos="303"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помоћној књизи, на картици основног средства под инвентарским бројем 14924 – управна зграда СО Ниш са грејањем (Управна зграда у улици Николе Пашића), није приказано увећање набавне вредности за улагања у зграду током 2014. године, већ је за вредност улагања увећана прва набавна вредност зграде (евидентирана под датумом 31.12.2000. године). Нису приказана ни ранија улагања по</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годинама.</w:t>
      </w:r>
    </w:p>
    <w:p>
      <w:pPr>
        <w:pStyle w:val="ListParagraph"/>
        <w:numPr>
          <w:ilvl w:val="0"/>
          <w:numId w:val="9"/>
        </w:numPr>
        <w:tabs>
          <w:tab w:pos="303" w:val="left" w:leader="none"/>
        </w:tabs>
        <w:spacing w:line="240" w:lineRule="auto" w:before="2"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Набавна вредност зграде у улици Николе Пашића увећана је за износ издатака насталих по привременој ситуацији током 2014. године за радове на вентилацији који нису завршени и примљени на употребу у 2014. години, тако да је ова позиција исказана више у износу од 8.230 хиљада динара. Истовремено, за исти износ мање је исказана </w:t>
      </w:r>
      <w:r>
        <w:rPr>
          <w:rFonts w:ascii="Times New Roman" w:hAnsi="Times New Roman"/>
          <w:spacing w:val="55"/>
          <w:sz w:val="24"/>
        </w:rPr>
        <w:t> </w:t>
      </w:r>
      <w:r>
        <w:rPr>
          <w:rFonts w:ascii="Times New Roman" w:hAnsi="Times New Roman"/>
          <w:sz w:val="24"/>
        </w:rPr>
        <w:t>вредност</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81"/>
        <w:jc w:val="both"/>
      </w:pPr>
      <w:r>
        <w:rPr/>
        <w:t>на конту 015100 – нефинансијска имовина у припреми, код надлежне Управе за имовину и инспекцијске</w:t>
      </w:r>
      <w:r>
        <w:rPr>
          <w:spacing w:val="-10"/>
        </w:rPr>
        <w:t> </w:t>
      </w:r>
      <w:r>
        <w:rPr/>
        <w:t>послове.</w:t>
      </w:r>
    </w:p>
    <w:p>
      <w:pPr>
        <w:pStyle w:val="Heading2"/>
        <w:spacing w:line="240" w:lineRule="auto"/>
        <w:ind w:right="172"/>
        <w:jc w:val="both"/>
        <w:rPr>
          <w:b w:val="0"/>
          <w:bCs w:val="0"/>
          <w:i w:val="0"/>
        </w:rPr>
      </w:pPr>
      <w:r>
        <w:rPr>
          <w:i/>
        </w:rPr>
        <w:t>Препоручује се одговорним лицима да обезбеде правилну примену одредби Уредбе о буџетском рачуноводству, Правилника о стандардном класификационом оквиру и контном плану за буџетски систем и интерних</w:t>
      </w:r>
      <w:r>
        <w:rPr>
          <w:i/>
          <w:spacing w:val="-18"/>
        </w:rPr>
        <w:t> </w:t>
      </w:r>
      <w:r>
        <w:rPr>
          <w:i/>
        </w:rPr>
        <w:t>аката.</w:t>
      </w:r>
      <w:r>
        <w:rPr>
          <w:b w:val="0"/>
          <w:i w:val="0"/>
        </w:rPr>
      </w:r>
    </w:p>
    <w:p>
      <w:pPr>
        <w:pStyle w:val="ListParagraph"/>
        <w:numPr>
          <w:ilvl w:val="0"/>
          <w:numId w:val="12"/>
        </w:numPr>
        <w:tabs>
          <w:tab w:pos="389" w:val="left" w:leader="none"/>
        </w:tabs>
        <w:spacing w:line="240" w:lineRule="auto" w:before="0" w:after="0"/>
        <w:ind w:left="160" w:right="172"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образовање </w:t>
      </w:r>
      <w:r>
        <w:rPr>
          <w:rFonts w:ascii="Times New Roman" w:hAnsi="Times New Roman"/>
          <w:sz w:val="24"/>
        </w:rPr>
        <w:t>у износу од 302.546 хиљада динара, по основу зграда и </w:t>
      </w:r>
      <w:r>
        <w:rPr>
          <w:rFonts w:ascii="Times New Roman" w:hAnsi="Times New Roman"/>
          <w:sz w:val="24"/>
        </w:rPr>
        <w:t>грађевинских објеката исказаних код: ПУ у износу од 298.300 хиљада динара и Дечијег центра у износу од 4.246 хиљада</w:t>
      </w:r>
      <w:r>
        <w:rPr>
          <w:rFonts w:ascii="Times New Roman" w:hAnsi="Times New Roman"/>
          <w:spacing w:val="-9"/>
          <w:sz w:val="24"/>
        </w:rPr>
        <w:t> </w:t>
      </w:r>
      <w:r>
        <w:rPr>
          <w:rFonts w:ascii="Times New Roman" w:hAnsi="Times New Roman"/>
          <w:sz w:val="24"/>
        </w:rPr>
        <w:t>динара</w:t>
      </w:r>
      <w:r>
        <w:rPr>
          <w:rFonts w:ascii="Times New Roman" w:hAnsi="Times New Roman"/>
          <w:sz w:val="24"/>
        </w:rPr>
        <w:t>.</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ПУ Пчелица у својим пословним књигама има евидентиране зграде, које су према евиденцији непокретности у својини града Ниша и требало би да се воде у пословним књигама</w:t>
      </w:r>
      <w:r>
        <w:rPr>
          <w:rFonts w:ascii="Times New Roman" w:hAnsi="Times New Roman" w:cs="Times New Roman" w:eastAsia="Times New Roman" w:hint="default"/>
          <w:spacing w:val="25"/>
          <w:sz w:val="24"/>
          <w:szCs w:val="24"/>
        </w:rPr>
        <w:t> </w:t>
      </w:r>
      <w:r>
        <w:rPr>
          <w:rFonts w:ascii="Times New Roman" w:hAnsi="Times New Roman" w:cs="Times New Roman" w:eastAsia="Times New Roman" w:hint="default"/>
          <w:sz w:val="24"/>
          <w:szCs w:val="24"/>
        </w:rPr>
        <w:t>града</w:t>
      </w:r>
      <w:r>
        <w:rPr>
          <w:rFonts w:ascii="Times New Roman" w:hAnsi="Times New Roman" w:cs="Times New Roman" w:eastAsia="Times New Roman" w:hint="default"/>
          <w:spacing w:val="26"/>
          <w:sz w:val="24"/>
          <w:szCs w:val="24"/>
        </w:rPr>
        <w:t> </w:t>
      </w:r>
      <w:r>
        <w:rPr>
          <w:rFonts w:ascii="Times New Roman" w:hAnsi="Times New Roman" w:cs="Times New Roman" w:eastAsia="Times New Roman" w:hint="default"/>
          <w:sz w:val="24"/>
          <w:szCs w:val="24"/>
        </w:rPr>
        <w:t>и</w:t>
      </w:r>
      <w:r>
        <w:rPr>
          <w:rFonts w:ascii="Times New Roman" w:hAnsi="Times New Roman" w:cs="Times New Roman" w:eastAsia="Times New Roman" w:hint="default"/>
          <w:spacing w:val="27"/>
          <w:sz w:val="24"/>
          <w:szCs w:val="24"/>
        </w:rPr>
        <w:t> </w:t>
      </w:r>
      <w:r>
        <w:rPr>
          <w:rFonts w:ascii="Times New Roman" w:hAnsi="Times New Roman" w:cs="Times New Roman" w:eastAsia="Times New Roman" w:hint="default"/>
          <w:sz w:val="24"/>
          <w:szCs w:val="24"/>
        </w:rPr>
        <w:t>то:</w:t>
      </w:r>
      <w:r>
        <w:rPr>
          <w:rFonts w:ascii="Times New Roman" w:hAnsi="Times New Roman" w:cs="Times New Roman" w:eastAsia="Times New Roman" w:hint="default"/>
          <w:spacing w:val="28"/>
          <w:sz w:val="24"/>
          <w:szCs w:val="24"/>
        </w:rPr>
        <w:t> </w:t>
      </w:r>
      <w:r>
        <w:rPr>
          <w:rFonts w:ascii="Times New Roman" w:hAnsi="Times New Roman" w:cs="Times New Roman" w:eastAsia="Times New Roman" w:hint="default"/>
          <w:sz w:val="24"/>
          <w:szCs w:val="24"/>
        </w:rPr>
        <w:t>зграде</w:t>
      </w:r>
      <w:r>
        <w:rPr>
          <w:rFonts w:ascii="Times New Roman" w:hAnsi="Times New Roman" w:cs="Times New Roman" w:eastAsia="Times New Roman" w:hint="default"/>
          <w:spacing w:val="25"/>
          <w:sz w:val="24"/>
          <w:szCs w:val="24"/>
        </w:rPr>
        <w:t> </w:t>
      </w:r>
      <w:r>
        <w:rPr>
          <w:rFonts w:ascii="Times New Roman" w:hAnsi="Times New Roman" w:cs="Times New Roman" w:eastAsia="Times New Roman" w:hint="default"/>
          <w:sz w:val="24"/>
          <w:szCs w:val="24"/>
        </w:rPr>
        <w:t>вртића</w:t>
      </w:r>
      <w:r>
        <w:rPr>
          <w:rFonts w:ascii="Times New Roman" w:hAnsi="Times New Roman" w:cs="Times New Roman" w:eastAsia="Times New Roman" w:hint="default"/>
          <w:spacing w:val="25"/>
          <w:sz w:val="24"/>
          <w:szCs w:val="24"/>
        </w:rPr>
        <w:t> </w:t>
      </w:r>
      <w:r>
        <w:rPr>
          <w:rFonts w:ascii="Times New Roman" w:hAnsi="Times New Roman" w:cs="Times New Roman" w:eastAsia="Times New Roman" w:hint="default"/>
          <w:sz w:val="24"/>
          <w:szCs w:val="24"/>
        </w:rPr>
        <w:t>„Бубамара“,</w:t>
      </w:r>
      <w:r>
        <w:rPr>
          <w:rFonts w:ascii="Times New Roman" w:hAnsi="Times New Roman" w:cs="Times New Roman" w:eastAsia="Times New Roman" w:hint="default"/>
          <w:spacing w:val="26"/>
          <w:sz w:val="24"/>
          <w:szCs w:val="24"/>
        </w:rPr>
        <w:t> </w:t>
      </w:r>
      <w:r>
        <w:rPr>
          <w:rFonts w:ascii="Times New Roman" w:hAnsi="Times New Roman" w:cs="Times New Roman" w:eastAsia="Times New Roman" w:hint="default"/>
          <w:sz w:val="24"/>
          <w:szCs w:val="24"/>
        </w:rPr>
        <w:t>„Лептирић“,</w:t>
      </w:r>
      <w:r>
        <w:rPr>
          <w:rFonts w:ascii="Times New Roman" w:hAnsi="Times New Roman" w:cs="Times New Roman" w:eastAsia="Times New Roman" w:hint="default"/>
          <w:spacing w:val="26"/>
          <w:sz w:val="24"/>
          <w:szCs w:val="24"/>
        </w:rPr>
        <w:t> </w:t>
      </w:r>
      <w:r>
        <w:rPr>
          <w:rFonts w:ascii="Times New Roman" w:hAnsi="Times New Roman" w:cs="Times New Roman" w:eastAsia="Times New Roman" w:hint="default"/>
          <w:sz w:val="24"/>
          <w:szCs w:val="24"/>
        </w:rPr>
        <w:t>„Невен“,</w:t>
      </w:r>
      <w:r>
        <w:rPr>
          <w:rFonts w:ascii="Times New Roman" w:hAnsi="Times New Roman" w:cs="Times New Roman" w:eastAsia="Times New Roman" w:hint="default"/>
          <w:spacing w:val="26"/>
          <w:sz w:val="24"/>
          <w:szCs w:val="24"/>
        </w:rPr>
        <w:t> </w:t>
      </w:r>
      <w:r>
        <w:rPr>
          <w:rFonts w:ascii="Times New Roman" w:hAnsi="Times New Roman" w:cs="Times New Roman" w:eastAsia="Times New Roman" w:hint="default"/>
          <w:sz w:val="24"/>
          <w:szCs w:val="24"/>
        </w:rPr>
        <w:t>„Плави</w:t>
      </w:r>
      <w:r>
        <w:rPr>
          <w:rFonts w:ascii="Times New Roman" w:hAnsi="Times New Roman" w:cs="Times New Roman" w:eastAsia="Times New Roman" w:hint="default"/>
          <w:spacing w:val="27"/>
          <w:sz w:val="24"/>
          <w:szCs w:val="24"/>
        </w:rPr>
        <w:t> </w:t>
      </w:r>
      <w:r>
        <w:rPr>
          <w:rFonts w:ascii="Times New Roman" w:hAnsi="Times New Roman" w:cs="Times New Roman" w:eastAsia="Times New Roman" w:hint="default"/>
          <w:sz w:val="24"/>
          <w:szCs w:val="24"/>
        </w:rPr>
        <w:t>чуперак“,</w:t>
      </w:r>
    </w:p>
    <w:p>
      <w:pPr>
        <w:pStyle w:val="BodyText"/>
        <w:spacing w:line="240" w:lineRule="auto"/>
        <w:ind w:right="182"/>
        <w:jc w:val="both"/>
      </w:pPr>
      <w:r>
        <w:rPr/>
        <w:t>„Бисер“, доградња вртића „Петар Пан“, радови на вртићу „Шврћа“ и помоћни објекат, кухиња „Младост“ у укупном износу од 127.397 хиљада</w:t>
      </w:r>
      <w:r>
        <w:rPr>
          <w:spacing w:val="-20"/>
        </w:rPr>
        <w:t> </w:t>
      </w:r>
      <w:r>
        <w:rPr/>
        <w:t>динара.</w:t>
      </w:r>
    </w:p>
    <w:p>
      <w:pPr>
        <w:pStyle w:val="ListParagraph"/>
        <w:numPr>
          <w:ilvl w:val="0"/>
          <w:numId w:val="9"/>
        </w:numPr>
        <w:tabs>
          <w:tab w:pos="303" w:val="left" w:leader="none"/>
        </w:tabs>
        <w:spacing w:line="274" w:lineRule="exact" w:before="24" w:after="0"/>
        <w:ind w:left="160" w:right="18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ПУ Пчелица у својим пословним књигама има евидентиране зграде за које не поседује доказ  о праву на њима  и  то:  зграде вртића „Бамби“, „Бајка“, „Црвенкапа“,  </w:t>
      </w:r>
      <w:r>
        <w:rPr>
          <w:rFonts w:ascii="Times New Roman" w:hAnsi="Times New Roman" w:cs="Times New Roman" w:eastAsia="Times New Roman" w:hint="default"/>
          <w:spacing w:val="1"/>
          <w:sz w:val="24"/>
          <w:szCs w:val="24"/>
        </w:rPr>
        <w:t> </w:t>
      </w:r>
      <w:r>
        <w:rPr>
          <w:rFonts w:ascii="Times New Roman" w:hAnsi="Times New Roman" w:cs="Times New Roman" w:eastAsia="Times New Roman" w:hint="default"/>
          <w:sz w:val="24"/>
          <w:szCs w:val="24"/>
        </w:rPr>
        <w:t>„Маслачак“</w:t>
      </w:r>
    </w:p>
    <w:p>
      <w:pPr>
        <w:pStyle w:val="BodyText"/>
        <w:spacing w:line="273" w:lineRule="exact"/>
        <w:ind w:right="0"/>
        <w:jc w:val="both"/>
      </w:pPr>
      <w:r>
        <w:rPr/>
        <w:t>„Славуј“ и „Лане“ у укупном износу од 81.756 хиљада</w:t>
      </w:r>
      <w:r>
        <w:rPr>
          <w:spacing w:val="-19"/>
        </w:rPr>
        <w:t> </w:t>
      </w:r>
      <w:r>
        <w:rPr/>
        <w:t>динара.</w:t>
      </w:r>
    </w:p>
    <w:p>
      <w:pPr>
        <w:pStyle w:val="ListParagraph"/>
        <w:numPr>
          <w:ilvl w:val="0"/>
          <w:numId w:val="9"/>
        </w:numPr>
        <w:tabs>
          <w:tab w:pos="303" w:val="left" w:leader="none"/>
        </w:tabs>
        <w:spacing w:line="292" w:lineRule="exact" w:before="2"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Вредност зграда и грађевинских објеката код ПУ Пчелица више је исказана  у износу</w:t>
      </w:r>
      <w:r>
        <w:rPr>
          <w:rFonts w:ascii="Times New Roman" w:hAnsi="Times New Roman"/>
          <w:spacing w:val="1"/>
          <w:sz w:val="24"/>
        </w:rPr>
        <w:t> </w:t>
      </w:r>
      <w:r>
        <w:rPr>
          <w:rFonts w:ascii="Times New Roman" w:hAnsi="Times New Roman"/>
          <w:sz w:val="24"/>
        </w:rPr>
        <w:t>од</w:t>
      </w:r>
    </w:p>
    <w:p>
      <w:pPr>
        <w:pStyle w:val="BodyText"/>
        <w:spacing w:line="240" w:lineRule="auto"/>
        <w:ind w:right="182"/>
        <w:jc w:val="both"/>
      </w:pPr>
      <w:r>
        <w:rPr/>
        <w:t>1.507 хиљада динара и то за садашњу вредност 20 кавеза за контејнере при вртићима, једног кавеза при кухињи и лифта у вртићу „Вилин град“. Истовремено, мање је исказана вредност на конту 011300 – остале некретнине и</w:t>
      </w:r>
      <w:r>
        <w:rPr>
          <w:spacing w:val="-15"/>
        </w:rPr>
        <w:t> </w:t>
      </w:r>
      <w:r>
        <w:rPr/>
        <w:t>опрема.</w:t>
      </w:r>
    </w:p>
    <w:p>
      <w:pPr>
        <w:pStyle w:val="ListParagraph"/>
        <w:numPr>
          <w:ilvl w:val="0"/>
          <w:numId w:val="9"/>
        </w:numPr>
        <w:tabs>
          <w:tab w:pos="303"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Код ПУ Пчелица садашња вредност зграда и објеката неправилно је исказана за износ који у поступку ревизије нисмо могли да утврдимо, услед неправилно обрачунате амортизације у ранијим годинама јер је на картицама основних средстава исказан обрачун амортизације за један месец и то јануар 2014. године а који је у главној књизи евидентиран у 2013. години збирно са обрачунатом амортизацијом за 2013.</w:t>
      </w:r>
      <w:r>
        <w:rPr>
          <w:rFonts w:ascii="Times New Roman" w:hAnsi="Times New Roman"/>
          <w:spacing w:val="-19"/>
          <w:sz w:val="24"/>
        </w:rPr>
        <w:t> </w:t>
      </w:r>
      <w:r>
        <w:rPr>
          <w:rFonts w:ascii="Times New Roman" w:hAnsi="Times New Roman"/>
          <w:sz w:val="24"/>
        </w:rPr>
        <w:t>годину</w:t>
      </w:r>
      <w:r>
        <w:rPr>
          <w:rFonts w:ascii="Times New Roman" w:hAnsi="Times New Roman"/>
          <w:sz w:val="24"/>
        </w:rPr>
        <w:t>.</w:t>
      </w:r>
    </w:p>
    <w:p>
      <w:pPr>
        <w:pStyle w:val="ListParagraph"/>
        <w:numPr>
          <w:ilvl w:val="0"/>
          <w:numId w:val="9"/>
        </w:numPr>
        <w:tabs>
          <w:tab w:pos="303" w:val="left" w:leader="none"/>
        </w:tabs>
        <w:spacing w:line="274" w:lineRule="exact" w:before="24" w:after="0"/>
        <w:ind w:left="160" w:right="184" w:firstLine="0"/>
        <w:jc w:val="both"/>
        <w:rPr>
          <w:rFonts w:ascii="Times New Roman" w:hAnsi="Times New Roman" w:cs="Times New Roman" w:eastAsia="Times New Roman" w:hint="default"/>
          <w:sz w:val="24"/>
          <w:szCs w:val="24"/>
        </w:rPr>
      </w:pPr>
      <w:r>
        <w:rPr>
          <w:rFonts w:ascii="Times New Roman" w:hAnsi="Times New Roman"/>
          <w:sz w:val="24"/>
        </w:rPr>
        <w:t>У главној књизи ПУ Пчелица евидентирање података из помоћне књиге основних средстава врши се без њихове претходне провере и</w:t>
      </w:r>
      <w:r>
        <w:rPr>
          <w:rFonts w:ascii="Times New Roman" w:hAnsi="Times New Roman"/>
          <w:spacing w:val="-12"/>
          <w:sz w:val="24"/>
        </w:rPr>
        <w:t> </w:t>
      </w:r>
      <w:r>
        <w:rPr>
          <w:rFonts w:ascii="Times New Roman" w:hAnsi="Times New Roman"/>
          <w:sz w:val="24"/>
        </w:rPr>
        <w:t>анализе.</w:t>
      </w:r>
    </w:p>
    <w:p>
      <w:pPr>
        <w:pStyle w:val="ListParagraph"/>
        <w:numPr>
          <w:ilvl w:val="0"/>
          <w:numId w:val="9"/>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Ова позиција мање је исказана код ПУ Пчелица за износ од 2.284 хиљаде динара за издатке за капитално одржавање објеката у 2014. години, што је супротно члану </w:t>
      </w:r>
      <w:r>
        <w:rPr>
          <w:rFonts w:ascii="Times New Roman" w:hAnsi="Times New Roman"/>
          <w:sz w:val="24"/>
        </w:rPr>
        <w:t>9. </w:t>
      </w:r>
      <w:r>
        <w:rPr>
          <w:rFonts w:ascii="Times New Roman" w:hAnsi="Times New Roman"/>
          <w:sz w:val="24"/>
        </w:rPr>
        <w:t>Уредбе о буџетском рачуноводству и Правилнику о стандардном класификационом оквиру и контном плану за буџетски систем. Истовремено, за исти износ мање је исказана позиција 311100 </w:t>
      </w:r>
      <w:r>
        <w:rPr>
          <w:rFonts w:ascii="Times New Roman" w:hAnsi="Times New Roman"/>
          <w:sz w:val="24"/>
        </w:rPr>
        <w:t>- </w:t>
      </w:r>
      <w:r>
        <w:rPr>
          <w:rFonts w:ascii="Times New Roman" w:hAnsi="Times New Roman"/>
          <w:sz w:val="24"/>
        </w:rPr>
        <w:t>нефинансијска имовина у сталним</w:t>
      </w:r>
      <w:r>
        <w:rPr>
          <w:rFonts w:ascii="Times New Roman" w:hAnsi="Times New Roman"/>
          <w:spacing w:val="-26"/>
          <w:sz w:val="24"/>
        </w:rPr>
        <w:t> </w:t>
      </w:r>
      <w:r>
        <w:rPr>
          <w:rFonts w:ascii="Times New Roman" w:hAnsi="Times New Roman"/>
          <w:sz w:val="24"/>
        </w:rPr>
        <w:t>средствима.</w:t>
      </w:r>
    </w:p>
    <w:p>
      <w:pPr>
        <w:pStyle w:val="ListParagraph"/>
        <w:numPr>
          <w:ilvl w:val="0"/>
          <w:numId w:val="9"/>
        </w:numPr>
        <w:tabs>
          <w:tab w:pos="303" w:val="left" w:leader="none"/>
        </w:tabs>
        <w:spacing w:line="237" w:lineRule="auto" w:before="4"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У пословним књигама Дечијег центра евидентиране су зграде и грађевински објекти без доказа о праву на њима. Такође, нисмо се уверили у тачност исказане вредности ове позиције.</w:t>
      </w:r>
    </w:p>
    <w:p>
      <w:pPr>
        <w:pStyle w:val="ListParagraph"/>
        <w:numPr>
          <w:ilvl w:val="0"/>
          <w:numId w:val="9"/>
        </w:numPr>
        <w:tabs>
          <w:tab w:pos="303" w:val="left" w:leader="none"/>
        </w:tabs>
        <w:spacing w:line="274" w:lineRule="exact" w:before="24" w:after="0"/>
        <w:ind w:left="160" w:right="185" w:firstLine="0"/>
        <w:jc w:val="both"/>
        <w:rPr>
          <w:rFonts w:ascii="Times New Roman" w:hAnsi="Times New Roman" w:cs="Times New Roman" w:eastAsia="Times New Roman" w:hint="default"/>
          <w:sz w:val="24"/>
          <w:szCs w:val="24"/>
        </w:rPr>
      </w:pPr>
      <w:r>
        <w:rPr>
          <w:rFonts w:ascii="Times New Roman" w:hAnsi="Times New Roman"/>
          <w:sz w:val="24"/>
        </w:rPr>
        <w:t>Дечији центар нема помоћну књигу основних средстава, што је супротно члану 14. Уредбе о буџетском</w:t>
      </w:r>
      <w:r>
        <w:rPr>
          <w:rFonts w:ascii="Times New Roman" w:hAnsi="Times New Roman"/>
          <w:spacing w:val="-11"/>
          <w:sz w:val="24"/>
        </w:rPr>
        <w:t> </w:t>
      </w:r>
      <w:r>
        <w:rPr>
          <w:rFonts w:ascii="Times New Roman" w:hAnsi="Times New Roman"/>
          <w:sz w:val="24"/>
        </w:rPr>
        <w:t>рачуноводству.</w:t>
      </w:r>
    </w:p>
    <w:p>
      <w:pPr>
        <w:pStyle w:val="Heading2"/>
        <w:spacing w:line="240" w:lineRule="auto" w:before="2"/>
        <w:ind w:right="182"/>
        <w:jc w:val="both"/>
        <w:rPr>
          <w:b w:val="0"/>
          <w:bCs w:val="0"/>
          <w:i w:val="0"/>
        </w:rPr>
      </w:pPr>
      <w:r>
        <w:rPr>
          <w:i/>
        </w:rPr>
        <w:t>Препоручује се одговорним лицима да у пословним књигама евидентирају зграде и грађевинске објекте за које поседују доказ о праву на њима, правилно врше обрачун амортизације основних средстава и успоставе помоћну евиденцију основних средстава.</w:t>
      </w:r>
      <w:r>
        <w:rPr>
          <w:b w:val="0"/>
          <w:i w:val="0"/>
        </w:rPr>
      </w:r>
    </w:p>
    <w:p>
      <w:pPr>
        <w:pStyle w:val="BodyText"/>
        <w:spacing w:line="240" w:lineRule="auto"/>
        <w:ind w:right="173"/>
        <w:jc w:val="both"/>
      </w:pPr>
      <w:r>
        <w:rPr/>
        <w:pict>
          <v:group style="position:absolute;margin-left:81.984001pt;margin-top:12.823106pt;width:95.7pt;height:.1pt;mso-position-horizontal-relative:page;mso-position-vertical-relative:paragraph;z-index:-772720" coordorigin="1640,256" coordsize="1914,2">
            <v:shape style="position:absolute;left:1640;top:256;width:1914;height:2" coordorigin="1640,256" coordsize="1914,0" path="m1640,256l3553,256e" filled="false" stroked="true" strokeweight=".60004pt" strokecolor="#000000">
              <v:path arrowok="t"/>
            </v:shape>
            <w10:wrap type="none"/>
          </v:group>
        </w:pict>
      </w:r>
      <w:r>
        <w:rPr>
          <w:rFonts w:ascii="Times New Roman" w:hAnsi="Times New Roman"/>
        </w:rPr>
        <w:t>-</w:t>
      </w:r>
      <w:r>
        <w:rPr/>
        <w:t>Управе за културу у износу од 207.392 хиљаде динара по основу зграда и грађевинских објеката исказаних код: Галерије савремене ликовне уметности у износу од 7.080 хиљада динара, Народне библиотеке у износу од 5.581 хиљаде динара, Народног музеја у износу од  30.546  хиљада  динара,  Народног  позоришта  у  износу  од  </w:t>
      </w:r>
      <w:r>
        <w:rPr>
          <w:rFonts w:ascii="Times New Roman" w:hAnsi="Times New Roman"/>
        </w:rPr>
        <w:t>121.645  </w:t>
      </w:r>
      <w:r>
        <w:rPr/>
        <w:t>хиљада </w:t>
      </w:r>
      <w:r>
        <w:rPr>
          <w:spacing w:val="3"/>
        </w:rPr>
        <w:t> </w:t>
      </w:r>
      <w:r>
        <w:rPr/>
        <w:t>динара,</w:t>
      </w:r>
    </w:p>
    <w:p>
      <w:pPr>
        <w:spacing w:after="0" w:line="240" w:lineRule="auto"/>
        <w:jc w:val="both"/>
        <w:sectPr>
          <w:pgSz w:w="12240" w:h="15840"/>
          <w:pgMar w:header="740" w:footer="1274" w:top="1280" w:bottom="1460" w:left="1400" w:right="1260"/>
        </w:sectPr>
      </w:pPr>
    </w:p>
    <w:p>
      <w:pPr>
        <w:pStyle w:val="BodyText"/>
        <w:spacing w:line="240" w:lineRule="auto" w:before="122"/>
        <w:ind w:right="181"/>
        <w:jc w:val="both"/>
      </w:pPr>
      <w:r>
        <w:rPr/>
        <w:t>Нишког симфонијског оркестра у износу од 264 хиљаде динара, Позоришта лутака у износу од 6.879 хиљада динара, Историјског архива у износу од </w:t>
      </w:r>
      <w:r>
        <w:rPr>
          <w:rFonts w:ascii="Times New Roman" w:hAnsi="Times New Roman"/>
        </w:rPr>
        <w:t>35.397 </w:t>
      </w:r>
      <w:r>
        <w:rPr/>
        <w:t>хиљад</w:t>
      </w:r>
      <w:r>
        <w:rPr>
          <w:rFonts w:ascii="Times New Roman" w:hAnsi="Times New Roman"/>
        </w:rPr>
        <w:t>a</w:t>
      </w:r>
      <w:r>
        <w:rPr>
          <w:rFonts w:ascii="Times New Roman" w:hAnsi="Times New Roman"/>
          <w:spacing w:val="-16"/>
        </w:rPr>
        <w:t> </w:t>
      </w:r>
      <w:r>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74" w:lineRule="exact" w:before="20" w:after="0"/>
        <w:ind w:left="160" w:right="183" w:firstLine="0"/>
        <w:jc w:val="both"/>
        <w:rPr>
          <w:rFonts w:ascii="Times New Roman" w:hAnsi="Times New Roman" w:cs="Times New Roman" w:eastAsia="Times New Roman" w:hint="default"/>
          <w:sz w:val="24"/>
          <w:szCs w:val="24"/>
        </w:rPr>
      </w:pPr>
      <w:r>
        <w:rPr>
          <w:rFonts w:ascii="Times New Roman" w:hAnsi="Times New Roman"/>
          <w:sz w:val="24"/>
        </w:rPr>
        <w:t>Галерија савремене ликовне уметности за просторе које користи нема важеће уговоре са Градом о уступању на коришћење пословног</w:t>
      </w:r>
      <w:r>
        <w:rPr>
          <w:rFonts w:ascii="Times New Roman" w:hAnsi="Times New Roman"/>
          <w:spacing w:val="-13"/>
          <w:sz w:val="24"/>
        </w:rPr>
        <w:t> </w:t>
      </w:r>
      <w:r>
        <w:rPr>
          <w:rFonts w:ascii="Times New Roman" w:hAnsi="Times New Roman"/>
          <w:sz w:val="24"/>
        </w:rPr>
        <w:t>простора.</w:t>
      </w:r>
    </w:p>
    <w:p>
      <w:pPr>
        <w:pStyle w:val="ListParagraph"/>
        <w:numPr>
          <w:ilvl w:val="0"/>
          <w:numId w:val="9"/>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Галерија савремене ликовне уметности води у пословним књигама капитална улагања у периоду од 2005. до 2013. године, у објекте који су јој дати на коришћење без права  уписа у јавне књиге, уместо да се улагања воде код Управе надлежне за имовину. За извођење радова на капиталном одржавању објеката Галерија има сагласности градоначелника и сва улагања су предвиђена годишњим програмима капиталних инвестирања у нефинансијску</w:t>
      </w:r>
      <w:r>
        <w:rPr>
          <w:rFonts w:ascii="Times New Roman" w:hAnsi="Times New Roman"/>
          <w:spacing w:val="-18"/>
          <w:sz w:val="24"/>
        </w:rPr>
        <w:t> </w:t>
      </w:r>
      <w:r>
        <w:rPr>
          <w:rFonts w:ascii="Times New Roman" w:hAnsi="Times New Roman"/>
          <w:sz w:val="24"/>
        </w:rPr>
        <w:t>имовину.</w:t>
      </w:r>
    </w:p>
    <w:p>
      <w:pPr>
        <w:pStyle w:val="ListParagraph"/>
        <w:numPr>
          <w:ilvl w:val="0"/>
          <w:numId w:val="9"/>
        </w:numPr>
        <w:tabs>
          <w:tab w:pos="303" w:val="left" w:leader="none"/>
        </w:tabs>
        <w:spacing w:line="274" w:lineRule="exact" w:before="24"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Галерија савремене ликовне уметности не води помоћне књиге основних средстава, што је супротно члану 14. Уредбе о буџетском</w:t>
      </w:r>
      <w:r>
        <w:rPr>
          <w:rFonts w:ascii="Times New Roman" w:hAnsi="Times New Roman"/>
          <w:spacing w:val="-16"/>
          <w:sz w:val="24"/>
        </w:rPr>
        <w:t> </w:t>
      </w:r>
      <w:r>
        <w:rPr>
          <w:rFonts w:ascii="Times New Roman" w:hAnsi="Times New Roman"/>
          <w:sz w:val="24"/>
        </w:rPr>
        <w:t>рачуноводству</w:t>
      </w:r>
      <w:r>
        <w:rPr>
          <w:rFonts w:ascii="Times New Roman" w:hAnsi="Times New Roman"/>
          <w:sz w:val="24"/>
        </w:rPr>
        <w:t>.</w:t>
      </w:r>
    </w:p>
    <w:p>
      <w:pPr>
        <w:pStyle w:val="ListParagraph"/>
        <w:numPr>
          <w:ilvl w:val="0"/>
          <w:numId w:val="9"/>
        </w:numPr>
        <w:tabs>
          <w:tab w:pos="303" w:val="left" w:leader="none"/>
        </w:tabs>
        <w:spacing w:line="240" w:lineRule="auto" w:before="0"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Код Галерије савремене ликовне уметности није вршен обрачун амортизације грађевинских објеката, па је вредност зграда и грађевинских објеката исказана више за износ који у поступку ревизије нисмо могли да утврдимо, што је супротно Уредби о буџетском рачуноводству и Правилнику о номенклатури нематеријалних улагања и основних средстава са стопама</w:t>
      </w:r>
      <w:r>
        <w:rPr>
          <w:rFonts w:ascii="Times New Roman" w:hAnsi="Times New Roman"/>
          <w:spacing w:val="-9"/>
          <w:sz w:val="24"/>
        </w:rPr>
        <w:t> </w:t>
      </w:r>
      <w:r>
        <w:rPr>
          <w:rFonts w:ascii="Times New Roman" w:hAnsi="Times New Roman"/>
          <w:sz w:val="24"/>
        </w:rPr>
        <w:t>амортизације</w:t>
      </w:r>
      <w:r>
        <w:rPr>
          <w:rFonts w:ascii="Times New Roman" w:hAnsi="Times New Roman"/>
          <w:sz w:val="24"/>
        </w:rPr>
        <w:t>.</w:t>
      </w:r>
    </w:p>
    <w:p>
      <w:pPr>
        <w:pStyle w:val="ListParagraph"/>
        <w:numPr>
          <w:ilvl w:val="0"/>
          <w:numId w:val="9"/>
        </w:numPr>
        <w:tabs>
          <w:tab w:pos="303" w:val="left" w:leader="none"/>
        </w:tabs>
        <w:spacing w:line="240" w:lineRule="auto" w:before="2" w:after="0"/>
        <w:ind w:left="160" w:right="171" w:firstLine="0"/>
        <w:jc w:val="both"/>
        <w:rPr>
          <w:rFonts w:ascii="Times New Roman" w:hAnsi="Times New Roman" w:cs="Times New Roman" w:eastAsia="Times New Roman" w:hint="default"/>
          <w:sz w:val="24"/>
          <w:szCs w:val="24"/>
        </w:rPr>
      </w:pPr>
      <w:r>
        <w:rPr>
          <w:rFonts w:ascii="Times New Roman" w:hAnsi="Times New Roman"/>
          <w:sz w:val="24"/>
        </w:rPr>
        <w:t>Народно позориште</w:t>
      </w:r>
      <w:r>
        <w:rPr>
          <w:rFonts w:ascii="Times New Roman" w:hAnsi="Times New Roman"/>
          <w:sz w:val="24"/>
        </w:rPr>
        <w:t>, </w:t>
      </w:r>
      <w:r>
        <w:rPr>
          <w:rFonts w:ascii="Times New Roman" w:hAnsi="Times New Roman"/>
          <w:sz w:val="24"/>
        </w:rPr>
        <w:t>Нишки симфонијски оркестар</w:t>
      </w:r>
      <w:r>
        <w:rPr>
          <w:rFonts w:ascii="Times New Roman" w:hAnsi="Times New Roman"/>
          <w:sz w:val="24"/>
        </w:rPr>
        <w:t>, </w:t>
      </w:r>
      <w:r>
        <w:rPr>
          <w:rFonts w:ascii="Times New Roman" w:hAnsi="Times New Roman"/>
          <w:sz w:val="24"/>
        </w:rPr>
        <w:t>Историјски архив у својим пословним књигама воде зграде за коју поседују акта из периода пре ступања на снагу Закона о јавној својини. Доношењем Закона о јавној својини престаје да важи Закон о средствима у својини Републике Србије по чему је Република била једини власник, а то право је дато јединици локалне самоуправе на чијој се територији налази поменути објекат, како је прописано чланом 86. Закона о јавној</w:t>
      </w:r>
      <w:r>
        <w:rPr>
          <w:rFonts w:ascii="Times New Roman" w:hAnsi="Times New Roman"/>
          <w:spacing w:val="-13"/>
          <w:sz w:val="24"/>
        </w:rPr>
        <w:t> </w:t>
      </w:r>
      <w:r>
        <w:rPr>
          <w:rFonts w:ascii="Times New Roman" w:hAnsi="Times New Roman"/>
          <w:sz w:val="24"/>
        </w:rPr>
        <w:t>својини.</w:t>
      </w:r>
    </w:p>
    <w:p>
      <w:pPr>
        <w:pStyle w:val="ListParagraph"/>
        <w:numPr>
          <w:ilvl w:val="0"/>
          <w:numId w:val="9"/>
        </w:numPr>
        <w:tabs>
          <w:tab w:pos="303" w:val="left" w:leader="none"/>
        </w:tabs>
        <w:spacing w:line="276" w:lineRule="exact" w:before="22"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Позориште лутака Ниш у својим пословним књигама води зграду културе површине 991м</w:t>
      </w:r>
      <w:r>
        <w:rPr>
          <w:rFonts w:ascii="Times New Roman" w:hAnsi="Times New Roman"/>
          <w:position w:val="11"/>
          <w:sz w:val="16"/>
        </w:rPr>
        <w:t>2 </w:t>
      </w:r>
      <w:r>
        <w:rPr>
          <w:rFonts w:ascii="Times New Roman" w:hAnsi="Times New Roman"/>
          <w:sz w:val="24"/>
        </w:rPr>
        <w:t>и земљиште под зградом, за које не поседује доказ о праву на њима, нити му је  Град неким актом дозволио упис права</w:t>
      </w:r>
      <w:r>
        <w:rPr>
          <w:rFonts w:ascii="Times New Roman" w:hAnsi="Times New Roman"/>
          <w:spacing w:val="-14"/>
          <w:sz w:val="24"/>
        </w:rPr>
        <w:t> </w:t>
      </w:r>
      <w:r>
        <w:rPr>
          <w:rFonts w:ascii="Times New Roman" w:hAnsi="Times New Roman"/>
          <w:sz w:val="24"/>
        </w:rPr>
        <w:t>коришћења.</w:t>
      </w:r>
    </w:p>
    <w:p>
      <w:pPr>
        <w:pStyle w:val="ListParagraph"/>
        <w:numPr>
          <w:ilvl w:val="0"/>
          <w:numId w:val="9"/>
        </w:numPr>
        <w:tabs>
          <w:tab w:pos="303" w:val="left" w:leader="none"/>
        </w:tabs>
        <w:spacing w:line="237" w:lineRule="auto" w:before="1" w:after="0"/>
        <w:ind w:left="160" w:right="18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Ова позиција мање је исказана за износ од 1.278 хиљада динара код Народног позоришта за неевидентиране радове на крову. Истовремено, мање је исказан износ на конту 311100 – нефинансијска имовина у сталним средствима за исти</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износ.</w:t>
      </w:r>
    </w:p>
    <w:p>
      <w:pPr>
        <w:pStyle w:val="Heading2"/>
        <w:spacing w:line="240" w:lineRule="auto"/>
        <w:ind w:right="180"/>
        <w:jc w:val="both"/>
        <w:rPr>
          <w:b w:val="0"/>
          <w:bCs w:val="0"/>
          <w:i w:val="0"/>
        </w:rPr>
      </w:pPr>
      <w:r>
        <w:rPr>
          <w:i/>
        </w:rPr>
        <w:t>Препоручује се одговорним лицима да у пословним књигама евидентирају све непокретности за које поседују доказ о праву на њима,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4"/>
        </w:rPr>
        <w:t> </w:t>
      </w:r>
      <w:r>
        <w:rPr>
          <w:i/>
        </w:rPr>
        <w:t>систем.</w:t>
      </w:r>
      <w:r>
        <w:rPr>
          <w:b w:val="0"/>
          <w:i w:val="0"/>
        </w:rPr>
      </w:r>
    </w:p>
    <w:p>
      <w:pPr>
        <w:pStyle w:val="BodyText"/>
        <w:spacing w:line="240" w:lineRule="auto"/>
        <w:ind w:right="178"/>
        <w:jc w:val="both"/>
      </w:pPr>
      <w:r>
        <w:rPr/>
        <w:pict>
          <v:group style="position:absolute;margin-left:81.984001pt;margin-top:12.823101pt;width:153.65pt;height:.1pt;mso-position-horizontal-relative:page;mso-position-vertical-relative:paragraph;z-index:-772696" coordorigin="1640,256" coordsize="3073,2">
            <v:shape style="position:absolute;left:1640;top:256;width:3073;height:2" coordorigin="1640,256" coordsize="3073,0" path="m1640,256l4712,256e" filled="false" stroked="true" strokeweight=".60004pt" strokecolor="#000000">
              <v:path arrowok="t"/>
            </v:shape>
            <w10:wrap type="none"/>
          </v:group>
        </w:pict>
      </w:r>
      <w:r>
        <w:rPr>
          <w:rFonts w:ascii="Times New Roman" w:hAnsi="Times New Roman"/>
        </w:rPr>
        <w:t>-</w:t>
      </w:r>
      <w:r>
        <w:rPr/>
        <w:t>Управе за омладину и спорт у износу од 255.285 хиљада динара по основу зграда и грађевинских објеката исказаних код СЦ</w:t>
      </w:r>
      <w:r>
        <w:rPr>
          <w:spacing w:val="-14"/>
        </w:rPr>
        <w:t> </w:t>
      </w:r>
      <w:r>
        <w:rPr/>
        <w:t>Чаир.</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28" w:lineRule="auto" w:before="10"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СЦ Чаир је у регистру непокретности уписан као корисник грађевинских објеката у вредности од 181.979 хиљада динара и то: Хотела Б категорије у вредности од 6.930 хиљада динара, покривеног базена површине 7.123м</w:t>
      </w:r>
      <w:r>
        <w:rPr>
          <w:rFonts w:ascii="Times New Roman" w:hAnsi="Times New Roman"/>
          <w:position w:val="11"/>
          <w:sz w:val="16"/>
        </w:rPr>
        <w:t>2 </w:t>
      </w:r>
      <w:r>
        <w:rPr>
          <w:rFonts w:ascii="Times New Roman" w:hAnsi="Times New Roman"/>
          <w:sz w:val="24"/>
        </w:rPr>
        <w:t>у вредности од 166.674 хиљаде динара,</w:t>
      </w:r>
      <w:r>
        <w:rPr>
          <w:rFonts w:ascii="Times New Roman" w:hAnsi="Times New Roman"/>
          <w:spacing w:val="33"/>
          <w:sz w:val="24"/>
        </w:rPr>
        <w:t> </w:t>
      </w:r>
      <w:r>
        <w:rPr>
          <w:rFonts w:ascii="Times New Roman" w:hAnsi="Times New Roman"/>
          <w:sz w:val="24"/>
        </w:rPr>
        <w:t>спортских</w:t>
      </w:r>
      <w:r>
        <w:rPr>
          <w:rFonts w:ascii="Times New Roman" w:hAnsi="Times New Roman"/>
          <w:spacing w:val="33"/>
          <w:sz w:val="24"/>
        </w:rPr>
        <w:t> </w:t>
      </w:r>
      <w:r>
        <w:rPr>
          <w:rFonts w:ascii="Times New Roman" w:hAnsi="Times New Roman"/>
          <w:sz w:val="24"/>
        </w:rPr>
        <w:t>терена</w:t>
      </w:r>
      <w:r>
        <w:rPr>
          <w:rFonts w:ascii="Times New Roman" w:hAnsi="Times New Roman"/>
          <w:spacing w:val="32"/>
          <w:sz w:val="24"/>
        </w:rPr>
        <w:t> </w:t>
      </w:r>
      <w:r>
        <w:rPr>
          <w:rFonts w:ascii="Times New Roman" w:hAnsi="Times New Roman"/>
          <w:sz w:val="24"/>
        </w:rPr>
        <w:t>поред</w:t>
      </w:r>
      <w:r>
        <w:rPr>
          <w:rFonts w:ascii="Times New Roman" w:hAnsi="Times New Roman"/>
          <w:spacing w:val="34"/>
          <w:sz w:val="24"/>
        </w:rPr>
        <w:t> </w:t>
      </w:r>
      <w:r>
        <w:rPr>
          <w:rFonts w:ascii="Times New Roman" w:hAnsi="Times New Roman"/>
          <w:sz w:val="24"/>
        </w:rPr>
        <w:t>отворених</w:t>
      </w:r>
      <w:r>
        <w:rPr>
          <w:rFonts w:ascii="Times New Roman" w:hAnsi="Times New Roman"/>
          <w:spacing w:val="33"/>
          <w:sz w:val="24"/>
        </w:rPr>
        <w:t> </w:t>
      </w:r>
      <w:r>
        <w:rPr>
          <w:rFonts w:ascii="Times New Roman" w:hAnsi="Times New Roman"/>
          <w:sz w:val="24"/>
        </w:rPr>
        <w:t>базена</w:t>
      </w:r>
      <w:r>
        <w:rPr>
          <w:rFonts w:ascii="Times New Roman" w:hAnsi="Times New Roman"/>
          <w:spacing w:val="32"/>
          <w:sz w:val="24"/>
        </w:rPr>
        <w:t> </w:t>
      </w:r>
      <w:r>
        <w:rPr>
          <w:rFonts w:ascii="Times New Roman" w:hAnsi="Times New Roman"/>
          <w:sz w:val="24"/>
        </w:rPr>
        <w:t>непознате</w:t>
      </w:r>
      <w:r>
        <w:rPr>
          <w:rFonts w:ascii="Times New Roman" w:hAnsi="Times New Roman"/>
          <w:spacing w:val="32"/>
          <w:sz w:val="24"/>
        </w:rPr>
        <w:t> </w:t>
      </w:r>
      <w:r>
        <w:rPr>
          <w:rFonts w:ascii="Times New Roman" w:hAnsi="Times New Roman"/>
          <w:sz w:val="24"/>
        </w:rPr>
        <w:t>површине</w:t>
      </w:r>
      <w:r>
        <w:rPr>
          <w:rFonts w:ascii="Times New Roman" w:hAnsi="Times New Roman"/>
          <w:spacing w:val="35"/>
          <w:sz w:val="24"/>
        </w:rPr>
        <w:t> </w:t>
      </w:r>
      <w:r>
        <w:rPr>
          <w:rFonts w:ascii="Times New Roman" w:hAnsi="Times New Roman"/>
          <w:sz w:val="24"/>
        </w:rPr>
        <w:t>у</w:t>
      </w:r>
      <w:r>
        <w:rPr>
          <w:rFonts w:ascii="Times New Roman" w:hAnsi="Times New Roman"/>
          <w:spacing w:val="28"/>
          <w:sz w:val="24"/>
        </w:rPr>
        <w:t> </w:t>
      </w:r>
      <w:r>
        <w:rPr>
          <w:rFonts w:ascii="Times New Roman" w:hAnsi="Times New Roman"/>
          <w:sz w:val="24"/>
        </w:rPr>
        <w:t>вредности</w:t>
      </w:r>
      <w:r>
        <w:rPr>
          <w:rFonts w:ascii="Times New Roman" w:hAnsi="Times New Roman"/>
          <w:spacing w:val="34"/>
          <w:sz w:val="24"/>
        </w:rPr>
        <w:t> </w:t>
      </w:r>
      <w:r>
        <w:rPr>
          <w:rFonts w:ascii="Times New Roman" w:hAnsi="Times New Roman"/>
          <w:sz w:val="24"/>
        </w:rPr>
        <w:t>од</w:t>
      </w:r>
    </w:p>
    <w:p>
      <w:pPr>
        <w:pStyle w:val="BodyText"/>
        <w:spacing w:line="276" w:lineRule="exact" w:before="6"/>
        <w:ind w:right="175"/>
        <w:jc w:val="both"/>
      </w:pPr>
      <w:r>
        <w:rPr/>
        <w:t>1.544 хиљаде динара и отворених базена површине 3.680 </w:t>
      </w:r>
      <w:r>
        <w:rPr>
          <w:spacing w:val="2"/>
        </w:rPr>
        <w:t>м</w:t>
      </w:r>
      <w:r>
        <w:rPr>
          <w:rFonts w:ascii="Times New Roman" w:hAnsi="Times New Roman"/>
          <w:spacing w:val="2"/>
          <w:position w:val="11"/>
          <w:sz w:val="16"/>
        </w:rPr>
        <w:t>2 </w:t>
      </w:r>
      <w:r>
        <w:rPr/>
        <w:t>у вредности од  13.761 хиљаде</w:t>
      </w:r>
      <w:r>
        <w:rPr>
          <w:spacing w:val="-3"/>
        </w:rPr>
        <w:t> </w:t>
      </w:r>
      <w:r>
        <w:rPr/>
        <w:t>динара.</w:t>
      </w:r>
    </w:p>
    <w:p>
      <w:pPr>
        <w:pStyle w:val="ListParagraph"/>
        <w:numPr>
          <w:ilvl w:val="0"/>
          <w:numId w:val="9"/>
        </w:numPr>
        <w:tabs>
          <w:tab w:pos="303" w:val="left" w:leader="none"/>
        </w:tabs>
        <w:spacing w:line="274" w:lineRule="exact" w:before="21"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Зграде и грађевински објекти су више исказани у износу од 946 хиљада динара по основу објеката који су предати другим корисницима (терени у Ровчету</w:t>
      </w:r>
      <w:r>
        <w:rPr>
          <w:rFonts w:ascii="Times New Roman" w:hAnsi="Times New Roman"/>
          <w:sz w:val="24"/>
        </w:rPr>
        <w:t>-</w:t>
      </w:r>
      <w:r>
        <w:rPr>
          <w:rFonts w:ascii="Times New Roman" w:hAnsi="Times New Roman"/>
          <w:sz w:val="24"/>
        </w:rPr>
        <w:t>Тврђава</w:t>
      </w:r>
      <w:r>
        <w:rPr>
          <w:rFonts w:ascii="Times New Roman" w:hAnsi="Times New Roman"/>
          <w:spacing w:val="41"/>
          <w:sz w:val="24"/>
        </w:rPr>
        <w:t> </w:t>
      </w:r>
      <w:r>
        <w:rPr>
          <w:rFonts w:ascii="Times New Roman" w:hAnsi="Times New Roman"/>
          <w:sz w:val="24"/>
        </w:rPr>
        <w:t>предати</w:t>
      </w:r>
    </w:p>
    <w:p>
      <w:pPr>
        <w:spacing w:after="0" w:line="274" w:lineRule="exact"/>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82"/>
        <w:jc w:val="both"/>
      </w:pPr>
      <w:r>
        <w:rPr/>
        <w:t>су Универзитету у Нишу) и по основу објеката који више не постоје (проходна тераса у хали Чаир).</w:t>
      </w:r>
    </w:p>
    <w:p>
      <w:pPr>
        <w:pStyle w:val="ListParagraph"/>
        <w:numPr>
          <w:ilvl w:val="0"/>
          <w:numId w:val="9"/>
        </w:numPr>
        <w:tabs>
          <w:tab w:pos="303" w:val="left" w:leader="none"/>
        </w:tabs>
        <w:spacing w:line="237" w:lineRule="auto" w:before="4"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Зграде и грађевински објекти су више исказани у износу од 72.360 хиљада динара по основу објеката за које СЦ Чаир не поседује доказ о власништву, односно праву коришћења.</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Главна књига СЦ Чаир није усклађена са помоћном књигом основних средстава, јер у помоћној књизи није евидентирана вредност Хале Чаир у износу од 9.284 хиљаде динара по основу реконструкције у 2006. години и није евидентирана вредност покривеног базена у износу од 2.494 хиљаде динара за хидроизолацију равног крова на базену по окончаној ситуацији из 2006. године. Мање је обрачуната амортизација за девет година у износу од 1.413 хиљада динара и није исказана садашња вредност од 10.365 хиљада динара. На описани начин поступљено је супротно члану 18. Уредбе о буџетском рачуноводству.</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Мање је исказана вредност грађевинских објеката код СЦ Чаир у износу од 1.007 хиљада динара за главни пројекат санације објекта, опреме и инсталација затворених базена по Уговору са </w:t>
      </w:r>
      <w:r>
        <w:rPr>
          <w:rFonts w:ascii="Times New Roman" w:hAnsi="Times New Roman"/>
          <w:sz w:val="24"/>
        </w:rPr>
        <w:t>Quiddita </w:t>
      </w:r>
      <w:r>
        <w:rPr>
          <w:rFonts w:ascii="Times New Roman" w:hAnsi="Times New Roman"/>
          <w:sz w:val="24"/>
        </w:rPr>
        <w:t>доо Београд број 01</w:t>
      </w:r>
      <w:r>
        <w:rPr>
          <w:rFonts w:ascii="Times New Roman" w:hAnsi="Times New Roman"/>
          <w:sz w:val="24"/>
        </w:rPr>
        <w:t>-</w:t>
      </w:r>
      <w:r>
        <w:rPr>
          <w:rFonts w:ascii="Times New Roman" w:hAnsi="Times New Roman"/>
          <w:sz w:val="24"/>
        </w:rPr>
        <w:t>937/2 од 26.06.2014. године и рачуну број 14</w:t>
      </w:r>
      <w:r>
        <w:rPr>
          <w:rFonts w:ascii="Times New Roman" w:hAnsi="Times New Roman"/>
          <w:sz w:val="24"/>
        </w:rPr>
        <w:t>-</w:t>
      </w:r>
      <w:r>
        <w:rPr>
          <w:rFonts w:ascii="Times New Roman" w:hAnsi="Times New Roman"/>
          <w:sz w:val="24"/>
        </w:rPr>
        <w:t>80/2014 од 25.08.2014.</w:t>
      </w:r>
      <w:r>
        <w:rPr>
          <w:rFonts w:ascii="Times New Roman" w:hAnsi="Times New Roman"/>
          <w:spacing w:val="-1"/>
          <w:sz w:val="24"/>
        </w:rPr>
        <w:t> </w:t>
      </w:r>
      <w:r>
        <w:rPr>
          <w:rFonts w:ascii="Times New Roman" w:hAnsi="Times New Roman"/>
          <w:sz w:val="24"/>
        </w:rPr>
        <w:t>године.</w:t>
      </w:r>
    </w:p>
    <w:p>
      <w:pPr>
        <w:pStyle w:val="Heading2"/>
        <w:spacing w:line="240" w:lineRule="auto"/>
        <w:ind w:right="177"/>
        <w:jc w:val="both"/>
        <w:rPr>
          <w:b w:val="0"/>
          <w:bCs w:val="0"/>
          <w:i w:val="0"/>
        </w:rPr>
      </w:pPr>
      <w:r>
        <w:rPr>
          <w:i/>
        </w:rPr>
        <w:t>Препоручује се одговорним лицима да у пословним књигама евидентирају све непокретности за које поседују доказ о праву на њима, обезбеде правилну примену одредби Уредбе о буџетском</w:t>
      </w:r>
      <w:r>
        <w:rPr>
          <w:i/>
          <w:spacing w:val="-15"/>
        </w:rPr>
        <w:t> </w:t>
      </w:r>
      <w:r>
        <w:rPr>
          <w:i/>
        </w:rPr>
        <w:t>рачуноводству.</w:t>
      </w:r>
      <w:r>
        <w:rPr>
          <w:b w:val="0"/>
          <w:i w:val="0"/>
        </w:rPr>
      </w:r>
    </w:p>
    <w:p>
      <w:pPr>
        <w:pStyle w:val="ListParagraph"/>
        <w:numPr>
          <w:ilvl w:val="0"/>
          <w:numId w:val="12"/>
        </w:numPr>
        <w:tabs>
          <w:tab w:pos="317" w:val="left" w:leader="none"/>
        </w:tabs>
        <w:spacing w:line="240" w:lineRule="auto" w:before="0" w:after="0"/>
        <w:ind w:left="160" w:right="175" w:firstLine="0"/>
        <w:jc w:val="both"/>
        <w:rPr>
          <w:rFonts w:ascii="Times New Roman" w:hAnsi="Times New Roman" w:cs="Times New Roman" w:eastAsia="Times New Roman" w:hint="default"/>
          <w:sz w:val="22"/>
          <w:szCs w:val="22"/>
        </w:rPr>
      </w:pPr>
      <w:r>
        <w:rPr>
          <w:rFonts w:ascii="Times New Roman" w:hAnsi="Times New Roman"/>
          <w:spacing w:val="-60"/>
          <w:sz w:val="24"/>
          <w:u w:val="single" w:color="000000"/>
        </w:rPr>
        <w:t> </w:t>
      </w:r>
      <w:r>
        <w:rPr>
          <w:rFonts w:ascii="Times New Roman" w:hAnsi="Times New Roman"/>
          <w:sz w:val="24"/>
          <w:u w:val="single" w:color="000000"/>
        </w:rPr>
        <w:t>Управе за комуналне делатности, енергетику и саобраћај </w:t>
      </w:r>
      <w:r>
        <w:rPr>
          <w:rFonts w:ascii="Times New Roman" w:hAnsi="Times New Roman"/>
          <w:sz w:val="24"/>
        </w:rPr>
        <w:t>у износу од 121.239 хиљада </w:t>
      </w:r>
      <w:r>
        <w:rPr>
          <w:rFonts w:ascii="Times New Roman" w:hAnsi="Times New Roman"/>
          <w:sz w:val="24"/>
        </w:rPr>
        <w:t>динара по основу зграда и грађевинских објеката исказаних код ЈП</w:t>
      </w:r>
      <w:r>
        <w:rPr>
          <w:rFonts w:ascii="Times New Roman" w:hAnsi="Times New Roman"/>
          <w:spacing w:val="-18"/>
          <w:sz w:val="24"/>
        </w:rPr>
        <w:t> </w:t>
      </w:r>
      <w:r>
        <w:rPr>
          <w:rFonts w:ascii="Times New Roman" w:hAnsi="Times New Roman"/>
          <w:sz w:val="24"/>
        </w:rPr>
        <w:t>Дирекција</w:t>
      </w:r>
      <w:r>
        <w:rPr>
          <w:rFonts w:ascii="Times New Roman" w:hAnsi="Times New Roman"/>
          <w:sz w:val="24"/>
        </w:rPr>
        <w:t>.</w:t>
      </w:r>
    </w:p>
    <w:p>
      <w:pPr>
        <w:pStyle w:val="Heading1"/>
        <w:spacing w:line="275" w:lineRule="exact"/>
        <w:ind w:right="141"/>
        <w:jc w:val="left"/>
        <w:rPr>
          <w:b w:val="0"/>
          <w:bCs w:val="0"/>
        </w:rPr>
      </w:pPr>
      <w:r>
        <w:rPr/>
        <w:t>На основу ревизије узорковане документације утврђено</w:t>
      </w:r>
      <w:r>
        <w:rPr>
          <w:spacing w:val="-17"/>
        </w:rPr>
        <w:t> </w:t>
      </w:r>
      <w:r>
        <w:rPr/>
        <w:t>је:</w:t>
      </w:r>
      <w:r>
        <w:rPr>
          <w:b w:val="0"/>
        </w:rPr>
      </w:r>
    </w:p>
    <w:p>
      <w:pPr>
        <w:pStyle w:val="ListParagraph"/>
        <w:numPr>
          <w:ilvl w:val="0"/>
          <w:numId w:val="9"/>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ЈП Дирекција је у својим пословним књигама евидентирала зграде и грађевинске  објекте у вредности од 89.123 хиљаде динара за које не поседује доказ о праву на њима, и то: станове у улици Козарачка број 30/17 и 30/22, у улици Мајаковског број 87/21, у улици Станка Пауновића број 20А/9, на Булевару Медијана број 1, у улици Марка Орешковића (у згради чија изградња није окончана); гараже у улици 9. бригаде број 7 и ТЦ Амбасадор, пословну зграду Мединг Клинички центар, пословни простор у ТЦ Зона  1 и пословни простор у ПЦ</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„Амбасадор“.</w:t>
      </w:r>
    </w:p>
    <w:p>
      <w:pPr>
        <w:pStyle w:val="ListParagraph"/>
        <w:numPr>
          <w:ilvl w:val="0"/>
          <w:numId w:val="9"/>
        </w:numPr>
        <w:tabs>
          <w:tab w:pos="303" w:val="left" w:leader="none"/>
        </w:tabs>
        <w:spacing w:line="274" w:lineRule="exact" w:before="24" w:after="0"/>
        <w:ind w:left="160" w:right="185" w:firstLine="0"/>
        <w:jc w:val="both"/>
        <w:rPr>
          <w:rFonts w:ascii="Times New Roman" w:hAnsi="Times New Roman" w:cs="Times New Roman" w:eastAsia="Times New Roman" w:hint="default"/>
          <w:sz w:val="24"/>
          <w:szCs w:val="24"/>
        </w:rPr>
      </w:pPr>
      <w:r>
        <w:rPr>
          <w:rFonts w:ascii="Times New Roman" w:hAnsi="Times New Roman"/>
          <w:sz w:val="24"/>
        </w:rPr>
        <w:t>ЈП Дирекција није доставила податке о евиденцији непокретности на НЕП обрасцу, што је супротно Уредби о евиденцији непокретности у државној</w:t>
      </w:r>
      <w:r>
        <w:rPr>
          <w:rFonts w:ascii="Times New Roman" w:hAnsi="Times New Roman"/>
          <w:spacing w:val="-20"/>
          <w:sz w:val="24"/>
        </w:rPr>
        <w:t> </w:t>
      </w:r>
      <w:r>
        <w:rPr>
          <w:rFonts w:ascii="Times New Roman" w:hAnsi="Times New Roman"/>
          <w:sz w:val="24"/>
        </w:rPr>
        <w:t>својини.</w:t>
      </w:r>
    </w:p>
    <w:p>
      <w:pPr>
        <w:pStyle w:val="ListParagraph"/>
        <w:numPr>
          <w:ilvl w:val="0"/>
          <w:numId w:val="9"/>
        </w:numPr>
        <w:tabs>
          <w:tab w:pos="363" w:val="left" w:leader="none"/>
        </w:tabs>
        <w:spacing w:line="240" w:lineRule="auto" w:before="0"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Помоћна књига основних средстава ЈП Дирекција не садржи детаљне податке о основним средствима, као што је намена основних средстава, у складу са чланом 14. Уредбе о буџетском</w:t>
      </w:r>
      <w:r>
        <w:rPr>
          <w:rFonts w:ascii="Times New Roman" w:hAnsi="Times New Roman"/>
          <w:spacing w:val="-8"/>
          <w:sz w:val="24"/>
        </w:rPr>
        <w:t> </w:t>
      </w:r>
      <w:r>
        <w:rPr>
          <w:rFonts w:ascii="Times New Roman" w:hAnsi="Times New Roman"/>
          <w:sz w:val="24"/>
        </w:rPr>
        <w:t>рачуноводству</w:t>
      </w:r>
      <w:r>
        <w:rPr>
          <w:rFonts w:ascii="Times New Roman" w:hAnsi="Times New Roman"/>
          <w:sz w:val="24"/>
        </w:rPr>
        <w:t>.</w:t>
      </w:r>
    </w:p>
    <w:p>
      <w:pPr>
        <w:pStyle w:val="ListParagraph"/>
        <w:numPr>
          <w:ilvl w:val="0"/>
          <w:numId w:val="9"/>
        </w:numPr>
        <w:tabs>
          <w:tab w:pos="303" w:val="left" w:leader="none"/>
        </w:tabs>
        <w:spacing w:line="232" w:lineRule="auto" w:before="9"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ЈП Дирекција води у пословним књигама простор који је продала и то у ТЦ „Зона 1“ површине 269,58м</w:t>
      </w:r>
      <w:r>
        <w:rPr>
          <w:rFonts w:ascii="Times New Roman" w:hAnsi="Times New Roman" w:cs="Times New Roman" w:eastAsia="Times New Roman" w:hint="default"/>
          <w:position w:val="11"/>
          <w:sz w:val="16"/>
          <w:szCs w:val="16"/>
        </w:rPr>
        <w:t>2 </w:t>
      </w:r>
      <w:r>
        <w:rPr>
          <w:rFonts w:ascii="Times New Roman" w:hAnsi="Times New Roman" w:cs="Times New Roman" w:eastAsia="Times New Roman" w:hint="default"/>
          <w:sz w:val="24"/>
          <w:szCs w:val="24"/>
        </w:rPr>
        <w:t>(1999. године) и две гараже површине 30м</w:t>
      </w:r>
      <w:r>
        <w:rPr>
          <w:rFonts w:ascii="Times New Roman" w:hAnsi="Times New Roman" w:cs="Times New Roman" w:eastAsia="Times New Roman" w:hint="default"/>
          <w:position w:val="11"/>
          <w:sz w:val="16"/>
          <w:szCs w:val="16"/>
        </w:rPr>
        <w:t>2 </w:t>
      </w:r>
      <w:r>
        <w:rPr>
          <w:rFonts w:ascii="Times New Roman" w:hAnsi="Times New Roman" w:cs="Times New Roman" w:eastAsia="Times New Roman" w:hint="default"/>
          <w:sz w:val="24"/>
          <w:szCs w:val="24"/>
        </w:rPr>
        <w:t>у улици 9. бригаде број 7 (2000. године) без прибављене сагласности Владе Републике Србије иако је Уговором предвиђено да уколико продавац не прибави писану сагласност Владе Републике Србије, продавац ће извршити повраћај целокупног износа купопродајне цене купцу а објекти</w:t>
      </w:r>
      <w:r>
        <w:rPr>
          <w:rFonts w:ascii="Times New Roman" w:hAnsi="Times New Roman" w:cs="Times New Roman" w:eastAsia="Times New Roman" w:hint="default"/>
          <w:spacing w:val="58"/>
          <w:sz w:val="24"/>
          <w:szCs w:val="24"/>
        </w:rPr>
        <w:t> </w:t>
      </w:r>
      <w:r>
        <w:rPr>
          <w:rFonts w:ascii="Times New Roman" w:hAnsi="Times New Roman" w:cs="Times New Roman" w:eastAsia="Times New Roman" w:hint="default"/>
          <w:sz w:val="24"/>
          <w:szCs w:val="24"/>
        </w:rPr>
        <w:t>ће</w:t>
      </w:r>
    </w:p>
    <w:p>
      <w:pPr>
        <w:pStyle w:val="BodyText"/>
        <w:spacing w:line="240" w:lineRule="auto" w:before="1"/>
        <w:ind w:right="0"/>
        <w:jc w:val="both"/>
      </w:pPr>
      <w:r>
        <w:rPr/>
        <w:t>се вратити</w:t>
      </w:r>
      <w:r>
        <w:rPr>
          <w:spacing w:val="-11"/>
        </w:rPr>
        <w:t> </w:t>
      </w:r>
      <w:r>
        <w:rPr/>
        <w:t>продавцу.</w:t>
      </w:r>
    </w:p>
    <w:p>
      <w:pPr>
        <w:pStyle w:val="Heading2"/>
        <w:spacing w:line="240" w:lineRule="auto"/>
        <w:ind w:right="174"/>
        <w:jc w:val="both"/>
        <w:rPr>
          <w:rFonts w:ascii="Times New Roman" w:hAnsi="Times New Roman" w:cs="Times New Roman" w:eastAsia="Times New Roman" w:hint="default"/>
          <w:b w:val="0"/>
          <w:bCs w:val="0"/>
          <w:i w:val="0"/>
        </w:rPr>
      </w:pPr>
      <w:r>
        <w:rPr>
          <w:i/>
        </w:rPr>
        <w:t>Препоручује се одговорним лицима да у пословним књигама евидентирају зграде и грађевинске објекте за које поседују доказ о праву на њима, обезбеде правилну примену одредби Уредбе о буџетском рачунводству и Уредбе о евиденцији непокретности у државној</w:t>
      </w:r>
      <w:r>
        <w:rPr>
          <w:i/>
          <w:spacing w:val="-6"/>
        </w:rPr>
        <w:t> </w:t>
      </w:r>
      <w:r>
        <w:rPr>
          <w:i/>
        </w:rPr>
        <w:t>својини</w:t>
      </w:r>
      <w:r>
        <w:rPr>
          <w:rFonts w:ascii="Times New Roman" w:hAnsi="Times New Roman"/>
          <w:i/>
        </w:rPr>
        <w:t>.</w:t>
      </w:r>
      <w:r>
        <w:rPr>
          <w:rFonts w:ascii="Times New Roman" w:hAnsi="Times New Roman"/>
          <w:b w:val="0"/>
          <w:i w:val="0"/>
        </w:rPr>
      </w:r>
    </w:p>
    <w:p>
      <w:pPr>
        <w:pStyle w:val="ListParagraph"/>
        <w:numPr>
          <w:ilvl w:val="0"/>
          <w:numId w:val="12"/>
        </w:numPr>
        <w:tabs>
          <w:tab w:pos="300" w:val="left" w:leader="none"/>
        </w:tabs>
        <w:spacing w:line="271" w:lineRule="exact" w:before="0" w:after="0"/>
        <w:ind w:left="299" w:right="0" w:hanging="139"/>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планирање и изградњу </w:t>
      </w:r>
      <w:r>
        <w:rPr>
          <w:rFonts w:ascii="Times New Roman" w:hAnsi="Times New Roman"/>
          <w:sz w:val="24"/>
        </w:rPr>
        <w:t>у износу од 214.605 хиљада динара по</w:t>
      </w:r>
      <w:r>
        <w:rPr>
          <w:rFonts w:ascii="Times New Roman" w:hAnsi="Times New Roman"/>
          <w:spacing w:val="-15"/>
          <w:sz w:val="24"/>
        </w:rPr>
        <w:t> </w:t>
      </w:r>
      <w:r>
        <w:rPr>
          <w:rFonts w:ascii="Times New Roman" w:hAnsi="Times New Roman"/>
          <w:sz w:val="24"/>
        </w:rPr>
        <w:t>основу</w:t>
      </w:r>
    </w:p>
    <w:p>
      <w:pPr>
        <w:spacing w:after="0" w:line="271" w:lineRule="exact"/>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0"/>
        <w:jc w:val="both"/>
        <w:rPr>
          <w:rFonts w:ascii="Times New Roman" w:hAnsi="Times New Roman" w:cs="Times New Roman" w:eastAsia="Times New Roman" w:hint="default"/>
        </w:rPr>
      </w:pPr>
      <w:r>
        <w:rPr/>
        <w:t>зграда и зграда и грађевинских објеката исказаних код ЈП</w:t>
      </w:r>
      <w:r>
        <w:rPr>
          <w:spacing w:val="-18"/>
        </w:rPr>
        <w:t> </w:t>
      </w:r>
      <w:r>
        <w:rPr/>
        <w:t>ГСА</w:t>
      </w:r>
      <w:r>
        <w:rPr>
          <w:rFonts w:ascii="Times New Roman" w:hAnsi="Times New Roman"/>
        </w:rPr>
        <w:t>.</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32" w:lineRule="auto" w:before="6"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ЈП „Градска стамбена агенција“ нема доказ о праву на два стана издата у закуп, у вредности од 5.545 хиљада динара у Нишу, у улици Мокрањчева број 79/5А и улици Филипа Вишњића број 4/18 и локал са магацином у улици Чедомира Крстића број 50, површине 27м</w:t>
      </w:r>
      <w:r>
        <w:rPr>
          <w:rFonts w:ascii="Times New Roman" w:hAnsi="Times New Roman" w:cs="Times New Roman" w:eastAsia="Times New Roman" w:hint="default"/>
          <w:position w:val="11"/>
          <w:sz w:val="16"/>
          <w:szCs w:val="16"/>
        </w:rPr>
        <w:t>2 </w:t>
      </w:r>
      <w:r>
        <w:rPr>
          <w:rFonts w:ascii="Times New Roman" w:hAnsi="Times New Roman" w:cs="Times New Roman" w:eastAsia="Times New Roman" w:hint="default"/>
          <w:sz w:val="24"/>
          <w:szCs w:val="24"/>
        </w:rPr>
        <w:t>вредности од 1.140 хиљаде динара. Наведени станови и локал нису евидентирани  у Катастру непокретности,  што није  у складу са  чланом  4.  и  чланом</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61.</w:t>
      </w:r>
    </w:p>
    <w:p>
      <w:pPr>
        <w:pStyle w:val="BodyText"/>
        <w:spacing w:line="240" w:lineRule="auto" w:before="1"/>
        <w:ind w:right="0"/>
        <w:jc w:val="both"/>
        <w:rPr>
          <w:rFonts w:ascii="Times New Roman" w:hAnsi="Times New Roman" w:cs="Times New Roman" w:eastAsia="Times New Roman" w:hint="default"/>
        </w:rPr>
      </w:pPr>
      <w:r>
        <w:rPr/>
        <w:t>Закона о државном премеру и</w:t>
      </w:r>
      <w:r>
        <w:rPr>
          <w:spacing w:val="-12"/>
        </w:rPr>
        <w:t> </w:t>
      </w:r>
      <w:r>
        <w:rPr/>
        <w:t>катастру</w:t>
      </w:r>
      <w:r>
        <w:rPr>
          <w:rFonts w:ascii="Times New Roman" w:hAnsi="Times New Roman"/>
        </w:rPr>
        <w:t>.</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Зграде и грађевински објекти више су исказани у износу за 9.885 хиљада динара, јер је ЈП Градска стамбена агенција неправилно евидентирала станове који су за продају уместо на конту 021300 – Роба за даљу продају у истом износу,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систем.</w:t>
      </w:r>
    </w:p>
    <w:p>
      <w:pPr>
        <w:pStyle w:val="Heading2"/>
        <w:spacing w:line="240" w:lineRule="auto"/>
        <w:ind w:right="172"/>
        <w:jc w:val="both"/>
        <w:rPr>
          <w:b w:val="0"/>
          <w:bCs w:val="0"/>
          <w:i w:val="0"/>
        </w:rPr>
      </w:pPr>
      <w:r>
        <w:rPr>
          <w:i/>
        </w:rPr>
        <w:t>Препоручује се одговорним лицима да у пословним књигама евидентирају све непокретности за које поседују доказ о праву на њима и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8"/>
        </w:rPr>
        <w:t> </w:t>
      </w:r>
      <w:r>
        <w:rPr>
          <w:i/>
        </w:rPr>
        <w:t>систем.</w:t>
      </w:r>
      <w:r>
        <w:rPr>
          <w:b w:val="0"/>
          <w:i w:val="0"/>
        </w:rPr>
      </w:r>
    </w:p>
    <w:p>
      <w:pPr>
        <w:pStyle w:val="ListParagraph"/>
        <w:numPr>
          <w:ilvl w:val="0"/>
          <w:numId w:val="12"/>
        </w:numPr>
        <w:tabs>
          <w:tab w:pos="331"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w w:val="99"/>
          <w:sz w:val="24"/>
          <w:u w:val="single" w:color="000000"/>
        </w:rPr>
        <w:t> </w:t>
      </w:r>
      <w:r>
        <w:rPr>
          <w:rFonts w:ascii="Times New Roman" w:hAnsi="Times New Roman"/>
          <w:spacing w:val="-30"/>
          <w:w w:val="99"/>
          <w:sz w:val="24"/>
          <w:u w:val="single" w:color="000000"/>
        </w:rPr>
        <w:t> </w:t>
      </w:r>
      <w:r>
        <w:rPr>
          <w:rFonts w:ascii="Times New Roman" w:hAnsi="Times New Roman"/>
          <w:sz w:val="24"/>
          <w:u w:val="single" w:color="000000"/>
        </w:rPr>
        <w:t>у Буџету града Ниша  </w:t>
      </w:r>
      <w:r>
        <w:rPr>
          <w:rFonts w:ascii="Times New Roman" w:hAnsi="Times New Roman"/>
          <w:sz w:val="24"/>
        </w:rPr>
        <w:t>исказан  је  остатак  у износу од  9.538.128  хиљада динара. Према </w:t>
      </w:r>
      <w:r>
        <w:rPr>
          <w:rFonts w:ascii="Times New Roman" w:hAnsi="Times New Roman"/>
          <w:sz w:val="24"/>
        </w:rPr>
        <w:t>стању у помоћним књигама основних средстава града Ниша на дан 31.12.2014. године евидентирано је 414 станова садашње вредности у износу од 723.859 хиљада динара; пословне зграде и пословни простор вредности 8.577.030 хиљада динара, саобраћајни објекти (путеви, мостови) вредности 224.720 хиљада динара, спортски и рекреациони објекти вредности 12.519 хиљада</w:t>
      </w:r>
      <w:r>
        <w:rPr>
          <w:rFonts w:ascii="Times New Roman" w:hAnsi="Times New Roman"/>
          <w:spacing w:val="-13"/>
          <w:sz w:val="24"/>
        </w:rPr>
        <w:t> </w:t>
      </w:r>
      <w:r>
        <w:rPr>
          <w:rFonts w:ascii="Times New Roman" w:hAnsi="Times New Roman"/>
          <w:sz w:val="24"/>
        </w:rPr>
        <w:t>динара.</w:t>
      </w:r>
    </w:p>
    <w:p>
      <w:pPr>
        <w:pStyle w:val="Heading1"/>
        <w:spacing w:line="275" w:lineRule="exact"/>
        <w:ind w:left="738"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Помоћна књига основних средстава и главна књига нису усаглашене, јер је вредност зграда и грађевинских објеката већа у главној књизи у износу од 971 хиљаде динара у односу на вредност из помоћне књиге, од којих 99 хиљада динара неслагања потиче из 2014. године а остатак из ранијих година, што је супротно члану 18. Уредбе о буџетском рачуноводству.</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Субаналитичка конта у главној књизи и у помоћној књизи нису усклађена, (на пример у помоћној књизи субаналитички конто коловоза је 011131, док је у главној књизи субаналитички конто 011141 – аутопутеви, мостови, надвожњаци и тунели), тако да се нисмо уверили у тачност исказаног стања садашње вредности грађевинских објеката по врсти.</w:t>
      </w:r>
    </w:p>
    <w:p>
      <w:pPr>
        <w:pStyle w:val="ListParagraph"/>
        <w:numPr>
          <w:ilvl w:val="0"/>
          <w:numId w:val="9"/>
        </w:numPr>
        <w:tabs>
          <w:tab w:pos="303" w:val="left" w:leader="none"/>
        </w:tabs>
        <w:spacing w:line="237" w:lineRule="auto" w:before="4"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Евидентирање комуналних објеката не врши се на прописаним аналитичким контима, што је супротно Правилнику о стандардном класификационом оквиру и контном плану  за  буџетски</w:t>
      </w:r>
      <w:r>
        <w:rPr>
          <w:rFonts w:ascii="Times New Roman" w:hAnsi="Times New Roman"/>
          <w:spacing w:val="-10"/>
          <w:sz w:val="24"/>
        </w:rPr>
        <w:t> </w:t>
      </w:r>
      <w:r>
        <w:rPr>
          <w:rFonts w:ascii="Times New Roman" w:hAnsi="Times New Roman"/>
          <w:sz w:val="24"/>
        </w:rPr>
        <w:t>систем.</w:t>
      </w:r>
    </w:p>
    <w:p>
      <w:pPr>
        <w:pStyle w:val="ListParagraph"/>
        <w:numPr>
          <w:ilvl w:val="0"/>
          <w:numId w:val="9"/>
        </w:numPr>
        <w:tabs>
          <w:tab w:pos="303" w:val="left" w:leader="none"/>
        </w:tabs>
        <w:spacing w:line="240" w:lineRule="auto" w:before="2" w:after="0"/>
        <w:ind w:left="160" w:right="18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Помоћна књига основних средстава није формирана као јединствена свеобухватна евиденција, већ је подељена у више подпрограма (на пример: станови, пословни простор и пословне зграде, коловози, пољопривредно земљиште, грађевинско земљиште, затим подпрограми под називом „Дирекција“, „Медијана“ и друго) у оквиру којих се воде основна средства, што је супротно члану 9., 10. и 14. Уредбе о буџетском</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рачуноводству.</w:t>
      </w:r>
    </w:p>
    <w:p>
      <w:pPr>
        <w:pStyle w:val="ListParagraph"/>
        <w:numPr>
          <w:ilvl w:val="0"/>
          <w:numId w:val="9"/>
        </w:numPr>
        <w:tabs>
          <w:tab w:pos="303" w:val="left" w:leader="none"/>
        </w:tabs>
        <w:spacing w:line="240" w:lineRule="auto" w:before="2" w:after="0"/>
        <w:ind w:left="160" w:right="18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подпрограму „Дирекција“ евидентирају се завршене инвестиције, преузете од ЈП Дирекција и то на дан 31.12. године у којој су завршене, које обухватају збирно нове објекте,   реконструкцију   постојећих   објеката,   реконструкцију   улица,  </w:t>
      </w:r>
      <w:r>
        <w:rPr>
          <w:rFonts w:ascii="Times New Roman" w:hAnsi="Times New Roman" w:cs="Times New Roman" w:eastAsia="Times New Roman" w:hint="default"/>
          <w:spacing w:val="25"/>
          <w:sz w:val="24"/>
          <w:szCs w:val="24"/>
        </w:rPr>
        <w:t> </w:t>
      </w:r>
      <w:r>
        <w:rPr>
          <w:rFonts w:ascii="Times New Roman" w:hAnsi="Times New Roman" w:cs="Times New Roman" w:eastAsia="Times New Roman" w:hint="default"/>
          <w:sz w:val="24"/>
          <w:szCs w:val="24"/>
        </w:rPr>
        <w:t>канализације,</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86"/>
        <w:jc w:val="both"/>
      </w:pPr>
      <w:r>
        <w:rPr/>
        <w:t>расвете, спортских објеката и друго, тако да се нисмо уверили у правилност евидентирања појединачних инвестиција у главној</w:t>
      </w:r>
      <w:r>
        <w:rPr>
          <w:spacing w:val="-18"/>
        </w:rPr>
        <w:t> </w:t>
      </w:r>
      <w:r>
        <w:rPr/>
        <w:t>књизи.</w:t>
      </w:r>
    </w:p>
    <w:p>
      <w:pPr>
        <w:pStyle w:val="ListParagraph"/>
        <w:numPr>
          <w:ilvl w:val="0"/>
          <w:numId w:val="9"/>
        </w:numPr>
        <w:tabs>
          <w:tab w:pos="303"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Вођење помоћне евиденције је и просторно дислоцирано, јер се помоћна евиденција опреме и помоћна евиденција неких зграда које користе органи града Ниша воде у Служби за одржавање и информационо</w:t>
      </w:r>
      <w:r>
        <w:rPr>
          <w:rFonts w:ascii="Times New Roman" w:hAnsi="Times New Roman"/>
          <w:sz w:val="24"/>
        </w:rPr>
        <w:t>-</w:t>
      </w:r>
      <w:r>
        <w:rPr>
          <w:rFonts w:ascii="Times New Roman" w:hAnsi="Times New Roman"/>
          <w:sz w:val="24"/>
        </w:rPr>
        <w:t>комуникациону технологију, док се остале помоћне евиденције воде у Одсеку за рачуноводство при Управи за финансије, јавне приходе локалне самоуправе и јавне</w:t>
      </w:r>
      <w:r>
        <w:rPr>
          <w:rFonts w:ascii="Times New Roman" w:hAnsi="Times New Roman"/>
          <w:spacing w:val="-13"/>
          <w:sz w:val="24"/>
        </w:rPr>
        <w:t> </w:t>
      </w:r>
      <w:r>
        <w:rPr>
          <w:rFonts w:ascii="Times New Roman" w:hAnsi="Times New Roman"/>
          <w:sz w:val="24"/>
        </w:rPr>
        <w:t>набавке.</w:t>
      </w:r>
    </w:p>
    <w:p>
      <w:pPr>
        <w:pStyle w:val="ListParagraph"/>
        <w:numPr>
          <w:ilvl w:val="0"/>
          <w:numId w:val="9"/>
        </w:numPr>
        <w:tabs>
          <w:tab w:pos="303" w:val="left" w:leader="none"/>
        </w:tabs>
        <w:spacing w:line="232" w:lineRule="auto" w:before="9"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сваком од подпрограма, инвентарски бројеви основних средстава почињу од броја један, тако да се инвентарски бројеви понављају више пута за различита основна средства, као на пример: под инвентарским бројем један у подпрограму Дирекција евидентирана је канализација улице В.Јовановића други пролаз; у подпрограму станови води се стан у Шумадијској улици број 14 површине 29,85 м</w:t>
      </w:r>
      <w:r>
        <w:rPr>
          <w:rFonts w:ascii="Times New Roman" w:hAnsi="Times New Roman" w:cs="Times New Roman" w:eastAsia="Times New Roman" w:hint="default"/>
          <w:position w:val="11"/>
          <w:sz w:val="16"/>
          <w:szCs w:val="16"/>
        </w:rPr>
        <w:t>2</w:t>
      </w:r>
      <w:r>
        <w:rPr>
          <w:rFonts w:ascii="Times New Roman" w:hAnsi="Times New Roman" w:cs="Times New Roman" w:eastAsia="Times New Roman" w:hint="default"/>
          <w:sz w:val="24"/>
          <w:szCs w:val="24"/>
        </w:rPr>
        <w:t>; у подпрограму општина станови  води  се  стан  у  улици  Булевар  Медијана  број  3/3;  у  подпрограму</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–пословне</w:t>
      </w:r>
    </w:p>
    <w:p>
      <w:pPr>
        <w:pStyle w:val="BodyText"/>
        <w:spacing w:line="276" w:lineRule="exact" w:before="5"/>
        <w:ind w:right="185"/>
        <w:jc w:val="both"/>
        <w:rPr>
          <w:rFonts w:ascii="Times New Roman" w:hAnsi="Times New Roman" w:cs="Times New Roman" w:eastAsia="Times New Roman" w:hint="default"/>
        </w:rPr>
      </w:pPr>
      <w:r>
        <w:rPr/>
        <w:t>просторије и пословне зграде води се пословни простор у улици Благоја Паровића 2а површине 514,50</w:t>
      </w:r>
      <w:r>
        <w:rPr>
          <w:spacing w:val="1"/>
        </w:rPr>
        <w:t> </w:t>
      </w:r>
      <w:r>
        <w:rPr/>
        <w:t>м</w:t>
      </w:r>
      <w:r>
        <w:rPr>
          <w:rFonts w:ascii="Times New Roman" w:hAnsi="Times New Roman"/>
          <w:position w:val="11"/>
          <w:sz w:val="16"/>
        </w:rPr>
        <w:t>2</w:t>
      </w:r>
      <w:r>
        <w:rPr>
          <w:rFonts w:ascii="Times New Roman" w:hAnsi="Times New Roman"/>
        </w:rPr>
        <w:t>.</w:t>
      </w:r>
    </w:p>
    <w:p>
      <w:pPr>
        <w:pStyle w:val="ListParagraph"/>
        <w:numPr>
          <w:ilvl w:val="0"/>
          <w:numId w:val="9"/>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Евидентирање капиталних инвестиција попут реконструкције улице, замене крова или реконструкције / доградње објекта врши се тако што се уводи ново основно средство са новим инвентарским бројем без увећања набавне вредности већ постојећег основног средства, (као на пример у подпрограму Дирекција: коловоз улица Мокрањчева </w:t>
      </w:r>
      <w:r>
        <w:rPr>
          <w:rFonts w:ascii="Times New Roman" w:hAnsi="Times New Roman"/>
          <w:spacing w:val="3"/>
          <w:sz w:val="24"/>
        </w:rPr>
        <w:t>под </w:t>
      </w:r>
      <w:r>
        <w:rPr>
          <w:rFonts w:ascii="Times New Roman" w:hAnsi="Times New Roman"/>
          <w:spacing w:val="3"/>
          <w:sz w:val="24"/>
        </w:rPr>
      </w:r>
      <w:r>
        <w:rPr>
          <w:rFonts w:ascii="Times New Roman" w:hAnsi="Times New Roman"/>
          <w:sz w:val="24"/>
        </w:rPr>
        <w:t>инвентарским бројевима 46, 1448, 177, 853; улица Петра Аранђеловића под бројевима </w:t>
      </w:r>
      <w:r>
        <w:rPr>
          <w:rFonts w:ascii="Times New Roman" w:hAnsi="Times New Roman"/>
          <w:sz w:val="24"/>
        </w:rPr>
        <w:t>633, 651, 699; зграда Дечија клиника под бројевима 80 и 127, а постоји и основно средство под бројем 611</w:t>
      </w:r>
      <w:r>
        <w:rPr>
          <w:rFonts w:ascii="Times New Roman" w:hAnsi="Times New Roman"/>
          <w:sz w:val="24"/>
        </w:rPr>
        <w:t>- </w:t>
      </w:r>
      <w:r>
        <w:rPr>
          <w:rFonts w:ascii="Times New Roman" w:hAnsi="Times New Roman"/>
          <w:sz w:val="24"/>
        </w:rPr>
        <w:t>коловоз збирно) тако да нема података о укупној набавној, отписаној а ни садашњој вредности објекта</w:t>
      </w:r>
      <w:r>
        <w:rPr>
          <w:rFonts w:ascii="Times New Roman" w:hAnsi="Times New Roman"/>
          <w:sz w:val="24"/>
        </w:rPr>
        <w:t>-</w:t>
      </w:r>
      <w:r>
        <w:rPr>
          <w:rFonts w:ascii="Times New Roman" w:hAnsi="Times New Roman"/>
          <w:sz w:val="24"/>
        </w:rPr>
        <w:t>улице или водоводне мреже која је реконструисана, или зграде која је дограђена, што је супротно Правилнику о  стандардном класификационом оквиру и контном плану за буџетски систем и Правилнику о номенклатури нематеријалних улагања и основних средстава са стопама амортизације.</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Помоћне књиге обезбеђују више прегледа и то: листа основних средстава по контима, рекапитулација основних средстава по контима, листа основних средстава по контима и амортизационој групи, дневник промена основних средстава по датуму промене, листа отуђених основних средстава и све су непотпуне, тако да не постоји свеобухватна књига основних средстава која би садржала све податке о основном средству и то: инвентарски број</w:t>
      </w:r>
      <w:r>
        <w:rPr>
          <w:rFonts w:ascii="Times New Roman" w:hAnsi="Times New Roman"/>
          <w:sz w:val="24"/>
        </w:rPr>
        <w:t>, </w:t>
      </w:r>
      <w:r>
        <w:rPr>
          <w:rFonts w:ascii="Times New Roman" w:hAnsi="Times New Roman"/>
          <w:sz w:val="24"/>
        </w:rPr>
        <w:t>адреса</w:t>
      </w:r>
      <w:r>
        <w:rPr>
          <w:rFonts w:ascii="Times New Roman" w:hAnsi="Times New Roman"/>
          <w:sz w:val="24"/>
        </w:rPr>
        <w:t>, </w:t>
      </w:r>
      <w:r>
        <w:rPr>
          <w:rFonts w:ascii="Times New Roman" w:hAnsi="Times New Roman"/>
          <w:sz w:val="24"/>
        </w:rPr>
        <w:t>амортизациона група, амортизациона стопа, датум набавке, количина</w:t>
      </w:r>
      <w:r>
        <w:rPr>
          <w:rFonts w:ascii="Times New Roman" w:hAnsi="Times New Roman"/>
          <w:sz w:val="24"/>
        </w:rPr>
        <w:t>, </w:t>
      </w:r>
      <w:r>
        <w:rPr>
          <w:rFonts w:ascii="Times New Roman" w:hAnsi="Times New Roman"/>
          <w:sz w:val="24"/>
        </w:rPr>
        <w:t>површина, набавна вредност, исправка вредности</w:t>
      </w:r>
      <w:r>
        <w:rPr>
          <w:rFonts w:ascii="Times New Roman" w:hAnsi="Times New Roman"/>
          <w:sz w:val="24"/>
        </w:rPr>
        <w:t>, </w:t>
      </w:r>
      <w:r>
        <w:rPr>
          <w:rFonts w:ascii="Times New Roman" w:hAnsi="Times New Roman"/>
          <w:sz w:val="24"/>
        </w:rPr>
        <w:t>садашња вредност, намена средства, датум набавке, датум активирања, стопа амортизације и</w:t>
      </w:r>
      <w:r>
        <w:rPr>
          <w:rFonts w:ascii="Times New Roman" w:hAnsi="Times New Roman"/>
          <w:spacing w:val="-23"/>
          <w:sz w:val="24"/>
        </w:rPr>
        <w:t> </w:t>
      </w:r>
      <w:r>
        <w:rPr>
          <w:rFonts w:ascii="Times New Roman" w:hAnsi="Times New Roman"/>
          <w:sz w:val="24"/>
        </w:rPr>
        <w:t>друго.</w:t>
      </w:r>
    </w:p>
    <w:p>
      <w:pPr>
        <w:pStyle w:val="ListParagraph"/>
        <w:numPr>
          <w:ilvl w:val="0"/>
          <w:numId w:val="9"/>
        </w:numPr>
        <w:tabs>
          <w:tab w:pos="303" w:val="left" w:leader="none"/>
        </w:tabs>
        <w:spacing w:line="292" w:lineRule="exact" w:before="2"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У пословним књигама Града Ниша, у помоћној евиденцији, воде се</w:t>
      </w:r>
      <w:r>
        <w:rPr>
          <w:rFonts w:ascii="Times New Roman" w:hAnsi="Times New Roman"/>
          <w:spacing w:val="-15"/>
          <w:sz w:val="24"/>
        </w:rPr>
        <w:t> </w:t>
      </w:r>
      <w:r>
        <w:rPr>
          <w:rFonts w:ascii="Times New Roman" w:hAnsi="Times New Roman"/>
          <w:sz w:val="24"/>
        </w:rPr>
        <w:t>станови:</w:t>
      </w:r>
    </w:p>
    <w:p>
      <w:pPr>
        <w:pStyle w:val="ListParagraph"/>
        <w:numPr>
          <w:ilvl w:val="0"/>
          <w:numId w:val="12"/>
        </w:numPr>
        <w:tabs>
          <w:tab w:pos="377" w:val="left" w:leader="none"/>
        </w:tabs>
        <w:spacing w:line="276" w:lineRule="exact" w:before="1"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са дуплим инвентарским бројевима, на истој адреси, исте квадратуре и у истој садашњој вредности, као на пример стан под инвентарским бројем 520 и под инвентарским бројем 543, у улици Мокрањчевој 73/24, површине 40,35 м</w:t>
      </w:r>
      <w:r>
        <w:rPr>
          <w:rFonts w:ascii="Times New Roman" w:hAnsi="Times New Roman"/>
          <w:position w:val="11"/>
          <w:sz w:val="16"/>
        </w:rPr>
        <w:t>2</w:t>
      </w:r>
      <w:r>
        <w:rPr>
          <w:rFonts w:ascii="Times New Roman" w:hAnsi="Times New Roman"/>
          <w:sz w:val="24"/>
        </w:rPr>
        <w:t>, садашње вредности у износу од 866 хиљада</w:t>
      </w:r>
      <w:r>
        <w:rPr>
          <w:rFonts w:ascii="Times New Roman" w:hAnsi="Times New Roman"/>
          <w:spacing w:val="-9"/>
          <w:sz w:val="24"/>
        </w:rPr>
        <w:t> </w:t>
      </w:r>
      <w:r>
        <w:rPr>
          <w:rFonts w:ascii="Times New Roman" w:hAnsi="Times New Roman"/>
          <w:sz w:val="24"/>
        </w:rPr>
        <w:t>динара;</w:t>
      </w:r>
    </w:p>
    <w:p>
      <w:pPr>
        <w:pStyle w:val="ListParagraph"/>
        <w:numPr>
          <w:ilvl w:val="0"/>
          <w:numId w:val="12"/>
        </w:numPr>
        <w:tabs>
          <w:tab w:pos="329" w:val="left" w:leader="none"/>
        </w:tabs>
        <w:spacing w:line="240" w:lineRule="auto" w:before="0"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станови на истој адреси и исте квадратуре, али различите садашње вредности, као на пример стан под инвентарским бројем 265 и под бројем 601; стан под инвентарским бројем 114 и бројем</w:t>
      </w:r>
      <w:r>
        <w:rPr>
          <w:rFonts w:ascii="Times New Roman" w:hAnsi="Times New Roman"/>
          <w:spacing w:val="-2"/>
          <w:sz w:val="24"/>
        </w:rPr>
        <w:t> </w:t>
      </w:r>
      <w:r>
        <w:rPr>
          <w:rFonts w:ascii="Times New Roman" w:hAnsi="Times New Roman"/>
          <w:sz w:val="24"/>
        </w:rPr>
        <w:t>606;</w:t>
      </w:r>
    </w:p>
    <w:p>
      <w:pPr>
        <w:pStyle w:val="ListParagraph"/>
        <w:numPr>
          <w:ilvl w:val="0"/>
          <w:numId w:val="12"/>
        </w:numPr>
        <w:tabs>
          <w:tab w:pos="327"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станови на истој адреси, са различитом квадратуром и различите садашње вредности, као на пример стан са инвентарским бројевима 433 и 561; стан са инвентарским бројевима</w:t>
      </w:r>
      <w:r>
        <w:rPr>
          <w:rFonts w:ascii="Times New Roman" w:hAnsi="Times New Roman"/>
          <w:spacing w:val="33"/>
          <w:sz w:val="24"/>
        </w:rPr>
        <w:t> </w:t>
      </w:r>
      <w:r>
        <w:rPr>
          <w:rFonts w:ascii="Times New Roman" w:hAnsi="Times New Roman"/>
          <w:sz w:val="24"/>
        </w:rPr>
        <w:t>117</w:t>
      </w:r>
      <w:r>
        <w:rPr>
          <w:rFonts w:ascii="Times New Roman" w:hAnsi="Times New Roman"/>
          <w:spacing w:val="34"/>
          <w:sz w:val="24"/>
        </w:rPr>
        <w:t> </w:t>
      </w:r>
      <w:r>
        <w:rPr>
          <w:rFonts w:ascii="Times New Roman" w:hAnsi="Times New Roman"/>
          <w:sz w:val="24"/>
        </w:rPr>
        <w:t>и</w:t>
      </w:r>
      <w:r>
        <w:rPr>
          <w:rFonts w:ascii="Times New Roman" w:hAnsi="Times New Roman"/>
          <w:spacing w:val="35"/>
          <w:sz w:val="24"/>
        </w:rPr>
        <w:t> </w:t>
      </w:r>
      <w:r>
        <w:rPr>
          <w:rFonts w:ascii="Times New Roman" w:hAnsi="Times New Roman"/>
          <w:sz w:val="24"/>
        </w:rPr>
        <w:t>607;</w:t>
      </w:r>
      <w:r>
        <w:rPr>
          <w:rFonts w:ascii="Times New Roman" w:hAnsi="Times New Roman"/>
          <w:spacing w:val="39"/>
          <w:sz w:val="24"/>
        </w:rPr>
        <w:t> </w:t>
      </w:r>
      <w:r>
        <w:rPr>
          <w:rFonts w:ascii="Times New Roman" w:hAnsi="Times New Roman"/>
          <w:sz w:val="24"/>
        </w:rPr>
        <w:t>за</w:t>
      </w:r>
      <w:r>
        <w:rPr>
          <w:rFonts w:ascii="Times New Roman" w:hAnsi="Times New Roman"/>
          <w:spacing w:val="33"/>
          <w:sz w:val="24"/>
        </w:rPr>
        <w:t> </w:t>
      </w:r>
      <w:r>
        <w:rPr>
          <w:rFonts w:ascii="Times New Roman" w:hAnsi="Times New Roman"/>
          <w:sz w:val="24"/>
        </w:rPr>
        <w:t>које</w:t>
      </w:r>
      <w:r>
        <w:rPr>
          <w:rFonts w:ascii="Times New Roman" w:hAnsi="Times New Roman"/>
          <w:spacing w:val="34"/>
          <w:sz w:val="24"/>
        </w:rPr>
        <w:t> </w:t>
      </w:r>
      <w:r>
        <w:rPr>
          <w:rFonts w:ascii="Times New Roman" w:hAnsi="Times New Roman"/>
          <w:sz w:val="24"/>
        </w:rPr>
        <w:t>је</w:t>
      </w:r>
      <w:r>
        <w:rPr>
          <w:rFonts w:ascii="Times New Roman" w:hAnsi="Times New Roman"/>
          <w:spacing w:val="37"/>
          <w:sz w:val="24"/>
        </w:rPr>
        <w:t> </w:t>
      </w:r>
      <w:r>
        <w:rPr>
          <w:rFonts w:ascii="Times New Roman" w:hAnsi="Times New Roman"/>
          <w:sz w:val="24"/>
        </w:rPr>
        <w:t>и</w:t>
      </w:r>
      <w:r>
        <w:rPr>
          <w:rFonts w:ascii="Times New Roman" w:hAnsi="Times New Roman"/>
          <w:spacing w:val="36"/>
          <w:sz w:val="24"/>
        </w:rPr>
        <w:t> </w:t>
      </w:r>
      <w:r>
        <w:rPr>
          <w:rFonts w:ascii="Times New Roman" w:hAnsi="Times New Roman"/>
          <w:sz w:val="24"/>
        </w:rPr>
        <w:t>комисија</w:t>
      </w:r>
      <w:r>
        <w:rPr>
          <w:rFonts w:ascii="Times New Roman" w:hAnsi="Times New Roman"/>
          <w:spacing w:val="34"/>
          <w:sz w:val="24"/>
        </w:rPr>
        <w:t> </w:t>
      </w:r>
      <w:r>
        <w:rPr>
          <w:rFonts w:ascii="Times New Roman" w:hAnsi="Times New Roman"/>
          <w:sz w:val="24"/>
        </w:rPr>
        <w:t>за</w:t>
      </w:r>
      <w:r>
        <w:rPr>
          <w:rFonts w:ascii="Times New Roman" w:hAnsi="Times New Roman"/>
          <w:spacing w:val="35"/>
          <w:sz w:val="24"/>
        </w:rPr>
        <w:t> </w:t>
      </w:r>
      <w:r>
        <w:rPr>
          <w:rFonts w:ascii="Times New Roman" w:hAnsi="Times New Roman"/>
          <w:sz w:val="24"/>
        </w:rPr>
        <w:t>попис</w:t>
      </w:r>
      <w:r>
        <w:rPr>
          <w:rFonts w:ascii="Times New Roman" w:hAnsi="Times New Roman"/>
          <w:spacing w:val="33"/>
          <w:sz w:val="24"/>
        </w:rPr>
        <w:t> </w:t>
      </w:r>
      <w:r>
        <w:rPr>
          <w:rFonts w:ascii="Times New Roman" w:hAnsi="Times New Roman"/>
          <w:sz w:val="24"/>
        </w:rPr>
        <w:t>станова</w:t>
      </w:r>
      <w:r>
        <w:rPr>
          <w:rFonts w:ascii="Times New Roman" w:hAnsi="Times New Roman"/>
          <w:spacing w:val="33"/>
          <w:sz w:val="24"/>
        </w:rPr>
        <w:t> </w:t>
      </w:r>
      <w:r>
        <w:rPr>
          <w:rFonts w:ascii="Times New Roman" w:hAnsi="Times New Roman"/>
          <w:sz w:val="24"/>
        </w:rPr>
        <w:t>при</w:t>
      </w:r>
      <w:r>
        <w:rPr>
          <w:rFonts w:ascii="Times New Roman" w:hAnsi="Times New Roman"/>
          <w:spacing w:val="35"/>
          <w:sz w:val="24"/>
        </w:rPr>
        <w:t> </w:t>
      </w:r>
      <w:r>
        <w:rPr>
          <w:rFonts w:ascii="Times New Roman" w:hAnsi="Times New Roman"/>
          <w:sz w:val="24"/>
        </w:rPr>
        <w:t>годишњем</w:t>
      </w:r>
      <w:r>
        <w:rPr>
          <w:rFonts w:ascii="Times New Roman" w:hAnsi="Times New Roman"/>
          <w:spacing w:val="34"/>
          <w:sz w:val="24"/>
        </w:rPr>
        <w:t> </w:t>
      </w:r>
      <w:r>
        <w:rPr>
          <w:rFonts w:ascii="Times New Roman" w:hAnsi="Times New Roman"/>
          <w:sz w:val="24"/>
        </w:rPr>
        <w:t>попису</w:t>
      </w:r>
      <w:r>
        <w:rPr>
          <w:rFonts w:ascii="Times New Roman" w:hAnsi="Times New Roman"/>
          <w:spacing w:val="29"/>
          <w:sz w:val="24"/>
        </w:rPr>
        <w:t> </w:t>
      </w:r>
      <w:r>
        <w:rPr>
          <w:rFonts w:ascii="Times New Roman" w:hAnsi="Times New Roman"/>
          <w:sz w:val="24"/>
        </w:rPr>
        <w:t>за</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6"/>
        <w:jc w:val="both"/>
      </w:pPr>
      <w:r>
        <w:rPr/>
        <w:t>2014. годину утврдила да су дупло евидентирани нису искњижени на дан 31.12.2014. године, тако да стање у књигама не одговара стварном стању, нити су зграде и грађевински објекти тачно и правилно исказани, што је супротно Уредби о буџетском рачуноводству.</w:t>
      </w:r>
    </w:p>
    <w:p>
      <w:pPr>
        <w:pStyle w:val="BodyText"/>
        <w:spacing w:line="240" w:lineRule="auto"/>
        <w:ind w:right="175" w:firstLine="566"/>
        <w:jc w:val="both"/>
      </w:pPr>
      <w:r>
        <w:rPr/>
        <w:t>Неправилност да вођење помоћних књига није вршено у складу са Уредбом о буџетском рачуноводству утврђена је и у поступку ревизије финансијских извештаја завршног рачуна буџета града Ниша за 2010.</w:t>
      </w:r>
      <w:r>
        <w:rPr>
          <w:spacing w:val="-14"/>
        </w:rPr>
        <w:t> </w:t>
      </w:r>
      <w:r>
        <w:rPr/>
        <w:t>годину.</w:t>
      </w:r>
    </w:p>
    <w:p>
      <w:pPr>
        <w:pStyle w:val="ListParagraph"/>
        <w:numPr>
          <w:ilvl w:val="0"/>
          <w:numId w:val="9"/>
        </w:numPr>
        <w:tabs>
          <w:tab w:pos="303"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Према подацима добијеним од Управе за имовину и инспекцијске послове Града Ниша на дан 31.12.2014. године у поступку откупа станова на рате је 1</w:t>
      </w:r>
      <w:r>
        <w:rPr>
          <w:rFonts w:ascii="Times New Roman" w:hAnsi="Times New Roman"/>
          <w:sz w:val="24"/>
        </w:rPr>
        <w:t>39 </w:t>
      </w:r>
      <w:r>
        <w:rPr>
          <w:rFonts w:ascii="Times New Roman" w:hAnsi="Times New Roman"/>
          <w:sz w:val="24"/>
        </w:rPr>
        <w:t>станова</w:t>
      </w:r>
      <w:r>
        <w:rPr>
          <w:rFonts w:ascii="Times New Roman" w:hAnsi="Times New Roman"/>
          <w:sz w:val="24"/>
        </w:rPr>
        <w:t>. </w:t>
      </w:r>
      <w:r>
        <w:rPr>
          <w:rFonts w:ascii="Times New Roman" w:hAnsi="Times New Roman"/>
          <w:sz w:val="24"/>
        </w:rPr>
        <w:t>Град Ниш је власник дела стамбеног простора док се не откупи у целости, па је из тих разлога Одсек за стамбене послове при Управи за имовину, пријавио стамбени простор који се откупљује на рате у попис стамбеног простора којим располаже град Ниш. У помоћним књигама које се воде у Управи за финансије, број станова који је дат у откуп је 94, садашња вредност тих станова на дан 31.12.2014. године износи 118.802 хиљаде динара, па је најмање у том износу ова позиција више исказана. Истовремено, више је исказана вредност на конту 311100 </w:t>
      </w:r>
      <w:r>
        <w:rPr>
          <w:rFonts w:ascii="Times New Roman" w:hAnsi="Times New Roman"/>
          <w:sz w:val="24"/>
        </w:rPr>
        <w:t>- </w:t>
      </w:r>
      <w:r>
        <w:rPr>
          <w:rFonts w:ascii="Times New Roman" w:hAnsi="Times New Roman"/>
          <w:sz w:val="24"/>
        </w:rPr>
        <w:t>нефинансијска имовина у сталним средствима за најмање исти износ. Уједно је мање исказан износ на конту 111600</w:t>
      </w:r>
      <w:r>
        <w:rPr>
          <w:rFonts w:ascii="Times New Roman" w:hAnsi="Times New Roman"/>
          <w:sz w:val="24"/>
        </w:rPr>
        <w:t>- </w:t>
      </w:r>
      <w:r>
        <w:rPr>
          <w:rFonts w:ascii="Times New Roman" w:hAnsi="Times New Roman"/>
          <w:sz w:val="24"/>
        </w:rPr>
        <w:t>кредити физичким лицима и домаћинствима за неотплаћени део рата станова датих у откуп, за износ који у поступку нисмо могли да утврдимо, јер </w:t>
      </w:r>
      <w:r>
        <w:rPr>
          <w:rFonts w:ascii="Times New Roman" w:hAnsi="Times New Roman"/>
          <w:spacing w:val="-2"/>
          <w:sz w:val="24"/>
        </w:rPr>
        <w:t>тачна </w:t>
      </w:r>
      <w:r>
        <w:rPr>
          <w:rFonts w:ascii="Times New Roman" w:hAnsi="Times New Roman"/>
          <w:sz w:val="24"/>
        </w:rPr>
        <w:t>и поуздана евиденција о становима датих у </w:t>
      </w:r>
      <w:r>
        <w:rPr>
          <w:rFonts w:ascii="Times New Roman" w:hAnsi="Times New Roman"/>
          <w:spacing w:val="-3"/>
          <w:sz w:val="24"/>
        </w:rPr>
        <w:t>откуп </w:t>
      </w:r>
      <w:r>
        <w:rPr>
          <w:rFonts w:ascii="Times New Roman" w:hAnsi="Times New Roman"/>
          <w:sz w:val="24"/>
        </w:rPr>
        <w:t>не </w:t>
      </w:r>
      <w:r>
        <w:rPr>
          <w:rFonts w:ascii="Times New Roman" w:hAnsi="Times New Roman"/>
          <w:sz w:val="24"/>
        </w:rPr>
        <w:t>постоји.</w:t>
      </w:r>
    </w:p>
    <w:p>
      <w:pPr>
        <w:pStyle w:val="ListParagraph"/>
        <w:numPr>
          <w:ilvl w:val="0"/>
          <w:numId w:val="9"/>
        </w:numPr>
        <w:tabs>
          <w:tab w:pos="303" w:val="left" w:leader="none"/>
        </w:tabs>
        <w:spacing w:line="232" w:lineRule="auto" w:before="9"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Према писаном објашњењу одговорних лица Управе за имовину и инспекцијске  послове на дан 31.12.2014. године у закуп је издато 258 станова, на основу Уговора о коришћењу стана, Уговора о закупу стана и других аката. Укупна површина издатих станова износи најмање 9.244 м</w:t>
      </w:r>
      <w:r>
        <w:rPr>
          <w:rFonts w:ascii="Times New Roman" w:hAnsi="Times New Roman"/>
          <w:position w:val="11"/>
          <w:sz w:val="16"/>
        </w:rPr>
        <w:t>2 </w:t>
      </w:r>
      <w:r>
        <w:rPr>
          <w:rFonts w:ascii="Times New Roman" w:hAnsi="Times New Roman"/>
          <w:sz w:val="24"/>
        </w:rPr>
        <w:t>(јер за неке станове није уписана површина). У пословним књигама Управе за финансије, евидентирано је и воде се 216 станова датих  </w:t>
      </w:r>
      <w:r>
        <w:rPr>
          <w:rFonts w:ascii="Times New Roman" w:hAnsi="Times New Roman"/>
          <w:spacing w:val="14"/>
          <w:sz w:val="24"/>
        </w:rPr>
        <w:t> </w:t>
      </w:r>
      <w:r>
        <w:rPr>
          <w:rFonts w:ascii="Times New Roman" w:hAnsi="Times New Roman"/>
          <w:sz w:val="24"/>
        </w:rPr>
        <w:t>у</w:t>
      </w:r>
    </w:p>
    <w:p>
      <w:pPr>
        <w:pStyle w:val="BodyText"/>
        <w:spacing w:line="240" w:lineRule="auto" w:before="1"/>
        <w:ind w:right="172"/>
        <w:jc w:val="both"/>
      </w:pPr>
      <w:r>
        <w:rPr/>
        <w:t>закуп док 42 стана није евидентирано у пословним књигама града Ниша (који су пописани на дан 31.12.2014. године) и за вредност неевидентираних станова ова позиција мање је исказана, чију вредност у поступку ревизије нисмо могли да</w:t>
      </w:r>
      <w:r>
        <w:rPr>
          <w:spacing w:val="-27"/>
        </w:rPr>
        <w:t> </w:t>
      </w:r>
      <w:r>
        <w:rPr/>
        <w:t>утврдимо.</w:t>
      </w:r>
    </w:p>
    <w:p>
      <w:pPr>
        <w:pStyle w:val="ListParagraph"/>
        <w:numPr>
          <w:ilvl w:val="0"/>
          <w:numId w:val="9"/>
        </w:numPr>
        <w:tabs>
          <w:tab w:pos="303" w:val="left" w:leader="none"/>
        </w:tabs>
        <w:spacing w:line="230" w:lineRule="auto" w:before="11"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Према Извештају комисије за попис зграда, пословног простора и других грађевинских објеката Град Ниш на дан 31.12.2014. године располаже са 556 пословних просторија укупне површине 52.993,39 м</w:t>
      </w:r>
      <w:r>
        <w:rPr>
          <w:rFonts w:ascii="Times New Roman" w:hAnsi="Times New Roman" w:cs="Times New Roman" w:eastAsia="Times New Roman" w:hint="default"/>
          <w:position w:val="11"/>
          <w:sz w:val="16"/>
          <w:szCs w:val="16"/>
        </w:rPr>
        <w:t>2 </w:t>
      </w:r>
      <w:r>
        <w:rPr>
          <w:rFonts w:ascii="Times New Roman" w:hAnsi="Times New Roman" w:cs="Times New Roman" w:eastAsia="Times New Roman" w:hint="default"/>
          <w:sz w:val="24"/>
          <w:szCs w:val="24"/>
        </w:rPr>
        <w:t>од чега је број пословних просторија у зградама месних канцеларија и домова културе 15</w:t>
      </w:r>
      <w:r>
        <w:rPr>
          <w:rFonts w:ascii="Times New Roman" w:hAnsi="Times New Roman" w:cs="Times New Roman" w:eastAsia="Times New Roman" w:hint="default"/>
          <w:sz w:val="24"/>
          <w:szCs w:val="24"/>
        </w:rPr>
        <w:t>2 </w:t>
      </w:r>
      <w:r>
        <w:rPr>
          <w:rFonts w:ascii="Times New Roman" w:hAnsi="Times New Roman" w:cs="Times New Roman" w:eastAsia="Times New Roman" w:hint="default"/>
          <w:sz w:val="24"/>
          <w:szCs w:val="24"/>
        </w:rPr>
        <w:t>– површине 10.840,61 м</w:t>
      </w:r>
      <w:r>
        <w:rPr>
          <w:rFonts w:ascii="Times New Roman" w:hAnsi="Times New Roman" w:cs="Times New Roman" w:eastAsia="Times New Roman" w:hint="default"/>
          <w:position w:val="11"/>
          <w:sz w:val="16"/>
          <w:szCs w:val="16"/>
        </w:rPr>
        <w:t>2 </w:t>
      </w:r>
      <w:r>
        <w:rPr>
          <w:rFonts w:ascii="Times New Roman" w:hAnsi="Times New Roman" w:cs="Times New Roman" w:eastAsia="Times New Roman" w:hint="default"/>
          <w:sz w:val="24"/>
          <w:szCs w:val="24"/>
        </w:rPr>
        <w:t>а број осталог пословног простора износи 404 – површине 42.152,78 м</w:t>
      </w:r>
      <w:r>
        <w:rPr>
          <w:rFonts w:ascii="Times New Roman" w:hAnsi="Times New Roman" w:cs="Times New Roman" w:eastAsia="Times New Roman" w:hint="default"/>
          <w:position w:val="11"/>
          <w:sz w:val="16"/>
          <w:szCs w:val="16"/>
        </w:rPr>
        <w:t>2</w:t>
      </w:r>
      <w:r>
        <w:rPr>
          <w:rFonts w:ascii="Times New Roman" w:hAnsi="Times New Roman" w:cs="Times New Roman" w:eastAsia="Times New Roman" w:hint="default"/>
          <w:sz w:val="24"/>
          <w:szCs w:val="24"/>
        </w:rPr>
        <w:t>. Због неадекватног евидентирања и вођења помоћне књиге основних средстава у Одсеку за буџетско рачуноводству при Управи за финансије, изворне приходе локалне самоуправе и јавне набавке нисмо могли да се уверимо у тачност и правилност исказане вредности пословног простора и пословних зграда на дан 31.12.2014. године као ни у то да ли су у пословним књигама евидентиране све пословне зграде и пословни простори којим располаже град</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Ниш.</w:t>
      </w:r>
    </w:p>
    <w:p>
      <w:pPr>
        <w:pStyle w:val="ListParagraph"/>
        <w:numPr>
          <w:ilvl w:val="0"/>
          <w:numId w:val="9"/>
        </w:numPr>
        <w:tabs>
          <w:tab w:pos="303" w:val="left" w:leader="none"/>
        </w:tabs>
        <w:spacing w:line="240" w:lineRule="auto" w:before="4"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У пословним књигама града Ниша у помоћној књизи подпрограм: пословне зграде воде се објекти или делови објеката без вредности, што је супротно Уредби о буџетском рачуноводству и члану 30. Правилника о буџетском рачуноводству и рачуноводственим политикама.</w:t>
      </w:r>
    </w:p>
    <w:p>
      <w:pPr>
        <w:pStyle w:val="ListParagraph"/>
        <w:numPr>
          <w:ilvl w:val="0"/>
          <w:numId w:val="9"/>
        </w:numPr>
        <w:tabs>
          <w:tab w:pos="303"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пословним књигама града Ниша, у помоћној књизи подпрограм „Дирекција“, под више инвентарских бројева води се хала Чаир и то: под инвентарским бројем 079 – хала Чаир садашње вредности у износу од 15.261 хиљаде динара, под бројем 132 – кров спортске хале Чаир вредности 228 хиљада динара, под бројем 593 – хала Чаир </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вредности</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7"/>
        <w:jc w:val="both"/>
      </w:pPr>
      <w:r>
        <w:rPr/>
        <w:t>6.145 хиљада динара, под бројем 615 – хала Чаир вредности 682.536 хиљада динара, што укупно износи 704.170 хиљада динара, тако да није позната укупна вредност</w:t>
      </w:r>
      <w:r>
        <w:rPr>
          <w:spacing w:val="-23"/>
        </w:rPr>
        <w:t> </w:t>
      </w:r>
      <w:r>
        <w:rPr/>
        <w:t>објекта.</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пословним књигама Града Ниша, у помоћној књизи подпрограм „Дирекција“, под више инвентарских бројева води се базен Чаир и то: под инвентарским бројем 1244</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олимпијски и дечији базен Чаир садашње вредности у износу од 74.047 хиљада динара, под бројем 131</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плато базен Чаир вредности 1.070 хиљада динара, под бројем 1387</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олимпијски и дечији базен Чаир вредности 203 хиљаде динара, што укупно износи 75.320 хиљада динара, а и код СЦ Чаир у вредности од 180.435 хиљада динара, тако да није позната вредност</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базена.</w:t>
      </w:r>
    </w:p>
    <w:p>
      <w:pPr>
        <w:pStyle w:val="ListParagraph"/>
        <w:numPr>
          <w:ilvl w:val="0"/>
          <w:numId w:val="9"/>
        </w:numPr>
        <w:tabs>
          <w:tab w:pos="303" w:val="left" w:leader="none"/>
        </w:tabs>
        <w:spacing w:line="274" w:lineRule="exact" w:before="24" w:after="0"/>
        <w:ind w:left="160" w:right="18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пословним књигама града Ниша, у помоћној књизи подпрограм „Дирекција“ под инвентарским бројем 602  – Симфонијски оркестар води се   </w:t>
      </w:r>
      <w:r>
        <w:rPr>
          <w:rFonts w:ascii="Times New Roman" w:hAnsi="Times New Roman" w:cs="Times New Roman" w:eastAsia="Times New Roman" w:hint="default"/>
          <w:spacing w:val="55"/>
          <w:sz w:val="24"/>
          <w:szCs w:val="24"/>
        </w:rPr>
        <w:t> </w:t>
      </w:r>
      <w:r>
        <w:rPr>
          <w:rFonts w:ascii="Times New Roman" w:hAnsi="Times New Roman" w:cs="Times New Roman" w:eastAsia="Times New Roman" w:hint="default"/>
          <w:sz w:val="24"/>
          <w:szCs w:val="24"/>
        </w:rPr>
        <w:t>зграда  садашње  вредности</w:t>
      </w:r>
    </w:p>
    <w:p>
      <w:pPr>
        <w:pStyle w:val="BodyText"/>
        <w:spacing w:line="240" w:lineRule="auto"/>
        <w:ind w:right="182"/>
        <w:jc w:val="both"/>
      </w:pPr>
      <w:r>
        <w:rPr/>
        <w:t>3.582 хиљаде динара а у књигама Нишког симфонијског оркестра води се у вредности од </w:t>
      </w:r>
      <w:r>
        <w:rPr>
          <w:rFonts w:ascii="Times New Roman" w:hAnsi="Times New Roman"/>
        </w:rPr>
        <w:t>264 </w:t>
      </w:r>
      <w:r>
        <w:rPr/>
        <w:t>хиљаде динара, тако да није позната вредност</w:t>
      </w:r>
      <w:r>
        <w:rPr>
          <w:spacing w:val="-13"/>
        </w:rPr>
        <w:t> </w:t>
      </w:r>
      <w:r>
        <w:rPr/>
        <w:t>зграде.</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Ова позиција више је исказана за износ од укупно 6.748 хиљада динара за неправилно евидентирано увећање вредности зграда и објеката у 2014. години и то: за камату у износу од 181 хиљаде динара за објекат вртића Бранко Бјеговић, за кружни ток у износу од 2.318 хиљада динара, за чишћење корита река за спровођење одбране од поплава у износу од 3.362 хиљаде динара, за камату за изградњу Дома здравља Нишка Бања у износу од 887 хиљада динара. Истовренемо, за исти износ више је исказан износ на конту </w:t>
      </w:r>
      <w:r>
        <w:rPr>
          <w:rFonts w:ascii="Times New Roman" w:hAnsi="Times New Roman" w:cs="Times New Roman" w:eastAsia="Times New Roman" w:hint="default"/>
          <w:sz w:val="24"/>
          <w:szCs w:val="24"/>
        </w:rPr>
        <w:t>311100 </w:t>
      </w:r>
      <w:r>
        <w:rPr>
          <w:rFonts w:ascii="Times New Roman" w:hAnsi="Times New Roman" w:cs="Times New Roman" w:eastAsia="Times New Roman" w:hint="default"/>
          <w:sz w:val="24"/>
          <w:szCs w:val="24"/>
        </w:rPr>
        <w:t>– нефинансијска имовина у сталним средствима за исти</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износ.</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Ова позиција више је исказана за износ од 19.531 хиљаде динара за вредност трафо станице кардиохирургије, објекта који није у власништу града Ниша а који је преузет од ЈП Дирекција на основу Записника о промопредаји имовине стечене средствима града Ниша.</w:t>
      </w:r>
    </w:p>
    <w:p>
      <w:pPr>
        <w:pStyle w:val="ListParagraph"/>
        <w:numPr>
          <w:ilvl w:val="0"/>
          <w:numId w:val="9"/>
        </w:numPr>
        <w:tabs>
          <w:tab w:pos="303" w:val="left" w:leader="none"/>
        </w:tabs>
        <w:spacing w:line="237" w:lineRule="auto" w:before="4"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Вредност зграда и грађевинских објеката више је исказана за износ који у поступку ревизије нисмо могли да утврдимо, по основу Записника о приморедаји имовине стечене средствима града Ниша за зграде и грађевинске објекте који нису у својини града</w:t>
      </w:r>
      <w:r>
        <w:rPr>
          <w:rFonts w:ascii="Times New Roman" w:hAnsi="Times New Roman"/>
          <w:spacing w:val="-23"/>
          <w:sz w:val="24"/>
        </w:rPr>
        <w:t> </w:t>
      </w:r>
      <w:r>
        <w:rPr>
          <w:rFonts w:ascii="Times New Roman" w:hAnsi="Times New Roman"/>
          <w:sz w:val="24"/>
        </w:rPr>
        <w:t>Ниша.</w:t>
      </w:r>
    </w:p>
    <w:p>
      <w:pPr>
        <w:pStyle w:val="ListParagraph"/>
        <w:numPr>
          <w:ilvl w:val="0"/>
          <w:numId w:val="9"/>
        </w:numPr>
        <w:tabs>
          <w:tab w:pos="303" w:val="left" w:leader="none"/>
        </w:tabs>
        <w:spacing w:line="230" w:lineRule="auto" w:before="12"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Град Ниш нефинансијску имовину у сталним средствима није правилно, свеобухватно и тачно исказао у билансу стања на дан 31.12.2014. године, јер у пословним књигама није евидентирао целокупну нефинансијску имовину над којом је у Регистру непокретности уписан као власник и корисник: објекте чију површину и вредност у поступку ревизије нисмо могли да утврдимо, што је супротно члану 10. и 11. Закона о јавној својини</w:t>
      </w:r>
      <w:r>
        <w:rPr>
          <w:rFonts w:ascii="Times New Roman" w:hAnsi="Times New Roman"/>
          <w:position w:val="11"/>
          <w:sz w:val="16"/>
        </w:rPr>
        <w:t>77 </w:t>
      </w:r>
      <w:r>
        <w:rPr>
          <w:rFonts w:ascii="Times New Roman" w:hAnsi="Times New Roman"/>
          <w:sz w:val="24"/>
        </w:rPr>
        <w:t>, </w:t>
      </w:r>
      <w:r>
        <w:rPr>
          <w:rFonts w:ascii="Times New Roman" w:hAnsi="Times New Roman"/>
          <w:sz w:val="24"/>
        </w:rPr>
      </w:r>
      <w:r>
        <w:rPr>
          <w:rFonts w:ascii="Times New Roman" w:hAnsi="Times New Roman"/>
          <w:sz w:val="24"/>
        </w:rPr>
        <w:t>члану 4. и 60. Закона о државном премеру и катастру</w:t>
      </w:r>
      <w:r>
        <w:rPr>
          <w:rFonts w:ascii="Times New Roman" w:hAnsi="Times New Roman"/>
          <w:position w:val="11"/>
          <w:sz w:val="16"/>
        </w:rPr>
        <w:t>78 </w:t>
      </w:r>
      <w:r>
        <w:rPr>
          <w:rFonts w:ascii="Times New Roman" w:hAnsi="Times New Roman"/>
          <w:sz w:val="24"/>
        </w:rPr>
        <w:t>и члану 9. Уредбе о буџетском рачуноводству.</w:t>
      </w:r>
    </w:p>
    <w:p>
      <w:pPr>
        <w:pStyle w:val="BodyText"/>
        <w:spacing w:line="240" w:lineRule="auto" w:before="2"/>
        <w:ind w:right="177" w:firstLine="566"/>
        <w:jc w:val="both"/>
      </w:pPr>
      <w:r>
        <w:rPr/>
        <w:t>Иста неправилност утврђена је и у поступку ревизије финансијских извештаја завршног рачуна буџета града Ниша за 2010.</w:t>
      </w:r>
      <w:r>
        <w:rPr>
          <w:spacing w:val="-14"/>
        </w:rPr>
        <w:t> </w:t>
      </w:r>
      <w:r>
        <w:rPr/>
        <w:t>годину.</w:t>
      </w:r>
    </w:p>
    <w:p>
      <w:pPr>
        <w:pStyle w:val="Heading2"/>
        <w:spacing w:line="240" w:lineRule="auto"/>
        <w:ind w:right="177"/>
        <w:jc w:val="both"/>
        <w:rPr>
          <w:b w:val="0"/>
          <w:bCs w:val="0"/>
          <w:i w:val="0"/>
        </w:rPr>
      </w:pPr>
      <w:r>
        <w:rPr>
          <w:i/>
        </w:rPr>
        <w:t>Препоручује се одговорним лицима да у пословним књигама евидентирају све непокретности којим располаже Град, изврше упис у Катастру непокретности, воде евиденцију о непокретностима у складу са Законом о јавној својини, обезбеде правилну примену Уредбе о буџетском рачуноводству и Правилника о стандардном класификационом оквиру и контном плану за буџетски систем, успоставе и воде свеобухватну помоћну евиденцију основних</w:t>
      </w:r>
      <w:r>
        <w:rPr>
          <w:i/>
          <w:spacing w:val="-15"/>
        </w:rPr>
        <w:t> </w:t>
      </w:r>
      <w:r>
        <w:rPr>
          <w:i/>
        </w:rPr>
        <w:t>средстава.</w:t>
      </w:r>
      <w:r>
        <w:rPr>
          <w:b w:val="0"/>
          <w:i w:val="0"/>
        </w:rPr>
      </w:r>
    </w:p>
    <w:p>
      <w:pPr>
        <w:spacing w:line="240" w:lineRule="auto" w:before="0"/>
        <w:rPr>
          <w:rFonts w:ascii="Times New Roman" w:hAnsi="Times New Roman" w:cs="Times New Roman" w:eastAsia="Times New Roman" w:hint="default"/>
          <w:b/>
          <w:bCs/>
          <w:i/>
          <w:sz w:val="20"/>
          <w:szCs w:val="20"/>
        </w:rPr>
      </w:pPr>
    </w:p>
    <w:p>
      <w:pPr>
        <w:spacing w:line="240" w:lineRule="auto" w:before="0"/>
        <w:rPr>
          <w:rFonts w:ascii="Times New Roman" w:hAnsi="Times New Roman" w:cs="Times New Roman" w:eastAsia="Times New Roman" w:hint="default"/>
          <w:b/>
          <w:bCs/>
          <w:i/>
          <w:sz w:val="20"/>
          <w:szCs w:val="20"/>
        </w:rPr>
      </w:pPr>
    </w:p>
    <w:p>
      <w:pPr>
        <w:spacing w:line="240" w:lineRule="auto" w:before="6"/>
        <w:rPr>
          <w:rFonts w:ascii="Times New Roman" w:hAnsi="Times New Roman" w:cs="Times New Roman" w:eastAsia="Times New Roman" w:hint="default"/>
          <w:b/>
          <w:bCs/>
          <w:i/>
          <w:sz w:val="22"/>
          <w:szCs w:val="22"/>
        </w:rPr>
      </w:pPr>
      <w:r>
        <w:rPr/>
        <w:pict>
          <v:group style="position:absolute;margin-left:78.024002pt;margin-top:14.206266pt;width:144.050pt;height:.1pt;mso-position-horizontal-relative:page;mso-position-vertical-relative:paragraph;z-index:2008;mso-wrap-distance-left:0;mso-wrap-distance-right:0" coordorigin="1560,284" coordsize="2881,2">
            <v:shape style="position:absolute;left:1560;top:284;width:2881;height:2" coordorigin="1560,284" coordsize="2881,0" path="m1560,284l4441,284e" filled="false" stroked="true" strokeweight=".599980pt" strokecolor="#000000">
              <v:path arrowok="t"/>
            </v:shape>
            <w10:wrap type="topAndBottom"/>
          </v:group>
        </w:pict>
      </w:r>
    </w:p>
    <w:p>
      <w:pPr>
        <w:spacing w:line="191" w:lineRule="exact" w:before="5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77 </w:t>
      </w:r>
      <w:r>
        <w:rPr>
          <w:rFonts w:ascii="Times New Roman" w:hAnsi="Times New Roman" w:cs="Times New Roman" w:eastAsia="Times New Roman" w:hint="default"/>
          <w:sz w:val="16"/>
          <w:szCs w:val="16"/>
        </w:rPr>
        <w:t>„Службени гласник Републике Србије“ број 72/2011, 88/2013 и</w:t>
      </w:r>
      <w:r>
        <w:rPr>
          <w:rFonts w:ascii="Times New Roman" w:hAnsi="Times New Roman" w:cs="Times New Roman" w:eastAsia="Times New Roman" w:hint="default"/>
          <w:spacing w:val="-21"/>
          <w:sz w:val="16"/>
          <w:szCs w:val="16"/>
        </w:rPr>
        <w:t> </w:t>
      </w:r>
      <w:r>
        <w:rPr>
          <w:rFonts w:ascii="Times New Roman" w:hAnsi="Times New Roman" w:cs="Times New Roman" w:eastAsia="Times New Roman" w:hint="default"/>
          <w:sz w:val="16"/>
          <w:szCs w:val="16"/>
        </w:rPr>
        <w:t>105/2014</w:t>
      </w:r>
    </w:p>
    <w:p>
      <w:pPr>
        <w:spacing w:line="191" w:lineRule="exact" w:before="0"/>
        <w:ind w:left="160" w:right="141"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78 </w:t>
      </w:r>
      <w:r>
        <w:rPr>
          <w:rFonts w:ascii="Times New Roman" w:hAnsi="Times New Roman" w:cs="Times New Roman" w:eastAsia="Times New Roman" w:hint="default"/>
          <w:sz w:val="16"/>
          <w:szCs w:val="16"/>
        </w:rPr>
        <w:t>„Службени гласник Републике Србије“ број 72/2009, 18/2010 и</w:t>
      </w:r>
      <w:r>
        <w:rPr>
          <w:rFonts w:ascii="Times New Roman" w:hAnsi="Times New Roman" w:cs="Times New Roman" w:eastAsia="Times New Roman" w:hint="default"/>
          <w:spacing w:val="-19"/>
          <w:sz w:val="16"/>
          <w:szCs w:val="16"/>
        </w:rPr>
        <w:t> </w:t>
      </w:r>
      <w:r>
        <w:rPr>
          <w:rFonts w:ascii="Times New Roman" w:hAnsi="Times New Roman" w:cs="Times New Roman" w:eastAsia="Times New Roman" w:hint="default"/>
          <w:sz w:val="16"/>
          <w:szCs w:val="16"/>
        </w:rPr>
        <w:t>65/2013</w:t>
      </w:r>
    </w:p>
    <w:p>
      <w:pPr>
        <w:spacing w:after="0" w:line="191" w:lineRule="exact"/>
        <w:jc w:val="left"/>
        <w:rPr>
          <w:rFonts w:ascii="Times New Roman" w:hAnsi="Times New Roman" w:cs="Times New Roman" w:eastAsia="Times New Roman" w:hint="default"/>
          <w:sz w:val="16"/>
          <w:szCs w:val="16"/>
        </w:rPr>
        <w:sectPr>
          <w:pgSz w:w="12240" w:h="15840"/>
          <w:pgMar w:header="740" w:footer="1274" w:top="1280" w:bottom="1460" w:left="1400" w:right="1260"/>
        </w:sectPr>
      </w:pPr>
    </w:p>
    <w:p>
      <w:pPr>
        <w:spacing w:before="122"/>
        <w:ind w:left="726" w:right="141"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Опрема,  конто  011200  –  </w:t>
      </w:r>
      <w:r>
        <w:rPr>
          <w:rFonts w:ascii="Times New Roman" w:hAnsi="Times New Roman" w:cs="Times New Roman" w:eastAsia="Times New Roman" w:hint="default"/>
          <w:sz w:val="24"/>
          <w:szCs w:val="24"/>
        </w:rPr>
        <w:t>Садашња  вредност  опреме  исказана  је  у  износу    </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од</w:t>
      </w:r>
    </w:p>
    <w:p>
      <w:pPr>
        <w:pStyle w:val="BodyText"/>
        <w:spacing w:line="240" w:lineRule="auto"/>
        <w:ind w:right="0"/>
        <w:jc w:val="both"/>
      </w:pPr>
      <w:r>
        <w:rPr/>
        <w:t>1.239.077 хиљада динара и то</w:t>
      </w:r>
      <w:r>
        <w:rPr>
          <w:spacing w:val="-6"/>
        </w:rPr>
        <w:t> </w:t>
      </w:r>
      <w:r>
        <w:rPr/>
        <w:t>код:</w:t>
      </w:r>
    </w:p>
    <w:p>
      <w:pPr>
        <w:pStyle w:val="ListParagraph"/>
        <w:numPr>
          <w:ilvl w:val="0"/>
          <w:numId w:val="62"/>
        </w:numPr>
        <w:tabs>
          <w:tab w:pos="303"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финансије, изворне приходе локалне самоуправе и јавне набавке </w:t>
      </w:r>
      <w:r>
        <w:rPr>
          <w:rFonts w:ascii="Times New Roman" w:hAnsi="Times New Roman"/>
          <w:sz w:val="24"/>
        </w:rPr>
        <w:t>у износу од </w:t>
      </w:r>
      <w:r>
        <w:rPr>
          <w:rFonts w:ascii="Times New Roman" w:hAnsi="Times New Roman"/>
          <w:sz w:val="24"/>
        </w:rPr>
        <w:t>419 хиљада динара, односи се на канцеларијску</w:t>
      </w:r>
      <w:r>
        <w:rPr>
          <w:rFonts w:ascii="Times New Roman" w:hAnsi="Times New Roman"/>
          <w:spacing w:val="-15"/>
          <w:sz w:val="24"/>
        </w:rPr>
        <w:t> </w:t>
      </w:r>
      <w:r>
        <w:rPr>
          <w:rFonts w:ascii="Times New Roman" w:hAnsi="Times New Roman"/>
          <w:sz w:val="24"/>
        </w:rPr>
        <w:t>опрему.</w:t>
      </w:r>
    </w:p>
    <w:p>
      <w:pPr>
        <w:spacing w:before="0"/>
        <w:ind w:left="160" w:right="173" w:firstLine="578"/>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нисмо могли да се уверимо у тачност исказане вредности опреме, обзиром да није извршено усклађивање књиговодственог стања са стањем по попису на дан 31.12.2014.</w:t>
      </w:r>
      <w:r>
        <w:rPr>
          <w:rFonts w:ascii="Times New Roman" w:hAnsi="Times New Roman"/>
          <w:spacing w:val="-17"/>
          <w:sz w:val="24"/>
        </w:rPr>
        <w:t> </w:t>
      </w:r>
      <w:r>
        <w:rPr>
          <w:rFonts w:ascii="Times New Roman" w:hAnsi="Times New Roman"/>
          <w:sz w:val="24"/>
        </w:rPr>
        <w:t>године.</w:t>
      </w:r>
    </w:p>
    <w:p>
      <w:pPr>
        <w:pStyle w:val="Heading2"/>
        <w:spacing w:line="240" w:lineRule="auto"/>
        <w:ind w:right="182"/>
        <w:jc w:val="both"/>
        <w:rPr>
          <w:b w:val="0"/>
          <w:bCs w:val="0"/>
          <w:i w:val="0"/>
        </w:rPr>
      </w:pPr>
      <w:r>
        <w:rPr>
          <w:i/>
        </w:rPr>
        <w:t>Препоручује се одговорним лицима да правилно и тачно искажу имовину, редовно врше усклађивање  књиговодственог и стварног стања утврђеног</w:t>
      </w:r>
      <w:r>
        <w:rPr>
          <w:i/>
          <w:spacing w:val="-21"/>
        </w:rPr>
        <w:t> </w:t>
      </w:r>
      <w:r>
        <w:rPr>
          <w:i/>
        </w:rPr>
        <w:t>пописом.</w:t>
      </w:r>
      <w:r>
        <w:rPr>
          <w:b w:val="0"/>
          <w:i w:val="0"/>
        </w:rPr>
      </w:r>
    </w:p>
    <w:p>
      <w:pPr>
        <w:pStyle w:val="ListParagraph"/>
        <w:numPr>
          <w:ilvl w:val="0"/>
          <w:numId w:val="62"/>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Управе за дечију, социјалну и примарну здравствену заштиту </w:t>
      </w:r>
      <w:r>
        <w:rPr>
          <w:rFonts w:ascii="Times New Roman" w:hAnsi="Times New Roman" w:cs="Times New Roman" w:eastAsia="Times New Roman" w:hint="default"/>
          <w:sz w:val="24"/>
          <w:szCs w:val="24"/>
        </w:rPr>
        <w:t>у износу од 3.481 хиљаде </w:t>
      </w:r>
      <w:r>
        <w:rPr>
          <w:rFonts w:ascii="Times New Roman" w:hAnsi="Times New Roman" w:cs="Times New Roman" w:eastAsia="Times New Roman" w:hint="default"/>
          <w:sz w:val="24"/>
          <w:szCs w:val="24"/>
        </w:rPr>
        <w:t>динара по основу опреме исказане код: Центра „Мара“ у износу од од 1.859 хиљада динара и Установе „Сигурна кућа“ у износу од 1.622 хиљаде</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динара</w:t>
      </w:r>
      <w:r>
        <w:rPr>
          <w:rFonts w:ascii="Times New Roman" w:hAnsi="Times New Roman" w:cs="Times New Roman" w:eastAsia="Times New Roman" w:hint="default"/>
          <w:sz w:val="24"/>
          <w:szCs w:val="24"/>
        </w:rPr>
        <w:t>.</w:t>
      </w:r>
    </w:p>
    <w:p>
      <w:pPr>
        <w:pStyle w:val="Heading1"/>
        <w:spacing w:line="275" w:lineRule="exact"/>
        <w:ind w:right="141"/>
        <w:jc w:val="left"/>
        <w:rPr>
          <w:b w:val="0"/>
          <w:bCs w:val="0"/>
        </w:rPr>
      </w:pPr>
      <w:r>
        <w:rPr/>
        <w:t>На основу ревизије узорковане документације утврђено је</w:t>
      </w:r>
      <w:r>
        <w:rPr>
          <w:spacing w:val="-16"/>
        </w:rPr>
        <w:t> </w:t>
      </w:r>
      <w:r>
        <w:rPr/>
        <w:t>да:</w:t>
      </w:r>
      <w:r>
        <w:rPr>
          <w:b w:val="0"/>
        </w:rPr>
      </w:r>
    </w:p>
    <w:p>
      <w:pPr>
        <w:pStyle w:val="ListParagraph"/>
        <w:numPr>
          <w:ilvl w:val="0"/>
          <w:numId w:val="9"/>
        </w:numPr>
        <w:tabs>
          <w:tab w:pos="303" w:val="left" w:leader="none"/>
        </w:tabs>
        <w:spacing w:line="237" w:lineRule="auto" w:before="1" w:after="0"/>
        <w:ind w:left="160" w:right="18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Центар „Мара“ не води помоћну књигу основних средстава која обезбеђује детаљне податке о свим основним средствима, што је супротно члану 14. Уредбе о буџетском рачуноводству.</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Обрачун амортизације основних средстава вршен је по стопама које нису у складу са стопама прописаним Правилником о номенклатури нематеријалних улагања и основних средстава са стопама амортизације. У току поступка ревизије, на захтев ревизора, дат је на увид обрачун амортизације опреме за раније године (201</w:t>
      </w:r>
      <w:r>
        <w:rPr>
          <w:rFonts w:ascii="Times New Roman" w:hAnsi="Times New Roman"/>
          <w:sz w:val="24"/>
        </w:rPr>
        <w:t>0</w:t>
      </w:r>
      <w:r>
        <w:rPr>
          <w:rFonts w:ascii="Times New Roman" w:hAnsi="Times New Roman"/>
          <w:sz w:val="24"/>
        </w:rPr>
        <w:t>., 2011.и 201</w:t>
      </w:r>
      <w:r>
        <w:rPr>
          <w:rFonts w:ascii="Times New Roman" w:hAnsi="Times New Roman"/>
          <w:sz w:val="24"/>
        </w:rPr>
        <w:t>2</w:t>
      </w:r>
      <w:r>
        <w:rPr>
          <w:rFonts w:ascii="Times New Roman" w:hAnsi="Times New Roman"/>
          <w:sz w:val="24"/>
        </w:rPr>
        <w:t>. годину </w:t>
      </w:r>
      <w:r>
        <w:rPr>
          <w:rFonts w:ascii="Times New Roman" w:hAnsi="Times New Roman"/>
          <w:sz w:val="24"/>
        </w:rPr>
        <w:t>- </w:t>
      </w:r>
      <w:r>
        <w:rPr>
          <w:rFonts w:ascii="Times New Roman" w:hAnsi="Times New Roman"/>
          <w:sz w:val="24"/>
        </w:rPr>
        <w:t>вршен у свесци), по коме је за стопу амортизације коришћена стопа од 20% за комби возило, кухињу, рачунарску опрему, телефоне, опрему за домаћинство: фрижидер, шпорет, миксер, соковник, посуђе. Обрачун амортизације за 2014. годину извршен је на набавну вредност, затечену у пословним књигама из 2012. године, такође по стопи од </w:t>
      </w:r>
      <w:r>
        <w:rPr>
          <w:rFonts w:ascii="Times New Roman" w:hAnsi="Times New Roman"/>
          <w:sz w:val="24"/>
        </w:rPr>
        <w:t>20%.</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 конту 011211 – опрема за копнени саобраћај евидентирано је возило – комби набављено крајем 2004. године. Набавна вредност комбија на дан 31.12.2010. године исказана је на потражној страни картице у износу од 465 хиљада динара (негативно стање), на дан 31.12.2011. године у износу од 671 хиљаде динара, на дан 31.12.2012. године у износу од 537 хиљада динара. Возило је набављено крајем 2004. године, 15 година је у употреби, тако да у 2014. године и не треба да има садашњу</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вредност.</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Обрачун амортизација опреме набављене у 2014. години вршен је по стопи од 20%, те се не можемо уверити у тачност и правилност исказане садашње вредности опреме на  дан 31.12.2014. године у пословним књигама Установе</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„Мара“.</w:t>
      </w:r>
    </w:p>
    <w:p>
      <w:pPr>
        <w:pStyle w:val="ListParagraph"/>
        <w:numPr>
          <w:ilvl w:val="0"/>
          <w:numId w:val="9"/>
        </w:numPr>
        <w:tabs>
          <w:tab w:pos="303"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Установа „Сигурна кућа“ током 2014. године као рачунарску опрему евидентирала је потрошни канцеларијски материјал (тонере, патроне и пуњење тонера) и ситан инвентар </w:t>
      </w:r>
      <w:r>
        <w:rPr>
          <w:rFonts w:ascii="Times New Roman" w:hAnsi="Times New Roman" w:cs="Times New Roman" w:eastAsia="Times New Roman" w:hint="default"/>
          <w:sz w:val="24"/>
          <w:szCs w:val="24"/>
        </w:rPr>
        <w:t>(usb</w:t>
      </w:r>
      <w:r>
        <w:rPr>
          <w:rFonts w:ascii="Times New Roman" w:hAnsi="Times New Roman" w:cs="Times New Roman" w:eastAsia="Times New Roman" w:hint="default"/>
          <w:sz w:val="24"/>
          <w:szCs w:val="24"/>
        </w:rPr>
        <w:t>) у вредности од осам хиљада динара, тако да је вредност опреме више исказана. Као опрему за домаћинство и угоститељство, Установа је током 2014. године евидентирала набављен ситан инвентар у вредности од 29 хиљада динара (отирач, ролетне, вазе, пепељаре, декоративне слике, стаклене и пластичне посуде, тепихе) и поклон</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књигу од две хиљаде динара, па је вредност опреме исказана за више у износу који у поступку ревизије нисмо могли да</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утврдимо.</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Обрачуната је амортизација у износу од 330 хиљада динара на сва средства пописана пописном листом основних средстава на дан 31.12.2014. године, на пример на кабл </w:t>
      </w:r>
      <w:r>
        <w:rPr>
          <w:rFonts w:ascii="Times New Roman" w:hAnsi="Times New Roman" w:cs="Times New Roman" w:eastAsia="Times New Roman" w:hint="default"/>
          <w:sz w:val="24"/>
          <w:szCs w:val="24"/>
        </w:rPr>
        <w:t>30 </w:t>
      </w:r>
      <w:r>
        <w:rPr>
          <w:rFonts w:ascii="Times New Roman" w:hAnsi="Times New Roman" w:cs="Times New Roman" w:eastAsia="Times New Roman" w:hint="default"/>
          <w:sz w:val="24"/>
          <w:szCs w:val="24"/>
        </w:rPr>
        <w:t>метара, маказе, мрежни кабл, те се не можемо уверити у тачност и правилност исказане садашње вредности опреме Установе „Сигурна</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кућа.“</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ListParagraph"/>
        <w:numPr>
          <w:ilvl w:val="0"/>
          <w:numId w:val="9"/>
        </w:numPr>
        <w:tabs>
          <w:tab w:pos="303" w:val="left" w:leader="none"/>
        </w:tabs>
        <w:spacing w:line="237" w:lineRule="auto" w:before="126" w:after="0"/>
        <w:ind w:left="160" w:right="18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Установа „Сигурна кућа“ не води помоћну књигу основних средстава која обезбеђује детаљне податке о свим основним средствима, што је супротно члану 14. Уредбе о буџетском</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рачуноводству.</w:t>
      </w:r>
    </w:p>
    <w:p>
      <w:pPr>
        <w:pStyle w:val="Heading2"/>
        <w:spacing w:line="240" w:lineRule="auto"/>
        <w:ind w:right="174"/>
        <w:jc w:val="both"/>
        <w:rPr>
          <w:rFonts w:ascii="Times New Roman" w:hAnsi="Times New Roman" w:cs="Times New Roman" w:eastAsia="Times New Roman" w:hint="default"/>
          <w:b w:val="0"/>
          <w:bCs w:val="0"/>
          <w:i w:val="0"/>
        </w:rPr>
      </w:pPr>
      <w:r>
        <w:rPr>
          <w:i/>
        </w:rPr>
        <w:t>Препоручује се одговорним лицима да успоставе помоћну књигу основних средстава, обрачун амортизације основних средстава врше по одредбама Правилника о номенклатури нематеријалних улагања и основних средстава са стопама амортизације, обезбеде правилну примену Уредбе о буџетском рачуноводству и Правилника о стандардном класификационом оквиру и контном плану за буџетски систем</w:t>
      </w:r>
      <w:r>
        <w:rPr>
          <w:rFonts w:ascii="Times New Roman" w:hAnsi="Times New Roman"/>
          <w:i/>
        </w:rPr>
        <w:t>.</w:t>
      </w:r>
      <w:r>
        <w:rPr>
          <w:rFonts w:ascii="Times New Roman" w:hAnsi="Times New Roman"/>
          <w:b w:val="0"/>
          <w:i w:val="0"/>
        </w:rPr>
      </w:r>
    </w:p>
    <w:p>
      <w:pPr>
        <w:pStyle w:val="ListParagraph"/>
        <w:numPr>
          <w:ilvl w:val="0"/>
          <w:numId w:val="62"/>
        </w:numPr>
        <w:tabs>
          <w:tab w:pos="303" w:val="left" w:leader="none"/>
        </w:tabs>
        <w:spacing w:line="240" w:lineRule="auto" w:before="0" w:after="0"/>
        <w:ind w:left="160" w:right="18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Управе за образовање </w:t>
      </w:r>
      <w:r>
        <w:rPr>
          <w:rFonts w:ascii="Times New Roman" w:hAnsi="Times New Roman" w:cs="Times New Roman" w:eastAsia="Times New Roman" w:hint="default"/>
          <w:sz w:val="24"/>
          <w:szCs w:val="24"/>
        </w:rPr>
        <w:t>у износу од 54.995 хиљада динара по основу опреме исказане  </w:t>
      </w:r>
      <w:r>
        <w:rPr>
          <w:rFonts w:ascii="Times New Roman" w:hAnsi="Times New Roman" w:cs="Times New Roman" w:eastAsia="Times New Roman" w:hint="default"/>
          <w:sz w:val="24"/>
          <w:szCs w:val="24"/>
        </w:rPr>
        <w:t>код: ПУ „Пчелица“ у износу од 53.261 хиљаде динара, Дечијег центра у износу од 782 хиљаде динара и  Регионалног центра у износу од 952 хиљаде</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91"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Садашња вредност опреме за образовање  у помоћној  књизи  основних средстава    </w:t>
      </w:r>
      <w:r>
        <w:rPr>
          <w:rFonts w:ascii="Times New Roman" w:hAnsi="Times New Roman"/>
          <w:spacing w:val="42"/>
          <w:sz w:val="24"/>
        </w:rPr>
        <w:t> </w:t>
      </w:r>
      <w:r>
        <w:rPr>
          <w:rFonts w:ascii="Times New Roman" w:hAnsi="Times New Roman"/>
          <w:sz w:val="24"/>
        </w:rPr>
        <w:t>ПУ</w:t>
      </w:r>
    </w:p>
    <w:p>
      <w:pPr>
        <w:pStyle w:val="BodyText"/>
        <w:spacing w:line="240" w:lineRule="auto"/>
        <w:ind w:right="178"/>
        <w:jc w:val="both"/>
      </w:pPr>
      <w:r>
        <w:rPr/>
        <w:t>„Пчелица“ износи 22.603 хиљаде динара и већа је за износ од 12 хиљада динара услед неискњижавања мањка по попису у помоћној евиденцији, тако да помоћна евиденција није усклађена са евиденцијом у главној књизи, што је супротно члану 18. Уредбе о буџетском</w:t>
      </w:r>
      <w:r>
        <w:rPr>
          <w:spacing w:val="-13"/>
        </w:rPr>
        <w:t> </w:t>
      </w:r>
      <w:r>
        <w:rPr/>
        <w:t>рачуноводству.</w:t>
      </w:r>
    </w:p>
    <w:p>
      <w:pPr>
        <w:pStyle w:val="ListParagraph"/>
        <w:numPr>
          <w:ilvl w:val="0"/>
          <w:numId w:val="9"/>
        </w:numPr>
        <w:tabs>
          <w:tab w:pos="303" w:val="left" w:leader="none"/>
        </w:tabs>
        <w:spacing w:line="240" w:lineRule="auto" w:before="2" w:after="0"/>
        <w:ind w:left="160" w:right="17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Садашња вредност опреме код ПУ „Пчелица“ неправилно је исказана за износ који у поступку ревизије нисмо могли да утврдимо, услед неправилно обрачунате амортизације у ранијим годинама јер је на картицама основних средстава</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опреме исказан обрачун амортизације за један месец и то јануар 2014. године а која је у главној књизи евидентирана у 2013. години збирно са обрачунатом амортизацијом за 2013.</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годину</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Код Регионалног центра мање је исказана вредност опреме у износу од 1.101 хиљаде динара, због неправилног обрачуна амортизације,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spacing w:val="-17"/>
          <w:sz w:val="24"/>
        </w:rPr>
        <w:t> </w:t>
      </w:r>
      <w:r>
        <w:rPr>
          <w:rFonts w:ascii="Times New Roman" w:hAnsi="Times New Roman"/>
          <w:sz w:val="24"/>
        </w:rPr>
        <w:t>систем.</w:t>
      </w:r>
    </w:p>
    <w:p>
      <w:pPr>
        <w:pStyle w:val="Heading2"/>
        <w:spacing w:line="240" w:lineRule="auto"/>
        <w:ind w:right="174" w:firstLine="578"/>
        <w:jc w:val="both"/>
        <w:rPr>
          <w:b w:val="0"/>
          <w:bCs w:val="0"/>
          <w:i w:val="0"/>
        </w:rPr>
      </w:pPr>
      <w:r>
        <w:rPr>
          <w:i/>
        </w:rPr>
        <w:t>Препоручује се одговорним лицима да врше редовно усаглашавање помоћне евиденције и главне књиге</w:t>
      </w:r>
      <w:r>
        <w:rPr>
          <w:rFonts w:ascii="Times New Roman" w:hAnsi="Times New Roman"/>
          <w:i/>
        </w:rPr>
        <w:t>, </w:t>
      </w:r>
      <w:r>
        <w:rPr>
          <w:i/>
        </w:rPr>
        <w:t>правилан обрачун амортизације,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8"/>
        </w:rPr>
        <w:t> </w:t>
      </w:r>
      <w:r>
        <w:rPr>
          <w:i/>
        </w:rPr>
        <w:t>систем.</w:t>
      </w:r>
      <w:r>
        <w:rPr>
          <w:b w:val="0"/>
          <w:i w:val="0"/>
        </w:rPr>
      </w:r>
    </w:p>
    <w:p>
      <w:pPr>
        <w:pStyle w:val="ListParagraph"/>
        <w:numPr>
          <w:ilvl w:val="0"/>
          <w:numId w:val="62"/>
        </w:numPr>
        <w:tabs>
          <w:tab w:pos="303" w:val="left" w:leader="none"/>
          <w:tab w:pos="6305" w:val="left" w:leader="none"/>
        </w:tabs>
        <w:spacing w:line="240" w:lineRule="auto" w:before="0" w:after="0"/>
        <w:ind w:left="160" w:right="173" w:firstLine="0"/>
        <w:jc w:val="left"/>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културу </w:t>
      </w:r>
      <w:r>
        <w:rPr>
          <w:rFonts w:ascii="Times New Roman" w:hAnsi="Times New Roman"/>
          <w:sz w:val="24"/>
        </w:rPr>
        <w:t>у износу од 33.737 хиљада динара по основу опреме исказане код: </w:t>
      </w:r>
      <w:r>
        <w:rPr>
          <w:rFonts w:ascii="Times New Roman" w:hAnsi="Times New Roman"/>
          <w:sz w:val="24"/>
        </w:rPr>
        <w:t>Галерије савремене ликовне уметности у износу од од 1.162 хиљаде динара</w:t>
      </w:r>
      <w:r>
        <w:rPr>
          <w:rFonts w:ascii="Times New Roman" w:hAnsi="Times New Roman"/>
          <w:sz w:val="24"/>
        </w:rPr>
        <w:t>, </w:t>
      </w:r>
      <w:r>
        <w:rPr>
          <w:rFonts w:ascii="Times New Roman" w:hAnsi="Times New Roman"/>
          <w:sz w:val="24"/>
        </w:rPr>
        <w:t>Народне библиотеке у износу од 2.215 хиљада динара, Народног музеја од 10.945 хиљада динара</w:t>
      </w:r>
      <w:r>
        <w:rPr>
          <w:rFonts w:ascii="Times New Roman" w:hAnsi="Times New Roman"/>
          <w:sz w:val="24"/>
        </w:rPr>
        <w:t>, </w:t>
      </w:r>
      <w:r>
        <w:rPr>
          <w:rFonts w:ascii="Times New Roman" w:hAnsi="Times New Roman"/>
          <w:sz w:val="24"/>
        </w:rPr>
        <w:t>Народног позоришта у износу од 3.401 хиљаде динара</w:t>
      </w:r>
      <w:r>
        <w:rPr>
          <w:rFonts w:ascii="Times New Roman" w:hAnsi="Times New Roman"/>
          <w:sz w:val="24"/>
        </w:rPr>
        <w:t>, </w:t>
      </w:r>
      <w:r>
        <w:rPr>
          <w:rFonts w:ascii="Times New Roman" w:hAnsi="Times New Roman"/>
          <w:sz w:val="24"/>
        </w:rPr>
        <w:t>Нишког симфонијског оркестра у износу од </w:t>
      </w:r>
      <w:r>
        <w:rPr>
          <w:rFonts w:ascii="Times New Roman" w:hAnsi="Times New Roman"/>
          <w:sz w:val="24"/>
        </w:rPr>
        <w:t>5.858 </w:t>
      </w:r>
      <w:r>
        <w:rPr>
          <w:rFonts w:ascii="Times New Roman" w:hAnsi="Times New Roman"/>
          <w:sz w:val="24"/>
        </w:rPr>
        <w:t>хиљада динара, Позоришта лутака у износу од 1.037 хиљада динара</w:t>
      </w:r>
      <w:r>
        <w:rPr>
          <w:rFonts w:ascii="Times New Roman" w:hAnsi="Times New Roman"/>
          <w:sz w:val="24"/>
        </w:rPr>
        <w:t>, </w:t>
      </w:r>
      <w:r>
        <w:rPr>
          <w:rFonts w:ascii="Times New Roman" w:hAnsi="Times New Roman"/>
          <w:sz w:val="24"/>
        </w:rPr>
        <w:t>Историјског  архива  у  износу  од  1.609  </w:t>
      </w:r>
      <w:r>
        <w:rPr>
          <w:rFonts w:ascii="Times New Roman" w:hAnsi="Times New Roman"/>
          <w:spacing w:val="32"/>
          <w:sz w:val="24"/>
        </w:rPr>
        <w:t> </w:t>
      </w:r>
      <w:r>
        <w:rPr>
          <w:rFonts w:ascii="Times New Roman" w:hAnsi="Times New Roman"/>
          <w:sz w:val="24"/>
        </w:rPr>
        <w:t>хиљада </w:t>
      </w:r>
      <w:r>
        <w:rPr>
          <w:rFonts w:ascii="Times New Roman" w:hAnsi="Times New Roman"/>
          <w:spacing w:val="15"/>
          <w:sz w:val="24"/>
        </w:rPr>
        <w:t> </w:t>
      </w:r>
      <w:r>
        <w:rPr>
          <w:rFonts w:ascii="Times New Roman" w:hAnsi="Times New Roman"/>
          <w:sz w:val="24"/>
        </w:rPr>
        <w:t>динара</w:t>
      </w:r>
      <w:r>
        <w:rPr>
          <w:rFonts w:ascii="Times New Roman" w:hAnsi="Times New Roman"/>
          <w:sz w:val="24"/>
        </w:rPr>
        <w:t>,</w:t>
        <w:tab/>
      </w:r>
      <w:r>
        <w:rPr>
          <w:rFonts w:ascii="Times New Roman" w:hAnsi="Times New Roman"/>
          <w:sz w:val="24"/>
        </w:rPr>
        <w:t>Нишког  културног</w:t>
      </w:r>
      <w:r>
        <w:rPr>
          <w:rFonts w:ascii="Times New Roman" w:hAnsi="Times New Roman"/>
          <w:spacing w:val="46"/>
          <w:sz w:val="24"/>
        </w:rPr>
        <w:t> </w:t>
      </w:r>
      <w:r>
        <w:rPr>
          <w:rFonts w:ascii="Times New Roman" w:hAnsi="Times New Roman"/>
          <w:sz w:val="24"/>
        </w:rPr>
        <w:t>центра</w:t>
      </w:r>
      <w:r>
        <w:rPr>
          <w:rFonts w:ascii="Times New Roman" w:hAnsi="Times New Roman"/>
          <w:spacing w:val="55"/>
          <w:sz w:val="24"/>
        </w:rPr>
        <w:t> </w:t>
      </w:r>
      <w:r>
        <w:rPr>
          <w:rFonts w:ascii="Times New Roman" w:hAnsi="Times New Roman"/>
          <w:sz w:val="24"/>
        </w:rPr>
        <w:t>у</w:t>
      </w:r>
      <w:r>
        <w:rPr>
          <w:rFonts w:ascii="Times New Roman" w:hAnsi="Times New Roman"/>
          <w:sz w:val="24"/>
        </w:rPr>
        <w:t> </w:t>
      </w:r>
      <w:r>
        <w:rPr>
          <w:rFonts w:ascii="Times New Roman" w:hAnsi="Times New Roman"/>
          <w:w w:val="99"/>
          <w:sz w:val="24"/>
        </w:rPr>
      </w:r>
      <w:r>
        <w:rPr>
          <w:rFonts w:ascii="Times New Roman" w:hAnsi="Times New Roman"/>
          <w:sz w:val="24"/>
        </w:rPr>
        <w:t>износу од 4.061 хиљаде динара и Завода за заштиту споменика у износу од 3.449 хиљада </w:t>
      </w:r>
      <w:r>
        <w:rPr>
          <w:rFonts w:ascii="Times New Roman" w:hAnsi="Times New Roman"/>
          <w:sz w:val="24"/>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4"/>
        </w:rPr>
        <w:t> </w:t>
      </w:r>
      <w:r>
        <w:rPr/>
        <w:t>је:</w:t>
      </w:r>
      <w:r>
        <w:rPr>
          <w:b w:val="0"/>
        </w:rPr>
      </w:r>
    </w:p>
    <w:p>
      <w:pPr>
        <w:pStyle w:val="ListParagraph"/>
        <w:numPr>
          <w:ilvl w:val="0"/>
          <w:numId w:val="9"/>
        </w:numPr>
        <w:tabs>
          <w:tab w:pos="303" w:val="left" w:leader="none"/>
        </w:tabs>
        <w:spacing w:line="237" w:lineRule="auto" w:before="1" w:after="0"/>
        <w:ind w:left="160" w:right="184" w:firstLine="0"/>
        <w:jc w:val="both"/>
        <w:rPr>
          <w:rFonts w:ascii="Times New Roman" w:hAnsi="Times New Roman" w:cs="Times New Roman" w:eastAsia="Times New Roman" w:hint="default"/>
          <w:sz w:val="24"/>
          <w:szCs w:val="24"/>
        </w:rPr>
      </w:pPr>
      <w:r>
        <w:rPr>
          <w:rFonts w:ascii="Times New Roman" w:hAnsi="Times New Roman"/>
          <w:sz w:val="24"/>
        </w:rPr>
        <w:t>Опрема је код Библиотеке мање исказана у износу који у поступку ревизије нисмо могли да утврдимо, јер има опрему коју је добила на поклон а која је у пословним књигама евидентирана без вредности и којој је доделила инвентарне</w:t>
      </w:r>
      <w:r>
        <w:rPr>
          <w:rFonts w:ascii="Times New Roman" w:hAnsi="Times New Roman"/>
          <w:spacing w:val="-21"/>
          <w:sz w:val="24"/>
        </w:rPr>
        <w:t> </w:t>
      </w:r>
      <w:r>
        <w:rPr>
          <w:rFonts w:ascii="Times New Roman" w:hAnsi="Times New Roman"/>
          <w:sz w:val="24"/>
        </w:rPr>
        <w:t>бројеве.</w:t>
      </w:r>
    </w:p>
    <w:p>
      <w:pPr>
        <w:pStyle w:val="ListParagraph"/>
        <w:numPr>
          <w:ilvl w:val="0"/>
          <w:numId w:val="9"/>
        </w:numPr>
        <w:tabs>
          <w:tab w:pos="303" w:val="left" w:leader="none"/>
        </w:tabs>
        <w:spacing w:line="237" w:lineRule="auto" w:before="5" w:after="0"/>
        <w:ind w:left="160" w:right="186" w:firstLine="0"/>
        <w:jc w:val="both"/>
        <w:rPr>
          <w:rFonts w:ascii="Times New Roman" w:hAnsi="Times New Roman" w:cs="Times New Roman" w:eastAsia="Times New Roman" w:hint="default"/>
          <w:sz w:val="24"/>
          <w:szCs w:val="24"/>
        </w:rPr>
      </w:pPr>
      <w:r>
        <w:rPr>
          <w:rFonts w:ascii="Times New Roman" w:hAnsi="Times New Roman"/>
          <w:sz w:val="24"/>
        </w:rPr>
        <w:t>Опрема је више исказана код Позоришта лутака за износ који у поступку ревизије нисмо могли да утврдимо, због примене ниже стопе амортизације од прописане код поједине опреме (на пример: прописана стопа амортизације за клима уређај је 16,50%</w:t>
      </w:r>
      <w:r>
        <w:rPr>
          <w:rFonts w:ascii="Times New Roman" w:hAnsi="Times New Roman"/>
          <w:spacing w:val="-25"/>
          <w:sz w:val="24"/>
        </w:rPr>
        <w:t> </w:t>
      </w:r>
      <w:r>
        <w:rPr>
          <w:rFonts w:ascii="Times New Roman" w:hAnsi="Times New Roman"/>
          <w:sz w:val="24"/>
        </w:rPr>
        <w:t>док</w:t>
      </w:r>
    </w:p>
    <w:p>
      <w:pPr>
        <w:spacing w:after="0" w:line="237" w:lineRule="auto"/>
        <w:jc w:val="both"/>
        <w:rPr>
          <w:rFonts w:ascii="Times New Roman" w:hAnsi="Times New Roman" w:cs="Times New Roman" w:eastAsia="Times New Roman" w:hint="default"/>
          <w:sz w:val="24"/>
          <w:szCs w:val="24"/>
        </w:rPr>
        <w:sectPr>
          <w:footerReference w:type="default" r:id="rId85"/>
          <w:pgSz w:w="12240" w:h="15840"/>
          <w:pgMar w:footer="1274" w:header="740" w:top="1280" w:bottom="1460" w:left="1400" w:right="1260"/>
          <w:pgNumType w:start="250"/>
        </w:sectPr>
      </w:pPr>
    </w:p>
    <w:p>
      <w:pPr>
        <w:pStyle w:val="BodyText"/>
        <w:spacing w:line="240" w:lineRule="auto" w:before="122"/>
        <w:ind w:right="180"/>
        <w:jc w:val="both"/>
        <w:rPr>
          <w:rFonts w:ascii="Times New Roman" w:hAnsi="Times New Roman" w:cs="Times New Roman" w:eastAsia="Times New Roman" w:hint="default"/>
        </w:rPr>
      </w:pPr>
      <w:r>
        <w:rPr/>
        <w:t>је позориште примењивало стопу од 14,30%; прописана стопа амортизације за аутомобиле је 15,50% док је позориште примењивало стопу од 11,00%), што је супротно члану 1. Правилника о номенклатури нематеријалних улагања и основних средстава са стопама</w:t>
      </w:r>
      <w:r>
        <w:rPr>
          <w:spacing w:val="-6"/>
        </w:rPr>
        <w:t> </w:t>
      </w:r>
      <w:r>
        <w:rPr/>
        <w:t>амортизације</w:t>
      </w:r>
      <w:r>
        <w:rPr>
          <w:rFonts w:ascii="Times New Roman" w:hAnsi="Times New Roman"/>
        </w:rPr>
        <w:t>.</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Опрема је код Народног позоришта неправилно исказана у износу који у поступку ревизије нисмо могли да утврдимо, јер опрема није правилно распоређена у прописане амортизационе групе. Позориште је при обрачуну амортизације опреме примењивало стопу од 12,50% за компјутер, клима уређај, замрзивач и машину за прање, камион, моторно возило, што је супротно члану 1. Правилника о номенклатури нематеријалних улагања и основних средстава са стопама</w:t>
      </w:r>
      <w:r>
        <w:rPr>
          <w:rFonts w:ascii="Times New Roman" w:hAnsi="Times New Roman"/>
          <w:spacing w:val="-11"/>
          <w:sz w:val="24"/>
        </w:rPr>
        <w:t> </w:t>
      </w:r>
      <w:r>
        <w:rPr>
          <w:rFonts w:ascii="Times New Roman" w:hAnsi="Times New Roman"/>
          <w:sz w:val="24"/>
        </w:rPr>
        <w:t>амортизације</w:t>
      </w:r>
      <w:r>
        <w:rPr>
          <w:rFonts w:ascii="Times New Roman" w:hAnsi="Times New Roman"/>
          <w:sz w:val="24"/>
        </w:rPr>
        <w:t>.</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Вредност опреме код Историјског архива је неправилно исказана у износу који нисмо могли да утврдимо у поступку ревизије</w:t>
      </w:r>
      <w:r>
        <w:rPr>
          <w:rFonts w:ascii="Times New Roman" w:hAnsi="Times New Roman"/>
          <w:sz w:val="24"/>
        </w:rPr>
        <w:t>, </w:t>
      </w:r>
      <w:r>
        <w:rPr>
          <w:rFonts w:ascii="Times New Roman" w:hAnsi="Times New Roman"/>
          <w:sz w:val="24"/>
        </w:rPr>
        <w:t>јер опрема није правилно распоређена у прописане амортизационе групе, јер је архив примењивао стопу од 14,30% за сталак за микрофон и стопу од 12,50 % за клима уређај, што је супротно члану 1. Правилника о номенклатури нематеријалних улагања и основних средстава са стопама</w:t>
      </w:r>
      <w:r>
        <w:rPr>
          <w:rFonts w:ascii="Times New Roman" w:hAnsi="Times New Roman"/>
          <w:spacing w:val="-22"/>
          <w:sz w:val="24"/>
        </w:rPr>
        <w:t> </w:t>
      </w:r>
      <w:r>
        <w:rPr>
          <w:rFonts w:ascii="Times New Roman" w:hAnsi="Times New Roman"/>
          <w:sz w:val="24"/>
        </w:rPr>
        <w:t>амортизације</w:t>
      </w:r>
      <w:r>
        <w:rPr>
          <w:rFonts w:ascii="Times New Roman" w:hAnsi="Times New Roman"/>
          <w:sz w:val="24"/>
        </w:rPr>
        <w:t>.</w:t>
      </w:r>
    </w:p>
    <w:p>
      <w:pPr>
        <w:pStyle w:val="ListParagraph"/>
        <w:numPr>
          <w:ilvl w:val="0"/>
          <w:numId w:val="9"/>
        </w:numPr>
        <w:tabs>
          <w:tab w:pos="303" w:val="left" w:leader="none"/>
        </w:tabs>
        <w:spacing w:line="274" w:lineRule="exact" w:before="24"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Установа Нишки културни центар не води помоћну књигу основних средстава, што је супротно члану </w:t>
      </w:r>
      <w:r>
        <w:rPr>
          <w:rFonts w:ascii="Times New Roman" w:hAnsi="Times New Roman"/>
          <w:sz w:val="24"/>
        </w:rPr>
        <w:t>14. </w:t>
      </w:r>
      <w:r>
        <w:rPr>
          <w:rFonts w:ascii="Times New Roman" w:hAnsi="Times New Roman"/>
          <w:sz w:val="24"/>
        </w:rPr>
        <w:t>Уредбе о буџетском</w:t>
      </w:r>
      <w:r>
        <w:rPr>
          <w:rFonts w:ascii="Times New Roman" w:hAnsi="Times New Roman"/>
          <w:spacing w:val="-18"/>
          <w:sz w:val="24"/>
        </w:rPr>
        <w:t> </w:t>
      </w:r>
      <w:r>
        <w:rPr>
          <w:rFonts w:ascii="Times New Roman" w:hAnsi="Times New Roman"/>
          <w:sz w:val="24"/>
        </w:rPr>
        <w:t>рачуноводству</w:t>
      </w:r>
      <w:r>
        <w:rPr>
          <w:rFonts w:ascii="Times New Roman" w:hAnsi="Times New Roman"/>
          <w:sz w:val="24"/>
        </w:rPr>
        <w:t>.</w:t>
      </w:r>
    </w:p>
    <w:p>
      <w:pPr>
        <w:pStyle w:val="ListParagraph"/>
        <w:numPr>
          <w:ilvl w:val="0"/>
          <w:numId w:val="9"/>
        </w:numPr>
        <w:tabs>
          <w:tab w:pos="303" w:val="left" w:leader="none"/>
        </w:tabs>
        <w:spacing w:line="274" w:lineRule="exact" w:before="21"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Завод за заштиту споменика не води помоћну књигу основних средстава, што је супротно члану 14. Уредбе о буџетском</w:t>
      </w:r>
      <w:r>
        <w:rPr>
          <w:rFonts w:ascii="Times New Roman" w:hAnsi="Times New Roman"/>
          <w:spacing w:val="-22"/>
          <w:sz w:val="24"/>
        </w:rPr>
        <w:t> </w:t>
      </w:r>
      <w:r>
        <w:rPr>
          <w:rFonts w:ascii="Times New Roman" w:hAnsi="Times New Roman"/>
          <w:sz w:val="24"/>
        </w:rPr>
        <w:t>рачуноводству.</w:t>
      </w:r>
    </w:p>
    <w:p>
      <w:pPr>
        <w:pStyle w:val="ListParagraph"/>
        <w:numPr>
          <w:ilvl w:val="0"/>
          <w:numId w:val="9"/>
        </w:numPr>
        <w:tabs>
          <w:tab w:pos="303"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Вредност опреме код Завода за заштиту споменика је мање исказана у износу од 80 хиљада динара за вредност лаптопа и 21 мобилног телефона, а више је исказана вредност ситног инвентара у залихама у истом износу,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spacing w:val="-17"/>
          <w:sz w:val="24"/>
        </w:rPr>
        <w:t> </w:t>
      </w:r>
      <w:r>
        <w:rPr>
          <w:rFonts w:ascii="Times New Roman" w:hAnsi="Times New Roman"/>
          <w:sz w:val="24"/>
        </w:rPr>
        <w:t>систем.</w:t>
      </w:r>
    </w:p>
    <w:p>
      <w:pPr>
        <w:pStyle w:val="ListParagraph"/>
        <w:numPr>
          <w:ilvl w:val="0"/>
          <w:numId w:val="9"/>
        </w:numPr>
        <w:tabs>
          <w:tab w:pos="444"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У пословним књигама књигама Народног музеја евидентирано је пет огласних паноа у вредности од 254 хиљаде динара, дат им је исти инвентарски број а нису примљена четири паноа, јер их добављач није испоручио. После извршеног пописа, у 2015. години  и  након подношења тужбе, добављач је испоручио три</w:t>
      </w:r>
      <w:r>
        <w:rPr>
          <w:rFonts w:ascii="Times New Roman" w:hAnsi="Times New Roman"/>
          <w:spacing w:val="-19"/>
          <w:sz w:val="24"/>
        </w:rPr>
        <w:t> </w:t>
      </w:r>
      <w:r>
        <w:rPr>
          <w:rFonts w:ascii="Times New Roman" w:hAnsi="Times New Roman"/>
          <w:sz w:val="24"/>
        </w:rPr>
        <w:t>паноа.</w:t>
      </w:r>
    </w:p>
    <w:p>
      <w:pPr>
        <w:pStyle w:val="Heading2"/>
        <w:spacing w:line="240" w:lineRule="auto"/>
        <w:ind w:right="181"/>
        <w:jc w:val="both"/>
        <w:rPr>
          <w:b w:val="0"/>
          <w:bCs w:val="0"/>
          <w:i w:val="0"/>
        </w:rPr>
      </w:pPr>
      <w:r>
        <w:rPr>
          <w:i/>
        </w:rPr>
        <w:t>Препоручује се одговорним лицима да обрачун амортизације опреме врше у складу са Правилником о номенклатури нематеријалних улагања и основних средстава са стопама амортизације,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ListParagraph"/>
        <w:numPr>
          <w:ilvl w:val="0"/>
          <w:numId w:val="62"/>
        </w:numPr>
        <w:tabs>
          <w:tab w:pos="303"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омладину и спорт </w:t>
      </w:r>
      <w:r>
        <w:rPr>
          <w:rFonts w:ascii="Times New Roman" w:hAnsi="Times New Roman"/>
          <w:sz w:val="24"/>
        </w:rPr>
        <w:t>у износу од 26.470 хиљада динара по основу </w:t>
      </w:r>
      <w:r>
        <w:rPr>
          <w:rFonts w:ascii="Times New Roman" w:hAnsi="Times New Roman"/>
          <w:sz w:val="24"/>
        </w:rPr>
        <w:t>административне опреме исказане код СЦ</w:t>
      </w:r>
      <w:r>
        <w:rPr>
          <w:rFonts w:ascii="Times New Roman" w:hAnsi="Times New Roman"/>
          <w:spacing w:val="-13"/>
          <w:sz w:val="24"/>
        </w:rPr>
        <w:t> </w:t>
      </w:r>
      <w:r>
        <w:rPr>
          <w:rFonts w:ascii="Times New Roman" w:hAnsi="Times New Roman"/>
          <w:sz w:val="24"/>
        </w:rPr>
        <w:t>Чаир.</w:t>
      </w:r>
    </w:p>
    <w:p>
      <w:pPr>
        <w:spacing w:before="0"/>
        <w:ind w:left="160" w:right="175"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На основу ревизије узорковане документације утврђено је </w:t>
      </w:r>
      <w:r>
        <w:rPr>
          <w:rFonts w:ascii="Times New Roman" w:hAnsi="Times New Roman" w:cs="Times New Roman" w:eastAsia="Times New Roman" w:hint="default"/>
          <w:sz w:val="24"/>
          <w:szCs w:val="24"/>
        </w:rPr>
        <w:t>да је мање исказана вредност опреме у износу од 148 хиљада динара за набавку из 2014. године.  Истовремено, мање исказан износ на конту 311100 – нефинансијска имовина у сталним средствима за исти</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износ.</w:t>
      </w:r>
    </w:p>
    <w:p>
      <w:pPr>
        <w:pStyle w:val="Heading2"/>
        <w:spacing w:line="240" w:lineRule="auto"/>
        <w:ind w:right="141"/>
        <w:jc w:val="left"/>
        <w:rPr>
          <w:b w:val="0"/>
          <w:bCs w:val="0"/>
          <w:i w:val="0"/>
        </w:rPr>
      </w:pPr>
      <w:r>
        <w:rPr>
          <w:i/>
        </w:rPr>
        <w:t>Препоручује се одговорним лицима да правилно и тачно исказују опрему</w:t>
      </w:r>
      <w:r>
        <w:rPr>
          <w:i/>
          <w:spacing w:val="-24"/>
        </w:rPr>
        <w:t> </w:t>
      </w:r>
      <w:r>
        <w:rPr>
          <w:i/>
        </w:rPr>
        <w:t>којом </w:t>
      </w:r>
      <w:r>
        <w:rPr>
          <w:i/>
        </w:rPr>
        <w:t>располажу и</w:t>
      </w:r>
      <w:r>
        <w:rPr>
          <w:i/>
          <w:spacing w:val="-6"/>
        </w:rPr>
        <w:t> </w:t>
      </w:r>
      <w:r>
        <w:rPr>
          <w:i/>
        </w:rPr>
        <w:t>управљају.</w:t>
      </w:r>
      <w:r>
        <w:rPr>
          <w:b w:val="0"/>
          <w:i w:val="0"/>
        </w:rPr>
      </w:r>
    </w:p>
    <w:p>
      <w:pPr>
        <w:pStyle w:val="ListParagraph"/>
        <w:numPr>
          <w:ilvl w:val="0"/>
          <w:numId w:val="62"/>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комуналне делатности, енергетику и саобраћај </w:t>
      </w:r>
      <w:r>
        <w:rPr>
          <w:rFonts w:ascii="Times New Roman" w:hAnsi="Times New Roman"/>
          <w:sz w:val="24"/>
        </w:rPr>
        <w:t>у износу од 13.886 хиљада </w:t>
      </w:r>
      <w:r>
        <w:rPr>
          <w:rFonts w:ascii="Times New Roman" w:hAnsi="Times New Roman"/>
          <w:sz w:val="24"/>
        </w:rPr>
        <w:t>динара по основу опреме исказане код: Управе у износу од 10.438 хиљада динара и ЈП Дирекција у износу од 3.448 хиљада</w:t>
      </w:r>
      <w:r>
        <w:rPr>
          <w:rFonts w:ascii="Times New Roman" w:hAnsi="Times New Roman"/>
          <w:spacing w:val="-13"/>
          <w:sz w:val="24"/>
        </w:rPr>
        <w:t> </w:t>
      </w:r>
      <w:r>
        <w:rPr>
          <w:rFonts w:ascii="Times New Roman" w:hAnsi="Times New Roman"/>
          <w:sz w:val="24"/>
        </w:rPr>
        <w:t>динара.</w:t>
      </w:r>
    </w:p>
    <w:p>
      <w:pPr>
        <w:pStyle w:val="Heading1"/>
        <w:spacing w:line="240" w:lineRule="auto"/>
        <w:ind w:left="738" w:right="141"/>
        <w:jc w:val="left"/>
        <w:rPr>
          <w:b w:val="0"/>
          <w:bCs w:val="0"/>
        </w:rPr>
      </w:pPr>
      <w:r>
        <w:rPr/>
        <w:t>На основу ревизије узорковане документације утврђено</w:t>
      </w:r>
      <w:r>
        <w:rPr>
          <w:spacing w:val="-16"/>
        </w:rPr>
        <w:t> </w:t>
      </w:r>
      <w:r>
        <w:rPr/>
        <w:t>је:</w:t>
      </w:r>
      <w:r>
        <w:rPr>
          <w:b w:val="0"/>
        </w:rPr>
      </w:r>
    </w:p>
    <w:p>
      <w:pPr>
        <w:spacing w:after="0" w:line="240" w:lineRule="auto"/>
        <w:jc w:val="left"/>
        <w:sectPr>
          <w:pgSz w:w="12240" w:h="15840"/>
          <w:pgMar w:header="740" w:footer="1274" w:top="1280" w:bottom="1460" w:left="1400" w:right="1260"/>
        </w:sectPr>
      </w:pPr>
    </w:p>
    <w:p>
      <w:pPr>
        <w:pStyle w:val="ListParagraph"/>
        <w:numPr>
          <w:ilvl w:val="0"/>
          <w:numId w:val="9"/>
        </w:numPr>
        <w:tabs>
          <w:tab w:pos="303" w:val="left" w:leader="none"/>
        </w:tabs>
        <w:spacing w:line="240" w:lineRule="auto" w:before="124"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 пословних књига Управе за комуналне делатности, енергетику и саобраћај града Ниша није искњижено теретно возило марке </w:t>
      </w:r>
      <w:r>
        <w:rPr>
          <w:rFonts w:ascii="Times New Roman" w:hAnsi="Times New Roman" w:cs="Times New Roman" w:eastAsia="Times New Roman" w:hint="default"/>
          <w:sz w:val="24"/>
          <w:szCs w:val="24"/>
        </w:rPr>
        <w:t>Fiat ducato bm, </w:t>
      </w:r>
      <w:r>
        <w:rPr>
          <w:rFonts w:ascii="Times New Roman" w:hAnsi="Times New Roman" w:cs="Times New Roman" w:eastAsia="Times New Roman" w:hint="default"/>
          <w:sz w:val="24"/>
          <w:szCs w:val="24"/>
        </w:rPr>
        <w:t>инвентарски број 26076 садашње вредности у износу од 2.048 хиљада динара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за које је Градоначелник донео Решење број 381/2014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1 од 07.02.2014. године о преносу права својине, без накнаде Министарству унутрашњих послова Републике Србије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Полицијској управи Ниш, Одељењу саобраћајне полиције у Нишу. У Решењу је наведено да ће се закључити посебан Уговор о преносу права својине, по прибављеном мишљењу Градског јавног правобранилаштва у Нишу. Из евиденције возило није искњижено јер Управа за финансије није добила наведени уговор (који је захтеван дописом број 11</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360/2015 од 12.03.2015. године), годишњим пописом возило није пописано нити су утврђене разлике између стварног и књиговодственог стања. У поступку ревизије, на захтев ревизора, достављен је Уговор о праву преноса јавне својине број 570/2014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21.02.2014. године закључен између Градоначелника и МУП Полицијске управе Ниш, којим се наведено возило преноси Полицијској управи без накнаде, па је </w:t>
      </w:r>
      <w:r>
        <w:rPr>
          <w:rFonts w:ascii="Times New Roman" w:hAnsi="Times New Roman" w:cs="Times New Roman" w:eastAsia="Times New Roman" w:hint="default"/>
          <w:spacing w:val="3"/>
          <w:sz w:val="24"/>
          <w:szCs w:val="24"/>
        </w:rPr>
        <w:t>ова </w:t>
      </w:r>
      <w:r>
        <w:rPr>
          <w:rFonts w:ascii="Times New Roman" w:hAnsi="Times New Roman" w:cs="Times New Roman" w:eastAsia="Times New Roman" w:hint="default"/>
          <w:sz w:val="24"/>
          <w:szCs w:val="24"/>
        </w:rPr>
        <w:t>позиција исказана </w:t>
      </w:r>
      <w:r>
        <w:rPr>
          <w:rFonts w:ascii="Times New Roman" w:hAnsi="Times New Roman" w:cs="Times New Roman" w:eastAsia="Times New Roman" w:hint="default"/>
          <w:sz w:val="24"/>
          <w:szCs w:val="24"/>
        </w:rPr>
        <w:t>више за износ од 2.048 хиљада динара. Истовремено, више је исказан износ на конту </w:t>
      </w:r>
      <w:r>
        <w:rPr>
          <w:rFonts w:ascii="Times New Roman" w:hAnsi="Times New Roman" w:cs="Times New Roman" w:eastAsia="Times New Roman" w:hint="default"/>
          <w:sz w:val="24"/>
          <w:szCs w:val="24"/>
        </w:rPr>
        <w:t>311100 </w:t>
      </w:r>
      <w:r>
        <w:rPr>
          <w:rFonts w:ascii="Times New Roman" w:hAnsi="Times New Roman" w:cs="Times New Roman" w:eastAsia="Times New Roman" w:hint="default"/>
          <w:sz w:val="24"/>
          <w:szCs w:val="24"/>
        </w:rPr>
        <w:t>– нефинансијска имовина у сталним</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средствима.</w:t>
      </w:r>
    </w:p>
    <w:p>
      <w:pPr>
        <w:pStyle w:val="Heading2"/>
        <w:spacing w:line="240" w:lineRule="auto"/>
        <w:ind w:right="141" w:firstLine="578"/>
        <w:jc w:val="left"/>
        <w:rPr>
          <w:b w:val="0"/>
          <w:bCs w:val="0"/>
          <w:i w:val="0"/>
        </w:rPr>
      </w:pPr>
      <w:r>
        <w:rPr>
          <w:i/>
        </w:rPr>
        <w:t>Препоручује се одговорним лицима да правилно и тачно исказују опрему којом располажу и</w:t>
      </w:r>
      <w:r>
        <w:rPr>
          <w:i/>
          <w:spacing w:val="-6"/>
        </w:rPr>
        <w:t> </w:t>
      </w:r>
      <w:r>
        <w:rPr>
          <w:i/>
        </w:rPr>
        <w:t>управљају.</w:t>
      </w:r>
      <w:r>
        <w:rPr>
          <w:b w:val="0"/>
          <w:i w:val="0"/>
        </w:rPr>
      </w:r>
    </w:p>
    <w:p>
      <w:pPr>
        <w:pStyle w:val="ListParagraph"/>
        <w:numPr>
          <w:ilvl w:val="0"/>
          <w:numId w:val="62"/>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привреду, одрживи развој и заштиту животне средине </w:t>
      </w:r>
      <w:r>
        <w:rPr>
          <w:rFonts w:ascii="Times New Roman" w:hAnsi="Times New Roman"/>
          <w:sz w:val="24"/>
        </w:rPr>
        <w:t>у износу од 19.369 </w:t>
      </w:r>
      <w:r>
        <w:rPr>
          <w:rFonts w:ascii="Times New Roman" w:hAnsi="Times New Roman"/>
          <w:sz w:val="24"/>
        </w:rPr>
        <w:t>хиљада динара за опрему исказану код: Управе за привреду, одрживи развој и заштиту животне средине у износу од 17.856 хиљада динара и Туристичке организације у износу од 1.513 хиљада</w:t>
      </w:r>
      <w:r>
        <w:rPr>
          <w:rFonts w:ascii="Times New Roman" w:hAnsi="Times New Roman"/>
          <w:spacing w:val="-3"/>
          <w:sz w:val="24"/>
        </w:rPr>
        <w:t> </w:t>
      </w:r>
      <w:r>
        <w:rPr>
          <w:rFonts w:ascii="Times New Roman" w:hAnsi="Times New Roman"/>
          <w:sz w:val="24"/>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74" w:lineRule="exact" w:before="20"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Код Управе две линије за сортирање рециклажног материјала нису пописане од стране комисије за попис при попису на дан 31.12.2014. године нити су пописане од стране </w:t>
      </w:r>
      <w:r>
        <w:rPr>
          <w:rFonts w:ascii="Times New Roman" w:hAnsi="Times New Roman"/>
          <w:spacing w:val="10"/>
          <w:sz w:val="24"/>
        </w:rPr>
        <w:t> </w:t>
      </w:r>
      <w:r>
        <w:rPr>
          <w:rFonts w:ascii="Times New Roman" w:hAnsi="Times New Roman"/>
          <w:sz w:val="24"/>
        </w:rPr>
        <w:t>ЈКП</w:t>
      </w:r>
    </w:p>
    <w:p>
      <w:pPr>
        <w:pStyle w:val="BodyText"/>
        <w:spacing w:line="240" w:lineRule="auto"/>
        <w:ind w:right="182"/>
        <w:jc w:val="both"/>
      </w:pPr>
      <w:r>
        <w:rPr/>
        <w:t>„Медијана“ где су се налазиле. У поступку ревизије, на захтев ревизора, извршен је  попис машина за сортирање рециклажног материјала и достављена је листа на</w:t>
      </w:r>
      <w:r>
        <w:rPr>
          <w:spacing w:val="-24"/>
        </w:rPr>
        <w:t> </w:t>
      </w:r>
      <w:r>
        <w:rPr/>
        <w:t>увид.</w:t>
      </w:r>
    </w:p>
    <w:p>
      <w:pPr>
        <w:pStyle w:val="ListParagraph"/>
        <w:numPr>
          <w:ilvl w:val="0"/>
          <w:numId w:val="9"/>
        </w:numPr>
        <w:tabs>
          <w:tab w:pos="303" w:val="left" w:leader="none"/>
        </w:tabs>
        <w:spacing w:line="240" w:lineRule="auto" w:before="2" w:after="0"/>
        <w:ind w:left="160" w:right="18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Код Туристичке организације опрема је мање исказана у износу од 856 хиљада динара  за набављени аутомобил на лизинг. Истовремено, за исти износ мање је исказана вредност на конту 311100 – нефинансијска имовина у сталним средствима, што је супротно Правилнику о стандардном класификационом оквиру и контном плану за буџетски</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систем.</w:t>
      </w:r>
    </w:p>
    <w:p>
      <w:pPr>
        <w:pStyle w:val="Heading2"/>
        <w:spacing w:line="240" w:lineRule="auto"/>
        <w:ind w:right="141"/>
        <w:jc w:val="left"/>
        <w:rPr>
          <w:b w:val="0"/>
          <w:bCs w:val="0"/>
          <w:i w:val="0"/>
        </w:rPr>
      </w:pPr>
      <w:r>
        <w:rPr>
          <w:i/>
        </w:rPr>
        <w:t>Препоручује се одговорним лицима да у својим пословним књигама евидентирају сву</w:t>
      </w:r>
      <w:r>
        <w:rPr>
          <w:i/>
          <w:spacing w:val="-4"/>
        </w:rPr>
        <w:t> </w:t>
      </w:r>
      <w:r>
        <w:rPr>
          <w:i/>
        </w:rPr>
        <w:t>опрему.</w:t>
      </w:r>
      <w:r>
        <w:rPr>
          <w:b w:val="0"/>
          <w:i w:val="0"/>
        </w:rPr>
      </w:r>
    </w:p>
    <w:p>
      <w:pPr>
        <w:pStyle w:val="ListParagraph"/>
        <w:numPr>
          <w:ilvl w:val="0"/>
          <w:numId w:val="62"/>
        </w:numPr>
        <w:tabs>
          <w:tab w:pos="303" w:val="left" w:leader="none"/>
        </w:tabs>
        <w:spacing w:line="240" w:lineRule="auto" w:before="0" w:after="0"/>
        <w:ind w:left="160" w:right="181"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планирање и изградњу </w:t>
      </w:r>
      <w:r>
        <w:rPr>
          <w:rFonts w:ascii="Times New Roman" w:hAnsi="Times New Roman"/>
          <w:sz w:val="24"/>
        </w:rPr>
        <w:t>у износу од 1.808 хиљада динара по основу опреме </w:t>
      </w:r>
      <w:r>
        <w:rPr>
          <w:rFonts w:ascii="Times New Roman" w:hAnsi="Times New Roman"/>
          <w:sz w:val="24"/>
        </w:rPr>
        <w:t>исказане код ЈП</w:t>
      </w:r>
      <w:r>
        <w:rPr>
          <w:rFonts w:ascii="Times New Roman" w:hAnsi="Times New Roman"/>
          <w:spacing w:val="-5"/>
          <w:sz w:val="24"/>
        </w:rPr>
        <w:t> </w:t>
      </w:r>
      <w:r>
        <w:rPr>
          <w:rFonts w:ascii="Times New Roman" w:hAnsi="Times New Roman"/>
          <w:sz w:val="24"/>
        </w:rPr>
        <w:t>ГСА.</w:t>
      </w:r>
    </w:p>
    <w:p>
      <w:pPr>
        <w:pStyle w:val="BodyText"/>
        <w:spacing w:line="240" w:lineRule="auto"/>
        <w:ind w:right="176"/>
        <w:jc w:val="both"/>
      </w:pPr>
      <w:r>
        <w:rPr>
          <w:rFonts w:ascii="Times New Roman" w:hAnsi="Times New Roman"/>
        </w:rPr>
        <w:t>- </w:t>
      </w:r>
      <w:r>
        <w:rPr>
          <w:rFonts w:ascii="Times New Roman" w:hAnsi="Times New Roman"/>
        </w:rPr>
      </w:r>
      <w:r>
        <w:rPr>
          <w:rFonts w:ascii="Times New Roman" w:hAnsi="Times New Roman"/>
          <w:u w:val="single" w:color="000000"/>
        </w:rPr>
      </w:r>
      <w:r>
        <w:rPr>
          <w:u w:val="single" w:color="000000"/>
        </w:rPr>
        <w:t>Управе за пољопривреду и развој села </w:t>
      </w:r>
      <w:r>
        <w:rPr/>
        <w:t>у износу од 10.636 хиљада динара по основу </w:t>
      </w:r>
      <w:r>
        <w:rPr/>
        <w:t>опреме исказане код: Управе за пољопривреду и развој села у износу од 10.619 хиљада динара и Фонда за развој и самофинансирање заједничких потреба грађана у износу од  17 хиљада динара (административна</w:t>
      </w:r>
      <w:r>
        <w:rPr>
          <w:spacing w:val="-12"/>
        </w:rPr>
        <w:t> </w:t>
      </w:r>
      <w:r>
        <w:rPr/>
        <w:t>опрема).</w:t>
      </w:r>
    </w:p>
    <w:p>
      <w:pPr>
        <w:pStyle w:val="Heading1"/>
        <w:spacing w:line="275" w:lineRule="exact"/>
        <w:ind w:left="738" w:right="141"/>
        <w:jc w:val="left"/>
        <w:rPr>
          <w:b w:val="0"/>
          <w:bCs w:val="0"/>
        </w:rPr>
      </w:pPr>
      <w:r>
        <w:rPr/>
        <w:t>На основу ревизије узорковане документације утврђено</w:t>
      </w:r>
      <w:r>
        <w:rPr>
          <w:spacing w:val="-18"/>
        </w:rPr>
        <w:t> </w:t>
      </w:r>
      <w:r>
        <w:rPr/>
        <w:t>је:</w:t>
      </w:r>
      <w:r>
        <w:rPr>
          <w:b w:val="0"/>
        </w:rPr>
      </w:r>
    </w:p>
    <w:p>
      <w:pPr>
        <w:pStyle w:val="ListParagraph"/>
        <w:numPr>
          <w:ilvl w:val="0"/>
          <w:numId w:val="9"/>
        </w:numPr>
        <w:tabs>
          <w:tab w:pos="303"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Код Управе за пољопривреду и развој села евиденција главне књиге и помоћне књиге нису усаглашене у делу исказивања садашње вредности опреме по врсти. Према евиденцији помоћне књиге основних средстава садашња вредност опреме за пољопривреду износи 8.220 хиљада динара а административне (електронска и фотографска)  опреме  износи  35  хиљада  динара,  док  према  евиденцији  главне</w:t>
      </w:r>
      <w:r>
        <w:rPr>
          <w:rFonts w:ascii="Times New Roman" w:hAnsi="Times New Roman"/>
          <w:spacing w:val="46"/>
          <w:sz w:val="24"/>
        </w:rPr>
        <w:t> </w:t>
      </w:r>
      <w:r>
        <w:rPr>
          <w:rFonts w:ascii="Times New Roman" w:hAnsi="Times New Roman"/>
          <w:sz w:val="24"/>
        </w:rPr>
        <w:t>књиге</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4"/>
        <w:jc w:val="both"/>
      </w:pPr>
      <w:r>
        <w:rPr/>
        <w:t>садашња вредност административне опреме износи 2.362 хиљаде динара а опреме </w:t>
      </w:r>
      <w:r>
        <w:rPr>
          <w:spacing w:val="5"/>
        </w:rPr>
        <w:t>за </w:t>
      </w:r>
      <w:r>
        <w:rPr>
          <w:spacing w:val="5"/>
        </w:rPr>
      </w:r>
      <w:r>
        <w:rPr/>
        <w:t>пољопривреду износи 5.894 хиљада динара, јер су у главној књизи евидентиране </w:t>
      </w:r>
      <w:r>
        <w:rPr/>
        <w:t>противградне  ракете  као  опрема  за  домаћинство  (административна опрема)</w:t>
      </w:r>
      <w:r>
        <w:rPr>
          <w:spacing w:val="-20"/>
        </w:rPr>
        <w:t> </w:t>
      </w:r>
      <w:r>
        <w:rPr/>
        <w:t>вредности</w:t>
      </w:r>
    </w:p>
    <w:p>
      <w:pPr>
        <w:pStyle w:val="BodyText"/>
        <w:spacing w:line="240" w:lineRule="auto"/>
        <w:ind w:right="181"/>
        <w:jc w:val="both"/>
      </w:pPr>
      <w:r>
        <w:rPr/>
        <w:t>2.327 хиљада динара, а које су набављене у 2014. години, што је супротно Уредби о буџетском рачуноводству и Правилнику о стандардном класификационом оквиру и контном плану за буџетски</w:t>
      </w:r>
      <w:r>
        <w:rPr>
          <w:spacing w:val="-17"/>
        </w:rPr>
        <w:t> </w:t>
      </w:r>
      <w:r>
        <w:rPr/>
        <w:t>систем.</w:t>
      </w:r>
    </w:p>
    <w:p>
      <w:pPr>
        <w:pStyle w:val="ListParagraph"/>
        <w:numPr>
          <w:ilvl w:val="0"/>
          <w:numId w:val="9"/>
        </w:numPr>
        <w:tabs>
          <w:tab w:pos="303"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Опрема је код Управе за пољопривреду и развој села више исказана у износу од 8.072 хиљаде динара за вредност противградних ракета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уместо на синтетичком конту 0</w:t>
      </w:r>
      <w:r>
        <w:rPr>
          <w:rFonts w:ascii="Times New Roman" w:hAnsi="Times New Roman" w:cs="Times New Roman" w:eastAsia="Times New Roman" w:hint="default"/>
          <w:sz w:val="24"/>
          <w:szCs w:val="24"/>
        </w:rPr>
        <w:t>22200 </w:t>
      </w:r>
      <w:r>
        <w:rPr>
          <w:rFonts w:ascii="Times New Roman" w:hAnsi="Times New Roman" w:cs="Times New Roman" w:eastAsia="Times New Roman" w:hint="default"/>
          <w:sz w:val="24"/>
          <w:szCs w:val="24"/>
        </w:rPr>
        <w:t>– залихе потрошног материјала за износ који у поступку ревизије нисмо могли да утврдимо, јер се нисмо уверили у тачност и правилност извршеног пописа. Истовремено, више је исказан износ на позицији 311100 – нефинансијска имовина у  сталним средствима за исти</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износ.</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Код Управе за пољопривреду и развој села као опрема за пољопривреду евидентиран је ситан инвентар и то: заштитна одећа и обућа за мотоцикл (јакна, дукс, прслук, мајица, качкет) садашње вредности 88 хиљада динара уместо на синтетичком конту </w:t>
      </w:r>
      <w:r>
        <w:rPr>
          <w:rFonts w:ascii="Times New Roman" w:hAnsi="Times New Roman"/>
          <w:sz w:val="24"/>
        </w:rPr>
        <w:t>022100 - </w:t>
      </w:r>
      <w:r>
        <w:rPr>
          <w:rFonts w:ascii="Times New Roman" w:hAnsi="Times New Roman"/>
          <w:sz w:val="24"/>
        </w:rPr>
        <w:t>залихе ситног инвентара у износу који у поступку ревизије нисмо могли да утврдимо, што је супротно Правилнику о стандардном класификационом оквиру и контном плану  за буџетски систем</w:t>
      </w:r>
      <w:r>
        <w:rPr>
          <w:rFonts w:ascii="Times New Roman" w:hAnsi="Times New Roman"/>
          <w:sz w:val="24"/>
        </w:rPr>
        <w:t>, </w:t>
      </w:r>
      <w:r>
        <w:rPr>
          <w:rFonts w:ascii="Times New Roman" w:hAnsi="Times New Roman"/>
          <w:sz w:val="24"/>
        </w:rPr>
        <w:t>Правилнику о номенклатури нематеријалних улагања и основних средстава са стопама амортизације и Правилнику о буџетском рачуноводству и рачуноводственим</w:t>
      </w:r>
      <w:r>
        <w:rPr>
          <w:rFonts w:ascii="Times New Roman" w:hAnsi="Times New Roman"/>
          <w:spacing w:val="-11"/>
          <w:sz w:val="24"/>
        </w:rPr>
        <w:t> </w:t>
      </w:r>
      <w:r>
        <w:rPr>
          <w:rFonts w:ascii="Times New Roman" w:hAnsi="Times New Roman"/>
          <w:sz w:val="24"/>
        </w:rPr>
        <w:t>политикама</w:t>
      </w:r>
      <w:r>
        <w:rPr>
          <w:rFonts w:ascii="Times New Roman" w:hAnsi="Times New Roman"/>
          <w:sz w:val="24"/>
        </w:rPr>
        <w:t>.</w:t>
      </w:r>
    </w:p>
    <w:p>
      <w:pPr>
        <w:pStyle w:val="Heading2"/>
        <w:spacing w:line="240" w:lineRule="auto"/>
        <w:ind w:right="172"/>
        <w:jc w:val="both"/>
        <w:rPr>
          <w:b w:val="0"/>
          <w:bCs w:val="0"/>
          <w:i w:val="0"/>
        </w:rPr>
      </w:pPr>
      <w:r>
        <w:rPr>
          <w:i/>
        </w:rPr>
        <w:t>Препоручује се одговорним лицима да обезбеде правилну примену одредби Уредбе о буџетском рачунводству, Правилника о стандардном класификационом оквиру и контном плану за буџетски систем</w:t>
      </w:r>
      <w:r>
        <w:rPr>
          <w:rFonts w:ascii="Times New Roman" w:hAnsi="Times New Roman"/>
          <w:i/>
        </w:rPr>
        <w:t>, </w:t>
      </w:r>
      <w:r>
        <w:rPr>
          <w:i/>
        </w:rPr>
        <w:t>Правилника о номенклатури нематеријалних улагања и основних средстава са стопама амортизације и интерних</w:t>
      </w:r>
      <w:r>
        <w:rPr>
          <w:i/>
          <w:spacing w:val="-13"/>
        </w:rPr>
        <w:t> </w:t>
      </w:r>
      <w:r>
        <w:rPr>
          <w:i/>
        </w:rPr>
        <w:t>аката.</w:t>
      </w:r>
      <w:r>
        <w:rPr>
          <w:b w:val="0"/>
          <w:i w:val="0"/>
        </w:rPr>
      </w:r>
    </w:p>
    <w:p>
      <w:pPr>
        <w:pStyle w:val="ListParagraph"/>
        <w:numPr>
          <w:ilvl w:val="0"/>
          <w:numId w:val="63"/>
        </w:numPr>
        <w:tabs>
          <w:tab w:pos="303"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Службе за одржавање и информатичко</w:t>
      </w:r>
      <w:r>
        <w:rPr>
          <w:rFonts w:ascii="Times New Roman" w:hAnsi="Times New Roman"/>
          <w:sz w:val="24"/>
          <w:u w:val="single" w:color="000000"/>
        </w:rPr>
        <w:t>-</w:t>
      </w:r>
      <w:r>
        <w:rPr>
          <w:rFonts w:ascii="Times New Roman" w:hAnsi="Times New Roman"/>
          <w:sz w:val="24"/>
          <w:u w:val="single" w:color="000000"/>
        </w:rPr>
        <w:t>комуникационе технологије </w:t>
      </w:r>
      <w:r>
        <w:rPr>
          <w:rFonts w:ascii="Times New Roman" w:hAnsi="Times New Roman"/>
          <w:sz w:val="24"/>
        </w:rPr>
        <w:t>у износу од 37.619 </w:t>
      </w:r>
      <w:r>
        <w:rPr>
          <w:rFonts w:ascii="Times New Roman" w:hAnsi="Times New Roman"/>
          <w:sz w:val="24"/>
        </w:rPr>
        <w:t>хиљада</w:t>
      </w:r>
      <w:r>
        <w:rPr>
          <w:rFonts w:ascii="Times New Roman" w:hAnsi="Times New Roman"/>
          <w:spacing w:val="-3"/>
          <w:sz w:val="24"/>
        </w:rPr>
        <w:t> </w:t>
      </w:r>
      <w:r>
        <w:rPr>
          <w:rFonts w:ascii="Times New Roman" w:hAnsi="Times New Roman"/>
          <w:sz w:val="24"/>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7"/>
        </w:rPr>
        <w:t> </w:t>
      </w:r>
      <w:r>
        <w:rPr/>
        <w:t>је:</w:t>
      </w:r>
      <w:r>
        <w:rPr>
          <w:b w:val="0"/>
        </w:rPr>
      </w:r>
    </w:p>
    <w:p>
      <w:pPr>
        <w:pStyle w:val="ListParagraph"/>
        <w:numPr>
          <w:ilvl w:val="0"/>
          <w:numId w:val="9"/>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Код Службе за одржавање и информатичко</w:t>
      </w:r>
      <w:r>
        <w:rPr>
          <w:rFonts w:ascii="Times New Roman" w:hAnsi="Times New Roman"/>
          <w:sz w:val="24"/>
        </w:rPr>
        <w:t>-</w:t>
      </w:r>
      <w:r>
        <w:rPr>
          <w:rFonts w:ascii="Times New Roman" w:hAnsi="Times New Roman"/>
          <w:sz w:val="24"/>
        </w:rPr>
        <w:t>комуникационе технологије евиденција главне књиге и помоћне књиге нису усаглашене у делу исказивања садашње вредности опреме по врсти. Према евиденцији помоћне књиге основних средстава садашња вредност административне опреме износи 32.303 хиљаде динара, опреме за јавну безбедност износи 165 хиљада динара, вредност опрем</w:t>
      </w:r>
      <w:r>
        <w:rPr>
          <w:rFonts w:ascii="Times New Roman" w:hAnsi="Times New Roman"/>
          <w:sz w:val="24"/>
        </w:rPr>
        <w:t>e </w:t>
      </w:r>
      <w:r>
        <w:rPr>
          <w:rFonts w:ascii="Times New Roman" w:hAnsi="Times New Roman"/>
          <w:sz w:val="24"/>
        </w:rPr>
        <w:t>за производњу, моторн</w:t>
      </w:r>
      <w:r>
        <w:rPr>
          <w:rFonts w:ascii="Times New Roman" w:hAnsi="Times New Roman"/>
          <w:sz w:val="24"/>
        </w:rPr>
        <w:t>e, </w:t>
      </w:r>
      <w:r>
        <w:rPr>
          <w:rFonts w:ascii="Times New Roman" w:hAnsi="Times New Roman"/>
          <w:sz w:val="24"/>
        </w:rPr>
        <w:t>непокретн</w:t>
      </w:r>
      <w:r>
        <w:rPr>
          <w:rFonts w:ascii="Times New Roman" w:hAnsi="Times New Roman"/>
          <w:sz w:val="24"/>
        </w:rPr>
        <w:t>e </w:t>
      </w:r>
      <w:r>
        <w:rPr>
          <w:rFonts w:ascii="Times New Roman" w:hAnsi="Times New Roman"/>
          <w:sz w:val="24"/>
        </w:rPr>
        <w:t>и немоторн</w:t>
      </w:r>
      <w:r>
        <w:rPr>
          <w:rFonts w:ascii="Times New Roman" w:hAnsi="Times New Roman"/>
          <w:sz w:val="24"/>
        </w:rPr>
        <w:t>e </w:t>
      </w:r>
      <w:r>
        <w:rPr>
          <w:rFonts w:ascii="Times New Roman" w:hAnsi="Times New Roman"/>
          <w:sz w:val="24"/>
        </w:rPr>
        <w:t>опрем</w:t>
      </w:r>
      <w:r>
        <w:rPr>
          <w:rFonts w:ascii="Times New Roman" w:hAnsi="Times New Roman"/>
          <w:sz w:val="24"/>
        </w:rPr>
        <w:t>e </w:t>
      </w:r>
      <w:r>
        <w:rPr>
          <w:rFonts w:ascii="Times New Roman" w:hAnsi="Times New Roman"/>
          <w:sz w:val="24"/>
        </w:rPr>
        <w:t>износи 389 хиљада динара, док према евиденцији главне књиге садашња вредност административне опреме износи 32.421 хиљаде динара, опреме за јавну безбедност износи 179 хиљада динара, а вредност опрем</w:t>
      </w:r>
      <w:r>
        <w:rPr>
          <w:rFonts w:ascii="Times New Roman" w:hAnsi="Times New Roman"/>
          <w:sz w:val="24"/>
        </w:rPr>
        <w:t>e </w:t>
      </w:r>
      <w:r>
        <w:rPr>
          <w:rFonts w:ascii="Times New Roman" w:hAnsi="Times New Roman"/>
          <w:sz w:val="24"/>
        </w:rPr>
        <w:t>за производњу, моторн</w:t>
      </w:r>
      <w:r>
        <w:rPr>
          <w:rFonts w:ascii="Times New Roman" w:hAnsi="Times New Roman"/>
          <w:sz w:val="24"/>
        </w:rPr>
        <w:t>e</w:t>
      </w:r>
      <w:r>
        <w:rPr>
          <w:rFonts w:ascii="Times New Roman" w:hAnsi="Times New Roman"/>
          <w:sz w:val="24"/>
        </w:rPr>
        <w:t>, непокретн</w:t>
      </w:r>
      <w:r>
        <w:rPr>
          <w:rFonts w:ascii="Times New Roman" w:hAnsi="Times New Roman"/>
          <w:sz w:val="24"/>
        </w:rPr>
        <w:t>e </w:t>
      </w:r>
      <w:r>
        <w:rPr>
          <w:rFonts w:ascii="Times New Roman" w:hAnsi="Times New Roman"/>
          <w:sz w:val="24"/>
        </w:rPr>
        <w:t>и немоторн</w:t>
      </w:r>
      <w:r>
        <w:rPr>
          <w:rFonts w:ascii="Times New Roman" w:hAnsi="Times New Roman"/>
          <w:sz w:val="24"/>
        </w:rPr>
        <w:t>e </w:t>
      </w:r>
      <w:r>
        <w:rPr>
          <w:rFonts w:ascii="Times New Roman" w:hAnsi="Times New Roman"/>
          <w:sz w:val="24"/>
        </w:rPr>
        <w:t>опреме износи 257 хиљада динара због неправилно евидентиране амортизације у ранијим годинама (амортизација једне врсте опреме евидентирана је на конту исправке вредности друге врсте опреме), што је супротно Правилнику о стандардном класификационом оквиру и контном плану за буџетски систем.</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У пословним књигама Службе за одржавање и информатичко</w:t>
      </w:r>
      <w:r>
        <w:rPr>
          <w:rFonts w:ascii="Times New Roman" w:hAnsi="Times New Roman"/>
          <w:sz w:val="24"/>
        </w:rPr>
        <w:t>-</w:t>
      </w:r>
      <w:r>
        <w:rPr>
          <w:rFonts w:ascii="Times New Roman" w:hAnsi="Times New Roman"/>
          <w:sz w:val="24"/>
        </w:rPr>
        <w:t>комуникационе технологије као административна опрема евидентирана су средства, као на пример миш за рачунар, флеш меморија, двд носач, батерије за лап</w:t>
      </w:r>
      <w:r>
        <w:rPr>
          <w:rFonts w:ascii="Times New Roman" w:hAnsi="Times New Roman"/>
          <w:sz w:val="24"/>
        </w:rPr>
        <w:t>-</w:t>
      </w:r>
      <w:r>
        <w:rPr>
          <w:rFonts w:ascii="Times New Roman" w:hAnsi="Times New Roman"/>
          <w:sz w:val="24"/>
        </w:rPr>
        <w:t>топ рачунаре, тастатуре, кабл за флеш</w:t>
      </w:r>
      <w:r>
        <w:rPr>
          <w:rFonts w:ascii="Times New Roman" w:hAnsi="Times New Roman"/>
          <w:sz w:val="24"/>
        </w:rPr>
        <w:t>; </w:t>
      </w:r>
      <w:r>
        <w:rPr>
          <w:rFonts w:ascii="Times New Roman" w:hAnsi="Times New Roman"/>
          <w:sz w:val="24"/>
        </w:rPr>
        <w:t>као немоторна опрема (конто</w:t>
      </w:r>
      <w:r>
        <w:rPr>
          <w:rFonts w:ascii="Times New Roman" w:hAnsi="Times New Roman"/>
          <w:sz w:val="24"/>
        </w:rPr>
        <w:t>-011294) </w:t>
      </w:r>
      <w:r>
        <w:rPr>
          <w:rFonts w:ascii="Times New Roman" w:hAnsi="Times New Roman"/>
          <w:sz w:val="24"/>
        </w:rPr>
        <w:t>евидентирана су средства као на пример клешта, бургије</w:t>
      </w:r>
      <w:r>
        <w:rPr>
          <w:rFonts w:ascii="Times New Roman" w:hAnsi="Times New Roman"/>
          <w:sz w:val="24"/>
        </w:rPr>
        <w:t>, </w:t>
      </w:r>
      <w:r>
        <w:rPr>
          <w:rFonts w:ascii="Times New Roman" w:hAnsi="Times New Roman"/>
          <w:sz w:val="24"/>
        </w:rPr>
        <w:t>која по својој вредности и веку трајања не представљају опрему, што је супротно Правилнику о номенклатури нематеријалних улагања и основних средстава  </w:t>
      </w:r>
      <w:r>
        <w:rPr>
          <w:rFonts w:ascii="Times New Roman" w:hAnsi="Times New Roman"/>
          <w:spacing w:val="26"/>
          <w:sz w:val="24"/>
        </w:rPr>
        <w:t> </w:t>
      </w:r>
      <w:r>
        <w:rPr>
          <w:rFonts w:ascii="Times New Roman" w:hAnsi="Times New Roman"/>
          <w:sz w:val="24"/>
        </w:rPr>
        <w:t>са</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4"/>
        <w:jc w:val="both"/>
      </w:pPr>
      <w:r>
        <w:rPr/>
        <w:t>стопама амортизације и члану 30. Правилника о буџетском рачуноводству и рачуноводственим политикама</w:t>
      </w:r>
      <w:r>
        <w:rPr>
          <w:rFonts w:ascii="Times New Roman" w:hAnsi="Times New Roman"/>
        </w:rPr>
        <w:t>. </w:t>
      </w:r>
      <w:r>
        <w:rPr/>
        <w:t>Због претходно наведеног, садашња вредност опреме више је исказана за износ који у поступку ревизије нисмо могли да утврдимо. Истовремено, за исти износ више је исказана вредност на позицији 311100</w:t>
      </w:r>
      <w:r>
        <w:rPr>
          <w:rFonts w:ascii="Times New Roman" w:hAnsi="Times New Roman"/>
        </w:rPr>
        <w:t>- </w:t>
      </w:r>
      <w:r>
        <w:rPr/>
        <w:t>нефинансијска имовина у сталним средствима у пасиви биланса</w:t>
      </w:r>
      <w:r>
        <w:rPr>
          <w:spacing w:val="-22"/>
        </w:rPr>
        <w:t> </w:t>
      </w:r>
      <w:r>
        <w:rPr/>
        <w:t>стања.</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Књиговодствено стање рачунарске опреме није сведено на стварно стање утврђено пописом, јер је комисија за попис рачунарске опреме извршила попис на посебним евиденционим листовима основних средстава, услед немогућности коришћења пописних листи из књиговодства, због њихове непрегледности, нејасноће, немогућности повезивања средства са листе и средства на терену (јер нису обележени инвентарским бројевима); расход рачунарске опреме утврђен (натурално) по попису за 2014. годину није евидентиран у пословним књигама; комисија за попис нематеријалних улагања, основних средстава и ситног инвентара у свом извештају се изјаснила да није надлежна, односно компетентна за процену вредности вишка или мањка средстава и исти није утврђен, те се, у поступку ревизије, нисмо уверили у тачност исказане вредности</w:t>
      </w:r>
      <w:r>
        <w:rPr>
          <w:rFonts w:ascii="Times New Roman" w:hAnsi="Times New Roman"/>
          <w:spacing w:val="-31"/>
          <w:sz w:val="24"/>
        </w:rPr>
        <w:t> </w:t>
      </w:r>
      <w:r>
        <w:rPr>
          <w:rFonts w:ascii="Times New Roman" w:hAnsi="Times New Roman"/>
          <w:sz w:val="24"/>
        </w:rPr>
        <w:t>опреме.</w:t>
      </w:r>
    </w:p>
    <w:p>
      <w:pPr>
        <w:pStyle w:val="ListParagraph"/>
        <w:numPr>
          <w:ilvl w:val="0"/>
          <w:numId w:val="9"/>
        </w:numPr>
        <w:tabs>
          <w:tab w:pos="303"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Опрема је мање исказана код Службе за одржавање и информатичко комуникационе технологије за износ од 800 хиљада динара јер није евидентирана набавка опреме по пројекту „1700 година Миланског едикта“ . Истовремено, за исти износ мање је исказан износ на конту 311100 – нефинансијска имовина у сталним</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средствима.</w:t>
      </w:r>
    </w:p>
    <w:p>
      <w:pPr>
        <w:pStyle w:val="Heading2"/>
        <w:spacing w:line="240" w:lineRule="auto"/>
        <w:ind w:right="176"/>
        <w:jc w:val="both"/>
        <w:rPr>
          <w:b w:val="0"/>
          <w:bCs w:val="0"/>
          <w:i w:val="0"/>
        </w:rPr>
      </w:pPr>
      <w:r>
        <w:rPr>
          <w:i/>
        </w:rPr>
        <w:t>Препоручује се одговорним лицима обезбеде правилну примену одредби Правилника о стандардном класификационом оквиру и контном плану за буџетски систем, Правилника о номенклатури нематеријалних улагања и основних средстава са стопама амортизације и интерних</w:t>
      </w:r>
      <w:r>
        <w:rPr>
          <w:i/>
          <w:spacing w:val="-12"/>
        </w:rPr>
        <w:t> </w:t>
      </w:r>
      <w:r>
        <w:rPr>
          <w:i/>
        </w:rPr>
        <w:t>аката.</w:t>
      </w:r>
      <w:r>
        <w:rPr>
          <w:b w:val="0"/>
          <w:i w:val="0"/>
        </w:rPr>
      </w:r>
    </w:p>
    <w:p>
      <w:pPr>
        <w:pStyle w:val="ListParagraph"/>
        <w:numPr>
          <w:ilvl w:val="0"/>
          <w:numId w:val="63"/>
        </w:numPr>
        <w:tabs>
          <w:tab w:pos="303" w:val="left" w:leader="none"/>
        </w:tabs>
        <w:spacing w:line="271"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 Буџету града Ниша </w:t>
      </w:r>
      <w:r>
        <w:rPr>
          <w:rFonts w:ascii="Times New Roman" w:hAnsi="Times New Roman"/>
          <w:sz w:val="24"/>
        </w:rPr>
        <w:t>исказан је износ од 1.036.657 хиљада</w:t>
      </w:r>
      <w:r>
        <w:rPr>
          <w:rFonts w:ascii="Times New Roman" w:hAnsi="Times New Roman"/>
          <w:spacing w:val="-15"/>
          <w:sz w:val="24"/>
        </w:rPr>
        <w:t> </w:t>
      </w:r>
      <w:r>
        <w:rPr>
          <w:rFonts w:ascii="Times New Roman" w:hAnsi="Times New Roman"/>
          <w:sz w:val="24"/>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У пословним књигама града Ниша као опрема за културу исказани </w:t>
      </w:r>
      <w:r>
        <w:rPr>
          <w:rFonts w:ascii="Times New Roman" w:hAnsi="Times New Roman"/>
          <w:spacing w:val="-3"/>
          <w:sz w:val="24"/>
        </w:rPr>
        <w:t>су: </w:t>
      </w:r>
      <w:r>
        <w:rPr>
          <w:rFonts w:ascii="Times New Roman" w:hAnsi="Times New Roman"/>
          <w:sz w:val="24"/>
        </w:rPr>
        <w:t>споменици у </w:t>
      </w:r>
      <w:r>
        <w:rPr>
          <w:rFonts w:ascii="Times New Roman" w:hAnsi="Times New Roman"/>
          <w:sz w:val="24"/>
        </w:rPr>
        <w:t>вредности од 504.057 хиљада динара (Нишка тврђава у вредности од 475.073 хиљаде динара, Споменик ослободилаца Ниша на Тргу ослобођења у вредности од 2.678 хиљада динара, део византијске некрополе у Нишу у вредности од 1.747 хиљада динара, Чегар</w:t>
      </w:r>
      <w:r>
        <w:rPr>
          <w:rFonts w:ascii="Times New Roman" w:hAnsi="Times New Roman"/>
          <w:sz w:val="24"/>
        </w:rPr>
        <w:t>- </w:t>
      </w:r>
      <w:r>
        <w:rPr>
          <w:rFonts w:ascii="Times New Roman" w:hAnsi="Times New Roman"/>
          <w:sz w:val="24"/>
        </w:rPr>
        <w:t>место из првог српског устанка у вредности од 4.157 хиљада динара, Споменик на Бубњу и</w:t>
      </w:r>
      <w:r>
        <w:rPr>
          <w:rFonts w:ascii="Times New Roman" w:hAnsi="Times New Roman"/>
          <w:spacing w:val="40"/>
          <w:sz w:val="24"/>
        </w:rPr>
        <w:t> </w:t>
      </w:r>
      <w:r>
        <w:rPr>
          <w:rFonts w:ascii="Times New Roman" w:hAnsi="Times New Roman"/>
          <w:sz w:val="24"/>
        </w:rPr>
        <w:t>парк</w:t>
      </w:r>
      <w:r>
        <w:rPr>
          <w:rFonts w:ascii="Times New Roman" w:hAnsi="Times New Roman"/>
          <w:spacing w:val="40"/>
          <w:sz w:val="24"/>
        </w:rPr>
        <w:t> </w:t>
      </w:r>
      <w:r>
        <w:rPr>
          <w:rFonts w:ascii="Times New Roman" w:hAnsi="Times New Roman"/>
          <w:sz w:val="24"/>
        </w:rPr>
        <w:t>Бубањ</w:t>
      </w:r>
      <w:r>
        <w:rPr>
          <w:rFonts w:ascii="Times New Roman" w:hAnsi="Times New Roman"/>
          <w:spacing w:val="43"/>
          <w:sz w:val="24"/>
        </w:rPr>
        <w:t> </w:t>
      </w:r>
      <w:r>
        <w:rPr>
          <w:rFonts w:ascii="Times New Roman" w:hAnsi="Times New Roman"/>
          <w:sz w:val="24"/>
        </w:rPr>
        <w:t>у</w:t>
      </w:r>
      <w:r>
        <w:rPr>
          <w:rFonts w:ascii="Times New Roman" w:hAnsi="Times New Roman"/>
          <w:spacing w:val="37"/>
          <w:sz w:val="24"/>
        </w:rPr>
        <w:t> </w:t>
      </w:r>
      <w:r>
        <w:rPr>
          <w:rFonts w:ascii="Times New Roman" w:hAnsi="Times New Roman"/>
          <w:sz w:val="24"/>
        </w:rPr>
        <w:t>вредности</w:t>
      </w:r>
      <w:r>
        <w:rPr>
          <w:rFonts w:ascii="Times New Roman" w:hAnsi="Times New Roman"/>
          <w:spacing w:val="40"/>
          <w:sz w:val="24"/>
        </w:rPr>
        <w:t> </w:t>
      </w:r>
      <w:r>
        <w:rPr>
          <w:rFonts w:ascii="Times New Roman" w:hAnsi="Times New Roman"/>
          <w:sz w:val="24"/>
        </w:rPr>
        <w:t>од</w:t>
      </w:r>
      <w:r>
        <w:rPr>
          <w:rFonts w:ascii="Times New Roman" w:hAnsi="Times New Roman"/>
          <w:spacing w:val="39"/>
          <w:sz w:val="24"/>
        </w:rPr>
        <w:t> </w:t>
      </w:r>
      <w:r>
        <w:rPr>
          <w:rFonts w:ascii="Times New Roman" w:hAnsi="Times New Roman"/>
          <w:sz w:val="24"/>
        </w:rPr>
        <w:t>16.942</w:t>
      </w:r>
      <w:r>
        <w:rPr>
          <w:rFonts w:ascii="Times New Roman" w:hAnsi="Times New Roman"/>
          <w:spacing w:val="39"/>
          <w:sz w:val="24"/>
        </w:rPr>
        <w:t> </w:t>
      </w:r>
      <w:r>
        <w:rPr>
          <w:rFonts w:ascii="Times New Roman" w:hAnsi="Times New Roman"/>
          <w:sz w:val="24"/>
        </w:rPr>
        <w:t>хиљаде</w:t>
      </w:r>
      <w:r>
        <w:rPr>
          <w:rFonts w:ascii="Times New Roman" w:hAnsi="Times New Roman"/>
          <w:spacing w:val="38"/>
          <w:sz w:val="24"/>
        </w:rPr>
        <w:t> </w:t>
      </w:r>
      <w:r>
        <w:rPr>
          <w:rFonts w:ascii="Times New Roman" w:hAnsi="Times New Roman"/>
          <w:sz w:val="24"/>
        </w:rPr>
        <w:t>динара</w:t>
      </w:r>
      <w:r>
        <w:rPr>
          <w:rFonts w:ascii="Times New Roman" w:hAnsi="Times New Roman"/>
          <w:spacing w:val="38"/>
          <w:sz w:val="24"/>
        </w:rPr>
        <w:t> </w:t>
      </w:r>
      <w:r>
        <w:rPr>
          <w:rFonts w:ascii="Times New Roman" w:hAnsi="Times New Roman"/>
          <w:sz w:val="24"/>
        </w:rPr>
        <w:t>и</w:t>
      </w:r>
      <w:r>
        <w:rPr>
          <w:rFonts w:ascii="Times New Roman" w:hAnsi="Times New Roman"/>
          <w:spacing w:val="40"/>
          <w:sz w:val="24"/>
        </w:rPr>
        <w:t> </w:t>
      </w:r>
      <w:r>
        <w:rPr>
          <w:rFonts w:ascii="Times New Roman" w:hAnsi="Times New Roman"/>
          <w:sz w:val="24"/>
        </w:rPr>
        <w:t>друго)</w:t>
      </w:r>
      <w:r>
        <w:rPr>
          <w:rFonts w:ascii="Times New Roman" w:hAnsi="Times New Roman"/>
          <w:spacing w:val="38"/>
          <w:sz w:val="24"/>
        </w:rPr>
        <w:t> </w:t>
      </w:r>
      <w:r>
        <w:rPr>
          <w:rFonts w:ascii="Times New Roman" w:hAnsi="Times New Roman"/>
          <w:sz w:val="24"/>
        </w:rPr>
        <w:t>и</w:t>
      </w:r>
      <w:r>
        <w:rPr>
          <w:rFonts w:ascii="Times New Roman" w:hAnsi="Times New Roman"/>
          <w:spacing w:val="40"/>
          <w:sz w:val="24"/>
        </w:rPr>
        <w:t> </w:t>
      </w:r>
      <w:r>
        <w:rPr>
          <w:rFonts w:ascii="Times New Roman" w:hAnsi="Times New Roman"/>
          <w:sz w:val="24"/>
        </w:rPr>
        <w:t>чесме</w:t>
      </w:r>
      <w:r>
        <w:rPr>
          <w:rFonts w:ascii="Times New Roman" w:hAnsi="Times New Roman"/>
          <w:spacing w:val="43"/>
          <w:sz w:val="24"/>
        </w:rPr>
        <w:t> </w:t>
      </w:r>
      <w:r>
        <w:rPr>
          <w:rFonts w:ascii="Times New Roman" w:hAnsi="Times New Roman"/>
          <w:sz w:val="24"/>
        </w:rPr>
        <w:t>у</w:t>
      </w:r>
      <w:r>
        <w:rPr>
          <w:rFonts w:ascii="Times New Roman" w:hAnsi="Times New Roman"/>
          <w:spacing w:val="34"/>
          <w:sz w:val="24"/>
        </w:rPr>
        <w:t> </w:t>
      </w:r>
      <w:r>
        <w:rPr>
          <w:rFonts w:ascii="Times New Roman" w:hAnsi="Times New Roman"/>
          <w:sz w:val="24"/>
        </w:rPr>
        <w:t>вредности</w:t>
      </w:r>
      <w:r>
        <w:rPr>
          <w:rFonts w:ascii="Times New Roman" w:hAnsi="Times New Roman"/>
          <w:spacing w:val="40"/>
          <w:sz w:val="24"/>
        </w:rPr>
        <w:t> </w:t>
      </w:r>
      <w:r>
        <w:rPr>
          <w:rFonts w:ascii="Times New Roman" w:hAnsi="Times New Roman"/>
          <w:sz w:val="24"/>
        </w:rPr>
        <w:t>од</w:t>
      </w:r>
    </w:p>
    <w:p>
      <w:pPr>
        <w:pStyle w:val="BodyText"/>
        <w:spacing w:line="240" w:lineRule="auto"/>
        <w:ind w:right="172"/>
        <w:jc w:val="both"/>
      </w:pPr>
      <w:r>
        <w:rPr/>
        <w:t>531.432 хиљаде динара (на пример 14 спомен чесми у селима у вредности од 224.314 хиљада динара, чесме у чаирском парку вредности од 217.800 хиљада динара, хајдучка чесма вредности од 43.560 хиљада динара, чесме у граду укупне вредности 45.758  хиљада динара). Због претходно наведеног, ова билансна позиција више је исказана за износ од 1.035.489 хиљада динара, док је за садашњу вредност чесми, коју у поступку ревизије нисмо могли да утврдимо, мање исказана вредност на позицији 011300 – остале некретнине и опрема, а за вредност споменика у износу од 504.057 хиљада динара мање је исказана вредност на позицији 016100 – нематеријална имовина, што је супротно  члану 9. Уредбе о буџетском рачуноводству и члану 10. Правилника о стандардном класификационом оквиру и контном плану за буџетски</w:t>
      </w:r>
      <w:r>
        <w:rPr>
          <w:spacing w:val="-31"/>
        </w:rPr>
        <w:t> </w:t>
      </w:r>
      <w:r>
        <w:rPr/>
        <w:t>систем.</w:t>
      </w:r>
    </w:p>
    <w:p>
      <w:pPr>
        <w:pStyle w:val="ListParagraph"/>
        <w:numPr>
          <w:ilvl w:val="0"/>
          <w:numId w:val="9"/>
        </w:numPr>
        <w:tabs>
          <w:tab w:pos="303" w:val="left" w:leader="none"/>
        </w:tabs>
        <w:spacing w:line="274" w:lineRule="exact" w:before="24"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Обрачун амортизације чесми током периода није вршен, те у поступку ревизије нисмо могли да утврдимо њихову садашњу</w:t>
      </w:r>
      <w:r>
        <w:rPr>
          <w:rFonts w:ascii="Times New Roman" w:hAnsi="Times New Roman"/>
          <w:spacing w:val="-10"/>
          <w:sz w:val="24"/>
        </w:rPr>
        <w:t> </w:t>
      </w:r>
      <w:r>
        <w:rPr>
          <w:rFonts w:ascii="Times New Roman" w:hAnsi="Times New Roman"/>
          <w:sz w:val="24"/>
        </w:rPr>
        <w:t>вредност.</w:t>
      </w:r>
    </w:p>
    <w:p>
      <w:pPr>
        <w:pStyle w:val="Heading2"/>
        <w:spacing w:line="240" w:lineRule="auto" w:before="2"/>
        <w:ind w:right="179" w:firstLine="578"/>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рачунводству и Правилника о стандардном класификационом оквиру и контном плану за буџетски систем и врше обрачун</w:t>
      </w:r>
      <w:r>
        <w:rPr>
          <w:i/>
          <w:spacing w:val="-16"/>
        </w:rPr>
        <w:t> </w:t>
      </w:r>
      <w:r>
        <w:rPr>
          <w:i/>
        </w:rPr>
        <w:t>амортизације</w:t>
      </w:r>
      <w:r>
        <w:rPr>
          <w:rFonts w:ascii="Times New Roman" w:hAnsi="Times New Roman"/>
          <w:i/>
        </w:rPr>
        <w:t>.</w:t>
      </w:r>
      <w:r>
        <w:rPr>
          <w:rFonts w:ascii="Times New Roman" w:hAnsi="Times New Roman"/>
          <w:b w:val="0"/>
          <w:i w:val="0"/>
        </w:rPr>
      </w:r>
    </w:p>
    <w:p>
      <w:pPr>
        <w:spacing w:after="0" w:line="240" w:lineRule="auto"/>
        <w:jc w:val="both"/>
        <w:rPr>
          <w:rFonts w:ascii="Times New Roman" w:hAnsi="Times New Roman" w:cs="Times New Roman" w:eastAsia="Times New Roman" w:hint="default"/>
        </w:rPr>
        <w:sectPr>
          <w:pgSz w:w="12240" w:h="15840"/>
          <w:pgMar w:header="740" w:footer="1274" w:top="1280" w:bottom="1460" w:left="1400" w:right="1260"/>
        </w:sectPr>
      </w:pPr>
    </w:p>
    <w:p>
      <w:pPr>
        <w:spacing w:before="122"/>
        <w:ind w:left="160" w:right="180"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Остале некретнине и опрема, конто </w:t>
      </w:r>
      <w:r>
        <w:rPr>
          <w:rFonts w:ascii="Times New Roman" w:hAnsi="Times New Roman" w:cs="Times New Roman" w:eastAsia="Times New Roman" w:hint="default"/>
          <w:b/>
          <w:bCs/>
          <w:sz w:val="24"/>
          <w:szCs w:val="24"/>
        </w:rPr>
        <w:t>011300 </w:t>
      </w:r>
      <w:r>
        <w:rPr>
          <w:rFonts w:ascii="Times New Roman" w:hAnsi="Times New Roman" w:cs="Times New Roman" w:eastAsia="Times New Roman" w:hint="default"/>
          <w:b/>
          <w:bCs/>
          <w:sz w:val="24"/>
          <w:szCs w:val="24"/>
        </w:rPr>
        <w:t>– </w:t>
      </w:r>
      <w:r>
        <w:rPr>
          <w:rFonts w:ascii="Times New Roman" w:hAnsi="Times New Roman" w:cs="Times New Roman" w:eastAsia="Times New Roman" w:hint="default"/>
          <w:sz w:val="24"/>
          <w:szCs w:val="24"/>
        </w:rPr>
        <w:t>Исказана је вредност у износу од </w:t>
      </w:r>
      <w:r>
        <w:rPr>
          <w:rFonts w:ascii="Times New Roman" w:hAnsi="Times New Roman" w:cs="Times New Roman" w:eastAsia="Times New Roman" w:hint="default"/>
          <w:sz w:val="24"/>
          <w:szCs w:val="24"/>
        </w:rPr>
        <w:t>906 </w:t>
      </w:r>
      <w:r>
        <w:rPr>
          <w:rFonts w:ascii="Times New Roman" w:hAnsi="Times New Roman" w:cs="Times New Roman" w:eastAsia="Times New Roman" w:hint="default"/>
          <w:sz w:val="24"/>
          <w:szCs w:val="24"/>
        </w:rPr>
        <w:t>хиљада динара и то</w:t>
      </w:r>
      <w:r>
        <w:rPr>
          <w:rFonts w:ascii="Times New Roman" w:hAnsi="Times New Roman" w:cs="Times New Roman" w:eastAsia="Times New Roman" w:hint="default"/>
          <w:spacing w:val="-4"/>
          <w:sz w:val="24"/>
          <w:szCs w:val="24"/>
        </w:rPr>
        <w:t> </w:t>
      </w:r>
      <w:r>
        <w:rPr>
          <w:rFonts w:ascii="Times New Roman" w:hAnsi="Times New Roman" w:cs="Times New Roman" w:eastAsia="Times New Roman" w:hint="default"/>
          <w:sz w:val="24"/>
          <w:szCs w:val="24"/>
        </w:rPr>
        <w:t>код</w:t>
      </w:r>
      <w:r>
        <w:rPr>
          <w:rFonts w:ascii="Times New Roman" w:hAnsi="Times New Roman" w:cs="Times New Roman" w:eastAsia="Times New Roman" w:hint="default"/>
          <w:sz w:val="24"/>
          <w:szCs w:val="24"/>
        </w:rPr>
        <w:t>:</w:t>
      </w:r>
    </w:p>
    <w:p>
      <w:pPr>
        <w:pStyle w:val="ListParagraph"/>
        <w:numPr>
          <w:ilvl w:val="0"/>
          <w:numId w:val="63"/>
        </w:numPr>
        <w:tabs>
          <w:tab w:pos="303" w:val="left" w:leader="none"/>
        </w:tabs>
        <w:spacing w:line="240" w:lineRule="auto" w:before="0" w:after="0"/>
        <w:ind w:left="160" w:right="179"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Управе за образовање </w:t>
      </w:r>
      <w:r>
        <w:rPr>
          <w:rFonts w:ascii="Times New Roman" w:hAnsi="Times New Roman" w:cs="Times New Roman" w:eastAsia="Times New Roman" w:hint="default"/>
          <w:sz w:val="24"/>
          <w:szCs w:val="24"/>
        </w:rPr>
        <w:t>у износу од 797 хиљада динара по основу осталих некретнина и </w:t>
      </w:r>
      <w:r>
        <w:rPr>
          <w:rFonts w:ascii="Times New Roman" w:hAnsi="Times New Roman" w:cs="Times New Roman" w:eastAsia="Times New Roman" w:hint="default"/>
          <w:sz w:val="24"/>
          <w:szCs w:val="24"/>
        </w:rPr>
        <w:t>опреме код: ПУ „Пчелица“ у износу од 135 хиљада динара и Регионалног центра у износу од 662 хиљаде</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74" w:lineRule="exact" w:before="20"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Вредност осталих некретника и опреме код ПУ „Пчелица“ мање је исказана за износ од укупно</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1.804</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хиљаде</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динара</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и</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то:</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за</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износ</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од</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13</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хиљада</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динара</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на</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име</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лифта</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у</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вртићу</w:t>
      </w:r>
    </w:p>
    <w:p>
      <w:pPr>
        <w:pStyle w:val="BodyText"/>
        <w:spacing w:line="240" w:lineRule="auto"/>
        <w:ind w:right="174"/>
        <w:jc w:val="both"/>
      </w:pPr>
      <w:r>
        <w:rPr/>
        <w:t>„Вилин град“, за износ од 1.494 хиљаде динара на име неправилно евидентираних кавеза за контејнере и у износу од 297 хиљада динара на име мање исказане вредности кавеза за контејнере. Истовремено, за износ од 297 хиљада динара мање је исказана вредност на конту 311100 – нефинансијка имовина у сталним</w:t>
      </w:r>
      <w:r>
        <w:rPr>
          <w:spacing w:val="-20"/>
        </w:rPr>
        <w:t> </w:t>
      </w:r>
      <w:r>
        <w:rPr/>
        <w:t>средствима.</w:t>
      </w:r>
    </w:p>
    <w:p>
      <w:pPr>
        <w:pStyle w:val="ListParagraph"/>
        <w:numPr>
          <w:ilvl w:val="0"/>
          <w:numId w:val="9"/>
        </w:numPr>
        <w:tabs>
          <w:tab w:pos="303" w:val="left" w:leader="none"/>
        </w:tabs>
        <w:spacing w:line="240" w:lineRule="auto" w:before="2" w:after="0"/>
        <w:ind w:left="160" w:right="18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Код ПУ „Пчелица“ садашња вредност осталих некретнина и опреме исказана је у мањем износу који у поступку ревизије нисмо могли да утврдимо, услед неправилно обрачунате амортизације у ранијим годинама јер је на картицама основних средстава исказан обрачун амортизације за један месец и то јануар 2014. године а која је у главној књизи евидентирана у 2013. години збирно са обрачунатом амортизацијом за 2013. годину.</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Код Регионалног центра више је исказана вредност осталих некретнина и опреме у износу од 662 хиљаде динара, јер су на овом конту неправилно евидентиране књиге, што је супротно члану 9. Уредбе о буџетском рачуноводству и Правилнику о стандардном касификационом оквиру и контном плану за буџетски</w:t>
      </w:r>
      <w:r>
        <w:rPr>
          <w:rFonts w:ascii="Times New Roman" w:hAnsi="Times New Roman"/>
          <w:spacing w:val="-31"/>
          <w:sz w:val="24"/>
        </w:rPr>
        <w:t> </w:t>
      </w:r>
      <w:r>
        <w:rPr>
          <w:rFonts w:ascii="Times New Roman" w:hAnsi="Times New Roman"/>
          <w:sz w:val="24"/>
        </w:rPr>
        <w:t>систем.</w:t>
      </w:r>
    </w:p>
    <w:p>
      <w:pPr>
        <w:pStyle w:val="Heading2"/>
        <w:spacing w:line="240" w:lineRule="auto"/>
        <w:ind w:right="185"/>
        <w:jc w:val="both"/>
        <w:rPr>
          <w:b w:val="0"/>
          <w:bCs w:val="0"/>
          <w:i w:val="0"/>
        </w:rPr>
      </w:pPr>
      <w:r>
        <w:rPr>
          <w:i/>
        </w:rPr>
        <w:t>Препоручује се одговорним лицима да правилно и тачно исказују вредност своје имовине.</w:t>
      </w:r>
      <w:r>
        <w:rPr>
          <w:b w:val="0"/>
          <w:i w:val="0"/>
        </w:rPr>
      </w:r>
    </w:p>
    <w:p>
      <w:pPr>
        <w:pStyle w:val="BodyText"/>
        <w:spacing w:line="240" w:lineRule="auto"/>
        <w:ind w:right="172"/>
        <w:jc w:val="both"/>
      </w:pPr>
      <w:r>
        <w:rPr>
          <w:rFonts w:ascii="Times New Roman" w:hAnsi="Times New Roman"/>
        </w:rPr>
        <w:t>- </w:t>
      </w:r>
      <w:r>
        <w:rPr>
          <w:rFonts w:ascii="Times New Roman" w:hAnsi="Times New Roman"/>
        </w:rPr>
      </w:r>
      <w:r>
        <w:rPr>
          <w:rFonts w:ascii="Times New Roman" w:hAnsi="Times New Roman"/>
          <w:u w:val="single" w:color="000000"/>
        </w:rPr>
      </w:r>
      <w:r>
        <w:rPr>
          <w:u w:val="single" w:color="000000"/>
        </w:rPr>
        <w:t>Управе за културу </w:t>
      </w:r>
      <w:r>
        <w:rPr/>
        <w:t>у износу од 109 хиљада динара по основу осталих некретнина и </w:t>
      </w:r>
      <w:r>
        <w:rPr/>
        <w:t>опреме код: Народног позоришта у износу од </w:t>
      </w:r>
      <w:r>
        <w:rPr>
          <w:rFonts w:ascii="Times New Roman" w:hAnsi="Times New Roman"/>
        </w:rPr>
        <w:t>79 </w:t>
      </w:r>
      <w:r>
        <w:rPr/>
        <w:t>хиљада динара и Завода за заштиту споменика у износу од 30 хиљада</w:t>
      </w:r>
      <w:r>
        <w:rPr>
          <w:spacing w:val="-12"/>
        </w:rPr>
        <w:t> </w:t>
      </w:r>
      <w:r>
        <w:rPr/>
        <w:t>динара.</w:t>
      </w:r>
    </w:p>
    <w:p>
      <w:pPr>
        <w:pStyle w:val="BodyText"/>
        <w:spacing w:line="240" w:lineRule="auto"/>
        <w:ind w:right="173" w:firstLine="566"/>
        <w:jc w:val="both"/>
        <w:rPr>
          <w:rFonts w:ascii="Times New Roman" w:hAnsi="Times New Roman" w:cs="Times New Roman" w:eastAsia="Times New Roman" w:hint="default"/>
        </w:rPr>
      </w:pPr>
      <w:r>
        <w:rPr>
          <w:rFonts w:ascii="Times New Roman" w:hAnsi="Times New Roman" w:cs="Times New Roman" w:eastAsia="Times New Roman" w:hint="default"/>
          <w:b/>
          <w:bCs/>
        </w:rPr>
        <w:t>На основу ревизије узорковане документације утврђено је </w:t>
      </w:r>
      <w:r>
        <w:rPr/>
        <w:t>да је ова позиција више исказана код Народног позоришта за износ од 79 хиљада динара. Истовремено, мање је исказана вредност на позицији 016100 – нематеријална имовина у истом износу, што је супротно члану 9. Уредбе о буџетском рачуноводству и Правилнику о стандардном класификационом оквиру и контном  плану за буџетски</w:t>
      </w:r>
      <w:r>
        <w:rPr>
          <w:spacing w:val="-25"/>
        </w:rPr>
        <w:t> </w:t>
      </w:r>
      <w:r>
        <w:rPr/>
        <w:t>систем</w:t>
      </w:r>
      <w:r>
        <w:rPr>
          <w:rFonts w:ascii="Times New Roman" w:hAnsi="Times New Roman" w:cs="Times New Roman" w:eastAsia="Times New Roman" w:hint="default"/>
        </w:rPr>
        <w:t>.</w:t>
      </w:r>
    </w:p>
    <w:p>
      <w:pPr>
        <w:pStyle w:val="Heading2"/>
        <w:spacing w:line="240" w:lineRule="auto"/>
        <w:ind w:right="183" w:firstLine="578"/>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контоном плану за буџетски</w:t>
      </w:r>
      <w:r>
        <w:rPr>
          <w:i/>
          <w:spacing w:val="-18"/>
        </w:rPr>
        <w:t> </w:t>
      </w:r>
      <w:r>
        <w:rPr>
          <w:i/>
        </w:rPr>
        <w:t>систем.</w:t>
      </w:r>
      <w:r>
        <w:rPr>
          <w:b w:val="0"/>
          <w:i w:val="0"/>
        </w:rPr>
      </w:r>
    </w:p>
    <w:p>
      <w:pPr>
        <w:pStyle w:val="BodyText"/>
        <w:spacing w:line="271" w:lineRule="exact"/>
        <w:ind w:right="0"/>
        <w:jc w:val="both"/>
      </w:pPr>
      <w:r>
        <w:rPr>
          <w:rFonts w:ascii="Times New Roman" w:hAnsi="Times New Roman"/>
          <w:b/>
        </w:rPr>
        <w:t>- </w:t>
      </w:r>
      <w:r>
        <w:rPr>
          <w:rFonts w:ascii="Times New Roman" w:hAnsi="Times New Roman"/>
        </w:rPr>
      </w:r>
      <w:r>
        <w:rPr>
          <w:rFonts w:ascii="Times New Roman" w:hAnsi="Times New Roman"/>
          <w:u w:val="single" w:color="000000"/>
        </w:rPr>
      </w:r>
      <w:r>
        <w:rPr>
          <w:u w:val="single" w:color="000000"/>
        </w:rPr>
        <w:t>У Буџету града Ниша </w:t>
      </w:r>
      <w:r>
        <w:rPr/>
        <w:t>није исказан</w:t>
      </w:r>
      <w:r>
        <w:rPr>
          <w:spacing w:val="-10"/>
        </w:rPr>
        <w:t> </w:t>
      </w:r>
      <w:r>
        <w:rPr/>
        <w:t>износ.</w:t>
      </w:r>
    </w:p>
    <w:p>
      <w:pPr>
        <w:pStyle w:val="BodyText"/>
        <w:spacing w:line="240" w:lineRule="auto"/>
        <w:ind w:right="174" w:firstLine="566"/>
        <w:jc w:val="both"/>
        <w:rPr>
          <w:rFonts w:ascii="Times New Roman" w:hAnsi="Times New Roman" w:cs="Times New Roman" w:eastAsia="Times New Roman" w:hint="default"/>
        </w:rPr>
      </w:pPr>
      <w:r>
        <w:rPr>
          <w:rFonts w:ascii="Times New Roman" w:hAnsi="Times New Roman"/>
          <w:b/>
        </w:rPr>
        <w:t>На основу ревизије узорковане документације утврђено </w:t>
      </w:r>
      <w:r>
        <w:rPr/>
        <w:t>је да је у билансу стања града Ниша ова позиција мање исказана за износ вредности чесми који у поступку ревизије нисмо могли да утврдимо, што је супротно члану </w:t>
      </w:r>
      <w:r>
        <w:rPr>
          <w:rFonts w:ascii="Times New Roman" w:hAnsi="Times New Roman"/>
        </w:rPr>
        <w:t>9. </w:t>
      </w:r>
      <w:r>
        <w:rPr/>
        <w:t>Уредбе о буџетском рачуноводству и Правилнику о стандардном класификационом оквиру и контном плану за буџетски</w:t>
      </w:r>
      <w:r>
        <w:rPr>
          <w:spacing w:val="-8"/>
        </w:rPr>
        <w:t> </w:t>
      </w:r>
      <w:r>
        <w:rPr/>
        <w:t>систем</w:t>
      </w:r>
      <w:r>
        <w:rPr>
          <w:rFonts w:ascii="Times New Roman" w:hAnsi="Times New Roman"/>
        </w:rPr>
        <w:t>.</w:t>
      </w:r>
    </w:p>
    <w:p>
      <w:pPr>
        <w:pStyle w:val="Heading2"/>
        <w:spacing w:line="240" w:lineRule="auto"/>
        <w:ind w:right="174"/>
        <w:jc w:val="both"/>
        <w:rPr>
          <w:rFonts w:ascii="Times New Roman" w:hAnsi="Times New Roman" w:cs="Times New Roman" w:eastAsia="Times New Roman" w:hint="default"/>
          <w:b w:val="0"/>
          <w:bCs w:val="0"/>
          <w:i w:val="0"/>
        </w:rPr>
      </w:pPr>
      <w:r>
        <w:rPr>
          <w:i/>
        </w:rPr>
        <w:t>Препоручује се одговорним лицима да обезбеде примену одредби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i/>
        </w:rPr>
        <w:t>.</w:t>
      </w:r>
      <w:r>
        <w:rPr>
          <w:rFonts w:ascii="Times New Roman" w:hAnsi="Times New Roman"/>
          <w:b w:val="0"/>
          <w:i w:val="0"/>
        </w:rPr>
      </w:r>
    </w:p>
    <w:p>
      <w:pPr>
        <w:spacing w:line="240" w:lineRule="auto" w:before="0"/>
        <w:ind w:left="160" w:right="184"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Земљиште, конто 014100 </w:t>
      </w:r>
      <w:r>
        <w:rPr>
          <w:rFonts w:ascii="Times New Roman" w:hAnsi="Times New Roman" w:cs="Times New Roman" w:eastAsia="Times New Roman" w:hint="default"/>
          <w:sz w:val="24"/>
          <w:szCs w:val="24"/>
        </w:rPr>
        <w:t>– Исказана је вредност земљишта у износу од 9.277.299 хиљада динара и то</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код:</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2"/>
        <w:jc w:val="both"/>
        <w:rPr>
          <w:rFonts w:ascii="Times New Roman" w:hAnsi="Times New Roman" w:cs="Times New Roman" w:eastAsia="Times New Roman" w:hint="default"/>
        </w:rPr>
      </w:pPr>
      <w:r>
        <w:rPr>
          <w:rFonts w:ascii="Times New Roman" w:hAnsi="Times New Roman"/>
        </w:rPr>
        <w:t>- </w:t>
      </w:r>
      <w:r>
        <w:rPr>
          <w:rFonts w:ascii="Times New Roman" w:hAnsi="Times New Roman"/>
        </w:rPr>
      </w:r>
      <w:r>
        <w:rPr>
          <w:rFonts w:ascii="Times New Roman" w:hAnsi="Times New Roman"/>
          <w:u w:val="single" w:color="000000"/>
        </w:rPr>
      </w:r>
      <w:r>
        <w:rPr>
          <w:u w:val="single" w:color="000000"/>
        </w:rPr>
        <w:t>Управе за културу </w:t>
      </w:r>
      <w:r>
        <w:rPr/>
        <w:t>у износу од 9.498 хиљада динара за исказано земљиште код: Народне </w:t>
      </w:r>
      <w:r>
        <w:rPr/>
        <w:t>библиотеке у вредности од 608 хиљада динара</w:t>
      </w:r>
      <w:r>
        <w:rPr>
          <w:rFonts w:ascii="Times New Roman" w:hAnsi="Times New Roman"/>
        </w:rPr>
        <w:t>, </w:t>
      </w:r>
      <w:r>
        <w:rPr/>
        <w:t>Народног музеја у износу од 7.283  хиљаде динара, Народног позоришта у износу </w:t>
      </w:r>
      <w:r>
        <w:rPr>
          <w:rFonts w:ascii="Times New Roman" w:hAnsi="Times New Roman"/>
        </w:rPr>
        <w:t>523 </w:t>
      </w:r>
      <w:r>
        <w:rPr/>
        <w:t>хиљаде динара</w:t>
      </w:r>
      <w:r>
        <w:rPr>
          <w:rFonts w:ascii="Times New Roman" w:hAnsi="Times New Roman"/>
        </w:rPr>
        <w:t>, </w:t>
      </w:r>
      <w:r>
        <w:rPr/>
        <w:t>Нишког симфонијског оркестра у износу од </w:t>
      </w:r>
      <w:r>
        <w:rPr>
          <w:rFonts w:ascii="Times New Roman" w:hAnsi="Times New Roman"/>
        </w:rPr>
        <w:t>541 </w:t>
      </w:r>
      <w:r>
        <w:rPr/>
        <w:t>хиљаде динара</w:t>
      </w:r>
      <w:r>
        <w:rPr>
          <w:rFonts w:ascii="Times New Roman" w:hAnsi="Times New Roman"/>
        </w:rPr>
        <w:t>, </w:t>
      </w:r>
      <w:r>
        <w:rPr/>
        <w:t>Историјског архива у износу од </w:t>
      </w:r>
      <w:r>
        <w:rPr>
          <w:rFonts w:ascii="Times New Roman" w:hAnsi="Times New Roman"/>
        </w:rPr>
        <w:t>543 </w:t>
      </w:r>
      <w:r>
        <w:rPr/>
        <w:t>хиљаде динара</w:t>
      </w:r>
      <w:r>
        <w:rPr>
          <w:rFonts w:ascii="Times New Roman" w:hAnsi="Times New Roman"/>
        </w:rPr>
        <w:t>.</w:t>
      </w:r>
    </w:p>
    <w:p>
      <w:pPr>
        <w:pStyle w:val="BodyText"/>
        <w:spacing w:line="240" w:lineRule="auto"/>
        <w:ind w:right="173" w:firstLine="566"/>
        <w:jc w:val="both"/>
        <w:rPr>
          <w:rFonts w:ascii="Times New Roman" w:hAnsi="Times New Roman" w:cs="Times New Roman" w:eastAsia="Times New Roman" w:hint="default"/>
        </w:rPr>
      </w:pPr>
      <w:r>
        <w:rPr>
          <w:rFonts w:ascii="Times New Roman" w:hAnsi="Times New Roman"/>
          <w:b/>
        </w:rPr>
        <w:t>На основу ревизије узорковане документације утврђено је </w:t>
      </w:r>
      <w:r>
        <w:rPr/>
        <w:t>да је ова билансна позиција исказана у већем износу за </w:t>
      </w:r>
      <w:r>
        <w:rPr>
          <w:rFonts w:ascii="Times New Roman" w:hAnsi="Times New Roman"/>
        </w:rPr>
        <w:t>541 </w:t>
      </w:r>
      <w:r>
        <w:rPr/>
        <w:t>хиљаду динара код Нишког симфонијског оркестра, за 543 хиљаде динара код Историјског архива</w:t>
      </w:r>
      <w:r>
        <w:rPr>
          <w:rFonts w:ascii="Times New Roman" w:hAnsi="Times New Roman"/>
        </w:rPr>
        <w:t>, </w:t>
      </w:r>
      <w:r>
        <w:rPr/>
        <w:t>за 523 хиљаде динара код Народног позоришта</w:t>
      </w:r>
      <w:r>
        <w:rPr>
          <w:rFonts w:ascii="Times New Roman" w:hAnsi="Times New Roman"/>
        </w:rPr>
        <w:t>, </w:t>
      </w:r>
      <w:r>
        <w:rPr/>
        <w:t>јер је евидентирано земљиште за које не поседују право власништва</w:t>
      </w:r>
      <w:r>
        <w:rPr>
          <w:rFonts w:ascii="Times New Roman" w:hAnsi="Times New Roman"/>
        </w:rPr>
        <w:t>.</w:t>
      </w:r>
    </w:p>
    <w:p>
      <w:pPr>
        <w:pStyle w:val="Heading2"/>
        <w:spacing w:line="240" w:lineRule="auto"/>
        <w:ind w:right="172"/>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7"/>
        </w:rPr>
        <w:t> </w:t>
      </w:r>
      <w:r>
        <w:rPr>
          <w:i/>
        </w:rPr>
        <w:t>систем</w:t>
      </w:r>
      <w:r>
        <w:rPr>
          <w:rFonts w:ascii="Times New Roman" w:hAnsi="Times New Roman"/>
          <w:i/>
        </w:rPr>
        <w:t>.</w:t>
      </w:r>
      <w:r>
        <w:rPr>
          <w:rFonts w:ascii="Times New Roman" w:hAnsi="Times New Roman"/>
          <w:b w:val="0"/>
          <w:i w:val="0"/>
        </w:rPr>
      </w:r>
    </w:p>
    <w:p>
      <w:pPr>
        <w:pStyle w:val="ListParagraph"/>
        <w:numPr>
          <w:ilvl w:val="0"/>
          <w:numId w:val="64"/>
        </w:numPr>
        <w:tabs>
          <w:tab w:pos="303" w:val="left" w:leader="none"/>
        </w:tabs>
        <w:spacing w:line="240" w:lineRule="auto" w:before="0" w:after="0"/>
        <w:ind w:left="160" w:right="181"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омладину и спорт </w:t>
      </w:r>
      <w:r>
        <w:rPr>
          <w:rFonts w:ascii="Times New Roman" w:hAnsi="Times New Roman"/>
          <w:sz w:val="24"/>
        </w:rPr>
        <w:t>у износу од 439 хиљада динара, по основу земљишта </w:t>
      </w:r>
      <w:r>
        <w:rPr>
          <w:rFonts w:ascii="Times New Roman" w:hAnsi="Times New Roman"/>
          <w:sz w:val="24"/>
        </w:rPr>
        <w:t>исказаног код СЦ</w:t>
      </w:r>
      <w:r>
        <w:rPr>
          <w:rFonts w:ascii="Times New Roman" w:hAnsi="Times New Roman"/>
          <w:spacing w:val="-5"/>
          <w:sz w:val="24"/>
        </w:rPr>
        <w:t> </w:t>
      </w:r>
      <w:r>
        <w:rPr>
          <w:rFonts w:ascii="Times New Roman" w:hAnsi="Times New Roman"/>
          <w:sz w:val="24"/>
        </w:rPr>
        <w:t>Чаир.</w:t>
      </w:r>
    </w:p>
    <w:p>
      <w:pPr>
        <w:spacing w:before="0"/>
        <w:ind w:left="160" w:right="176"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је </w:t>
      </w:r>
      <w:r>
        <w:rPr>
          <w:rFonts w:ascii="Times New Roman" w:hAnsi="Times New Roman"/>
          <w:b/>
          <w:sz w:val="24"/>
        </w:rPr>
        <w:t>з</w:t>
      </w:r>
      <w:r>
        <w:rPr>
          <w:rFonts w:ascii="Times New Roman" w:hAnsi="Times New Roman"/>
          <w:sz w:val="24"/>
        </w:rPr>
        <w:t>емљиште више исказано у износу од 439 хиљада динара, јер за исто СЦ Чаир не поседује доказ о власништву, односно праву</w:t>
      </w:r>
      <w:r>
        <w:rPr>
          <w:rFonts w:ascii="Times New Roman" w:hAnsi="Times New Roman"/>
          <w:spacing w:val="-13"/>
          <w:sz w:val="24"/>
        </w:rPr>
        <w:t> </w:t>
      </w:r>
      <w:r>
        <w:rPr>
          <w:rFonts w:ascii="Times New Roman" w:hAnsi="Times New Roman"/>
          <w:sz w:val="24"/>
        </w:rPr>
        <w:t>коришћења.</w:t>
      </w:r>
    </w:p>
    <w:p>
      <w:pPr>
        <w:pStyle w:val="Heading2"/>
        <w:spacing w:line="240" w:lineRule="auto"/>
        <w:ind w:right="184"/>
        <w:jc w:val="both"/>
        <w:rPr>
          <w:b w:val="0"/>
          <w:bCs w:val="0"/>
          <w:i w:val="0"/>
        </w:rPr>
      </w:pPr>
      <w:r>
        <w:rPr>
          <w:i/>
        </w:rPr>
        <w:t>Препоручује се одговорним лицима да у својим пословним књигама евидентирају имовину за коју поседују доказ о праву на</w:t>
      </w:r>
      <w:r>
        <w:rPr>
          <w:i/>
          <w:spacing w:val="-6"/>
        </w:rPr>
        <w:t> </w:t>
      </w:r>
      <w:r>
        <w:rPr>
          <w:i/>
        </w:rPr>
        <w:t>њој.</w:t>
      </w:r>
      <w:r>
        <w:rPr>
          <w:b w:val="0"/>
          <w:i w:val="0"/>
        </w:rPr>
      </w:r>
    </w:p>
    <w:p>
      <w:pPr>
        <w:pStyle w:val="ListParagraph"/>
        <w:numPr>
          <w:ilvl w:val="0"/>
          <w:numId w:val="64"/>
        </w:numPr>
        <w:tabs>
          <w:tab w:pos="303"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планирање и изградњу </w:t>
      </w:r>
      <w:r>
        <w:rPr>
          <w:rFonts w:ascii="Times New Roman" w:hAnsi="Times New Roman"/>
          <w:sz w:val="24"/>
        </w:rPr>
        <w:t>у износу од 13.085 хиљада динара, по основу </w:t>
      </w:r>
      <w:r>
        <w:rPr>
          <w:rFonts w:ascii="Times New Roman" w:hAnsi="Times New Roman"/>
          <w:sz w:val="24"/>
        </w:rPr>
        <w:t>земљишта исказаног код ЈП</w:t>
      </w:r>
      <w:r>
        <w:rPr>
          <w:rFonts w:ascii="Times New Roman" w:hAnsi="Times New Roman"/>
          <w:spacing w:val="-7"/>
          <w:sz w:val="24"/>
        </w:rPr>
        <w:t> </w:t>
      </w:r>
      <w:r>
        <w:rPr>
          <w:rFonts w:ascii="Times New Roman" w:hAnsi="Times New Roman"/>
          <w:sz w:val="24"/>
        </w:rPr>
        <w:t>ГСА</w:t>
      </w:r>
    </w:p>
    <w:p>
      <w:pPr>
        <w:spacing w:before="0"/>
        <w:ind w:left="160" w:right="178"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ЈП ГСА нема доказ о праву на земљиште у вредности од 13.085 хиљада динара. Земљиште није евидентирано у Катастру непокретности, што је супротно члану 4. и члану 61. Закона о државном премеру и</w:t>
      </w:r>
      <w:r>
        <w:rPr>
          <w:rFonts w:ascii="Times New Roman" w:hAnsi="Times New Roman"/>
          <w:spacing w:val="-9"/>
          <w:sz w:val="24"/>
        </w:rPr>
        <w:t> </w:t>
      </w:r>
      <w:r>
        <w:rPr>
          <w:rFonts w:ascii="Times New Roman" w:hAnsi="Times New Roman"/>
          <w:sz w:val="24"/>
        </w:rPr>
        <w:t>катастру.</w:t>
      </w:r>
    </w:p>
    <w:p>
      <w:pPr>
        <w:pStyle w:val="Heading2"/>
        <w:spacing w:line="240" w:lineRule="auto"/>
        <w:ind w:right="180"/>
        <w:jc w:val="both"/>
        <w:rPr>
          <w:b w:val="0"/>
          <w:bCs w:val="0"/>
          <w:i w:val="0"/>
        </w:rPr>
      </w:pPr>
      <w:r>
        <w:rPr>
          <w:i/>
        </w:rPr>
        <w:t>Препоручује се одговорним лицима да у пословним књигама евидентирају непокретности за које поседују доказ о праву на</w:t>
      </w:r>
      <w:r>
        <w:rPr>
          <w:i/>
          <w:spacing w:val="-14"/>
        </w:rPr>
        <w:t> </w:t>
      </w:r>
      <w:r>
        <w:rPr>
          <w:i/>
        </w:rPr>
        <w:t>њима.</w:t>
      </w:r>
      <w:r>
        <w:rPr>
          <w:b w:val="0"/>
          <w:i w:val="0"/>
        </w:rPr>
      </w:r>
    </w:p>
    <w:p>
      <w:pPr>
        <w:pStyle w:val="ListParagraph"/>
        <w:numPr>
          <w:ilvl w:val="0"/>
          <w:numId w:val="64"/>
        </w:numPr>
        <w:tabs>
          <w:tab w:pos="303" w:val="left" w:leader="none"/>
        </w:tabs>
        <w:spacing w:line="271"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 Буџету града Ниша </w:t>
      </w:r>
      <w:r>
        <w:rPr>
          <w:rFonts w:ascii="Times New Roman" w:hAnsi="Times New Roman"/>
          <w:sz w:val="24"/>
        </w:rPr>
        <w:t>исказан је износ од 9.254.277 хиљада</w:t>
      </w:r>
      <w:r>
        <w:rPr>
          <w:rFonts w:ascii="Times New Roman" w:hAnsi="Times New Roman"/>
          <w:spacing w:val="-12"/>
          <w:sz w:val="24"/>
        </w:rPr>
        <w:t> </w:t>
      </w:r>
      <w:r>
        <w:rPr>
          <w:rFonts w:ascii="Times New Roman" w:hAnsi="Times New Roman"/>
          <w:sz w:val="24"/>
        </w:rPr>
        <w:t>динара</w:t>
      </w:r>
      <w:r>
        <w:rPr>
          <w:rFonts w:ascii="Times New Roman" w:hAnsi="Times New Roman"/>
          <w:sz w:val="24"/>
        </w:rPr>
        <w:t>.</w:t>
      </w:r>
    </w:p>
    <w:p>
      <w:pPr>
        <w:pStyle w:val="Heading1"/>
        <w:spacing w:line="275" w:lineRule="exact"/>
        <w:ind w:right="141"/>
        <w:jc w:val="left"/>
        <w:rPr>
          <w:b w:val="0"/>
          <w:bCs w:val="0"/>
        </w:rPr>
      </w:pPr>
      <w:r>
        <w:rPr/>
        <w:t>На основу ревизије узорковане документације утврђено</w:t>
      </w:r>
      <w:r>
        <w:rPr>
          <w:spacing w:val="-13"/>
        </w:rPr>
        <w:t> </w:t>
      </w:r>
      <w:r>
        <w:rPr/>
        <w:t>је:</w:t>
      </w:r>
      <w:r>
        <w:rPr>
          <w:b w:val="0"/>
        </w:rPr>
      </w:r>
    </w:p>
    <w:p>
      <w:pPr>
        <w:pStyle w:val="ListParagraph"/>
        <w:numPr>
          <w:ilvl w:val="0"/>
          <w:numId w:val="9"/>
        </w:numPr>
        <w:tabs>
          <w:tab w:pos="303" w:val="left" w:leader="none"/>
        </w:tabs>
        <w:spacing w:line="232" w:lineRule="auto" w:before="6"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Према извештају Комисије за попис пољопривредног земљишта, који је извршен на основу података из Катастра непокретности, град Ниш је у катастру уписан као власник  и корисник пољопривредног земљишта површине 284 ха 12 ари и 8 м</w:t>
      </w:r>
      <w:r>
        <w:rPr>
          <w:rFonts w:ascii="Times New Roman" w:hAnsi="Times New Roman"/>
          <w:position w:val="11"/>
          <w:sz w:val="16"/>
        </w:rPr>
        <w:t>2</w:t>
      </w:r>
      <w:r>
        <w:rPr>
          <w:rFonts w:ascii="Times New Roman" w:hAnsi="Times New Roman"/>
          <w:sz w:val="24"/>
        </w:rPr>
        <w:t>. У збирном прегледу о стању непокретности по врстама на дан 31.12.2014. године састављеном од стране Управе за имовину, није наведена површина пољопривредног земљишта којом град</w:t>
      </w:r>
      <w:r>
        <w:rPr>
          <w:rFonts w:ascii="Times New Roman" w:hAnsi="Times New Roman"/>
          <w:spacing w:val="24"/>
          <w:sz w:val="24"/>
        </w:rPr>
        <w:t> </w:t>
      </w:r>
      <w:r>
        <w:rPr>
          <w:rFonts w:ascii="Times New Roman" w:hAnsi="Times New Roman"/>
          <w:sz w:val="24"/>
        </w:rPr>
        <w:t>располаже.</w:t>
      </w:r>
      <w:r>
        <w:rPr>
          <w:rFonts w:ascii="Times New Roman" w:hAnsi="Times New Roman"/>
          <w:spacing w:val="24"/>
          <w:sz w:val="24"/>
        </w:rPr>
        <w:t> </w:t>
      </w:r>
      <w:r>
        <w:rPr>
          <w:rFonts w:ascii="Times New Roman" w:hAnsi="Times New Roman"/>
          <w:sz w:val="24"/>
        </w:rPr>
        <w:t>У</w:t>
      </w:r>
      <w:r>
        <w:rPr>
          <w:rFonts w:ascii="Times New Roman" w:hAnsi="Times New Roman"/>
          <w:spacing w:val="24"/>
          <w:sz w:val="24"/>
        </w:rPr>
        <w:t> </w:t>
      </w:r>
      <w:r>
        <w:rPr>
          <w:rFonts w:ascii="Times New Roman" w:hAnsi="Times New Roman"/>
          <w:sz w:val="24"/>
        </w:rPr>
        <w:t>пословним</w:t>
      </w:r>
      <w:r>
        <w:rPr>
          <w:rFonts w:ascii="Times New Roman" w:hAnsi="Times New Roman"/>
          <w:spacing w:val="23"/>
          <w:sz w:val="24"/>
        </w:rPr>
        <w:t> </w:t>
      </w:r>
      <w:r>
        <w:rPr>
          <w:rFonts w:ascii="Times New Roman" w:hAnsi="Times New Roman"/>
          <w:sz w:val="24"/>
        </w:rPr>
        <w:t>књигама</w:t>
      </w:r>
      <w:r>
        <w:rPr>
          <w:rFonts w:ascii="Times New Roman" w:hAnsi="Times New Roman"/>
          <w:spacing w:val="23"/>
          <w:sz w:val="24"/>
        </w:rPr>
        <w:t> </w:t>
      </w:r>
      <w:r>
        <w:rPr>
          <w:rFonts w:ascii="Times New Roman" w:hAnsi="Times New Roman"/>
          <w:sz w:val="24"/>
        </w:rPr>
        <w:t>води</w:t>
      </w:r>
      <w:r>
        <w:rPr>
          <w:rFonts w:ascii="Times New Roman" w:hAnsi="Times New Roman"/>
          <w:spacing w:val="22"/>
          <w:sz w:val="24"/>
        </w:rPr>
        <w:t> </w:t>
      </w:r>
      <w:r>
        <w:rPr>
          <w:rFonts w:ascii="Times New Roman" w:hAnsi="Times New Roman"/>
          <w:sz w:val="24"/>
        </w:rPr>
        <w:t>се</w:t>
      </w:r>
      <w:r>
        <w:rPr>
          <w:rFonts w:ascii="Times New Roman" w:hAnsi="Times New Roman"/>
          <w:spacing w:val="23"/>
          <w:sz w:val="24"/>
        </w:rPr>
        <w:t> </w:t>
      </w:r>
      <w:r>
        <w:rPr>
          <w:rFonts w:ascii="Times New Roman" w:hAnsi="Times New Roman"/>
          <w:sz w:val="24"/>
        </w:rPr>
        <w:t>3.131</w:t>
      </w:r>
      <w:r>
        <w:rPr>
          <w:rFonts w:ascii="Times New Roman" w:hAnsi="Times New Roman"/>
          <w:spacing w:val="24"/>
          <w:sz w:val="24"/>
        </w:rPr>
        <w:t> </w:t>
      </w:r>
      <w:r>
        <w:rPr>
          <w:rFonts w:ascii="Times New Roman" w:hAnsi="Times New Roman"/>
          <w:sz w:val="24"/>
        </w:rPr>
        <w:t>комад</w:t>
      </w:r>
      <w:r>
        <w:rPr>
          <w:rFonts w:ascii="Times New Roman" w:hAnsi="Times New Roman"/>
          <w:spacing w:val="24"/>
          <w:sz w:val="24"/>
        </w:rPr>
        <w:t> </w:t>
      </w:r>
      <w:r>
        <w:rPr>
          <w:rFonts w:ascii="Times New Roman" w:hAnsi="Times New Roman"/>
          <w:sz w:val="24"/>
        </w:rPr>
        <w:t>(у</w:t>
      </w:r>
      <w:r>
        <w:rPr>
          <w:rFonts w:ascii="Times New Roman" w:hAnsi="Times New Roman"/>
          <w:spacing w:val="19"/>
          <w:sz w:val="24"/>
        </w:rPr>
        <w:t> </w:t>
      </w:r>
      <w:r>
        <w:rPr>
          <w:rFonts w:ascii="Times New Roman" w:hAnsi="Times New Roman"/>
          <w:sz w:val="24"/>
        </w:rPr>
        <w:t>количини),</w:t>
      </w:r>
      <w:r>
        <w:rPr>
          <w:rFonts w:ascii="Times New Roman" w:hAnsi="Times New Roman"/>
          <w:spacing w:val="23"/>
          <w:sz w:val="24"/>
        </w:rPr>
        <w:t> </w:t>
      </w:r>
      <w:r>
        <w:rPr>
          <w:rFonts w:ascii="Times New Roman" w:hAnsi="Times New Roman"/>
          <w:sz w:val="24"/>
        </w:rPr>
        <w:t>односно</w:t>
      </w:r>
      <w:r>
        <w:rPr>
          <w:rFonts w:ascii="Times New Roman" w:hAnsi="Times New Roman"/>
          <w:spacing w:val="24"/>
          <w:sz w:val="24"/>
        </w:rPr>
        <w:t> </w:t>
      </w:r>
      <w:r>
        <w:rPr>
          <w:rFonts w:ascii="Times New Roman" w:hAnsi="Times New Roman"/>
          <w:sz w:val="24"/>
        </w:rPr>
        <w:t>број</w:t>
      </w:r>
    </w:p>
    <w:p>
      <w:pPr>
        <w:pStyle w:val="BodyText"/>
        <w:spacing w:line="240" w:lineRule="auto" w:before="1"/>
        <w:ind w:right="177"/>
        <w:jc w:val="both"/>
      </w:pPr>
      <w:r>
        <w:rPr/>
        <w:t>основних средстава, међу њима је и земљиште без вредности (на пример инвентарски број 73, 734, 735, 751 у подпрограму „буџет</w:t>
      </w:r>
      <w:r>
        <w:rPr>
          <w:rFonts w:ascii="Times New Roman" w:hAnsi="Times New Roman" w:cs="Times New Roman" w:eastAsia="Times New Roman" w:hint="default"/>
        </w:rPr>
        <w:t>-</w:t>
      </w:r>
      <w:r>
        <w:rPr/>
        <w:t>пољопривредно земљиште“) тако да у поступку ревизије нисмо могли да се уверимо да је пољопривредно земљиште које се води у Катастру непокретности евидентирано у пословним књигама</w:t>
      </w:r>
      <w:r>
        <w:rPr>
          <w:spacing w:val="-21"/>
        </w:rPr>
        <w:t> </w:t>
      </w:r>
      <w:r>
        <w:rPr/>
        <w:t>града.</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Комисија за попис градског грађевинског земљишта није утврдила површину градског грађевинског земљишта којим град располаже на дан 31.12.2014. године већ је само констатовала увећање и умањење површине земљишта током године. У збирном  прегледу о стању непокретности по врстама на дан 31.12.2014. године састављеном од стране  Управе  за   имовину  и   инспекцијске  послове,  на  дан   31.12.2014.  године     </w:t>
      </w:r>
      <w:r>
        <w:rPr>
          <w:rFonts w:ascii="Times New Roman" w:hAnsi="Times New Roman"/>
          <w:spacing w:val="38"/>
          <w:sz w:val="24"/>
        </w:rPr>
        <w:t> </w:t>
      </w:r>
      <w:r>
        <w:rPr>
          <w:rFonts w:ascii="Times New Roman" w:hAnsi="Times New Roman"/>
          <w:sz w:val="24"/>
        </w:rPr>
        <w:t>у</w:t>
      </w:r>
    </w:p>
    <w:p>
      <w:pPr>
        <w:pStyle w:val="BodyText"/>
        <w:spacing w:line="276" w:lineRule="exact"/>
        <w:ind w:right="0"/>
        <w:jc w:val="both"/>
      </w:pPr>
      <w:r>
        <w:rPr/>
        <w:t>власништву града Ниша је 440 ха 11 ари и </w:t>
      </w:r>
      <w:r>
        <w:rPr>
          <w:rFonts w:ascii="Times New Roman" w:hAnsi="Times New Roman"/>
        </w:rPr>
        <w:t>28 </w:t>
      </w:r>
      <w:r>
        <w:rPr/>
        <w:t>м</w:t>
      </w:r>
      <w:r>
        <w:rPr>
          <w:rFonts w:ascii="Times New Roman" w:hAnsi="Times New Roman"/>
          <w:position w:val="11"/>
          <w:sz w:val="16"/>
        </w:rPr>
        <w:t>2</w:t>
      </w:r>
      <w:r>
        <w:rPr/>
        <w:t>, с правом коришћења је 12 ха 16 ари и  </w:t>
      </w:r>
      <w:r>
        <w:rPr>
          <w:spacing w:val="7"/>
        </w:rPr>
        <w:t> </w:t>
      </w:r>
      <w:r>
        <w:rPr/>
        <w:t>9</w:t>
      </w:r>
    </w:p>
    <w:p>
      <w:pPr>
        <w:spacing w:after="0" w:line="276" w:lineRule="exact"/>
        <w:jc w:val="both"/>
        <w:sectPr>
          <w:pgSz w:w="12240" w:h="15840"/>
          <w:pgMar w:header="740" w:footer="1274" w:top="1280" w:bottom="146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BodyText"/>
        <w:spacing w:line="240" w:lineRule="auto" w:before="101"/>
        <w:ind w:right="172"/>
        <w:jc w:val="both"/>
      </w:pPr>
      <w:r>
        <w:rPr/>
        <w:t>м</w:t>
      </w:r>
      <w:r>
        <w:rPr>
          <w:rFonts w:ascii="Times New Roman" w:hAnsi="Times New Roman" w:cs="Times New Roman" w:eastAsia="Times New Roman" w:hint="default"/>
          <w:position w:val="11"/>
          <w:sz w:val="16"/>
          <w:szCs w:val="16"/>
        </w:rPr>
        <w:t>2</w:t>
      </w:r>
      <w:r>
        <w:rPr/>
        <w:t>, док је по другом праву 47 ха 30 ари и 2 м</w:t>
      </w:r>
      <w:r>
        <w:rPr>
          <w:rFonts w:ascii="Times New Roman" w:hAnsi="Times New Roman" w:cs="Times New Roman" w:eastAsia="Times New Roman" w:hint="default"/>
          <w:position w:val="11"/>
          <w:sz w:val="16"/>
          <w:szCs w:val="16"/>
        </w:rPr>
        <w:t>2</w:t>
      </w:r>
      <w:r>
        <w:rPr/>
        <w:t>. У помоћној књизи основних средстава у подпрограму „буџет</w:t>
      </w:r>
      <w:r>
        <w:rPr>
          <w:rFonts w:ascii="Times New Roman" w:hAnsi="Times New Roman" w:cs="Times New Roman" w:eastAsia="Times New Roman" w:hint="default"/>
        </w:rPr>
        <w:t>-</w:t>
      </w:r>
      <w:r>
        <w:rPr/>
        <w:t>градско земљиште“ и подпрограму „Медијана“ води се 185 комада градског грађевинског земљишта, без површине земљишта, тако да у поступку ревизије нисмо могли да се уверимо да је вредност тачно</w:t>
      </w:r>
      <w:r>
        <w:rPr>
          <w:spacing w:val="-15"/>
        </w:rPr>
        <w:t> </w:t>
      </w:r>
      <w:r>
        <w:rPr/>
        <w:t>исказана.</w:t>
      </w:r>
    </w:p>
    <w:p>
      <w:pPr>
        <w:pStyle w:val="ListParagraph"/>
        <w:numPr>
          <w:ilvl w:val="0"/>
          <w:numId w:val="9"/>
        </w:numPr>
        <w:tabs>
          <w:tab w:pos="303" w:val="left" w:leader="none"/>
        </w:tabs>
        <w:spacing w:line="240" w:lineRule="auto" w:before="2"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Ова позиција мање је исказана за износ од 2.631 хиљаде динара, јер је неправилно као расход евидентиран издатак за набавку земљишта у 2014. години. Истовремено, за исти износ мање је исказан износ на конту 311100 </w:t>
      </w:r>
      <w:r>
        <w:rPr>
          <w:rFonts w:ascii="Times New Roman" w:hAnsi="Times New Roman"/>
          <w:sz w:val="24"/>
        </w:rPr>
        <w:t>- </w:t>
      </w:r>
      <w:r>
        <w:rPr>
          <w:rFonts w:ascii="Times New Roman" w:hAnsi="Times New Roman"/>
          <w:sz w:val="24"/>
        </w:rPr>
        <w:t>нефинансијска имовина у сталним средствима.</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Ова позиција више је исказана за износ од 10.019 хиљада динара, за неправилно евидентирано увећање вредности земљишта у 2014. години за расходе камате и трошкова извршног поступка, који су извршени преко Управе за имовину и инспекцијске послове. Истовремено, за исти износ више је исказан износ на конту 311100 </w:t>
      </w:r>
      <w:r>
        <w:rPr>
          <w:rFonts w:ascii="Times New Roman" w:hAnsi="Times New Roman"/>
          <w:sz w:val="24"/>
        </w:rPr>
        <w:t>- </w:t>
      </w:r>
      <w:r>
        <w:rPr>
          <w:rFonts w:ascii="Times New Roman" w:hAnsi="Times New Roman"/>
          <w:sz w:val="24"/>
        </w:rPr>
        <w:t>нефинансијска имовина у сталним</w:t>
      </w:r>
      <w:r>
        <w:rPr>
          <w:rFonts w:ascii="Times New Roman" w:hAnsi="Times New Roman"/>
          <w:spacing w:val="-11"/>
          <w:sz w:val="24"/>
        </w:rPr>
        <w:t> </w:t>
      </w:r>
      <w:r>
        <w:rPr>
          <w:rFonts w:ascii="Times New Roman" w:hAnsi="Times New Roman"/>
          <w:sz w:val="24"/>
        </w:rPr>
        <w:t>средствима.</w:t>
      </w:r>
    </w:p>
    <w:p>
      <w:pPr>
        <w:pStyle w:val="Heading2"/>
        <w:spacing w:line="240" w:lineRule="auto"/>
        <w:ind w:right="180"/>
        <w:jc w:val="both"/>
        <w:rPr>
          <w:b w:val="0"/>
          <w:bCs w:val="0"/>
          <w:i w:val="0"/>
        </w:rPr>
      </w:pPr>
      <w:r>
        <w:rPr>
          <w:i/>
        </w:rPr>
        <w:t>Препоручује се одговорним лицима да у пословним књигама евидентирају све непокретности којим располаже Град, да помоћну евиденцију основних средстава воде у складу са Уредбом о буџетском рачуноводству и Правилником о номенклатури нематеријалних улагања и основних средстава са стопама</w:t>
      </w:r>
      <w:r>
        <w:rPr>
          <w:i/>
          <w:spacing w:val="-20"/>
        </w:rPr>
        <w:t> </w:t>
      </w:r>
      <w:r>
        <w:rPr>
          <w:i/>
        </w:rPr>
        <w:t>амортизације.</w:t>
      </w:r>
      <w:r>
        <w:rPr>
          <w:b w:val="0"/>
          <w:i w:val="0"/>
        </w:rPr>
      </w:r>
    </w:p>
    <w:p>
      <w:pPr>
        <w:spacing w:line="240" w:lineRule="auto" w:before="0"/>
        <w:ind w:left="160" w:right="176"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Шуме, конто 014300 – </w:t>
      </w:r>
      <w:r>
        <w:rPr>
          <w:rFonts w:ascii="Times New Roman" w:hAnsi="Times New Roman" w:cs="Times New Roman" w:eastAsia="Times New Roman" w:hint="default"/>
          <w:sz w:val="24"/>
          <w:szCs w:val="24"/>
        </w:rPr>
        <w:t>Исказана је вредност шума у износу од 25.106 хиљада динара у Буџету града</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Ниша.</w:t>
      </w:r>
    </w:p>
    <w:p>
      <w:pPr>
        <w:pStyle w:val="BodyText"/>
        <w:spacing w:line="240" w:lineRule="auto"/>
        <w:ind w:right="173" w:firstLine="566"/>
        <w:jc w:val="both"/>
      </w:pPr>
      <w:r>
        <w:rPr>
          <w:rFonts w:ascii="Times New Roman" w:hAnsi="Times New Roman" w:cs="Times New Roman" w:eastAsia="Times New Roman" w:hint="default"/>
          <w:b/>
          <w:bCs/>
        </w:rPr>
        <w:t>На основу ревизије узорковане документације утврђено је </w:t>
      </w:r>
      <w:r>
        <w:rPr/>
        <w:t>да у збирном прегледу о стању непокретности по врстама на дан 31.12.2014. године састављеном од стране Управе за имовину, није наведена површина шумског земљишта којим град располаже. У пословним књигама води се 957 комада, међу њима је и шумско земљиште без вредности (на пример седам комада у Вртишту</w:t>
      </w:r>
      <w:r>
        <w:rPr>
          <w:rFonts w:ascii="Times New Roman" w:hAnsi="Times New Roman" w:cs="Times New Roman" w:eastAsia="Times New Roman" w:hint="default"/>
        </w:rPr>
        <w:t>-</w:t>
      </w:r>
      <w:r>
        <w:rPr/>
        <w:t>н, 27 комада у Сићеву</w:t>
      </w:r>
      <w:r>
        <w:rPr>
          <w:rFonts w:ascii="Times New Roman" w:hAnsi="Times New Roman" w:cs="Times New Roman" w:eastAsia="Times New Roman" w:hint="default"/>
        </w:rPr>
        <w:t>-</w:t>
      </w:r>
      <w:r>
        <w:rPr/>
        <w:t>н). У једном од прегледа</w:t>
      </w:r>
      <w:r>
        <w:rPr>
          <w:spacing w:val="18"/>
        </w:rPr>
        <w:t> </w:t>
      </w:r>
      <w:r>
        <w:rPr/>
        <w:t>(који</w:t>
      </w:r>
      <w:r>
        <w:rPr>
          <w:spacing w:val="20"/>
        </w:rPr>
        <w:t> </w:t>
      </w:r>
      <w:r>
        <w:rPr/>
        <w:t>не</w:t>
      </w:r>
      <w:r>
        <w:rPr>
          <w:spacing w:val="18"/>
        </w:rPr>
        <w:t> </w:t>
      </w:r>
      <w:r>
        <w:rPr/>
        <w:t>садржи</w:t>
      </w:r>
      <w:r>
        <w:rPr>
          <w:spacing w:val="20"/>
        </w:rPr>
        <w:t> </w:t>
      </w:r>
      <w:r>
        <w:rPr/>
        <w:t>вредност):</w:t>
      </w:r>
      <w:r>
        <w:rPr>
          <w:spacing w:val="19"/>
        </w:rPr>
        <w:t> </w:t>
      </w:r>
      <w:r>
        <w:rPr/>
        <w:t>листа</w:t>
      </w:r>
      <w:r>
        <w:rPr>
          <w:spacing w:val="18"/>
        </w:rPr>
        <w:t> </w:t>
      </w:r>
      <w:r>
        <w:rPr/>
        <w:t>основних</w:t>
      </w:r>
      <w:r>
        <w:rPr>
          <w:spacing w:val="21"/>
        </w:rPr>
        <w:t> </w:t>
      </w:r>
      <w:r>
        <w:rPr/>
        <w:t>средстава</w:t>
      </w:r>
      <w:r>
        <w:rPr>
          <w:spacing w:val="19"/>
        </w:rPr>
        <w:t> </w:t>
      </w:r>
      <w:r>
        <w:rPr/>
        <w:t>–</w:t>
      </w:r>
      <w:r>
        <w:rPr>
          <w:spacing w:val="19"/>
        </w:rPr>
        <w:t> </w:t>
      </w:r>
      <w:r>
        <w:rPr/>
        <w:t>буџет</w:t>
      </w:r>
      <w:r>
        <w:rPr>
          <w:spacing w:val="19"/>
        </w:rPr>
        <w:t> </w:t>
      </w:r>
      <w:r>
        <w:rPr/>
        <w:t>шуме,</w:t>
      </w:r>
      <w:r>
        <w:rPr>
          <w:spacing w:val="19"/>
        </w:rPr>
        <w:t> </w:t>
      </w:r>
      <w:r>
        <w:rPr/>
        <w:t>набројани</w:t>
      </w:r>
    </w:p>
    <w:p>
      <w:pPr>
        <w:pStyle w:val="BodyText"/>
        <w:spacing w:line="276" w:lineRule="exact" w:before="3"/>
        <w:ind w:right="177"/>
        <w:jc w:val="both"/>
      </w:pPr>
      <w:r>
        <w:rPr/>
        <w:t>су бројеви парцела, називи основног средства, бројеви поседовних листова и величина у м</w:t>
      </w:r>
      <w:r>
        <w:rPr>
          <w:rFonts w:ascii="Times New Roman" w:hAnsi="Times New Roman"/>
          <w:position w:val="11"/>
          <w:sz w:val="16"/>
        </w:rPr>
        <w:t>2</w:t>
      </w:r>
      <w:r>
        <w:rPr/>
        <w:t>, у називу основног средства јављају се шуме (на пример инвентарски број 3157, 3158) али и називи основних средстава попут река (инвентарски број 3176), поток (инвентарски број 3168), двориште (инвентарски број 3188), споменик културе (инвентарски број  3184), тако да у поступку ревизије нисмо могли да се уверимо у тачност исказане вредности шума и површине шумског земљишта које се</w:t>
      </w:r>
      <w:r>
        <w:rPr>
          <w:spacing w:val="-15"/>
        </w:rPr>
        <w:t> </w:t>
      </w:r>
      <w:r>
        <w:rPr/>
        <w:t>води.</w:t>
      </w:r>
    </w:p>
    <w:p>
      <w:pPr>
        <w:pStyle w:val="Heading2"/>
        <w:spacing w:line="240" w:lineRule="auto" w:before="1"/>
        <w:ind w:right="184"/>
        <w:jc w:val="both"/>
        <w:rPr>
          <w:rFonts w:ascii="Times New Roman" w:hAnsi="Times New Roman" w:cs="Times New Roman" w:eastAsia="Times New Roman" w:hint="default"/>
          <w:b w:val="0"/>
          <w:bCs w:val="0"/>
          <w:i w:val="0"/>
        </w:rPr>
      </w:pPr>
      <w:r>
        <w:rPr>
          <w:i/>
        </w:rPr>
        <w:t>Препоручује се одговорним лицима да у пословним књигама евидентирају све непокретности којим располаже</w:t>
      </w:r>
      <w:r>
        <w:rPr>
          <w:i/>
          <w:spacing w:val="-11"/>
        </w:rPr>
        <w:t> </w:t>
      </w:r>
      <w:r>
        <w:rPr>
          <w:i/>
        </w:rPr>
        <w:t>Град</w:t>
      </w:r>
      <w:r>
        <w:rPr>
          <w:rFonts w:ascii="Times New Roman" w:hAnsi="Times New Roman"/>
          <w:i/>
        </w:rPr>
        <w:t>.</w:t>
      </w:r>
      <w:r>
        <w:rPr>
          <w:rFonts w:ascii="Times New Roman" w:hAnsi="Times New Roman"/>
          <w:b w:val="0"/>
          <w:i w:val="0"/>
        </w:rPr>
      </w:r>
    </w:p>
    <w:p>
      <w:pPr>
        <w:spacing w:line="240" w:lineRule="auto" w:before="0"/>
        <w:ind w:left="160" w:right="176" w:firstLine="566"/>
        <w:jc w:val="both"/>
        <w:rPr>
          <w:rFonts w:ascii="Times New Roman" w:hAnsi="Times New Roman" w:cs="Times New Roman" w:eastAsia="Times New Roman" w:hint="default"/>
          <w:sz w:val="24"/>
          <w:szCs w:val="24"/>
        </w:rPr>
      </w:pPr>
      <w:r>
        <w:rPr>
          <w:rFonts w:ascii="Times New Roman" w:hAnsi="Times New Roman"/>
          <w:b/>
          <w:sz w:val="24"/>
        </w:rPr>
        <w:t>Нефинансијска имовина у припреми, конто 015100 </w:t>
      </w:r>
      <w:r>
        <w:rPr>
          <w:rFonts w:ascii="Times New Roman" w:hAnsi="Times New Roman"/>
          <w:sz w:val="24"/>
        </w:rPr>
        <w:t>- </w:t>
      </w:r>
      <w:r>
        <w:rPr>
          <w:rFonts w:ascii="Times New Roman" w:hAnsi="Times New Roman"/>
          <w:sz w:val="24"/>
        </w:rPr>
        <w:t>Вредност нефинансијске имовине у припреми исказана је у износу од 668.591 хиљаде динара и то</w:t>
      </w:r>
      <w:r>
        <w:rPr>
          <w:rFonts w:ascii="Times New Roman" w:hAnsi="Times New Roman"/>
          <w:spacing w:val="-25"/>
          <w:sz w:val="24"/>
        </w:rPr>
        <w:t> </w:t>
      </w:r>
      <w:r>
        <w:rPr>
          <w:rFonts w:ascii="Times New Roman" w:hAnsi="Times New Roman"/>
          <w:sz w:val="24"/>
        </w:rPr>
        <w:t>код:</w:t>
      </w:r>
    </w:p>
    <w:p>
      <w:pPr>
        <w:pStyle w:val="BodyText"/>
        <w:spacing w:line="240" w:lineRule="auto"/>
        <w:ind w:right="175"/>
        <w:jc w:val="both"/>
      </w:pPr>
      <w:r>
        <w:rPr>
          <w:rFonts w:ascii="Times New Roman" w:hAnsi="Times New Roman" w:cs="Times New Roman" w:eastAsia="Times New Roman" w:hint="default"/>
          <w:b/>
          <w:bCs/>
        </w:rPr>
        <w:t>- </w:t>
      </w:r>
      <w:r>
        <w:rPr>
          <w:rFonts w:ascii="Times New Roman" w:hAnsi="Times New Roman" w:cs="Times New Roman" w:eastAsia="Times New Roman" w:hint="default"/>
        </w:rPr>
      </w:r>
      <w:r>
        <w:rPr>
          <w:rFonts w:ascii="Times New Roman" w:hAnsi="Times New Roman" w:cs="Times New Roman" w:eastAsia="Times New Roman" w:hint="default"/>
          <w:u w:val="single" w:color="000000"/>
        </w:rPr>
      </w:r>
      <w:r>
        <w:rPr>
          <w:u w:val="single" w:color="000000"/>
        </w:rPr>
        <w:t>Управе за дечију, социјалну и примарну здравствену заштиту </w:t>
      </w:r>
      <w:r>
        <w:rPr/>
        <w:t>у износу од 559 хиљада </w:t>
      </w:r>
      <w:r>
        <w:rPr/>
        <w:t>динара, за исказану нефинансијску имовину у припреми код Установе „Сигурна</w:t>
      </w:r>
      <w:r>
        <w:rPr>
          <w:spacing w:val="-26"/>
        </w:rPr>
        <w:t> </w:t>
      </w:r>
      <w:r>
        <w:rPr/>
        <w:t>кућа.“</w:t>
      </w:r>
    </w:p>
    <w:p>
      <w:pPr>
        <w:pStyle w:val="BodyText"/>
        <w:spacing w:line="240" w:lineRule="auto"/>
        <w:ind w:right="175" w:firstLine="566"/>
        <w:jc w:val="both"/>
      </w:pPr>
      <w:r>
        <w:rPr>
          <w:rFonts w:ascii="Times New Roman" w:hAnsi="Times New Roman" w:cs="Times New Roman" w:eastAsia="Times New Roman" w:hint="default"/>
          <w:b/>
          <w:bCs/>
        </w:rPr>
        <w:t>На основу ревизије узорковане документације утврђено је </w:t>
      </w:r>
      <w:r>
        <w:rPr/>
        <w:t>да је вредност нефинансијске имовине у припреми код Сигурне куће исказана у већем износу од 559 хиљада динара услед неправилног уноса промета конта нефинансијска имовина у припреми у биланс стања, за опрему која је дата на коришћење. Истовремено, за исти износ више је исказана вредност на позицији 311100 – нефинансијска имовина у сталним средствима.</w:t>
      </w:r>
    </w:p>
    <w:p>
      <w:pPr>
        <w:pStyle w:val="Heading2"/>
        <w:spacing w:line="240" w:lineRule="auto"/>
        <w:ind w:right="172"/>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начину   припреме,   састављања</w:t>
      </w:r>
      <w:r>
        <w:rPr>
          <w:i/>
          <w:spacing w:val="19"/>
        </w:rPr>
        <w:t> </w:t>
      </w:r>
      <w:r>
        <w:rPr>
          <w:i/>
        </w:rPr>
        <w:t>и</w:t>
      </w:r>
      <w:r>
        <w:rPr>
          <w:b w:val="0"/>
          <w:i w:val="0"/>
        </w:rPr>
      </w:r>
    </w:p>
    <w:p>
      <w:pPr>
        <w:spacing w:after="0" w:line="240" w:lineRule="auto"/>
        <w:jc w:val="both"/>
        <w:sectPr>
          <w:headerReference w:type="default" r:id="rId86"/>
          <w:pgSz w:w="12240" w:h="15840"/>
          <w:pgMar w:header="740" w:footer="1274" w:top="1200" w:bottom="1460" w:left="1400" w:right="1260"/>
        </w:sectPr>
      </w:pPr>
    </w:p>
    <w:p>
      <w:pPr>
        <w:pStyle w:val="Heading2"/>
        <w:spacing w:line="240" w:lineRule="auto" w:before="126"/>
        <w:ind w:right="181" w:firstLine="0"/>
        <w:jc w:val="both"/>
        <w:rPr>
          <w:rFonts w:ascii="Times New Roman" w:hAnsi="Times New Roman" w:cs="Times New Roman" w:eastAsia="Times New Roman" w:hint="default"/>
          <w:b w:val="0"/>
          <w:bCs w:val="0"/>
          <w:i w:val="0"/>
        </w:rPr>
      </w:pPr>
      <w:r>
        <w:rPr>
          <w:i/>
        </w:rPr>
        <w:t>подношења финансијских извештаја корисника буџетских средстава, корисника средстава организација за обавезно социјално осигурање и буџетских</w:t>
      </w:r>
      <w:r>
        <w:rPr>
          <w:i/>
          <w:spacing w:val="-10"/>
        </w:rPr>
        <w:t> </w:t>
      </w:r>
      <w:r>
        <w:rPr>
          <w:i/>
        </w:rPr>
        <w:t>фондова</w:t>
      </w:r>
      <w:r>
        <w:rPr>
          <w:rFonts w:ascii="Times New Roman" w:hAnsi="Times New Roman"/>
          <w:i/>
        </w:rPr>
        <w:t>.</w:t>
      </w:r>
      <w:r>
        <w:rPr>
          <w:rFonts w:ascii="Times New Roman" w:hAnsi="Times New Roman"/>
          <w:b w:val="0"/>
          <w:i w:val="0"/>
        </w:rPr>
      </w:r>
    </w:p>
    <w:p>
      <w:pPr>
        <w:pStyle w:val="ListParagraph"/>
        <w:numPr>
          <w:ilvl w:val="0"/>
          <w:numId w:val="65"/>
        </w:numPr>
        <w:tabs>
          <w:tab w:pos="444"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културу </w:t>
      </w:r>
      <w:r>
        <w:rPr>
          <w:rFonts w:ascii="Times New Roman" w:hAnsi="Times New Roman"/>
          <w:sz w:val="24"/>
        </w:rPr>
        <w:t>у износу од 65.453 хиљаде динара за исказану нефинансијску </w:t>
      </w:r>
      <w:r>
        <w:rPr>
          <w:rFonts w:ascii="Times New Roman" w:hAnsi="Times New Roman"/>
          <w:sz w:val="24"/>
        </w:rPr>
        <w:t>имовину у припреми код: Народне библиотеке у износу од 1.756 хиљада динара</w:t>
      </w:r>
      <w:r>
        <w:rPr>
          <w:rFonts w:ascii="Times New Roman" w:hAnsi="Times New Roman"/>
          <w:sz w:val="24"/>
        </w:rPr>
        <w:t>, </w:t>
      </w:r>
      <w:r>
        <w:rPr>
          <w:rFonts w:ascii="Times New Roman" w:hAnsi="Times New Roman"/>
          <w:sz w:val="24"/>
        </w:rPr>
        <w:t>Народног позоришта у износу од 132 хиљаде динара, Историјског архива у износу од </w:t>
      </w:r>
      <w:r>
        <w:rPr>
          <w:rFonts w:ascii="Times New Roman" w:hAnsi="Times New Roman"/>
          <w:sz w:val="24"/>
        </w:rPr>
        <w:t>82 </w:t>
      </w:r>
      <w:r>
        <w:rPr>
          <w:rFonts w:ascii="Times New Roman" w:hAnsi="Times New Roman"/>
          <w:sz w:val="24"/>
        </w:rPr>
        <w:t>хиљаде динара, Нишког културног центра у износу од од 63.483 хиљаде</w:t>
      </w:r>
      <w:r>
        <w:rPr>
          <w:rFonts w:ascii="Times New Roman" w:hAnsi="Times New Roman"/>
          <w:spacing w:val="-19"/>
          <w:sz w:val="24"/>
        </w:rPr>
        <w:t> </w:t>
      </w:r>
      <w:r>
        <w:rPr>
          <w:rFonts w:ascii="Times New Roman" w:hAnsi="Times New Roman"/>
          <w:sz w:val="24"/>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Ова билансна позиција исказана је у већем износу за 132 хиљаде динара код Народног позоришта, по основу пословне промене евидентиране у 2008. години за коју не постоји валидна рачуноводствена документација,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spacing w:val="-8"/>
          <w:sz w:val="24"/>
        </w:rPr>
        <w:t> </w:t>
      </w:r>
      <w:r>
        <w:rPr>
          <w:rFonts w:ascii="Times New Roman" w:hAnsi="Times New Roman"/>
          <w:sz w:val="24"/>
        </w:rPr>
        <w:t>систем</w:t>
      </w:r>
      <w:r>
        <w:rPr>
          <w:rFonts w:ascii="Times New Roman" w:hAnsi="Times New Roman"/>
          <w:sz w:val="24"/>
        </w:rPr>
        <w:t>.</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Нефинансијска имовина у припреми више је исказана за износ од 63.483 хиљаде динара код Нишког културног центра, што је супротно Уредби о буџетском рачуноводству и Правилнику о стандардном класификационом оквиру и контном плану за буџетски систем</w:t>
      </w:r>
      <w:r>
        <w:rPr>
          <w:rFonts w:ascii="Times New Roman" w:hAnsi="Times New Roman"/>
          <w:sz w:val="24"/>
        </w:rPr>
        <w:t>.</w:t>
      </w:r>
    </w:p>
    <w:p>
      <w:pPr>
        <w:pStyle w:val="ListParagraph"/>
        <w:numPr>
          <w:ilvl w:val="0"/>
          <w:numId w:val="9"/>
        </w:numPr>
        <w:tabs>
          <w:tab w:pos="303" w:val="left" w:leader="none"/>
        </w:tabs>
        <w:spacing w:line="237" w:lineRule="auto" w:before="4"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Нефинансијска имовина у припреми мање је исказана код Завода за заштиту споменика за износ од 66.594 хиљаде динара за радове на изградњи заштитне конструкције над Вилом на археолошком налазишту</w:t>
      </w:r>
      <w:r>
        <w:rPr>
          <w:rFonts w:ascii="Times New Roman" w:hAnsi="Times New Roman"/>
          <w:spacing w:val="-11"/>
          <w:sz w:val="24"/>
        </w:rPr>
        <w:t> </w:t>
      </w:r>
      <w:r>
        <w:rPr>
          <w:rFonts w:ascii="Times New Roman" w:hAnsi="Times New Roman"/>
          <w:sz w:val="24"/>
        </w:rPr>
        <w:t>Медијана</w:t>
      </w:r>
      <w:r>
        <w:rPr>
          <w:rFonts w:ascii="Times New Roman" w:hAnsi="Times New Roman"/>
          <w:sz w:val="24"/>
        </w:rPr>
        <w:t>.</w:t>
      </w:r>
    </w:p>
    <w:p>
      <w:pPr>
        <w:pStyle w:val="Heading2"/>
        <w:spacing w:line="240" w:lineRule="auto"/>
        <w:ind w:right="174"/>
        <w:jc w:val="both"/>
        <w:rPr>
          <w:b w:val="0"/>
          <w:bCs w:val="0"/>
          <w:i w:val="0"/>
        </w:rPr>
      </w:pPr>
      <w:r>
        <w:rPr>
          <w:i/>
        </w:rPr>
        <w:t>Препоручује се одговорним лицима да у пословним књигама евидентирају имовину на основу валидне документације и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6"/>
        </w:rPr>
        <w:t> </w:t>
      </w:r>
      <w:r>
        <w:rPr>
          <w:i/>
        </w:rPr>
        <w:t>систем.</w:t>
      </w:r>
      <w:r>
        <w:rPr>
          <w:b w:val="0"/>
          <w:i w:val="0"/>
        </w:rPr>
      </w:r>
    </w:p>
    <w:p>
      <w:pPr>
        <w:pStyle w:val="ListParagraph"/>
        <w:numPr>
          <w:ilvl w:val="0"/>
          <w:numId w:val="65"/>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омладину и спорт </w:t>
      </w:r>
      <w:r>
        <w:rPr>
          <w:rFonts w:ascii="Times New Roman" w:hAnsi="Times New Roman"/>
          <w:sz w:val="24"/>
        </w:rPr>
        <w:t>у износу од 11.854 хиљаде динара, за исказану </w:t>
      </w:r>
      <w:r>
        <w:rPr>
          <w:rFonts w:ascii="Times New Roman" w:hAnsi="Times New Roman"/>
          <w:sz w:val="24"/>
        </w:rPr>
        <w:t>нефинансијску имовину код СЦ</w:t>
      </w:r>
      <w:r>
        <w:rPr>
          <w:rFonts w:ascii="Times New Roman" w:hAnsi="Times New Roman"/>
          <w:spacing w:val="-13"/>
          <w:sz w:val="24"/>
        </w:rPr>
        <w:t> </w:t>
      </w:r>
      <w:r>
        <w:rPr>
          <w:rFonts w:ascii="Times New Roman" w:hAnsi="Times New Roman"/>
          <w:sz w:val="24"/>
        </w:rPr>
        <w:t>Чаир.</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У Билансу стања СЦ Чаир је погрешно уписан у колони исправка вредности за нефинансијску имовину у припреми, пренос нефинансијске имовине у припреми на нефинансијску имовину у сталним средствима у износу од 549 хиљада динара. Нето износ је правилно</w:t>
      </w:r>
      <w:r>
        <w:rPr>
          <w:rFonts w:ascii="Times New Roman" w:hAnsi="Times New Roman"/>
          <w:spacing w:val="-12"/>
          <w:sz w:val="24"/>
        </w:rPr>
        <w:t> </w:t>
      </w:r>
      <w:r>
        <w:rPr>
          <w:rFonts w:ascii="Times New Roman" w:hAnsi="Times New Roman"/>
          <w:sz w:val="24"/>
        </w:rPr>
        <w:t>уписан.</w:t>
      </w:r>
    </w:p>
    <w:p>
      <w:pPr>
        <w:pStyle w:val="ListParagraph"/>
        <w:numPr>
          <w:ilvl w:val="0"/>
          <w:numId w:val="9"/>
        </w:numPr>
        <w:tabs>
          <w:tab w:pos="303" w:val="left" w:leader="none"/>
        </w:tabs>
        <w:spacing w:line="274" w:lineRule="exact" w:before="24" w:after="0"/>
        <w:ind w:left="160" w:right="183" w:firstLine="0"/>
        <w:jc w:val="both"/>
        <w:rPr>
          <w:rFonts w:ascii="Times New Roman" w:hAnsi="Times New Roman" w:cs="Times New Roman" w:eastAsia="Times New Roman" w:hint="default"/>
          <w:sz w:val="24"/>
          <w:szCs w:val="24"/>
        </w:rPr>
      </w:pPr>
      <w:r>
        <w:rPr>
          <w:rFonts w:ascii="Times New Roman" w:hAnsi="Times New Roman"/>
          <w:sz w:val="24"/>
        </w:rPr>
        <w:t>Нефинансијска имовина у припреми код СЦ Чаир више је исказана у износу од 3.119 хиљада динара јер је поправка крова на објекту Медикотерапије</w:t>
      </w:r>
      <w:r>
        <w:rPr>
          <w:rFonts w:ascii="Times New Roman" w:hAnsi="Times New Roman"/>
          <w:spacing w:val="-21"/>
          <w:sz w:val="24"/>
        </w:rPr>
        <w:t> </w:t>
      </w:r>
      <w:r>
        <w:rPr>
          <w:rFonts w:ascii="Times New Roman" w:hAnsi="Times New Roman"/>
          <w:sz w:val="24"/>
        </w:rPr>
        <w:t>окончана.</w:t>
      </w:r>
    </w:p>
    <w:p>
      <w:pPr>
        <w:pStyle w:val="Heading2"/>
        <w:spacing w:line="240" w:lineRule="auto" w:before="2"/>
        <w:ind w:right="172"/>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буџетских</w:t>
      </w:r>
      <w:r>
        <w:rPr>
          <w:i/>
          <w:spacing w:val="-10"/>
        </w:rPr>
        <w:t> </w:t>
      </w:r>
      <w:r>
        <w:rPr>
          <w:i/>
        </w:rPr>
        <w:t>фондова</w:t>
      </w:r>
      <w:r>
        <w:rPr>
          <w:rFonts w:ascii="Times New Roman" w:hAnsi="Times New Roman"/>
          <w:i/>
        </w:rPr>
        <w:t>.</w:t>
      </w:r>
      <w:r>
        <w:rPr>
          <w:rFonts w:ascii="Times New Roman" w:hAnsi="Times New Roman"/>
          <w:b w:val="0"/>
          <w:i w:val="0"/>
        </w:rPr>
      </w:r>
    </w:p>
    <w:p>
      <w:pPr>
        <w:pStyle w:val="ListParagraph"/>
        <w:numPr>
          <w:ilvl w:val="0"/>
          <w:numId w:val="65"/>
        </w:numPr>
        <w:tabs>
          <w:tab w:pos="303" w:val="left" w:leader="none"/>
        </w:tabs>
        <w:spacing w:line="271"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У билансу стања </w:t>
      </w:r>
      <w:r>
        <w:rPr>
          <w:rFonts w:ascii="Times New Roman" w:hAnsi="Times New Roman"/>
          <w:sz w:val="24"/>
        </w:rPr>
      </w:r>
      <w:r>
        <w:rPr>
          <w:rFonts w:ascii="Times New Roman" w:hAnsi="Times New Roman"/>
          <w:sz w:val="24"/>
          <w:u w:val="single" w:color="000000"/>
        </w:rPr>
      </w:r>
      <w:r>
        <w:rPr>
          <w:rFonts w:ascii="Times New Roman" w:hAnsi="Times New Roman"/>
          <w:sz w:val="24"/>
          <w:u w:val="single" w:color="000000"/>
        </w:rPr>
        <w:t>Управе за образовање </w:t>
      </w:r>
      <w:r>
        <w:rPr>
          <w:rFonts w:ascii="Times New Roman" w:hAnsi="Times New Roman"/>
          <w:sz w:val="24"/>
        </w:rPr>
        <w:t>није исказан</w:t>
      </w:r>
      <w:r>
        <w:rPr>
          <w:rFonts w:ascii="Times New Roman" w:hAnsi="Times New Roman"/>
          <w:spacing w:val="-13"/>
          <w:sz w:val="24"/>
        </w:rPr>
        <w:t> </w:t>
      </w:r>
      <w:r>
        <w:rPr>
          <w:rFonts w:ascii="Times New Roman" w:hAnsi="Times New Roman"/>
          <w:sz w:val="24"/>
        </w:rPr>
        <w:t>податак.</w:t>
      </w:r>
    </w:p>
    <w:p>
      <w:pPr>
        <w:spacing w:before="0"/>
        <w:ind w:left="160" w:right="178"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На основу ревизије узорковане документације утврђено је </w:t>
      </w:r>
      <w:r>
        <w:rPr>
          <w:rFonts w:ascii="Times New Roman" w:hAnsi="Times New Roman" w:cs="Times New Roman" w:eastAsia="Times New Roman" w:hint="default"/>
          <w:sz w:val="24"/>
          <w:szCs w:val="24"/>
        </w:rPr>
        <w:t>да је ова позиција код ПУ „Пчелица“ исказана у мањем износу за најмање 440 хиљада динара на име опреме за образовање и спорт која се налази у</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магацину.</w:t>
      </w:r>
    </w:p>
    <w:p>
      <w:pPr>
        <w:pStyle w:val="Heading2"/>
        <w:spacing w:line="240" w:lineRule="auto"/>
        <w:ind w:right="175"/>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7"/>
        </w:rPr>
        <w:t> </w:t>
      </w:r>
      <w:r>
        <w:rPr>
          <w:i/>
        </w:rPr>
        <w:t>систем.</w:t>
      </w:r>
      <w:r>
        <w:rPr>
          <w:b w:val="0"/>
          <w:i w:val="0"/>
        </w:rPr>
      </w:r>
    </w:p>
    <w:p>
      <w:pPr>
        <w:pStyle w:val="BodyText"/>
        <w:spacing w:line="240" w:lineRule="auto"/>
        <w:ind w:right="177"/>
        <w:jc w:val="both"/>
        <w:rPr>
          <w:rFonts w:ascii="Times New Roman" w:hAnsi="Times New Roman" w:cs="Times New Roman" w:eastAsia="Times New Roman" w:hint="default"/>
        </w:rPr>
      </w:pPr>
      <w:r>
        <w:rPr/>
        <w:pict>
          <v:group style="position:absolute;margin-left:81.984001pt;margin-top:12.823133pt;width:303.95pt;height:.1pt;mso-position-horizontal-relative:page;mso-position-vertical-relative:paragraph;z-index:-772624" coordorigin="1640,256" coordsize="6079,2">
            <v:shape style="position:absolute;left:1640;top:256;width:6079;height:2" coordorigin="1640,256" coordsize="6079,0" path="m1640,256l7718,256e" filled="false" stroked="true" strokeweight=".599980pt" strokecolor="#000000">
              <v:path arrowok="t"/>
            </v:shape>
            <w10:wrap type="none"/>
          </v:group>
        </w:pict>
      </w:r>
      <w:r>
        <w:rPr>
          <w:rFonts w:ascii="Times New Roman" w:hAnsi="Times New Roman"/>
        </w:rPr>
        <w:t>-</w:t>
      </w:r>
      <w:r>
        <w:rPr/>
        <w:t>Управе за комуналне делатности, енергетику и саобраћај у износу од 475.309 хиљада динара, за исказану нефинансијску имовину у припреми код ЈП</w:t>
      </w:r>
      <w:r>
        <w:rPr>
          <w:spacing w:val="-23"/>
        </w:rPr>
        <w:t> </w:t>
      </w:r>
      <w:r>
        <w:rPr/>
        <w:t>Дирекција</w:t>
      </w:r>
      <w:r>
        <w:rPr>
          <w:rFonts w:ascii="Times New Roman" w:hAnsi="Times New Roman"/>
        </w:rPr>
        <w:t>.</w:t>
      </w:r>
    </w:p>
    <w:p>
      <w:pPr>
        <w:pStyle w:val="Heading1"/>
        <w:spacing w:line="240" w:lineRule="auto"/>
        <w:ind w:right="141"/>
        <w:jc w:val="left"/>
        <w:rPr>
          <w:b w:val="0"/>
          <w:bCs w:val="0"/>
        </w:rPr>
      </w:pPr>
      <w:r>
        <w:rPr/>
        <w:t>На основу ревизије узорковане документације утврђено</w:t>
      </w:r>
      <w:r>
        <w:rPr>
          <w:spacing w:val="-15"/>
        </w:rPr>
        <w:t> </w:t>
      </w:r>
      <w:r>
        <w:rPr/>
        <w:t>је:</w:t>
      </w:r>
      <w:r>
        <w:rPr>
          <w:b w:val="0"/>
        </w:rPr>
      </w:r>
    </w:p>
    <w:p>
      <w:pPr>
        <w:spacing w:after="0" w:line="240" w:lineRule="auto"/>
        <w:jc w:val="left"/>
        <w:sectPr>
          <w:headerReference w:type="default" r:id="rId87"/>
          <w:pgSz w:w="12240" w:h="15840"/>
          <w:pgMar w:header="740" w:footer="1274" w:top="1280" w:bottom="1460" w:left="1400" w:right="1260"/>
        </w:sectPr>
      </w:pPr>
    </w:p>
    <w:p>
      <w:pPr>
        <w:pStyle w:val="ListParagraph"/>
        <w:numPr>
          <w:ilvl w:val="0"/>
          <w:numId w:val="9"/>
        </w:numPr>
        <w:tabs>
          <w:tab w:pos="348" w:val="left" w:leader="none"/>
        </w:tabs>
        <w:spacing w:line="292" w:lineRule="exact" w:before="124" w:after="0"/>
        <w:ind w:left="347" w:right="0" w:hanging="187"/>
        <w:jc w:val="both"/>
        <w:rPr>
          <w:rFonts w:ascii="Times New Roman" w:hAnsi="Times New Roman" w:cs="Times New Roman" w:eastAsia="Times New Roman" w:hint="default"/>
          <w:sz w:val="24"/>
          <w:szCs w:val="24"/>
        </w:rPr>
      </w:pPr>
      <w:r>
        <w:rPr>
          <w:rFonts w:ascii="Times New Roman" w:hAnsi="Times New Roman"/>
          <w:sz w:val="24"/>
        </w:rPr>
        <w:t>Нефинансијска</w:t>
      </w:r>
      <w:r>
        <w:rPr>
          <w:rFonts w:ascii="Times New Roman" w:hAnsi="Times New Roman"/>
          <w:spacing w:val="31"/>
          <w:sz w:val="24"/>
        </w:rPr>
        <w:t> </w:t>
      </w:r>
      <w:r>
        <w:rPr>
          <w:rFonts w:ascii="Times New Roman" w:hAnsi="Times New Roman"/>
          <w:sz w:val="24"/>
        </w:rPr>
        <w:t>имовина</w:t>
      </w:r>
      <w:r>
        <w:rPr>
          <w:rFonts w:ascii="Times New Roman" w:hAnsi="Times New Roman"/>
          <w:spacing w:val="36"/>
          <w:sz w:val="24"/>
        </w:rPr>
        <w:t> </w:t>
      </w:r>
      <w:r>
        <w:rPr>
          <w:rFonts w:ascii="Times New Roman" w:hAnsi="Times New Roman"/>
          <w:sz w:val="24"/>
        </w:rPr>
        <w:t>у</w:t>
      </w:r>
      <w:r>
        <w:rPr>
          <w:rFonts w:ascii="Times New Roman" w:hAnsi="Times New Roman"/>
          <w:spacing w:val="27"/>
          <w:sz w:val="24"/>
        </w:rPr>
        <w:t> </w:t>
      </w:r>
      <w:r>
        <w:rPr>
          <w:rFonts w:ascii="Times New Roman" w:hAnsi="Times New Roman"/>
          <w:sz w:val="24"/>
        </w:rPr>
        <w:t>припреми</w:t>
      </w:r>
      <w:r>
        <w:rPr>
          <w:rFonts w:ascii="Times New Roman" w:hAnsi="Times New Roman"/>
          <w:spacing w:val="33"/>
          <w:sz w:val="24"/>
        </w:rPr>
        <w:t> </w:t>
      </w:r>
      <w:r>
        <w:rPr>
          <w:rFonts w:ascii="Times New Roman" w:hAnsi="Times New Roman"/>
          <w:sz w:val="24"/>
        </w:rPr>
        <w:t>више</w:t>
      </w:r>
      <w:r>
        <w:rPr>
          <w:rFonts w:ascii="Times New Roman" w:hAnsi="Times New Roman"/>
          <w:spacing w:val="31"/>
          <w:sz w:val="24"/>
        </w:rPr>
        <w:t> </w:t>
      </w:r>
      <w:r>
        <w:rPr>
          <w:rFonts w:ascii="Times New Roman" w:hAnsi="Times New Roman"/>
          <w:sz w:val="24"/>
        </w:rPr>
        <w:t>је</w:t>
      </w:r>
      <w:r>
        <w:rPr>
          <w:rFonts w:ascii="Times New Roman" w:hAnsi="Times New Roman"/>
          <w:spacing w:val="34"/>
          <w:sz w:val="24"/>
        </w:rPr>
        <w:t> </w:t>
      </w:r>
      <w:r>
        <w:rPr>
          <w:rFonts w:ascii="Times New Roman" w:hAnsi="Times New Roman"/>
          <w:sz w:val="24"/>
        </w:rPr>
        <w:t>исказана</w:t>
      </w:r>
      <w:r>
        <w:rPr>
          <w:rFonts w:ascii="Times New Roman" w:hAnsi="Times New Roman"/>
          <w:spacing w:val="31"/>
          <w:sz w:val="24"/>
        </w:rPr>
        <w:t> </w:t>
      </w:r>
      <w:r>
        <w:rPr>
          <w:rFonts w:ascii="Times New Roman" w:hAnsi="Times New Roman"/>
          <w:sz w:val="24"/>
        </w:rPr>
        <w:t>код</w:t>
      </w:r>
      <w:r>
        <w:rPr>
          <w:rFonts w:ascii="Times New Roman" w:hAnsi="Times New Roman"/>
          <w:spacing w:val="32"/>
          <w:sz w:val="24"/>
        </w:rPr>
        <w:t> </w:t>
      </w:r>
      <w:r>
        <w:rPr>
          <w:rFonts w:ascii="Times New Roman" w:hAnsi="Times New Roman"/>
          <w:sz w:val="24"/>
        </w:rPr>
        <w:t>ЈП</w:t>
      </w:r>
      <w:r>
        <w:rPr>
          <w:rFonts w:ascii="Times New Roman" w:hAnsi="Times New Roman"/>
          <w:spacing w:val="31"/>
          <w:sz w:val="24"/>
        </w:rPr>
        <w:t> </w:t>
      </w:r>
      <w:r>
        <w:rPr>
          <w:rFonts w:ascii="Times New Roman" w:hAnsi="Times New Roman"/>
          <w:sz w:val="24"/>
        </w:rPr>
        <w:t>Дирекција</w:t>
      </w:r>
      <w:r>
        <w:rPr>
          <w:rFonts w:ascii="Times New Roman" w:hAnsi="Times New Roman"/>
          <w:spacing w:val="34"/>
          <w:sz w:val="24"/>
        </w:rPr>
        <w:t> </w:t>
      </w:r>
      <w:r>
        <w:rPr>
          <w:rFonts w:ascii="Times New Roman" w:hAnsi="Times New Roman"/>
          <w:sz w:val="24"/>
        </w:rPr>
        <w:t>у</w:t>
      </w:r>
      <w:r>
        <w:rPr>
          <w:rFonts w:ascii="Times New Roman" w:hAnsi="Times New Roman"/>
          <w:spacing w:val="27"/>
          <w:sz w:val="24"/>
        </w:rPr>
        <w:t> </w:t>
      </w:r>
      <w:r>
        <w:rPr>
          <w:rFonts w:ascii="Times New Roman" w:hAnsi="Times New Roman"/>
          <w:sz w:val="24"/>
        </w:rPr>
        <w:t>износу</w:t>
      </w:r>
      <w:r>
        <w:rPr>
          <w:rFonts w:ascii="Times New Roman" w:hAnsi="Times New Roman"/>
          <w:spacing w:val="27"/>
          <w:sz w:val="24"/>
        </w:rPr>
        <w:t> </w:t>
      </w:r>
      <w:r>
        <w:rPr>
          <w:rFonts w:ascii="Times New Roman" w:hAnsi="Times New Roman"/>
          <w:sz w:val="24"/>
        </w:rPr>
        <w:t>од</w:t>
      </w:r>
    </w:p>
    <w:p>
      <w:pPr>
        <w:pStyle w:val="BodyText"/>
        <w:spacing w:line="240" w:lineRule="auto"/>
        <w:ind w:right="168"/>
        <w:jc w:val="both"/>
      </w:pPr>
      <w:r>
        <w:rPr>
          <w:rFonts w:ascii="Times New Roman" w:hAnsi="Times New Roman"/>
        </w:rPr>
        <w:t>26.381 </w:t>
      </w:r>
      <w:r>
        <w:rPr/>
        <w:t>хиљаде динара по основу трошкова за објекте који нису започети јер се одустало од истих, а у питању су геодетска снимања, електрична енергија и трошкови разних сагласности, што је супротно члану 9. Уредбе о буџетском рачуноводству и Правилнику  о стандардном класификационом оквиру и контном плану за буџетски</w:t>
      </w:r>
      <w:r>
        <w:rPr>
          <w:spacing w:val="-27"/>
        </w:rPr>
        <w:t> </w:t>
      </w:r>
      <w:r>
        <w:rPr/>
        <w:t>систем.</w:t>
      </w:r>
    </w:p>
    <w:p>
      <w:pPr>
        <w:pStyle w:val="ListParagraph"/>
        <w:numPr>
          <w:ilvl w:val="0"/>
          <w:numId w:val="9"/>
        </w:numPr>
        <w:tabs>
          <w:tab w:pos="348"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Нефинансијска имовина у припреми код ЈП Дирекција више је исказана у износу од 15.944 хиљаде динара јер је неправилно као издатак евидентиран на класи 500000, расход за отклањање дивљих депонија,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spacing w:val="-8"/>
          <w:sz w:val="24"/>
        </w:rPr>
        <w:t> </w:t>
      </w:r>
      <w:r>
        <w:rPr>
          <w:rFonts w:ascii="Times New Roman" w:hAnsi="Times New Roman"/>
          <w:sz w:val="24"/>
        </w:rPr>
        <w:t>систем</w:t>
      </w:r>
      <w:r>
        <w:rPr>
          <w:rFonts w:ascii="Times New Roman" w:hAnsi="Times New Roman"/>
          <w:sz w:val="24"/>
        </w:rPr>
        <w:t>.</w:t>
      </w:r>
    </w:p>
    <w:p>
      <w:pPr>
        <w:pStyle w:val="ListParagraph"/>
        <w:numPr>
          <w:ilvl w:val="0"/>
          <w:numId w:val="9"/>
        </w:numPr>
        <w:tabs>
          <w:tab w:pos="348" w:val="left" w:leader="none"/>
        </w:tabs>
        <w:spacing w:line="293" w:lineRule="exact" w:before="2" w:after="0"/>
        <w:ind w:left="347" w:right="0" w:hanging="187"/>
        <w:jc w:val="both"/>
        <w:rPr>
          <w:rFonts w:ascii="Times New Roman" w:hAnsi="Times New Roman" w:cs="Times New Roman" w:eastAsia="Times New Roman" w:hint="default"/>
          <w:sz w:val="24"/>
          <w:szCs w:val="24"/>
        </w:rPr>
      </w:pPr>
      <w:r>
        <w:rPr>
          <w:rFonts w:ascii="Times New Roman" w:hAnsi="Times New Roman"/>
          <w:sz w:val="24"/>
        </w:rPr>
        <w:t>Нефинансијска</w:t>
      </w:r>
      <w:r>
        <w:rPr>
          <w:rFonts w:ascii="Times New Roman" w:hAnsi="Times New Roman"/>
          <w:spacing w:val="31"/>
          <w:sz w:val="24"/>
        </w:rPr>
        <w:t> </w:t>
      </w:r>
      <w:r>
        <w:rPr>
          <w:rFonts w:ascii="Times New Roman" w:hAnsi="Times New Roman"/>
          <w:sz w:val="24"/>
        </w:rPr>
        <w:t>имовина</w:t>
      </w:r>
      <w:r>
        <w:rPr>
          <w:rFonts w:ascii="Times New Roman" w:hAnsi="Times New Roman"/>
          <w:spacing w:val="36"/>
          <w:sz w:val="24"/>
        </w:rPr>
        <w:t> </w:t>
      </w:r>
      <w:r>
        <w:rPr>
          <w:rFonts w:ascii="Times New Roman" w:hAnsi="Times New Roman"/>
          <w:sz w:val="24"/>
        </w:rPr>
        <w:t>у</w:t>
      </w:r>
      <w:r>
        <w:rPr>
          <w:rFonts w:ascii="Times New Roman" w:hAnsi="Times New Roman"/>
          <w:spacing w:val="27"/>
          <w:sz w:val="24"/>
        </w:rPr>
        <w:t> </w:t>
      </w:r>
      <w:r>
        <w:rPr>
          <w:rFonts w:ascii="Times New Roman" w:hAnsi="Times New Roman"/>
          <w:sz w:val="24"/>
        </w:rPr>
        <w:t>припреми</w:t>
      </w:r>
      <w:r>
        <w:rPr>
          <w:rFonts w:ascii="Times New Roman" w:hAnsi="Times New Roman"/>
          <w:spacing w:val="33"/>
          <w:sz w:val="24"/>
        </w:rPr>
        <w:t> </w:t>
      </w:r>
      <w:r>
        <w:rPr>
          <w:rFonts w:ascii="Times New Roman" w:hAnsi="Times New Roman"/>
          <w:sz w:val="24"/>
        </w:rPr>
        <w:t>код</w:t>
      </w:r>
      <w:r>
        <w:rPr>
          <w:rFonts w:ascii="Times New Roman" w:hAnsi="Times New Roman"/>
          <w:spacing w:val="32"/>
          <w:sz w:val="24"/>
        </w:rPr>
        <w:t> </w:t>
      </w:r>
      <w:r>
        <w:rPr>
          <w:rFonts w:ascii="Times New Roman" w:hAnsi="Times New Roman"/>
          <w:sz w:val="24"/>
        </w:rPr>
        <w:t>ЈП</w:t>
      </w:r>
      <w:r>
        <w:rPr>
          <w:rFonts w:ascii="Times New Roman" w:hAnsi="Times New Roman"/>
          <w:spacing w:val="31"/>
          <w:sz w:val="24"/>
        </w:rPr>
        <w:t> </w:t>
      </w:r>
      <w:r>
        <w:rPr>
          <w:rFonts w:ascii="Times New Roman" w:hAnsi="Times New Roman"/>
          <w:sz w:val="24"/>
        </w:rPr>
        <w:t>Дирекција</w:t>
      </w:r>
      <w:r>
        <w:rPr>
          <w:rFonts w:ascii="Times New Roman" w:hAnsi="Times New Roman"/>
          <w:spacing w:val="31"/>
          <w:sz w:val="24"/>
        </w:rPr>
        <w:t> </w:t>
      </w:r>
      <w:r>
        <w:rPr>
          <w:rFonts w:ascii="Times New Roman" w:hAnsi="Times New Roman"/>
          <w:sz w:val="24"/>
        </w:rPr>
        <w:t>више</w:t>
      </w:r>
      <w:r>
        <w:rPr>
          <w:rFonts w:ascii="Times New Roman" w:hAnsi="Times New Roman"/>
          <w:spacing w:val="31"/>
          <w:sz w:val="24"/>
        </w:rPr>
        <w:t> </w:t>
      </w:r>
      <w:r>
        <w:rPr>
          <w:rFonts w:ascii="Times New Roman" w:hAnsi="Times New Roman"/>
          <w:sz w:val="24"/>
        </w:rPr>
        <w:t>је</w:t>
      </w:r>
      <w:r>
        <w:rPr>
          <w:rFonts w:ascii="Times New Roman" w:hAnsi="Times New Roman"/>
          <w:spacing w:val="31"/>
          <w:sz w:val="24"/>
        </w:rPr>
        <w:t> </w:t>
      </w:r>
      <w:r>
        <w:rPr>
          <w:rFonts w:ascii="Times New Roman" w:hAnsi="Times New Roman"/>
          <w:sz w:val="24"/>
        </w:rPr>
        <w:t>исказана</w:t>
      </w:r>
      <w:r>
        <w:rPr>
          <w:rFonts w:ascii="Times New Roman" w:hAnsi="Times New Roman"/>
          <w:spacing w:val="36"/>
          <w:sz w:val="24"/>
        </w:rPr>
        <w:t> </w:t>
      </w:r>
      <w:r>
        <w:rPr>
          <w:rFonts w:ascii="Times New Roman" w:hAnsi="Times New Roman"/>
          <w:sz w:val="24"/>
        </w:rPr>
        <w:t>у</w:t>
      </w:r>
      <w:r>
        <w:rPr>
          <w:rFonts w:ascii="Times New Roman" w:hAnsi="Times New Roman"/>
          <w:spacing w:val="27"/>
          <w:sz w:val="24"/>
        </w:rPr>
        <w:t> </w:t>
      </w:r>
      <w:r>
        <w:rPr>
          <w:rFonts w:ascii="Times New Roman" w:hAnsi="Times New Roman"/>
          <w:sz w:val="24"/>
        </w:rPr>
        <w:t>износу</w:t>
      </w:r>
      <w:r>
        <w:rPr>
          <w:rFonts w:ascii="Times New Roman" w:hAnsi="Times New Roman"/>
          <w:spacing w:val="27"/>
          <w:sz w:val="24"/>
        </w:rPr>
        <w:t> </w:t>
      </w:r>
      <w:r>
        <w:rPr>
          <w:rFonts w:ascii="Times New Roman" w:hAnsi="Times New Roman"/>
          <w:sz w:val="24"/>
        </w:rPr>
        <w:t>од</w:t>
      </w:r>
    </w:p>
    <w:p>
      <w:pPr>
        <w:pStyle w:val="BodyText"/>
        <w:spacing w:line="240" w:lineRule="auto"/>
        <w:ind w:right="175"/>
        <w:jc w:val="both"/>
        <w:rPr>
          <w:rFonts w:ascii="Times New Roman" w:hAnsi="Times New Roman" w:cs="Times New Roman" w:eastAsia="Times New Roman" w:hint="default"/>
        </w:rPr>
      </w:pPr>
      <w:r>
        <w:rPr>
          <w:rFonts w:ascii="Times New Roman" w:hAnsi="Times New Roman"/>
        </w:rPr>
        <w:t>13.523 </w:t>
      </w:r>
      <w:r>
        <w:rPr/>
        <w:t>хиљаде динара јер је неправилно као издатак на класи 500000 евидентиран расход за партерно уређење око зграде кардиохирургије, што је супротно члану 9. Уредбе о буџетском рачуноводству и Правилнику о стандардном класификационом оквиру и контном плану за буџетски</w:t>
      </w:r>
      <w:r>
        <w:rPr>
          <w:spacing w:val="-14"/>
        </w:rPr>
        <w:t> </w:t>
      </w:r>
      <w:r>
        <w:rPr/>
        <w:t>систем</w:t>
      </w:r>
      <w:r>
        <w:rPr>
          <w:rFonts w:ascii="Times New Roman" w:hAnsi="Times New Roman"/>
        </w:rPr>
        <w:t>.</w:t>
      </w:r>
    </w:p>
    <w:p>
      <w:pPr>
        <w:pStyle w:val="Heading2"/>
        <w:spacing w:line="240" w:lineRule="auto"/>
        <w:ind w:right="176"/>
        <w:jc w:val="both"/>
        <w:rPr>
          <w:b w:val="0"/>
          <w:bCs w:val="0"/>
          <w:i w:val="0"/>
        </w:rPr>
      </w:pPr>
      <w:r>
        <w:rPr>
          <w:i/>
        </w:rPr>
        <w:t>Препоручује се одговорним лицима да уреде поступак евидентирања имовине тако да се осигура њено потпуно и правилно евидентирање и начин преноса имовине из припреме у употребу и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6"/>
        </w:rPr>
        <w:t> </w:t>
      </w:r>
      <w:r>
        <w:rPr>
          <w:i/>
        </w:rPr>
        <w:t>систем.</w:t>
      </w:r>
      <w:r>
        <w:rPr>
          <w:b w:val="0"/>
          <w:i w:val="0"/>
        </w:rPr>
      </w:r>
    </w:p>
    <w:p>
      <w:pPr>
        <w:pStyle w:val="ListParagraph"/>
        <w:numPr>
          <w:ilvl w:val="0"/>
          <w:numId w:val="65"/>
        </w:numPr>
        <w:tabs>
          <w:tab w:pos="303"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планирање и изградњу </w:t>
      </w:r>
      <w:r>
        <w:rPr>
          <w:rFonts w:ascii="Times New Roman" w:hAnsi="Times New Roman"/>
          <w:sz w:val="24"/>
        </w:rPr>
        <w:t>у износу од 77.811 хиљада динара, за исказану </w:t>
      </w:r>
      <w:r>
        <w:rPr>
          <w:rFonts w:ascii="Times New Roman" w:hAnsi="Times New Roman"/>
          <w:sz w:val="24"/>
        </w:rPr>
        <w:t>нефинансијску имовину у припреми код ЈП</w:t>
      </w:r>
      <w:r>
        <w:rPr>
          <w:rFonts w:ascii="Times New Roman" w:hAnsi="Times New Roman"/>
          <w:spacing w:val="-17"/>
          <w:sz w:val="24"/>
        </w:rPr>
        <w:t> </w:t>
      </w:r>
      <w:r>
        <w:rPr>
          <w:rFonts w:ascii="Times New Roman" w:hAnsi="Times New Roman"/>
          <w:sz w:val="24"/>
        </w:rPr>
        <w:t>ГСА.</w:t>
      </w:r>
    </w:p>
    <w:p>
      <w:pPr>
        <w:pStyle w:val="BodyText"/>
        <w:spacing w:line="240" w:lineRule="auto"/>
        <w:ind w:right="175" w:firstLine="566"/>
        <w:jc w:val="both"/>
        <w:rPr>
          <w:rFonts w:ascii="Times New Roman" w:hAnsi="Times New Roman" w:cs="Times New Roman" w:eastAsia="Times New Roman" w:hint="default"/>
        </w:rPr>
      </w:pPr>
      <w:r>
        <w:rPr>
          <w:rFonts w:ascii="Times New Roman" w:hAnsi="Times New Roman"/>
          <w:b/>
        </w:rPr>
        <w:t>На основу ревизије узорковане документације утврђено је </w:t>
      </w:r>
      <w:r>
        <w:rPr/>
        <w:t>да је код ЈП ГСА ова билансна позиција исказана у мањем износу од 14.902 хиљаде динара због неправилног евидентирања ситуација плаћених у 2014. години, што је супротно члану 9. Уредбе о буџетском рачуноводству и Правилнику о стандардном класификационом оквиру и контном плану за буџетски</w:t>
      </w:r>
      <w:r>
        <w:rPr>
          <w:spacing w:val="-14"/>
        </w:rPr>
        <w:t> </w:t>
      </w:r>
      <w:r>
        <w:rPr/>
        <w:t>систем</w:t>
      </w:r>
      <w:r>
        <w:rPr>
          <w:rFonts w:ascii="Times New Roman" w:hAnsi="Times New Roman"/>
        </w:rPr>
        <w:t>.</w:t>
      </w:r>
    </w:p>
    <w:p>
      <w:pPr>
        <w:pStyle w:val="Heading2"/>
        <w:spacing w:line="237" w:lineRule="auto" w:before="7"/>
        <w:ind w:right="180"/>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b w:val="0"/>
          <w:i w:val="0"/>
        </w:rPr>
        <w:t>.</w:t>
      </w:r>
    </w:p>
    <w:p>
      <w:pPr>
        <w:pStyle w:val="ListParagraph"/>
        <w:numPr>
          <w:ilvl w:val="0"/>
          <w:numId w:val="65"/>
        </w:numPr>
        <w:tabs>
          <w:tab w:pos="303" w:val="left" w:leader="none"/>
        </w:tabs>
        <w:spacing w:line="240" w:lineRule="auto" w:before="0" w:after="0"/>
        <w:ind w:left="302" w:right="0" w:hanging="142"/>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 Буџету града Ниша </w:t>
      </w:r>
      <w:r>
        <w:rPr>
          <w:rFonts w:ascii="Times New Roman" w:hAnsi="Times New Roman"/>
          <w:sz w:val="24"/>
        </w:rPr>
        <w:t>исказан је износ од 37.605 хиљада</w:t>
      </w:r>
      <w:r>
        <w:rPr>
          <w:rFonts w:ascii="Times New Roman" w:hAnsi="Times New Roman"/>
          <w:spacing w:val="-15"/>
          <w:sz w:val="24"/>
        </w:rPr>
        <w:t> </w:t>
      </w:r>
      <w:r>
        <w:rPr>
          <w:rFonts w:ascii="Times New Roman" w:hAnsi="Times New Roman"/>
          <w:sz w:val="24"/>
        </w:rPr>
        <w:t>динара.</w:t>
      </w:r>
    </w:p>
    <w:p>
      <w:pPr>
        <w:pStyle w:val="Heading1"/>
        <w:spacing w:line="240" w:lineRule="auto" w:before="0"/>
        <w:ind w:left="738"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1"/>
        </w:rPr>
        <w:t> </w:t>
      </w:r>
      <w:r>
        <w:rPr/>
        <w:t>је</w:t>
      </w:r>
      <w:r>
        <w:rPr>
          <w:rFonts w:ascii="Times New Roman" w:hAnsi="Times New Roman"/>
          <w:b w:val="0"/>
        </w:rPr>
        <w:t>:</w:t>
      </w:r>
    </w:p>
    <w:p>
      <w:pPr>
        <w:pStyle w:val="ListParagraph"/>
        <w:numPr>
          <w:ilvl w:val="0"/>
          <w:numId w:val="9"/>
        </w:numPr>
        <w:tabs>
          <w:tab w:pos="303" w:val="left" w:leader="none"/>
        </w:tabs>
        <w:spacing w:line="274" w:lineRule="exact" w:before="24" w:after="0"/>
        <w:ind w:left="160" w:right="184" w:firstLine="0"/>
        <w:jc w:val="both"/>
        <w:rPr>
          <w:rFonts w:ascii="Times New Roman" w:hAnsi="Times New Roman" w:cs="Times New Roman" w:eastAsia="Times New Roman" w:hint="default"/>
          <w:sz w:val="24"/>
          <w:szCs w:val="24"/>
        </w:rPr>
      </w:pPr>
      <w:r>
        <w:rPr>
          <w:rFonts w:ascii="Times New Roman" w:hAnsi="Times New Roman"/>
          <w:sz w:val="24"/>
        </w:rPr>
        <w:t>Град Ниш није Уговором о преносу права коришћења на пословном простору уговорио средства обезбеђења за уплате извршене пре преузимања пословног простора у</w:t>
      </w:r>
      <w:r>
        <w:rPr>
          <w:rFonts w:ascii="Times New Roman" w:hAnsi="Times New Roman"/>
          <w:spacing w:val="-27"/>
          <w:sz w:val="24"/>
        </w:rPr>
        <w:t> </w:t>
      </w:r>
      <w:r>
        <w:rPr>
          <w:rFonts w:ascii="Times New Roman" w:hAnsi="Times New Roman"/>
          <w:sz w:val="24"/>
        </w:rPr>
        <w:t>посед.</w:t>
      </w:r>
    </w:p>
    <w:p>
      <w:pPr>
        <w:pStyle w:val="ListParagraph"/>
        <w:numPr>
          <w:ilvl w:val="0"/>
          <w:numId w:val="9"/>
        </w:numPr>
        <w:tabs>
          <w:tab w:pos="303" w:val="left" w:leader="none"/>
        </w:tabs>
        <w:spacing w:line="274" w:lineRule="exact" w:before="21" w:after="0"/>
        <w:ind w:left="160" w:right="185" w:firstLine="0"/>
        <w:jc w:val="both"/>
        <w:rPr>
          <w:rFonts w:ascii="Times New Roman" w:hAnsi="Times New Roman" w:cs="Times New Roman" w:eastAsia="Times New Roman" w:hint="default"/>
          <w:sz w:val="24"/>
          <w:szCs w:val="24"/>
        </w:rPr>
      </w:pPr>
      <w:r>
        <w:rPr>
          <w:rFonts w:ascii="Times New Roman" w:hAnsi="Times New Roman"/>
          <w:sz w:val="24"/>
        </w:rPr>
        <w:t>Град Ниш није, за период кашњења у завршетку изградње и предаје пословног простора, обрачунавао уговорену казну за кашњење а која је Уговором</w:t>
      </w:r>
      <w:r>
        <w:rPr>
          <w:rFonts w:ascii="Times New Roman" w:hAnsi="Times New Roman"/>
          <w:spacing w:val="-19"/>
          <w:sz w:val="24"/>
        </w:rPr>
        <w:t> </w:t>
      </w:r>
      <w:r>
        <w:rPr>
          <w:rFonts w:ascii="Times New Roman" w:hAnsi="Times New Roman"/>
          <w:sz w:val="24"/>
        </w:rPr>
        <w:t>предвиђена.</w:t>
      </w:r>
    </w:p>
    <w:p>
      <w:pPr>
        <w:pStyle w:val="ListParagraph"/>
        <w:numPr>
          <w:ilvl w:val="0"/>
          <w:numId w:val="9"/>
        </w:numPr>
        <w:tabs>
          <w:tab w:pos="303" w:val="left" w:leader="none"/>
        </w:tabs>
        <w:spacing w:line="240" w:lineRule="auto" w:before="0" w:after="0"/>
        <w:ind w:left="160" w:right="17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Ова позиција више је исказана у износу од 37.605 хиљада динара, док је истовремено мање исказана вредност на позицији </w:t>
      </w:r>
      <w:r>
        <w:rPr>
          <w:rFonts w:ascii="Times New Roman" w:hAnsi="Times New Roman" w:cs="Times New Roman" w:eastAsia="Times New Roman" w:hint="default"/>
          <w:sz w:val="24"/>
          <w:szCs w:val="24"/>
        </w:rPr>
        <w:t>015200 </w:t>
      </w:r>
      <w:r>
        <w:rPr>
          <w:rFonts w:ascii="Times New Roman" w:hAnsi="Times New Roman" w:cs="Times New Roman" w:eastAsia="Times New Roman" w:hint="default"/>
          <w:sz w:val="24"/>
          <w:szCs w:val="24"/>
        </w:rPr>
        <w:t>– аванси за нефинансијску имовину, што је супротно Правилнику о стандардном класификационом оквиру и контном плану за буџетски</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систем.</w:t>
      </w:r>
    </w:p>
    <w:p>
      <w:pPr>
        <w:pStyle w:val="ListParagraph"/>
        <w:numPr>
          <w:ilvl w:val="0"/>
          <w:numId w:val="9"/>
        </w:numPr>
        <w:tabs>
          <w:tab w:pos="303" w:val="left" w:leader="none"/>
        </w:tabs>
        <w:spacing w:line="237" w:lineRule="auto" w:before="4"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Анексом закљученог уговора продужен је рок за предају пословног простора</w:t>
      </w:r>
      <w:r>
        <w:rPr>
          <w:rFonts w:ascii="Times New Roman" w:hAnsi="Times New Roman"/>
          <w:sz w:val="24"/>
        </w:rPr>
        <w:t>. </w:t>
      </w:r>
      <w:r>
        <w:rPr>
          <w:rFonts w:ascii="Times New Roman" w:hAnsi="Times New Roman"/>
          <w:sz w:val="24"/>
        </w:rPr>
        <w:t>До дана вршења ревизије објекат није завршен, нити је град Ниш уведен у посед пословног простора.</w:t>
      </w:r>
    </w:p>
    <w:p>
      <w:pPr>
        <w:pStyle w:val="Heading2"/>
        <w:spacing w:line="240" w:lineRule="auto"/>
        <w:ind w:right="174"/>
        <w:jc w:val="both"/>
        <w:rPr>
          <w:b w:val="0"/>
          <w:bCs w:val="0"/>
          <w:i w:val="0"/>
        </w:rPr>
      </w:pPr>
      <w:r>
        <w:rPr>
          <w:i/>
        </w:rPr>
        <w:t>Препоручује се одговорним лицима да обезбеде дате авансе средствима обезбеђења, примењују одредбе закључених уговора и Правилника о стандардном класификационом оквиру и контном плану за буџетски</w:t>
      </w:r>
      <w:r>
        <w:rPr>
          <w:i/>
          <w:spacing w:val="-18"/>
        </w:rPr>
        <w:t> </w:t>
      </w:r>
      <w:r>
        <w:rPr>
          <w:i/>
        </w:rPr>
        <w:t>систем.</w:t>
      </w:r>
      <w:r>
        <w:rPr>
          <w:b w:val="0"/>
          <w:i w:val="0"/>
        </w:rPr>
      </w:r>
    </w:p>
    <w:p>
      <w:pPr>
        <w:spacing w:after="0" w:line="240" w:lineRule="auto"/>
        <w:jc w:val="both"/>
        <w:sectPr>
          <w:pgSz w:w="12240" w:h="15840"/>
          <w:pgMar w:header="740" w:footer="1274" w:top="1280" w:bottom="1460" w:left="1400" w:right="1260"/>
        </w:sectPr>
      </w:pPr>
    </w:p>
    <w:p>
      <w:pPr>
        <w:pStyle w:val="ListParagraph"/>
        <w:numPr>
          <w:ilvl w:val="0"/>
          <w:numId w:val="65"/>
        </w:numPr>
        <w:tabs>
          <w:tab w:pos="303" w:val="left" w:leader="none"/>
        </w:tabs>
        <w:spacing w:line="240" w:lineRule="auto" w:before="122"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У билансу стања </w:t>
      </w:r>
      <w:r>
        <w:rPr>
          <w:rFonts w:ascii="Times New Roman" w:hAnsi="Times New Roman"/>
          <w:sz w:val="24"/>
        </w:rPr>
      </w:r>
      <w:r>
        <w:rPr>
          <w:rFonts w:ascii="Times New Roman" w:hAnsi="Times New Roman"/>
          <w:sz w:val="24"/>
          <w:u w:val="single" w:color="000000"/>
        </w:rPr>
      </w:r>
      <w:r>
        <w:rPr>
          <w:rFonts w:ascii="Times New Roman" w:hAnsi="Times New Roman"/>
          <w:sz w:val="24"/>
          <w:u w:val="single" w:color="000000"/>
        </w:rPr>
        <w:t>Управе за имовину и инспекцијске послове </w:t>
      </w:r>
      <w:r>
        <w:rPr>
          <w:rFonts w:ascii="Times New Roman" w:hAnsi="Times New Roman"/>
          <w:sz w:val="24"/>
        </w:rPr>
        <w:t>није исказан</w:t>
      </w:r>
      <w:r>
        <w:rPr>
          <w:rFonts w:ascii="Times New Roman" w:hAnsi="Times New Roman"/>
          <w:spacing w:val="-26"/>
          <w:sz w:val="24"/>
        </w:rPr>
        <w:t> </w:t>
      </w:r>
      <w:r>
        <w:rPr>
          <w:rFonts w:ascii="Times New Roman" w:hAnsi="Times New Roman"/>
          <w:sz w:val="24"/>
        </w:rPr>
        <w:t>износ.</w:t>
      </w:r>
    </w:p>
    <w:p>
      <w:pPr>
        <w:pStyle w:val="Heading1"/>
        <w:spacing w:line="240" w:lineRule="auto" w:before="0"/>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2"/>
        </w:rPr>
        <w:t> </w:t>
      </w:r>
      <w:r>
        <w:rPr/>
        <w:t>је</w:t>
      </w:r>
      <w:r>
        <w:rPr>
          <w:rFonts w:ascii="Times New Roman" w:hAnsi="Times New Roman"/>
          <w:b w:val="0"/>
        </w:rPr>
        <w:t>:</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Ова позиција мање је исказана код Управе за имовину за износ од 9.032 хиљаде динара и то за генерални пројекат оправданости експлоатације идентификованих  подземних вода у износу од 350 хиљада динара и за радове на изради шест истражно</w:t>
      </w:r>
      <w:r>
        <w:rPr>
          <w:rFonts w:ascii="Times New Roman" w:hAnsi="Times New Roman"/>
          <w:sz w:val="24"/>
        </w:rPr>
        <w:t>- </w:t>
      </w:r>
      <w:r>
        <w:rPr>
          <w:rFonts w:ascii="Times New Roman" w:hAnsi="Times New Roman"/>
          <w:sz w:val="24"/>
        </w:rPr>
        <w:t>експлоатационих бунара у износу од </w:t>
      </w:r>
      <w:r>
        <w:rPr>
          <w:rFonts w:ascii="Times New Roman" w:hAnsi="Times New Roman"/>
          <w:sz w:val="24"/>
        </w:rPr>
        <w:t>8.682 </w:t>
      </w:r>
      <w:r>
        <w:rPr>
          <w:rFonts w:ascii="Times New Roman" w:hAnsi="Times New Roman"/>
          <w:sz w:val="24"/>
        </w:rPr>
        <w:t>хиљаде динара, услед неправилног евидентирања издатака, што је супротно члану 9. Уредбе о буџетском рачуноводству и Правилнику о стандатдном класификационом оквиру и контном плану за буџетски систем.</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Ова позиција мање је исказана за износ од 8.230 хиљада динара, за издатке настале по привременој ситуацији током 2014. године за радове на вентилацији који нису завршени и примљени на употребу у 2014.</w:t>
      </w:r>
      <w:r>
        <w:rPr>
          <w:rFonts w:ascii="Times New Roman" w:hAnsi="Times New Roman"/>
          <w:spacing w:val="-16"/>
          <w:sz w:val="24"/>
        </w:rPr>
        <w:t> </w:t>
      </w:r>
      <w:r>
        <w:rPr>
          <w:rFonts w:ascii="Times New Roman" w:hAnsi="Times New Roman"/>
          <w:sz w:val="24"/>
        </w:rPr>
        <w:t>години.</w:t>
      </w:r>
    </w:p>
    <w:p>
      <w:pPr>
        <w:pStyle w:val="Heading2"/>
        <w:spacing w:line="240" w:lineRule="auto"/>
        <w:ind w:right="176"/>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spacing w:line="240" w:lineRule="auto" w:before="0"/>
        <w:ind w:left="160" w:right="177" w:firstLine="566"/>
        <w:jc w:val="both"/>
        <w:rPr>
          <w:rFonts w:ascii="Times New Roman" w:hAnsi="Times New Roman" w:cs="Times New Roman" w:eastAsia="Times New Roman" w:hint="default"/>
          <w:sz w:val="24"/>
          <w:szCs w:val="24"/>
        </w:rPr>
      </w:pPr>
      <w:r>
        <w:rPr>
          <w:rFonts w:ascii="Times New Roman" w:hAnsi="Times New Roman"/>
          <w:b/>
          <w:sz w:val="24"/>
        </w:rPr>
        <w:t>Аванси за нефинансијску имовину, конто 015200 </w:t>
      </w:r>
      <w:r>
        <w:rPr>
          <w:rFonts w:ascii="Times New Roman" w:hAnsi="Times New Roman"/>
          <w:b/>
          <w:sz w:val="24"/>
        </w:rPr>
        <w:t>- </w:t>
      </w:r>
      <w:r>
        <w:rPr>
          <w:rFonts w:ascii="Times New Roman" w:hAnsi="Times New Roman"/>
          <w:sz w:val="24"/>
        </w:rPr>
        <w:t>Вредност аванса за нефинансијску имовину исказана је у износу од 13.470 хиљада динара и то</w:t>
      </w:r>
      <w:r>
        <w:rPr>
          <w:rFonts w:ascii="Times New Roman" w:hAnsi="Times New Roman"/>
          <w:spacing w:val="-26"/>
          <w:sz w:val="24"/>
        </w:rPr>
        <w:t> </w:t>
      </w:r>
      <w:r>
        <w:rPr>
          <w:rFonts w:ascii="Times New Roman" w:hAnsi="Times New Roman"/>
          <w:sz w:val="24"/>
        </w:rPr>
        <w:t>код:</w:t>
      </w:r>
    </w:p>
    <w:p>
      <w:pPr>
        <w:pStyle w:val="BodyText"/>
        <w:spacing w:line="240" w:lineRule="auto"/>
        <w:ind w:right="176" w:firstLine="566"/>
        <w:jc w:val="both"/>
      </w:pPr>
      <w:r>
        <w:rPr>
          <w:rFonts w:ascii="Times New Roman" w:hAnsi="Times New Roman"/>
          <w:b/>
        </w:rPr>
        <w:t>- </w:t>
      </w:r>
      <w:r>
        <w:rPr>
          <w:rFonts w:ascii="Times New Roman" w:hAnsi="Times New Roman"/>
        </w:rPr>
      </w:r>
      <w:r>
        <w:rPr>
          <w:rFonts w:ascii="Times New Roman" w:hAnsi="Times New Roman"/>
          <w:u w:val="single" w:color="000000"/>
        </w:rPr>
      </w:r>
      <w:r>
        <w:rPr>
          <w:u w:val="single" w:color="000000"/>
        </w:rPr>
        <w:t>Управе за културу </w:t>
      </w:r>
      <w:r>
        <w:rPr/>
        <w:t>у износу од 407 хиљада динара по основу аванса за </w:t>
      </w:r>
      <w:r>
        <w:rPr/>
        <w:t>нефинансијску имовину исказаних код Нишког културног центра у износу од 92 хиљаде динара и Завода за заштиту споменика у износу од 315 хиљада</w:t>
      </w:r>
      <w:r>
        <w:rPr>
          <w:spacing w:val="-21"/>
        </w:rPr>
        <w:t> </w:t>
      </w:r>
      <w:r>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74" w:lineRule="exact" w:before="21"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Код Нишког културног центра више је исказан аванс за нефинансијску имовину у износу од 92 хиљаде динара, јер је испостављен рачун и извршена услуга 2011.</w:t>
      </w:r>
      <w:r>
        <w:rPr>
          <w:rFonts w:ascii="Times New Roman" w:hAnsi="Times New Roman"/>
          <w:spacing w:val="-20"/>
          <w:sz w:val="24"/>
        </w:rPr>
        <w:t> </w:t>
      </w:r>
      <w:r>
        <w:rPr>
          <w:rFonts w:ascii="Times New Roman" w:hAnsi="Times New Roman"/>
          <w:sz w:val="24"/>
        </w:rPr>
        <w:t>године</w:t>
      </w:r>
      <w:r>
        <w:rPr>
          <w:rFonts w:ascii="Times New Roman" w:hAnsi="Times New Roman"/>
          <w:sz w:val="24"/>
        </w:rPr>
        <w:t>.</w:t>
      </w:r>
    </w:p>
    <w:p>
      <w:pPr>
        <w:pStyle w:val="Heading2"/>
        <w:spacing w:line="237" w:lineRule="auto" w:before="4"/>
        <w:ind w:right="181" w:firstLine="578"/>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rFonts w:ascii="Times New Roman" w:hAnsi="Times New Roman"/>
          <w:b w:val="0"/>
          <w:i w:val="0"/>
        </w:rPr>
        <w:t>.</w:t>
      </w:r>
    </w:p>
    <w:p>
      <w:pPr>
        <w:pStyle w:val="ListParagraph"/>
        <w:numPr>
          <w:ilvl w:val="0"/>
          <w:numId w:val="65"/>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комуналне делатности, енергетику и саобраћај </w:t>
      </w:r>
      <w:r>
        <w:rPr>
          <w:rFonts w:ascii="Times New Roman" w:hAnsi="Times New Roman"/>
          <w:sz w:val="24"/>
        </w:rPr>
        <w:t>у износу од 13.063 хиљаде </w:t>
      </w:r>
      <w:r>
        <w:rPr>
          <w:rFonts w:ascii="Times New Roman" w:hAnsi="Times New Roman"/>
          <w:sz w:val="24"/>
        </w:rPr>
        <w:t>динара по основу аванса за нефинансијску имовину исказаног код ЈП</w:t>
      </w:r>
      <w:r>
        <w:rPr>
          <w:rFonts w:ascii="Times New Roman" w:hAnsi="Times New Roman"/>
          <w:spacing w:val="-30"/>
          <w:sz w:val="24"/>
        </w:rPr>
        <w:t> </w:t>
      </w:r>
      <w:r>
        <w:rPr>
          <w:rFonts w:ascii="Times New Roman" w:hAnsi="Times New Roman"/>
          <w:sz w:val="24"/>
        </w:rPr>
        <w:t>Дирекција</w:t>
      </w:r>
    </w:p>
    <w:p>
      <w:pPr>
        <w:pStyle w:val="Heading1"/>
        <w:spacing w:line="275" w:lineRule="exact"/>
        <w:ind w:right="141"/>
        <w:jc w:val="left"/>
        <w:rPr>
          <w:b w:val="0"/>
          <w:bCs w:val="0"/>
        </w:rPr>
      </w:pPr>
      <w:r>
        <w:rPr/>
        <w:t>На основу ревизије узорковане документације утврђено</w:t>
      </w:r>
      <w:r>
        <w:rPr>
          <w:spacing w:val="-14"/>
        </w:rPr>
        <w:t> </w:t>
      </w:r>
      <w:r>
        <w:rPr/>
        <w:t>је:</w:t>
      </w:r>
      <w:r>
        <w:rPr>
          <w:b w:val="0"/>
        </w:rPr>
      </w:r>
    </w:p>
    <w:p>
      <w:pPr>
        <w:pStyle w:val="ListParagraph"/>
        <w:numPr>
          <w:ilvl w:val="0"/>
          <w:numId w:val="9"/>
        </w:numPr>
        <w:tabs>
          <w:tab w:pos="348" w:val="left" w:leader="none"/>
        </w:tabs>
        <w:spacing w:line="240" w:lineRule="auto" w:before="0" w:after="0"/>
        <w:ind w:left="160" w:right="171" w:firstLine="0"/>
        <w:jc w:val="both"/>
        <w:rPr>
          <w:rFonts w:ascii="Times New Roman" w:hAnsi="Times New Roman" w:cs="Times New Roman" w:eastAsia="Times New Roman" w:hint="default"/>
          <w:sz w:val="24"/>
          <w:szCs w:val="24"/>
        </w:rPr>
      </w:pPr>
      <w:r>
        <w:rPr>
          <w:rFonts w:ascii="Times New Roman" w:hAnsi="Times New Roman"/>
          <w:sz w:val="24"/>
        </w:rPr>
        <w:t>Ова билансна позиција код ЈП Дирекција исказана је у већем износу за 38 хиљада динара, по основу аванса датог 1995. године. Одговорна лица ЈП Дирекција, нису предузела мере до дана вршења ревизије, како би се уплаћени аванс оправдао, нити је поднета тужба како би се надокнадила нанета штета. Оваквим поступком поступљено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spacing w:val="-25"/>
          <w:sz w:val="24"/>
        </w:rPr>
        <w:t> </w:t>
      </w:r>
      <w:r>
        <w:rPr>
          <w:rFonts w:ascii="Times New Roman" w:hAnsi="Times New Roman"/>
          <w:sz w:val="24"/>
        </w:rPr>
        <w:t>систем.</w:t>
      </w:r>
    </w:p>
    <w:p>
      <w:pPr>
        <w:pStyle w:val="ListParagraph"/>
        <w:numPr>
          <w:ilvl w:val="0"/>
          <w:numId w:val="9"/>
        </w:numPr>
        <w:tabs>
          <w:tab w:pos="348" w:val="left" w:leader="none"/>
        </w:tabs>
        <w:spacing w:line="237" w:lineRule="auto" w:before="4"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ЈП Дирекција је са ЈП „Градска топлана“ усагласила стање потраживања на дан 08.12.2014. године у износу од 14.142 хиљаде динара, договорено је враћање аванса на рате</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и</w:t>
      </w:r>
      <w:r>
        <w:rPr>
          <w:rFonts w:ascii="Times New Roman" w:hAnsi="Times New Roman" w:cs="Times New Roman" w:eastAsia="Times New Roman" w:hint="default"/>
          <w:spacing w:val="26"/>
          <w:sz w:val="24"/>
          <w:szCs w:val="24"/>
        </w:rPr>
        <w:t> </w:t>
      </w:r>
      <w:r>
        <w:rPr>
          <w:rFonts w:ascii="Times New Roman" w:hAnsi="Times New Roman" w:cs="Times New Roman" w:eastAsia="Times New Roman" w:hint="default"/>
          <w:sz w:val="24"/>
          <w:szCs w:val="24"/>
        </w:rPr>
        <w:t>ЈП</w:t>
      </w:r>
      <w:r>
        <w:rPr>
          <w:rFonts w:ascii="Times New Roman" w:hAnsi="Times New Roman" w:cs="Times New Roman" w:eastAsia="Times New Roman" w:hint="default"/>
          <w:spacing w:val="26"/>
          <w:sz w:val="24"/>
          <w:szCs w:val="24"/>
        </w:rPr>
        <w:t> </w:t>
      </w:r>
      <w:r>
        <w:rPr>
          <w:rFonts w:ascii="Times New Roman" w:hAnsi="Times New Roman" w:cs="Times New Roman" w:eastAsia="Times New Roman" w:hint="default"/>
          <w:sz w:val="24"/>
          <w:szCs w:val="24"/>
        </w:rPr>
        <w:t>„Градска</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топлана“</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је</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дана</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23.12.2014.</w:t>
      </w:r>
      <w:r>
        <w:rPr>
          <w:rFonts w:ascii="Times New Roman" w:hAnsi="Times New Roman" w:cs="Times New Roman" w:eastAsia="Times New Roman" w:hint="default"/>
          <w:spacing w:val="25"/>
          <w:sz w:val="24"/>
          <w:szCs w:val="24"/>
        </w:rPr>
        <w:t> </w:t>
      </w:r>
      <w:r>
        <w:rPr>
          <w:rFonts w:ascii="Times New Roman" w:hAnsi="Times New Roman" w:cs="Times New Roman" w:eastAsia="Times New Roman" w:hint="default"/>
          <w:sz w:val="24"/>
          <w:szCs w:val="24"/>
        </w:rPr>
        <w:t>године</w:t>
      </w:r>
      <w:r>
        <w:rPr>
          <w:rFonts w:ascii="Times New Roman" w:hAnsi="Times New Roman" w:cs="Times New Roman" w:eastAsia="Times New Roman" w:hint="default"/>
          <w:spacing w:val="27"/>
          <w:sz w:val="24"/>
          <w:szCs w:val="24"/>
        </w:rPr>
        <w:t> </w:t>
      </w:r>
      <w:r>
        <w:rPr>
          <w:rFonts w:ascii="Times New Roman" w:hAnsi="Times New Roman" w:cs="Times New Roman" w:eastAsia="Times New Roman" w:hint="default"/>
          <w:sz w:val="24"/>
          <w:szCs w:val="24"/>
        </w:rPr>
        <w:t>вратила</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ЈП</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Дирекција</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износ</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од</w:t>
      </w:r>
    </w:p>
    <w:p>
      <w:pPr>
        <w:pStyle w:val="BodyText"/>
        <w:spacing w:line="240" w:lineRule="auto"/>
        <w:ind w:right="0"/>
        <w:jc w:val="both"/>
      </w:pPr>
      <w:r>
        <w:rPr>
          <w:rFonts w:ascii="Times New Roman" w:hAnsi="Times New Roman"/>
        </w:rPr>
        <w:t>1.</w:t>
      </w:r>
      <w:r>
        <w:rPr/>
        <w:t>311 хиљада</w:t>
      </w:r>
      <w:r>
        <w:rPr>
          <w:spacing w:val="-3"/>
        </w:rPr>
        <w:t> </w:t>
      </w:r>
      <w:r>
        <w:rPr/>
        <w:t>динара.</w:t>
      </w:r>
    </w:p>
    <w:p>
      <w:pPr>
        <w:pStyle w:val="Heading2"/>
        <w:spacing w:line="240" w:lineRule="auto"/>
        <w:ind w:right="177"/>
        <w:jc w:val="both"/>
        <w:rPr>
          <w:rFonts w:ascii="Times New Roman" w:hAnsi="Times New Roman" w:cs="Times New Roman" w:eastAsia="Times New Roman" w:hint="default"/>
          <w:b w:val="0"/>
          <w:bCs w:val="0"/>
          <w:i w:val="0"/>
        </w:rPr>
      </w:pPr>
      <w:r>
        <w:rPr>
          <w:i/>
        </w:rPr>
        <w:t>Препоручује се одговорним лицима да анализирају дате авансе за нефинансијску имовину и предузму мере за повраћај</w:t>
      </w:r>
      <w:r>
        <w:rPr>
          <w:i/>
          <w:spacing w:val="-11"/>
        </w:rPr>
        <w:t> </w:t>
      </w:r>
      <w:r>
        <w:rPr>
          <w:i/>
        </w:rPr>
        <w:t>аванса</w:t>
      </w:r>
      <w:r>
        <w:rPr>
          <w:rFonts w:ascii="Times New Roman" w:hAnsi="Times New Roman"/>
          <w:i/>
        </w:rPr>
        <w:t>.</w:t>
      </w:r>
      <w:r>
        <w:rPr>
          <w:rFonts w:ascii="Times New Roman" w:hAnsi="Times New Roman"/>
          <w:b w:val="0"/>
          <w:i w:val="0"/>
        </w:rPr>
      </w:r>
    </w:p>
    <w:p>
      <w:pPr>
        <w:pStyle w:val="ListParagraph"/>
        <w:numPr>
          <w:ilvl w:val="0"/>
          <w:numId w:val="65"/>
        </w:numPr>
        <w:tabs>
          <w:tab w:pos="303" w:val="left" w:leader="none"/>
        </w:tabs>
        <w:spacing w:line="271"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 Буџету града Ниша </w:t>
      </w:r>
      <w:r>
        <w:rPr>
          <w:rFonts w:ascii="Times New Roman" w:hAnsi="Times New Roman"/>
          <w:sz w:val="24"/>
        </w:rPr>
        <w:t>није исказан</w:t>
      </w:r>
      <w:r>
        <w:rPr>
          <w:rFonts w:ascii="Times New Roman" w:hAnsi="Times New Roman"/>
          <w:spacing w:val="-11"/>
          <w:sz w:val="24"/>
        </w:rPr>
        <w:t> </w:t>
      </w:r>
      <w:r>
        <w:rPr>
          <w:rFonts w:ascii="Times New Roman" w:hAnsi="Times New Roman"/>
          <w:sz w:val="24"/>
        </w:rPr>
        <w:t>износ.</w:t>
      </w:r>
    </w:p>
    <w:p>
      <w:pPr>
        <w:spacing w:before="0"/>
        <w:ind w:left="160" w:right="174"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је ова позиција мање исказана за износ од 37.605 хиљада динара за авансне уплате Фондацији за решавање стамбених потреба младих научних радника и уметника Универзитета у Нишу ради куповине пословног</w:t>
      </w:r>
      <w:r>
        <w:rPr>
          <w:rFonts w:ascii="Times New Roman" w:hAnsi="Times New Roman"/>
          <w:spacing w:val="-10"/>
          <w:sz w:val="24"/>
        </w:rPr>
        <w:t> </w:t>
      </w:r>
      <w:r>
        <w:rPr>
          <w:rFonts w:ascii="Times New Roman" w:hAnsi="Times New Roman"/>
          <w:sz w:val="24"/>
        </w:rPr>
        <w:t>простора.</w:t>
      </w:r>
    </w:p>
    <w:p>
      <w:pPr>
        <w:spacing w:after="0"/>
        <w:jc w:val="both"/>
        <w:rPr>
          <w:rFonts w:ascii="Times New Roman" w:hAnsi="Times New Roman" w:cs="Times New Roman" w:eastAsia="Times New Roman" w:hint="default"/>
          <w:sz w:val="24"/>
          <w:szCs w:val="24"/>
        </w:rPr>
        <w:sectPr>
          <w:footerReference w:type="default" r:id="rId88"/>
          <w:pgSz w:w="12240" w:h="15840"/>
          <w:pgMar w:footer="1274" w:header="740" w:top="1280" w:bottom="1460" w:left="1400" w:right="1260"/>
          <w:pgNumType w:start="260"/>
        </w:sectPr>
      </w:pPr>
    </w:p>
    <w:p>
      <w:pPr>
        <w:pStyle w:val="Heading2"/>
        <w:spacing w:line="237" w:lineRule="auto" w:before="129"/>
        <w:ind w:right="178"/>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Правилника о стандардном класификационом оквиру и контном плану за буџетски систем</w:t>
      </w:r>
      <w:r>
        <w:rPr>
          <w:rFonts w:ascii="Times New Roman" w:hAnsi="Times New Roman"/>
          <w:b w:val="0"/>
          <w:i w:val="0"/>
        </w:rPr>
        <w:t>.</w:t>
      </w:r>
    </w:p>
    <w:p>
      <w:pPr>
        <w:spacing w:before="0"/>
        <w:ind w:left="160" w:right="177"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Нематеријална имовина, конто 016100 – </w:t>
      </w:r>
      <w:r>
        <w:rPr>
          <w:rFonts w:ascii="Times New Roman" w:hAnsi="Times New Roman" w:cs="Times New Roman" w:eastAsia="Times New Roman" w:hint="default"/>
          <w:sz w:val="24"/>
          <w:szCs w:val="24"/>
        </w:rPr>
        <w:t>Садашња вредност нематеријалне имовине исказана је у износу од </w:t>
      </w:r>
      <w:r>
        <w:rPr>
          <w:rFonts w:ascii="Times New Roman" w:hAnsi="Times New Roman" w:cs="Times New Roman" w:eastAsia="Times New Roman" w:hint="default"/>
          <w:sz w:val="24"/>
          <w:szCs w:val="24"/>
        </w:rPr>
        <w:t>544.604 </w:t>
      </w:r>
      <w:r>
        <w:rPr>
          <w:rFonts w:ascii="Times New Roman" w:hAnsi="Times New Roman" w:cs="Times New Roman" w:eastAsia="Times New Roman" w:hint="default"/>
          <w:sz w:val="24"/>
          <w:szCs w:val="24"/>
        </w:rPr>
        <w:t>хиљаде динара</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код:</w:t>
      </w:r>
    </w:p>
    <w:p>
      <w:pPr>
        <w:pStyle w:val="ListParagraph"/>
        <w:numPr>
          <w:ilvl w:val="0"/>
          <w:numId w:val="66"/>
        </w:numPr>
        <w:tabs>
          <w:tab w:pos="303"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финансије, изворне приходе локалне самоуправе и јавне набавке </w:t>
      </w:r>
      <w:r>
        <w:rPr>
          <w:rFonts w:ascii="Times New Roman" w:hAnsi="Times New Roman"/>
          <w:sz w:val="24"/>
        </w:rPr>
        <w:t>у износу од </w:t>
      </w:r>
      <w:r>
        <w:rPr>
          <w:rFonts w:ascii="Times New Roman" w:hAnsi="Times New Roman"/>
          <w:sz w:val="24"/>
        </w:rPr>
        <w:t>четири хиљаде</w:t>
      </w:r>
      <w:r>
        <w:rPr>
          <w:rFonts w:ascii="Times New Roman" w:hAnsi="Times New Roman"/>
          <w:spacing w:val="-7"/>
          <w:sz w:val="24"/>
        </w:rPr>
        <w:t> </w:t>
      </w:r>
      <w:r>
        <w:rPr>
          <w:rFonts w:ascii="Times New Roman" w:hAnsi="Times New Roman"/>
          <w:sz w:val="24"/>
        </w:rPr>
        <w:t>динара,</w:t>
      </w:r>
    </w:p>
    <w:p>
      <w:pPr>
        <w:pStyle w:val="ListParagraph"/>
        <w:numPr>
          <w:ilvl w:val="0"/>
          <w:numId w:val="66"/>
        </w:numPr>
        <w:tabs>
          <w:tab w:pos="303"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Управе за образовање </w:t>
      </w:r>
      <w:r>
        <w:rPr>
          <w:rFonts w:ascii="Times New Roman" w:hAnsi="Times New Roman" w:cs="Times New Roman" w:eastAsia="Times New Roman" w:hint="default"/>
          <w:sz w:val="24"/>
          <w:szCs w:val="24"/>
        </w:rPr>
        <w:t>у износу од 469 хиљада динара, односи се на исказану </w:t>
      </w:r>
      <w:r>
        <w:rPr>
          <w:rFonts w:ascii="Times New Roman" w:hAnsi="Times New Roman" w:cs="Times New Roman" w:eastAsia="Times New Roman" w:hint="default"/>
          <w:sz w:val="24"/>
          <w:szCs w:val="24"/>
        </w:rPr>
        <w:t>нематеријалну имовину код ПУ „Пчелица“ за</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софтвер.</w:t>
      </w:r>
    </w:p>
    <w:p>
      <w:pPr>
        <w:pStyle w:val="Heading1"/>
        <w:spacing w:line="275" w:lineRule="exact"/>
        <w:ind w:right="141"/>
        <w:jc w:val="left"/>
        <w:rPr>
          <w:b w:val="0"/>
          <w:bCs w:val="0"/>
        </w:rPr>
      </w:pPr>
      <w:r>
        <w:rPr/>
        <w:t>На основу ревизије узорковане документације утврђено</w:t>
      </w:r>
      <w:r>
        <w:rPr>
          <w:spacing w:val="-14"/>
        </w:rPr>
        <w:t> </w:t>
      </w:r>
      <w:r>
        <w:rPr/>
        <w:t>је:</w:t>
      </w:r>
      <w:r>
        <w:rPr>
          <w:b w:val="0"/>
        </w:rPr>
      </w:r>
    </w:p>
    <w:p>
      <w:pPr>
        <w:pStyle w:val="ListParagraph"/>
        <w:numPr>
          <w:ilvl w:val="0"/>
          <w:numId w:val="9"/>
        </w:numPr>
        <w:tabs>
          <w:tab w:pos="303"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Код ПУ „Пчелица“ ова позиција мање је исказана за износ од 330 хиљада динара за издатак настао у 2014. години за прикључак на гасоводну мрежу. Истовремено, за исти износ мање је исказан конто 311100 – нефинансијска имовина у сталним</w:t>
      </w:r>
      <w:r>
        <w:rPr>
          <w:rFonts w:ascii="Times New Roman" w:hAnsi="Times New Roman" w:cs="Times New Roman" w:eastAsia="Times New Roman" w:hint="default"/>
          <w:spacing w:val="-25"/>
          <w:sz w:val="24"/>
          <w:szCs w:val="24"/>
        </w:rPr>
        <w:t> </w:t>
      </w:r>
      <w:r>
        <w:rPr>
          <w:rFonts w:ascii="Times New Roman" w:hAnsi="Times New Roman" w:cs="Times New Roman" w:eastAsia="Times New Roman" w:hint="default"/>
          <w:sz w:val="24"/>
          <w:szCs w:val="24"/>
        </w:rPr>
        <w:t>средствима.</w:t>
      </w:r>
    </w:p>
    <w:p>
      <w:pPr>
        <w:pStyle w:val="ListParagraph"/>
        <w:numPr>
          <w:ilvl w:val="0"/>
          <w:numId w:val="9"/>
        </w:numPr>
        <w:tabs>
          <w:tab w:pos="303" w:val="left" w:leader="none"/>
        </w:tabs>
        <w:spacing w:line="274" w:lineRule="exact" w:before="24"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Код Регионалног центра мање је је исказана вредност нематеријалне имовине у износу од 662 хиљаде динара, због неевидентирања књига на овом конту, што је супротно</w:t>
      </w:r>
      <w:r>
        <w:rPr>
          <w:rFonts w:ascii="Times New Roman" w:hAnsi="Times New Roman"/>
          <w:spacing w:val="39"/>
          <w:sz w:val="24"/>
        </w:rPr>
        <w:t> </w:t>
      </w:r>
      <w:r>
        <w:rPr>
          <w:rFonts w:ascii="Times New Roman" w:hAnsi="Times New Roman"/>
          <w:sz w:val="24"/>
        </w:rPr>
        <w:t>члану</w:t>
      </w:r>
    </w:p>
    <w:p>
      <w:pPr>
        <w:pStyle w:val="BodyText"/>
        <w:spacing w:line="240" w:lineRule="auto"/>
        <w:ind w:right="173"/>
        <w:jc w:val="both"/>
      </w:pPr>
      <w:r>
        <w:rPr/>
        <w:t>9. Уредбе о буџетском рачуноводству и Правилнику о стандардном класификационом оквиру и контном плану за буџетски</w:t>
      </w:r>
      <w:r>
        <w:rPr>
          <w:spacing w:val="-21"/>
        </w:rPr>
        <w:t> </w:t>
      </w:r>
      <w:r>
        <w:rPr/>
        <w:t>систем.</w:t>
      </w:r>
    </w:p>
    <w:p>
      <w:pPr>
        <w:pStyle w:val="Heading2"/>
        <w:spacing w:line="240" w:lineRule="auto"/>
        <w:ind w:right="181"/>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ListParagraph"/>
        <w:numPr>
          <w:ilvl w:val="0"/>
          <w:numId w:val="66"/>
        </w:numPr>
        <w:tabs>
          <w:tab w:pos="444"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културу </w:t>
      </w:r>
      <w:r>
        <w:rPr>
          <w:rFonts w:ascii="Times New Roman" w:hAnsi="Times New Roman"/>
          <w:sz w:val="24"/>
        </w:rPr>
        <w:t>у износу од 252.174 хиљаде динара за исказану нематеријалну </w:t>
      </w:r>
      <w:r>
        <w:rPr>
          <w:rFonts w:ascii="Times New Roman" w:hAnsi="Times New Roman"/>
          <w:sz w:val="24"/>
        </w:rPr>
        <w:t>имовину код: Народне библиотеке у износу од 51.193 хиљаде динара, Народног позоришта у износу од </w:t>
      </w:r>
      <w:r>
        <w:rPr>
          <w:rFonts w:ascii="Times New Roman" w:hAnsi="Times New Roman"/>
          <w:sz w:val="24"/>
        </w:rPr>
        <w:t>148 </w:t>
      </w:r>
      <w:r>
        <w:rPr>
          <w:rFonts w:ascii="Times New Roman" w:hAnsi="Times New Roman"/>
          <w:sz w:val="24"/>
        </w:rPr>
        <w:t>хиљада динара</w:t>
      </w:r>
      <w:r>
        <w:rPr>
          <w:rFonts w:ascii="Times New Roman" w:hAnsi="Times New Roman"/>
          <w:sz w:val="24"/>
        </w:rPr>
        <w:t>, </w:t>
      </w:r>
      <w:r>
        <w:rPr>
          <w:rFonts w:ascii="Times New Roman" w:hAnsi="Times New Roman"/>
          <w:sz w:val="24"/>
        </w:rPr>
        <w:t>Историјског архива у износу од </w:t>
      </w:r>
      <w:r>
        <w:rPr>
          <w:rFonts w:ascii="Times New Roman" w:hAnsi="Times New Roman"/>
          <w:sz w:val="24"/>
        </w:rPr>
        <w:t>103 </w:t>
      </w:r>
      <w:r>
        <w:rPr>
          <w:rFonts w:ascii="Times New Roman" w:hAnsi="Times New Roman"/>
          <w:sz w:val="24"/>
        </w:rPr>
        <w:t>хиљаде динара</w:t>
      </w:r>
      <w:r>
        <w:rPr>
          <w:rFonts w:ascii="Times New Roman" w:hAnsi="Times New Roman"/>
          <w:sz w:val="24"/>
        </w:rPr>
        <w:t>, </w:t>
      </w:r>
      <w:r>
        <w:rPr>
          <w:rFonts w:ascii="Times New Roman" w:hAnsi="Times New Roman"/>
          <w:sz w:val="24"/>
        </w:rPr>
        <w:t>Галерије савремене ликовне уметности у износу од 20.977 хиљада динара, Народног музеја у износу од 179.121 хиљаде динара и Завода за заштиту споменика у износу од 632 хиљаде</w:t>
      </w:r>
      <w:r>
        <w:rPr>
          <w:rFonts w:ascii="Times New Roman" w:hAnsi="Times New Roman"/>
          <w:spacing w:val="-8"/>
          <w:sz w:val="24"/>
        </w:rPr>
        <w:t> </w:t>
      </w:r>
      <w:r>
        <w:rPr>
          <w:rFonts w:ascii="Times New Roman" w:hAnsi="Times New Roman"/>
          <w:sz w:val="24"/>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48" w:val="left" w:leader="none"/>
        </w:tabs>
        <w:spacing w:line="274" w:lineRule="exact" w:before="20"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Код Народне библиотеке ова позиција више је исказана у износу од 166 хиљада динара због неправилног евидентирања у ранијим</w:t>
      </w:r>
      <w:r>
        <w:rPr>
          <w:rFonts w:ascii="Times New Roman" w:hAnsi="Times New Roman"/>
          <w:spacing w:val="-16"/>
          <w:sz w:val="24"/>
        </w:rPr>
        <w:t> </w:t>
      </w:r>
      <w:r>
        <w:rPr>
          <w:rFonts w:ascii="Times New Roman" w:hAnsi="Times New Roman"/>
          <w:sz w:val="24"/>
        </w:rPr>
        <w:t>годинама.</w:t>
      </w:r>
    </w:p>
    <w:p>
      <w:pPr>
        <w:pStyle w:val="ListParagraph"/>
        <w:numPr>
          <w:ilvl w:val="0"/>
          <w:numId w:val="9"/>
        </w:numPr>
        <w:tabs>
          <w:tab w:pos="348"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Код Народног позоришта мање је исказана позиција за 79 хиљада динара, јер су неправилно евидентирана књижевна уметничка дела ликовне и вајарске уметности на конту 011300</w:t>
      </w:r>
      <w:r>
        <w:rPr>
          <w:rFonts w:ascii="Times New Roman" w:hAnsi="Times New Roman"/>
          <w:sz w:val="24"/>
        </w:rPr>
        <w:t>-</w:t>
      </w:r>
      <w:r>
        <w:rPr>
          <w:rFonts w:ascii="Times New Roman" w:hAnsi="Times New Roman"/>
          <w:sz w:val="24"/>
        </w:rPr>
        <w:t>остале некретнине и опрема,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spacing w:val="-10"/>
          <w:sz w:val="24"/>
        </w:rPr>
        <w:t> </w:t>
      </w:r>
      <w:r>
        <w:rPr>
          <w:rFonts w:ascii="Times New Roman" w:hAnsi="Times New Roman"/>
          <w:sz w:val="24"/>
        </w:rPr>
        <w:t>систем.</w:t>
      </w:r>
    </w:p>
    <w:p>
      <w:pPr>
        <w:pStyle w:val="ListParagraph"/>
        <w:numPr>
          <w:ilvl w:val="0"/>
          <w:numId w:val="9"/>
        </w:numPr>
        <w:tabs>
          <w:tab w:pos="348"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Код Историјског архива ова билансна позиција исказана је у мањем износу по основу макетарске кућице коју је добио као робну донацију, чију вредност у поступку ревизије нисмо могли да утврдимо, што је супротно члану 9. Уредбе о буџетском рачуноводству и Правилнику о стандардном класификационом оквиру и контном плану за буџетски систем</w:t>
      </w:r>
      <w:r>
        <w:rPr>
          <w:rFonts w:ascii="Times New Roman" w:hAnsi="Times New Roman"/>
          <w:sz w:val="24"/>
        </w:rPr>
        <w:t>.</w:t>
      </w:r>
    </w:p>
    <w:p>
      <w:pPr>
        <w:pStyle w:val="ListParagraph"/>
        <w:numPr>
          <w:ilvl w:val="0"/>
          <w:numId w:val="9"/>
        </w:numPr>
        <w:tabs>
          <w:tab w:pos="348" w:val="left" w:leader="none"/>
        </w:tabs>
        <w:spacing w:line="237" w:lineRule="auto" w:before="4"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Код Галерија савремене ликовне уметности извршена је амортизација уметничких књига у износу од две хиљаде динара, што је супротно члану 6. Правилника о номенклатури нематеријалних улагања и основних средстава са стопама</w:t>
      </w:r>
      <w:r>
        <w:rPr>
          <w:rFonts w:ascii="Times New Roman" w:hAnsi="Times New Roman"/>
          <w:spacing w:val="-22"/>
          <w:sz w:val="24"/>
        </w:rPr>
        <w:t> </w:t>
      </w:r>
      <w:r>
        <w:rPr>
          <w:rFonts w:ascii="Times New Roman" w:hAnsi="Times New Roman"/>
          <w:sz w:val="24"/>
        </w:rPr>
        <w:t>амортизације.</w:t>
      </w:r>
    </w:p>
    <w:p>
      <w:pPr>
        <w:pStyle w:val="Heading2"/>
        <w:spacing w:line="240" w:lineRule="auto"/>
        <w:ind w:right="172"/>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w:t>
      </w:r>
      <w:r>
        <w:rPr>
          <w:rFonts w:ascii="Times New Roman" w:hAnsi="Times New Roman"/>
          <w:i/>
        </w:rPr>
        <w:t>, </w:t>
      </w:r>
      <w:r>
        <w:rPr>
          <w:i/>
        </w:rPr>
        <w:t>Правилника о стандардном класификационом оквиру и контном плану за буџетски систем и Правилника о номенклатури нематеријалних улагања и основних средстава са стопама</w:t>
      </w:r>
      <w:r>
        <w:rPr>
          <w:i/>
          <w:spacing w:val="-8"/>
        </w:rPr>
        <w:t> </w:t>
      </w:r>
      <w:r>
        <w:rPr>
          <w:i/>
        </w:rPr>
        <w:t>амортизације</w:t>
      </w:r>
      <w:r>
        <w:rPr>
          <w:rFonts w:ascii="Times New Roman" w:hAnsi="Times New Roman"/>
          <w:i/>
        </w:rPr>
        <w:t>.</w:t>
      </w:r>
      <w:r>
        <w:rPr>
          <w:rFonts w:ascii="Times New Roman" w:hAnsi="Times New Roman"/>
          <w:b w:val="0"/>
          <w:i w:val="0"/>
        </w:rPr>
      </w:r>
    </w:p>
    <w:p>
      <w:pPr>
        <w:spacing w:after="0" w:line="240" w:lineRule="auto"/>
        <w:jc w:val="both"/>
        <w:rPr>
          <w:rFonts w:ascii="Times New Roman" w:hAnsi="Times New Roman" w:cs="Times New Roman" w:eastAsia="Times New Roman" w:hint="default"/>
        </w:rPr>
        <w:sectPr>
          <w:pgSz w:w="12240" w:h="15840"/>
          <w:pgMar w:header="740" w:footer="1274" w:top="1280" w:bottom="1460" w:left="1400" w:right="1260"/>
        </w:sectPr>
      </w:pPr>
    </w:p>
    <w:p>
      <w:pPr>
        <w:pStyle w:val="ListParagraph"/>
        <w:numPr>
          <w:ilvl w:val="0"/>
          <w:numId w:val="66"/>
        </w:numPr>
        <w:tabs>
          <w:tab w:pos="303" w:val="left" w:leader="none"/>
        </w:tabs>
        <w:spacing w:line="240" w:lineRule="auto" w:before="122" w:after="0"/>
        <w:ind w:left="160" w:right="175" w:firstLine="0"/>
        <w:jc w:val="left"/>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комуналне делатности, енергетику и саобраћај </w:t>
      </w:r>
      <w:r>
        <w:rPr>
          <w:rFonts w:ascii="Times New Roman" w:hAnsi="Times New Roman"/>
          <w:sz w:val="24"/>
        </w:rPr>
        <w:t>у износу од 72.235 хиљада </w:t>
      </w:r>
      <w:r>
        <w:rPr>
          <w:rFonts w:ascii="Times New Roman" w:hAnsi="Times New Roman"/>
          <w:sz w:val="24"/>
        </w:rPr>
        <w:t>динара код ЈП</w:t>
      </w:r>
      <w:r>
        <w:rPr>
          <w:rFonts w:ascii="Times New Roman" w:hAnsi="Times New Roman"/>
          <w:spacing w:val="-7"/>
          <w:sz w:val="24"/>
        </w:rPr>
        <w:t> </w:t>
      </w:r>
      <w:r>
        <w:rPr>
          <w:rFonts w:ascii="Times New Roman" w:hAnsi="Times New Roman"/>
          <w:sz w:val="24"/>
        </w:rPr>
        <w:t>Дирекција</w:t>
      </w:r>
      <w:r>
        <w:rPr>
          <w:rFonts w:ascii="Times New Roman" w:hAnsi="Times New Roman"/>
          <w:sz w:val="24"/>
        </w:rPr>
        <w:t>.</w:t>
      </w:r>
    </w:p>
    <w:p>
      <w:pPr>
        <w:pStyle w:val="ListParagraph"/>
        <w:numPr>
          <w:ilvl w:val="0"/>
          <w:numId w:val="66"/>
        </w:numPr>
        <w:tabs>
          <w:tab w:pos="303" w:val="left" w:leader="none"/>
        </w:tabs>
        <w:spacing w:line="240" w:lineRule="auto" w:before="0" w:after="0"/>
        <w:ind w:left="160" w:right="178" w:firstLine="0"/>
        <w:jc w:val="left"/>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планирање и изградњу </w:t>
      </w:r>
      <w:r>
        <w:rPr>
          <w:rFonts w:ascii="Times New Roman" w:hAnsi="Times New Roman"/>
          <w:sz w:val="24"/>
        </w:rPr>
        <w:t>у износу од 203 хиљаде динара за исказану вредност </w:t>
      </w:r>
      <w:r>
        <w:rPr>
          <w:rFonts w:ascii="Times New Roman" w:hAnsi="Times New Roman"/>
          <w:sz w:val="24"/>
        </w:rPr>
        <w:t>нематеријалне имовине код ЈП</w:t>
      </w:r>
      <w:r>
        <w:rPr>
          <w:rFonts w:ascii="Times New Roman" w:hAnsi="Times New Roman"/>
          <w:spacing w:val="-5"/>
          <w:sz w:val="24"/>
        </w:rPr>
        <w:t> </w:t>
      </w:r>
      <w:r>
        <w:rPr>
          <w:rFonts w:ascii="Times New Roman" w:hAnsi="Times New Roman"/>
          <w:sz w:val="24"/>
        </w:rPr>
        <w:t>ГСА</w:t>
      </w:r>
      <w:r>
        <w:rPr>
          <w:rFonts w:ascii="Times New Roman" w:hAnsi="Times New Roman"/>
          <w:sz w:val="24"/>
        </w:rPr>
        <w:t>.</w:t>
      </w:r>
    </w:p>
    <w:p>
      <w:pPr>
        <w:pStyle w:val="ListParagraph"/>
        <w:numPr>
          <w:ilvl w:val="0"/>
          <w:numId w:val="66"/>
        </w:numPr>
        <w:tabs>
          <w:tab w:pos="303" w:val="left" w:leader="none"/>
        </w:tabs>
        <w:spacing w:line="240" w:lineRule="auto" w:before="0" w:after="0"/>
        <w:ind w:left="160" w:right="180" w:firstLine="0"/>
        <w:jc w:val="left"/>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привреду, одрживи развој и заштиту животне средине </w:t>
      </w:r>
      <w:r>
        <w:rPr>
          <w:rFonts w:ascii="Times New Roman" w:hAnsi="Times New Roman"/>
          <w:sz w:val="24"/>
        </w:rPr>
        <w:t>у износу од 1.578 </w:t>
      </w:r>
      <w:r>
        <w:rPr>
          <w:rFonts w:ascii="Times New Roman" w:hAnsi="Times New Roman"/>
          <w:sz w:val="24"/>
        </w:rPr>
        <w:t>хиљада динара за исказану нематеријалну имовину код Туристичке</w:t>
      </w:r>
      <w:r>
        <w:rPr>
          <w:rFonts w:ascii="Times New Roman" w:hAnsi="Times New Roman"/>
          <w:spacing w:val="-22"/>
          <w:sz w:val="24"/>
        </w:rPr>
        <w:t> </w:t>
      </w:r>
      <w:r>
        <w:rPr>
          <w:rFonts w:ascii="Times New Roman" w:hAnsi="Times New Roman"/>
          <w:sz w:val="24"/>
        </w:rPr>
        <w:t>организације.</w:t>
      </w:r>
    </w:p>
    <w:p>
      <w:pPr>
        <w:pStyle w:val="ListParagraph"/>
        <w:numPr>
          <w:ilvl w:val="0"/>
          <w:numId w:val="66"/>
        </w:numPr>
        <w:tabs>
          <w:tab w:pos="303" w:val="left" w:leader="none"/>
        </w:tabs>
        <w:spacing w:line="240" w:lineRule="auto" w:before="0" w:after="0"/>
        <w:ind w:left="160" w:right="180" w:firstLine="0"/>
        <w:jc w:val="left"/>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Службе за одржавање и информатичко</w:t>
      </w:r>
      <w:r>
        <w:rPr>
          <w:rFonts w:ascii="Times New Roman" w:hAnsi="Times New Roman"/>
          <w:sz w:val="24"/>
          <w:u w:val="single" w:color="000000"/>
        </w:rPr>
        <w:t>-</w:t>
      </w:r>
      <w:r>
        <w:rPr>
          <w:rFonts w:ascii="Times New Roman" w:hAnsi="Times New Roman"/>
          <w:sz w:val="24"/>
          <w:u w:val="single" w:color="000000"/>
        </w:rPr>
        <w:t>комуникационе технологије </w:t>
      </w:r>
      <w:r>
        <w:rPr>
          <w:rFonts w:ascii="Times New Roman" w:hAnsi="Times New Roman"/>
          <w:sz w:val="24"/>
        </w:rPr>
        <w:t>у износу од 27.768 </w:t>
      </w:r>
      <w:r>
        <w:rPr>
          <w:rFonts w:ascii="Times New Roman" w:hAnsi="Times New Roman"/>
          <w:sz w:val="24"/>
        </w:rPr>
        <w:t>хиљада</w:t>
      </w:r>
      <w:r>
        <w:rPr>
          <w:rFonts w:ascii="Times New Roman" w:hAnsi="Times New Roman"/>
          <w:spacing w:val="-3"/>
          <w:sz w:val="24"/>
        </w:rPr>
        <w:t> </w:t>
      </w:r>
      <w:r>
        <w:rPr>
          <w:rFonts w:ascii="Times New Roman" w:hAnsi="Times New Roman"/>
          <w:sz w:val="24"/>
        </w:rPr>
        <w:t>динара.</w:t>
      </w:r>
    </w:p>
    <w:p>
      <w:pPr>
        <w:pStyle w:val="ListParagraph"/>
        <w:numPr>
          <w:ilvl w:val="0"/>
          <w:numId w:val="66"/>
        </w:numPr>
        <w:tabs>
          <w:tab w:pos="303" w:val="left" w:leader="none"/>
        </w:tabs>
        <w:spacing w:line="240" w:lineRule="auto" w:before="0" w:after="0"/>
        <w:ind w:left="302" w:right="0" w:hanging="142"/>
        <w:jc w:val="left"/>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 Буџету града Ниша </w:t>
      </w:r>
      <w:r>
        <w:rPr>
          <w:rFonts w:ascii="Times New Roman" w:hAnsi="Times New Roman"/>
          <w:sz w:val="24"/>
        </w:rPr>
        <w:t>исказан је остатак у износу од 190.173 хиљаде</w:t>
      </w:r>
      <w:r>
        <w:rPr>
          <w:rFonts w:ascii="Times New Roman" w:hAnsi="Times New Roman"/>
          <w:spacing w:val="-15"/>
          <w:sz w:val="24"/>
        </w:rPr>
        <w:t> </w:t>
      </w:r>
      <w:r>
        <w:rPr>
          <w:rFonts w:ascii="Times New Roman" w:hAnsi="Times New Roman"/>
          <w:sz w:val="24"/>
        </w:rPr>
        <w:t>динара</w:t>
      </w:r>
      <w:r>
        <w:rPr>
          <w:rFonts w:ascii="Times New Roman" w:hAnsi="Times New Roman"/>
          <w:sz w:val="24"/>
        </w:rPr>
        <w:t>.</w:t>
      </w:r>
    </w:p>
    <w:p>
      <w:pPr>
        <w:spacing w:before="0"/>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Робне резерве, конто 021100 – </w:t>
      </w:r>
      <w:r>
        <w:rPr>
          <w:rFonts w:ascii="Times New Roman" w:hAnsi="Times New Roman" w:cs="Times New Roman" w:eastAsia="Times New Roman" w:hint="default"/>
          <w:sz w:val="24"/>
          <w:szCs w:val="24"/>
        </w:rPr>
        <w:t>Исказан је износ од 27.973 хиљаде динара у билансу стања града Ниша а односи се на залихе робних резерви Града</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Ниша.</w:t>
      </w:r>
    </w:p>
    <w:p>
      <w:pPr>
        <w:pStyle w:val="BodyText"/>
        <w:spacing w:line="240" w:lineRule="auto"/>
        <w:ind w:right="177" w:firstLine="566"/>
        <w:jc w:val="both"/>
      </w:pPr>
      <w:r>
        <w:rPr>
          <w:rFonts w:ascii="Times New Roman" w:hAnsi="Times New Roman"/>
          <w:b/>
        </w:rPr>
        <w:t>На основу ревизије узорковане документације утврђено је </w:t>
      </w:r>
      <w:r>
        <w:rPr/>
        <w:t>да се нисмо уверили  у тачност и правилност вредности исказаних залиха робних резерви, јер се  обрачун излаза са залиха не врши по методи просечне цене, што је супротно члану 31. Правилника о буџетском рачуноводству и рачуноводственим</w:t>
      </w:r>
      <w:r>
        <w:rPr>
          <w:spacing w:val="-24"/>
        </w:rPr>
        <w:t> </w:t>
      </w:r>
      <w:r>
        <w:rPr/>
        <w:t>политикама.</w:t>
      </w:r>
    </w:p>
    <w:p>
      <w:pPr>
        <w:pStyle w:val="Heading2"/>
        <w:spacing w:line="240" w:lineRule="auto"/>
        <w:ind w:right="174"/>
        <w:jc w:val="both"/>
        <w:rPr>
          <w:b w:val="0"/>
          <w:bCs w:val="0"/>
          <w:i w:val="0"/>
        </w:rPr>
      </w:pPr>
      <w:r>
        <w:rPr>
          <w:i/>
        </w:rPr>
        <w:t>Препоручује се одговорним лицима да обезбеде правилну примену одредби интерних</w:t>
      </w:r>
      <w:r>
        <w:rPr>
          <w:i/>
          <w:spacing w:val="-4"/>
        </w:rPr>
        <w:t> </w:t>
      </w:r>
      <w:r>
        <w:rPr>
          <w:i/>
        </w:rPr>
        <w:t>аката.</w:t>
      </w:r>
      <w:r>
        <w:rPr>
          <w:b w:val="0"/>
          <w:i w:val="0"/>
        </w:rPr>
      </w:r>
    </w:p>
    <w:p>
      <w:pPr>
        <w:spacing w:line="240" w:lineRule="auto" w:before="0"/>
        <w:ind w:left="160" w:right="178"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Залихе производње, конто 021200 – </w:t>
      </w:r>
      <w:r>
        <w:rPr>
          <w:rFonts w:ascii="Times New Roman" w:hAnsi="Times New Roman" w:cs="Times New Roman" w:eastAsia="Times New Roman" w:hint="default"/>
          <w:sz w:val="24"/>
          <w:szCs w:val="24"/>
        </w:rPr>
        <w:t>Исказан је износ од 1.215 хиљада динара за исказане залихе</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код:</w:t>
      </w:r>
    </w:p>
    <w:p>
      <w:pPr>
        <w:pStyle w:val="BodyText"/>
        <w:spacing w:line="240" w:lineRule="auto"/>
        <w:ind w:right="141"/>
        <w:jc w:val="left"/>
      </w:pPr>
      <w:r>
        <w:rPr>
          <w:rFonts w:ascii="Times New Roman" w:hAnsi="Times New Roman" w:cs="Times New Roman" w:eastAsia="Times New Roman" w:hint="default"/>
          <w:b/>
          <w:bCs/>
        </w:rPr>
        <w:t>- </w:t>
      </w:r>
      <w:r>
        <w:rPr>
          <w:rFonts w:ascii="Times New Roman" w:hAnsi="Times New Roman" w:cs="Times New Roman" w:eastAsia="Times New Roman" w:hint="default"/>
        </w:rPr>
      </w:r>
      <w:r>
        <w:rPr>
          <w:rFonts w:ascii="Times New Roman" w:hAnsi="Times New Roman" w:cs="Times New Roman" w:eastAsia="Times New Roman" w:hint="default"/>
          <w:u w:val="single" w:color="000000"/>
        </w:rPr>
      </w:r>
      <w:r>
        <w:rPr>
          <w:u w:val="single" w:color="000000"/>
        </w:rPr>
        <w:t>Управе за образовање </w:t>
      </w:r>
      <w:r>
        <w:rPr/>
        <w:t>у износу од 1.215 хиљада динара за залихе код ПУ</w:t>
      </w:r>
      <w:r>
        <w:rPr>
          <w:spacing w:val="-21"/>
        </w:rPr>
        <w:t> </w:t>
      </w:r>
      <w:r>
        <w:rPr/>
        <w:t>„Пчелица“.</w:t>
      </w:r>
    </w:p>
    <w:p>
      <w:pPr>
        <w:pStyle w:val="BodyText"/>
        <w:spacing w:line="240" w:lineRule="auto"/>
        <w:ind w:right="173" w:firstLine="578"/>
        <w:jc w:val="both"/>
      </w:pPr>
      <w:r>
        <w:rPr>
          <w:rFonts w:ascii="Times New Roman" w:hAnsi="Times New Roman" w:cs="Times New Roman" w:eastAsia="Times New Roman" w:hint="default"/>
          <w:b/>
          <w:bCs/>
        </w:rPr>
        <w:t>На основу ревизије узорковане документације утврђено је </w:t>
      </w:r>
      <w:r>
        <w:rPr/>
        <w:t>да је ова позиција исказана више у износу од 902 хиљаде динара на име залиха намирница за припремање хране за децу уместо на конту 022200 – залихе потрошног материјала, што је супротно члану 9. Уредбе о буџетском рачуноводству и Правилнику о стандардном класификационом оквиру и контном плану за буџетски</w:t>
      </w:r>
      <w:r>
        <w:rPr>
          <w:spacing w:val="-30"/>
        </w:rPr>
        <w:t> </w:t>
      </w:r>
      <w:r>
        <w:rPr/>
        <w:t>систем</w:t>
      </w:r>
    </w:p>
    <w:p>
      <w:pPr>
        <w:pStyle w:val="Heading2"/>
        <w:spacing w:line="240" w:lineRule="auto"/>
        <w:ind w:right="172"/>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i/>
        </w:rPr>
        <w:t>.</w:t>
      </w:r>
      <w:r>
        <w:rPr>
          <w:rFonts w:ascii="Times New Roman" w:hAnsi="Times New Roman"/>
          <w:b w:val="0"/>
          <w:i w:val="0"/>
        </w:rPr>
      </w:r>
    </w:p>
    <w:p>
      <w:pPr>
        <w:spacing w:line="240" w:lineRule="auto" w:before="0"/>
        <w:ind w:left="160" w:right="172"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Роба за даљу продају, конто 021300 – </w:t>
      </w:r>
      <w:r>
        <w:rPr>
          <w:rFonts w:ascii="Times New Roman" w:hAnsi="Times New Roman" w:cs="Times New Roman" w:eastAsia="Times New Roman" w:hint="default"/>
          <w:sz w:val="24"/>
          <w:szCs w:val="24"/>
        </w:rPr>
        <w:t>Исказан је износ од 4.293 хиљаде динара за исказану робу за даљу продају</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код:</w:t>
      </w:r>
    </w:p>
    <w:p>
      <w:pPr>
        <w:pStyle w:val="ListParagraph"/>
        <w:numPr>
          <w:ilvl w:val="0"/>
          <w:numId w:val="67"/>
        </w:numPr>
        <w:tabs>
          <w:tab w:pos="303" w:val="left" w:leader="none"/>
        </w:tabs>
        <w:spacing w:line="240" w:lineRule="auto" w:before="0" w:after="0"/>
        <w:ind w:left="160" w:right="180"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Управе за образовање </w:t>
      </w:r>
      <w:r>
        <w:rPr>
          <w:rFonts w:ascii="Times New Roman" w:hAnsi="Times New Roman" w:cs="Times New Roman" w:eastAsia="Times New Roman" w:hint="default"/>
          <w:sz w:val="24"/>
          <w:szCs w:val="24"/>
        </w:rPr>
        <w:t>у износу од 910 хиљада динара за робу код: ПУ „Пчелица“ у </w:t>
      </w:r>
      <w:r>
        <w:rPr>
          <w:rFonts w:ascii="Times New Roman" w:hAnsi="Times New Roman" w:cs="Times New Roman" w:eastAsia="Times New Roman" w:hint="default"/>
          <w:sz w:val="24"/>
          <w:szCs w:val="24"/>
        </w:rPr>
        <w:t>износу од 902 хиљаде динара и Дечијег центра у износу од осам хиљада</w:t>
      </w:r>
      <w:r>
        <w:rPr>
          <w:rFonts w:ascii="Times New Roman" w:hAnsi="Times New Roman" w:cs="Times New Roman" w:eastAsia="Times New Roman" w:hint="default"/>
          <w:spacing w:val="-27"/>
          <w:sz w:val="24"/>
          <w:szCs w:val="24"/>
        </w:rPr>
        <w:t> </w:t>
      </w:r>
      <w:r>
        <w:rPr>
          <w:rFonts w:ascii="Times New Roman" w:hAnsi="Times New Roman" w:cs="Times New Roman" w:eastAsia="Times New Roman" w:hint="default"/>
          <w:sz w:val="24"/>
          <w:szCs w:val="24"/>
        </w:rPr>
        <w:t>динара.</w:t>
      </w:r>
    </w:p>
    <w:p>
      <w:pPr>
        <w:spacing w:before="0"/>
        <w:ind w:left="160" w:right="176"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је вредност залиха робе за даљу продају више исказана за износ обрачунате разлике у цени робе од 56 хиљада</w:t>
      </w:r>
      <w:r>
        <w:rPr>
          <w:rFonts w:ascii="Times New Roman" w:hAnsi="Times New Roman"/>
          <w:spacing w:val="-3"/>
          <w:sz w:val="24"/>
        </w:rPr>
        <w:t> </w:t>
      </w:r>
      <w:r>
        <w:rPr>
          <w:rFonts w:ascii="Times New Roman" w:hAnsi="Times New Roman"/>
          <w:sz w:val="24"/>
        </w:rPr>
        <w:t>динара.</w:t>
      </w:r>
    </w:p>
    <w:p>
      <w:pPr>
        <w:pStyle w:val="Heading2"/>
        <w:spacing w:line="240" w:lineRule="auto" w:before="2"/>
        <w:ind w:right="172"/>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ListParagraph"/>
        <w:numPr>
          <w:ilvl w:val="0"/>
          <w:numId w:val="67"/>
        </w:numPr>
        <w:tabs>
          <w:tab w:pos="444" w:val="left" w:leader="none"/>
        </w:tabs>
        <w:spacing w:line="271" w:lineRule="exact" w:before="0" w:after="0"/>
        <w:ind w:left="443" w:right="0" w:hanging="283"/>
        <w:jc w:val="left"/>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културу </w:t>
      </w:r>
      <w:r>
        <w:rPr>
          <w:rFonts w:ascii="Times New Roman" w:hAnsi="Times New Roman"/>
          <w:sz w:val="24"/>
        </w:rPr>
        <w:t>у износу од 1.256 хиљада динара код Народног</w:t>
      </w:r>
      <w:r>
        <w:rPr>
          <w:rFonts w:ascii="Times New Roman" w:hAnsi="Times New Roman"/>
          <w:spacing w:val="-16"/>
          <w:sz w:val="24"/>
        </w:rPr>
        <w:t> </w:t>
      </w:r>
      <w:r>
        <w:rPr>
          <w:rFonts w:ascii="Times New Roman" w:hAnsi="Times New Roman"/>
          <w:sz w:val="24"/>
        </w:rPr>
        <w:t>музеја.</w:t>
      </w:r>
    </w:p>
    <w:p>
      <w:pPr>
        <w:pStyle w:val="ListParagraph"/>
        <w:numPr>
          <w:ilvl w:val="0"/>
          <w:numId w:val="67"/>
        </w:numPr>
        <w:tabs>
          <w:tab w:pos="444" w:val="left" w:leader="none"/>
        </w:tabs>
        <w:spacing w:line="240" w:lineRule="auto" w:before="0" w:after="0"/>
        <w:ind w:left="443" w:right="0" w:hanging="283"/>
        <w:jc w:val="left"/>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омладину и спорт </w:t>
      </w:r>
      <w:r>
        <w:rPr>
          <w:rFonts w:ascii="Times New Roman" w:hAnsi="Times New Roman"/>
          <w:sz w:val="24"/>
        </w:rPr>
        <w:t>у износу од 65 хиљада динара, код СЦ</w:t>
      </w:r>
      <w:r>
        <w:rPr>
          <w:rFonts w:ascii="Times New Roman" w:hAnsi="Times New Roman"/>
          <w:spacing w:val="-20"/>
          <w:sz w:val="24"/>
        </w:rPr>
        <w:t> </w:t>
      </w:r>
      <w:r>
        <w:rPr>
          <w:rFonts w:ascii="Times New Roman" w:hAnsi="Times New Roman"/>
          <w:sz w:val="24"/>
        </w:rPr>
        <w:t>Чаир.</w:t>
      </w:r>
    </w:p>
    <w:p>
      <w:pPr>
        <w:pStyle w:val="ListParagraph"/>
        <w:numPr>
          <w:ilvl w:val="0"/>
          <w:numId w:val="67"/>
        </w:numPr>
        <w:tabs>
          <w:tab w:pos="444" w:val="left" w:leader="none"/>
        </w:tabs>
        <w:spacing w:line="240" w:lineRule="auto" w:before="0" w:after="0"/>
        <w:ind w:left="160" w:right="180" w:firstLine="0"/>
        <w:jc w:val="left"/>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привреду, одрживи развој и заштиту животне средине </w:t>
      </w:r>
      <w:r>
        <w:rPr>
          <w:rFonts w:ascii="Times New Roman" w:hAnsi="Times New Roman"/>
          <w:sz w:val="24"/>
        </w:rPr>
        <w:t>у износу од 2.062 </w:t>
      </w:r>
      <w:r>
        <w:rPr>
          <w:rFonts w:ascii="Times New Roman" w:hAnsi="Times New Roman"/>
          <w:sz w:val="24"/>
        </w:rPr>
        <w:t>хиљаде динара, код Туристичке</w:t>
      </w:r>
      <w:r>
        <w:rPr>
          <w:rFonts w:ascii="Times New Roman" w:hAnsi="Times New Roman"/>
          <w:spacing w:val="-14"/>
          <w:sz w:val="24"/>
        </w:rPr>
        <w:t> </w:t>
      </w:r>
      <w:r>
        <w:rPr>
          <w:rFonts w:ascii="Times New Roman" w:hAnsi="Times New Roman"/>
          <w:sz w:val="24"/>
        </w:rPr>
        <w:t>организације.</w:t>
      </w:r>
    </w:p>
    <w:p>
      <w:pPr>
        <w:pStyle w:val="ListParagraph"/>
        <w:numPr>
          <w:ilvl w:val="0"/>
          <w:numId w:val="67"/>
        </w:numPr>
        <w:tabs>
          <w:tab w:pos="423" w:val="left" w:leader="none"/>
        </w:tabs>
        <w:spacing w:line="240" w:lineRule="auto" w:before="0" w:after="0"/>
        <w:ind w:left="422" w:right="0" w:hanging="262"/>
        <w:jc w:val="left"/>
        <w:rPr>
          <w:rFonts w:ascii="Times New Roman" w:hAnsi="Times New Roman" w:cs="Times New Roman" w:eastAsia="Times New Roman" w:hint="default"/>
          <w:sz w:val="24"/>
          <w:szCs w:val="24"/>
        </w:rPr>
      </w:pPr>
      <w:r>
        <w:rPr>
          <w:rFonts w:ascii="Times New Roman" w:hAnsi="Times New Roman"/>
          <w:sz w:val="24"/>
        </w:rPr>
        <w:t>У Билансу стања </w:t>
      </w:r>
      <w:r>
        <w:rPr>
          <w:rFonts w:ascii="Times New Roman" w:hAnsi="Times New Roman"/>
          <w:sz w:val="24"/>
        </w:rPr>
      </w:r>
      <w:r>
        <w:rPr>
          <w:rFonts w:ascii="Times New Roman" w:hAnsi="Times New Roman"/>
          <w:sz w:val="24"/>
          <w:u w:val="single" w:color="000000"/>
        </w:rPr>
      </w:r>
      <w:r>
        <w:rPr>
          <w:rFonts w:ascii="Times New Roman" w:hAnsi="Times New Roman"/>
          <w:sz w:val="24"/>
          <w:u w:val="single" w:color="000000"/>
        </w:rPr>
        <w:t>Управе за за планирање и изградњу </w:t>
      </w:r>
      <w:r>
        <w:rPr>
          <w:rFonts w:ascii="Times New Roman" w:hAnsi="Times New Roman"/>
          <w:sz w:val="24"/>
        </w:rPr>
        <w:t>није исказан</w:t>
      </w:r>
      <w:r>
        <w:rPr>
          <w:rFonts w:ascii="Times New Roman" w:hAnsi="Times New Roman"/>
          <w:spacing w:val="-20"/>
          <w:sz w:val="24"/>
        </w:rPr>
        <w:t> </w:t>
      </w:r>
      <w:r>
        <w:rPr>
          <w:rFonts w:ascii="Times New Roman" w:hAnsi="Times New Roman"/>
          <w:sz w:val="24"/>
        </w:rPr>
        <w:t>износ.</w:t>
      </w:r>
    </w:p>
    <w:p>
      <w:pPr>
        <w:spacing w:before="0"/>
        <w:ind w:left="160" w:right="176"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да је </w:t>
      </w:r>
      <w:r>
        <w:rPr>
          <w:rFonts w:ascii="Times New Roman" w:hAnsi="Times New Roman"/>
          <w:sz w:val="24"/>
        </w:rPr>
        <w:t>ЈП ГСА мање исказала робу за даљу продају за износ од </w:t>
      </w:r>
      <w:r>
        <w:rPr>
          <w:rFonts w:ascii="Times New Roman" w:hAnsi="Times New Roman"/>
          <w:sz w:val="24"/>
        </w:rPr>
        <w:t>9.885 </w:t>
      </w:r>
      <w:r>
        <w:rPr>
          <w:rFonts w:ascii="Times New Roman" w:hAnsi="Times New Roman"/>
          <w:sz w:val="24"/>
        </w:rPr>
        <w:t>хиљада динара (за три стана који су намењени даљој продаји), што је супротно члану 9. Уредбе о буџетском рачуноводству</w:t>
      </w:r>
      <w:r>
        <w:rPr>
          <w:rFonts w:ascii="Times New Roman" w:hAnsi="Times New Roman"/>
          <w:spacing w:val="43"/>
          <w:sz w:val="24"/>
        </w:rPr>
        <w:t> </w:t>
      </w:r>
      <w:r>
        <w:rPr>
          <w:rFonts w:ascii="Times New Roman" w:hAnsi="Times New Roman"/>
          <w:sz w:val="24"/>
        </w:rPr>
        <w:t>и</w:t>
      </w:r>
    </w:p>
    <w:p>
      <w:pPr>
        <w:spacing w:after="0"/>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87"/>
        <w:jc w:val="both"/>
      </w:pPr>
      <w:r>
        <w:rPr/>
        <w:t>Правилнику о стандардном класификационом оквиру и контном плану за буџетски систем.</w:t>
      </w:r>
    </w:p>
    <w:p>
      <w:pPr>
        <w:pStyle w:val="Heading2"/>
        <w:spacing w:line="240" w:lineRule="auto"/>
        <w:ind w:right="172"/>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i/>
        </w:rPr>
        <w:t>.</w:t>
      </w:r>
      <w:r>
        <w:rPr>
          <w:rFonts w:ascii="Times New Roman" w:hAnsi="Times New Roman"/>
          <w:b w:val="0"/>
          <w:i w:val="0"/>
        </w:rPr>
      </w:r>
    </w:p>
    <w:p>
      <w:pPr>
        <w:spacing w:line="240" w:lineRule="auto" w:before="0"/>
        <w:ind w:left="160" w:right="177"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Залихе ситног инвентара, конто 022100 – </w:t>
      </w:r>
      <w:r>
        <w:rPr>
          <w:rFonts w:ascii="Times New Roman" w:hAnsi="Times New Roman" w:cs="Times New Roman" w:eastAsia="Times New Roman" w:hint="default"/>
          <w:sz w:val="24"/>
          <w:szCs w:val="24"/>
        </w:rPr>
        <w:t>Исказан је износ од 3.678 хиљада динара и то</w:t>
      </w:r>
      <w:r>
        <w:rPr>
          <w:rFonts w:ascii="Times New Roman" w:hAnsi="Times New Roman" w:cs="Times New Roman" w:eastAsia="Times New Roman" w:hint="default"/>
          <w:spacing w:val="-4"/>
          <w:sz w:val="24"/>
          <w:szCs w:val="24"/>
        </w:rPr>
        <w:t> </w:t>
      </w:r>
      <w:r>
        <w:rPr>
          <w:rFonts w:ascii="Times New Roman" w:hAnsi="Times New Roman" w:cs="Times New Roman" w:eastAsia="Times New Roman" w:hint="default"/>
          <w:sz w:val="24"/>
          <w:szCs w:val="24"/>
        </w:rPr>
        <w:t>код:</w:t>
      </w:r>
    </w:p>
    <w:p>
      <w:pPr>
        <w:pStyle w:val="BodyText"/>
        <w:spacing w:line="240" w:lineRule="auto"/>
        <w:ind w:right="175"/>
        <w:jc w:val="both"/>
      </w:pPr>
      <w:r>
        <w:rPr>
          <w:rFonts w:ascii="Times New Roman" w:hAnsi="Times New Roman" w:cs="Times New Roman" w:eastAsia="Times New Roman" w:hint="default"/>
        </w:rPr>
        <w:t>1) </w:t>
      </w:r>
      <w:r>
        <w:rPr>
          <w:rFonts w:ascii="Times New Roman" w:hAnsi="Times New Roman" w:cs="Times New Roman" w:eastAsia="Times New Roman" w:hint="default"/>
        </w:rPr>
      </w:r>
      <w:r>
        <w:rPr>
          <w:rFonts w:ascii="Times New Roman" w:hAnsi="Times New Roman" w:cs="Times New Roman" w:eastAsia="Times New Roman" w:hint="default"/>
          <w:u w:val="single" w:color="000000"/>
        </w:rPr>
      </w:r>
      <w:r>
        <w:rPr>
          <w:u w:val="single" w:color="000000"/>
        </w:rPr>
        <w:t>Управе за образовање </w:t>
      </w:r>
      <w:r>
        <w:rPr/>
        <w:t>у износу од 2.568 хиљада динара за исказани ситан инвентар </w:t>
      </w:r>
      <w:r>
        <w:rPr/>
        <w:t>код: ПУ „Пчелица“ у износу од 810 хиљада динара и Регионалног центра у износу од 1.758 хиљада</w:t>
      </w:r>
      <w:r>
        <w:rPr>
          <w:spacing w:val="-3"/>
        </w:rPr>
        <w:t> </w:t>
      </w:r>
      <w:r>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ПУ „Пчелица“ евидентира залихе електроматеријала, водоводног и осталог потрошног материјала на субаналитичком конту 022122 под називом залихе материјала за поправке, који није прописан Правилником о стандардном класификационом оквиру и контном плану за буџетски</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систем.</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Ова позиција више је исказана код ПУ „Пчелица“ за износ од 506 хиљада динара на име електроматеријала, водоводног, столарског материјала (материјал за одржавање објеката и опреме) док је мање исказана вредност на позицији 022200 – залихе потрошног материјала,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31"/>
          <w:sz w:val="24"/>
          <w:szCs w:val="24"/>
        </w:rPr>
        <w:t> </w:t>
      </w:r>
      <w:r>
        <w:rPr>
          <w:rFonts w:ascii="Times New Roman" w:hAnsi="Times New Roman" w:cs="Times New Roman" w:eastAsia="Times New Roman" w:hint="default"/>
          <w:sz w:val="24"/>
          <w:szCs w:val="24"/>
        </w:rPr>
        <w:t>систем.</w:t>
      </w:r>
    </w:p>
    <w:p>
      <w:pPr>
        <w:pStyle w:val="ListParagraph"/>
        <w:numPr>
          <w:ilvl w:val="0"/>
          <w:numId w:val="9"/>
        </w:numPr>
        <w:tabs>
          <w:tab w:pos="303"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Ова позиција мање је исказана код ПУ „Пчелица“ за износ од </w:t>
      </w:r>
      <w:r>
        <w:rPr>
          <w:rFonts w:ascii="Times New Roman" w:hAnsi="Times New Roman" w:cs="Times New Roman" w:eastAsia="Times New Roman" w:hint="default"/>
          <w:sz w:val="24"/>
          <w:szCs w:val="24"/>
        </w:rPr>
        <w:t>300 </w:t>
      </w:r>
      <w:r>
        <w:rPr>
          <w:rFonts w:ascii="Times New Roman" w:hAnsi="Times New Roman" w:cs="Times New Roman" w:eastAsia="Times New Roman" w:hint="default"/>
          <w:sz w:val="24"/>
          <w:szCs w:val="24"/>
        </w:rPr>
        <w:t>хиљада динара на име дидактичких играчака, док је више исказана вредност на позицији 022200 – залихе потрошног материјала, што је супротно члану 9. Уредбе о буџетском рачуноводству и Правилнику о стандардном класификационом оквиру и контном плану за буџетски систем.</w:t>
      </w:r>
    </w:p>
    <w:p>
      <w:pPr>
        <w:pStyle w:val="ListParagraph"/>
        <w:numPr>
          <w:ilvl w:val="0"/>
          <w:numId w:val="9"/>
        </w:numPr>
        <w:tabs>
          <w:tab w:pos="303" w:val="left" w:leader="none"/>
        </w:tabs>
        <w:spacing w:line="293" w:lineRule="exact" w:before="2"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Регионални центар нема интерни акт којим је регулисан отпис ситног</w:t>
      </w:r>
      <w:r>
        <w:rPr>
          <w:rFonts w:ascii="Times New Roman" w:hAnsi="Times New Roman"/>
          <w:spacing w:val="-29"/>
          <w:sz w:val="24"/>
        </w:rPr>
        <w:t> </w:t>
      </w:r>
      <w:r>
        <w:rPr>
          <w:rFonts w:ascii="Times New Roman" w:hAnsi="Times New Roman"/>
          <w:sz w:val="24"/>
        </w:rPr>
        <w:t>инвентара.</w:t>
      </w:r>
    </w:p>
    <w:p>
      <w:pPr>
        <w:pStyle w:val="ListParagraph"/>
        <w:numPr>
          <w:ilvl w:val="0"/>
          <w:numId w:val="9"/>
        </w:numPr>
        <w:tabs>
          <w:tab w:pos="303" w:val="left" w:leader="none"/>
        </w:tabs>
        <w:spacing w:line="274" w:lineRule="exact" w:before="21" w:after="0"/>
        <w:ind w:left="160" w:right="186" w:firstLine="0"/>
        <w:jc w:val="both"/>
        <w:rPr>
          <w:rFonts w:ascii="Times New Roman" w:hAnsi="Times New Roman" w:cs="Times New Roman" w:eastAsia="Times New Roman" w:hint="default"/>
          <w:sz w:val="24"/>
          <w:szCs w:val="24"/>
        </w:rPr>
      </w:pPr>
      <w:r>
        <w:rPr>
          <w:rFonts w:ascii="Times New Roman" w:hAnsi="Times New Roman"/>
          <w:sz w:val="24"/>
        </w:rPr>
        <w:t>Код Регионалног центра није вршен отпис ситног инвентара приликом стављања истог у</w:t>
      </w:r>
      <w:r>
        <w:rPr>
          <w:rFonts w:ascii="Times New Roman" w:hAnsi="Times New Roman"/>
          <w:spacing w:val="-5"/>
          <w:sz w:val="24"/>
        </w:rPr>
        <w:t> </w:t>
      </w:r>
      <w:r>
        <w:rPr>
          <w:rFonts w:ascii="Times New Roman" w:hAnsi="Times New Roman"/>
          <w:sz w:val="24"/>
        </w:rPr>
        <w:t>употребу.</w:t>
      </w:r>
    </w:p>
    <w:p>
      <w:pPr>
        <w:pStyle w:val="ListParagraph"/>
        <w:numPr>
          <w:ilvl w:val="0"/>
          <w:numId w:val="9"/>
        </w:numPr>
        <w:tabs>
          <w:tab w:pos="303" w:val="left" w:leader="none"/>
        </w:tabs>
        <w:spacing w:line="240" w:lineRule="auto" w:before="0"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Код Регионалног центра залихе ситног инвентара мање су исказане у износу од 32 хиљаде динара, због неправилног евидентирања, што је супротно члану 9. Уредбе о буџетском рачуноводству и Правилнику о стандардном касификационом оквиру и контном плану за буџетски</w:t>
      </w:r>
      <w:r>
        <w:rPr>
          <w:rFonts w:ascii="Times New Roman" w:hAnsi="Times New Roman"/>
          <w:spacing w:val="-17"/>
          <w:sz w:val="24"/>
        </w:rPr>
        <w:t> </w:t>
      </w:r>
      <w:r>
        <w:rPr>
          <w:rFonts w:ascii="Times New Roman" w:hAnsi="Times New Roman"/>
          <w:sz w:val="24"/>
        </w:rPr>
        <w:t>систем.</w:t>
      </w:r>
    </w:p>
    <w:p>
      <w:pPr>
        <w:pStyle w:val="ListParagraph"/>
        <w:numPr>
          <w:ilvl w:val="0"/>
          <w:numId w:val="9"/>
        </w:numPr>
        <w:tabs>
          <w:tab w:pos="303" w:val="left" w:leader="none"/>
        </w:tabs>
        <w:spacing w:line="237" w:lineRule="auto" w:before="5"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Дечији центар није интерним актом регулисао отпис ситног инвентара, што је супротно члану 4. Правилника о номенклатури нематеријалних улагања и основних средстава са стопама</w:t>
      </w:r>
      <w:r>
        <w:rPr>
          <w:rFonts w:ascii="Times New Roman" w:hAnsi="Times New Roman"/>
          <w:spacing w:val="-7"/>
          <w:sz w:val="24"/>
        </w:rPr>
        <w:t> </w:t>
      </w:r>
      <w:r>
        <w:rPr>
          <w:rFonts w:ascii="Times New Roman" w:hAnsi="Times New Roman"/>
          <w:sz w:val="24"/>
        </w:rPr>
        <w:t>амортизације.</w:t>
      </w:r>
    </w:p>
    <w:p>
      <w:pPr>
        <w:pStyle w:val="Heading2"/>
        <w:spacing w:line="240" w:lineRule="auto"/>
        <w:ind w:right="172"/>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 систем, интерним актом уреде начин отписа ситног инвентара.</w:t>
      </w:r>
      <w:r>
        <w:rPr>
          <w:b w:val="0"/>
          <w:i w:val="0"/>
        </w:rPr>
      </w:r>
    </w:p>
    <w:p>
      <w:pPr>
        <w:pStyle w:val="ListParagraph"/>
        <w:numPr>
          <w:ilvl w:val="0"/>
          <w:numId w:val="67"/>
        </w:numPr>
        <w:tabs>
          <w:tab w:pos="336"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културу </w:t>
      </w:r>
      <w:r>
        <w:rPr>
          <w:rFonts w:ascii="Times New Roman" w:hAnsi="Times New Roman"/>
          <w:sz w:val="24"/>
        </w:rPr>
        <w:t>у износу од 80 хиљада за исказани ситан инвентар код Завода за </w:t>
      </w:r>
      <w:r>
        <w:rPr>
          <w:rFonts w:ascii="Times New Roman" w:hAnsi="Times New Roman"/>
          <w:sz w:val="24"/>
        </w:rPr>
        <w:t>заштиту</w:t>
      </w:r>
      <w:r>
        <w:rPr>
          <w:rFonts w:ascii="Times New Roman" w:hAnsi="Times New Roman"/>
          <w:spacing w:val="-11"/>
          <w:sz w:val="24"/>
        </w:rPr>
        <w:t> </w:t>
      </w:r>
      <w:r>
        <w:rPr>
          <w:rFonts w:ascii="Times New Roman" w:hAnsi="Times New Roman"/>
          <w:sz w:val="24"/>
        </w:rPr>
        <w:t>споменика.</w:t>
      </w:r>
    </w:p>
    <w:p>
      <w:pPr>
        <w:pStyle w:val="Heading1"/>
        <w:spacing w:line="275" w:lineRule="exact"/>
        <w:ind w:right="141"/>
        <w:jc w:val="left"/>
        <w:rPr>
          <w:b w:val="0"/>
          <w:bCs w:val="0"/>
        </w:rPr>
      </w:pPr>
      <w:r>
        <w:rPr/>
        <w:t>На основу ревизије узорковане документације утврђено</w:t>
      </w:r>
      <w:r>
        <w:rPr>
          <w:spacing w:val="-12"/>
        </w:rPr>
        <w:t> </w:t>
      </w:r>
      <w:r>
        <w:rPr/>
        <w:t>је:</w:t>
      </w:r>
      <w:r>
        <w:rPr>
          <w:b w:val="0"/>
        </w:rPr>
      </w:r>
    </w:p>
    <w:p>
      <w:pPr>
        <w:pStyle w:val="ListParagraph"/>
        <w:numPr>
          <w:ilvl w:val="0"/>
          <w:numId w:val="9"/>
        </w:numPr>
        <w:tabs>
          <w:tab w:pos="303" w:val="left" w:leader="none"/>
        </w:tabs>
        <w:spacing w:line="237" w:lineRule="auto" w:before="1"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Народна библиотека нема интерни акт за отпис ситног инвентара, што је супротно члану 4. Правилника о номенклатури нематеријалних улагања и основних средстава са стопама</w:t>
      </w:r>
      <w:r>
        <w:rPr>
          <w:rFonts w:ascii="Times New Roman" w:hAnsi="Times New Roman"/>
          <w:spacing w:val="-7"/>
          <w:sz w:val="24"/>
        </w:rPr>
        <w:t> </w:t>
      </w:r>
      <w:r>
        <w:rPr>
          <w:rFonts w:ascii="Times New Roman" w:hAnsi="Times New Roman"/>
          <w:sz w:val="24"/>
        </w:rPr>
        <w:t>амортизације.</w:t>
      </w:r>
    </w:p>
    <w:p>
      <w:pPr>
        <w:spacing w:after="0" w:line="237"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ListParagraph"/>
        <w:numPr>
          <w:ilvl w:val="0"/>
          <w:numId w:val="9"/>
        </w:numPr>
        <w:tabs>
          <w:tab w:pos="303" w:val="left" w:leader="none"/>
        </w:tabs>
        <w:spacing w:line="237" w:lineRule="auto" w:before="126"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Код Галерије савремене ликовне уметности вршен је отпис ситног инвентара по амортизационим стопама за основна средства, што је супротно Правилнику о номенклатури нематеријалних улагања и основних средстава са стопама</w:t>
      </w:r>
      <w:r>
        <w:rPr>
          <w:rFonts w:ascii="Times New Roman" w:hAnsi="Times New Roman"/>
          <w:spacing w:val="-29"/>
          <w:sz w:val="24"/>
        </w:rPr>
        <w:t> </w:t>
      </w:r>
      <w:r>
        <w:rPr>
          <w:rFonts w:ascii="Times New Roman" w:hAnsi="Times New Roman"/>
          <w:sz w:val="24"/>
        </w:rPr>
        <w:t>амортизације.</w:t>
      </w:r>
    </w:p>
    <w:p>
      <w:pPr>
        <w:pStyle w:val="ListParagraph"/>
        <w:numPr>
          <w:ilvl w:val="0"/>
          <w:numId w:val="9"/>
        </w:numPr>
        <w:tabs>
          <w:tab w:pos="303" w:val="left" w:leader="none"/>
        </w:tabs>
        <w:spacing w:line="237" w:lineRule="auto" w:before="5"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Код Галерије савремене ликовне уметности није донет интерни акт за отпис ситног инвентара, што је супротно члану 4. Правилника о номенклатури нематеријалних улагања и основних средстава са стопама</w:t>
      </w:r>
      <w:r>
        <w:rPr>
          <w:rFonts w:ascii="Times New Roman" w:hAnsi="Times New Roman"/>
          <w:spacing w:val="-15"/>
          <w:sz w:val="24"/>
        </w:rPr>
        <w:t> </w:t>
      </w:r>
      <w:r>
        <w:rPr>
          <w:rFonts w:ascii="Times New Roman" w:hAnsi="Times New Roman"/>
          <w:sz w:val="24"/>
        </w:rPr>
        <w:t>амортизације.</w:t>
      </w:r>
    </w:p>
    <w:p>
      <w:pPr>
        <w:pStyle w:val="ListParagraph"/>
        <w:numPr>
          <w:ilvl w:val="0"/>
          <w:numId w:val="9"/>
        </w:numPr>
        <w:tabs>
          <w:tab w:pos="303" w:val="left" w:leader="none"/>
        </w:tabs>
        <w:spacing w:line="274" w:lineRule="exact" w:before="24" w:after="0"/>
        <w:ind w:left="160" w:right="188" w:firstLine="0"/>
        <w:jc w:val="both"/>
        <w:rPr>
          <w:rFonts w:ascii="Times New Roman" w:hAnsi="Times New Roman" w:cs="Times New Roman" w:eastAsia="Times New Roman" w:hint="default"/>
          <w:sz w:val="24"/>
          <w:szCs w:val="24"/>
        </w:rPr>
      </w:pPr>
      <w:r>
        <w:rPr>
          <w:rFonts w:ascii="Times New Roman" w:hAnsi="Times New Roman"/>
          <w:sz w:val="24"/>
        </w:rPr>
        <w:t>Код Народног музеја није донет интерни акт о отпису ситног инвентара а вршен је отпис ситног инвантара приликом стављања истог у</w:t>
      </w:r>
      <w:r>
        <w:rPr>
          <w:rFonts w:ascii="Times New Roman" w:hAnsi="Times New Roman"/>
          <w:spacing w:val="-27"/>
          <w:sz w:val="24"/>
        </w:rPr>
        <w:t> </w:t>
      </w:r>
      <w:r>
        <w:rPr>
          <w:rFonts w:ascii="Times New Roman" w:hAnsi="Times New Roman"/>
          <w:sz w:val="24"/>
        </w:rPr>
        <w:t>употребу.</w:t>
      </w:r>
    </w:p>
    <w:p>
      <w:pPr>
        <w:pStyle w:val="ListParagraph"/>
        <w:numPr>
          <w:ilvl w:val="0"/>
          <w:numId w:val="9"/>
        </w:numPr>
        <w:tabs>
          <w:tab w:pos="303"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Код Завода за заштиту споменика ова позиција је више исказана у износу од 80 хиљада динара, а мање је исказана вредност опреме у истом износу, што је супротно члану 9. Уредбе о буџетском рачуноводству и Правилнику о стандардном класификационом оквиру и контом плану за буџетски</w:t>
      </w:r>
      <w:r>
        <w:rPr>
          <w:rFonts w:ascii="Times New Roman" w:hAnsi="Times New Roman"/>
          <w:spacing w:val="-20"/>
          <w:sz w:val="24"/>
        </w:rPr>
        <w:t> </w:t>
      </w:r>
      <w:r>
        <w:rPr>
          <w:rFonts w:ascii="Times New Roman" w:hAnsi="Times New Roman"/>
          <w:sz w:val="24"/>
        </w:rPr>
        <w:t>систем.</w:t>
      </w:r>
    </w:p>
    <w:p>
      <w:pPr>
        <w:pStyle w:val="Heading2"/>
        <w:spacing w:line="240" w:lineRule="auto"/>
        <w:ind w:right="179"/>
        <w:jc w:val="both"/>
        <w:rPr>
          <w:b w:val="0"/>
          <w:bCs w:val="0"/>
          <w:i w:val="0"/>
        </w:rPr>
      </w:pPr>
      <w:r>
        <w:rPr>
          <w:i/>
        </w:rPr>
        <w:t>Препоручије се одговорним лицима да обезбеде правилну примену одредби Правилника о номенклатури нематеријалних улагања и основних средстава са стопама амортизације</w:t>
      </w:r>
      <w:r>
        <w:rPr>
          <w:rFonts w:ascii="Times New Roman" w:hAnsi="Times New Roman"/>
          <w:i/>
        </w:rPr>
        <w:t>, </w:t>
      </w:r>
      <w:r>
        <w:rPr>
          <w:i/>
        </w:rPr>
        <w:t>Уредбе о буџетском рачуноводству и Правилника о стандардном класификационом оквиру и контом плану за буџетски</w:t>
      </w:r>
      <w:r>
        <w:rPr>
          <w:i/>
          <w:spacing w:val="-23"/>
        </w:rPr>
        <w:t> </w:t>
      </w:r>
      <w:r>
        <w:rPr>
          <w:i/>
        </w:rPr>
        <w:t>систем.</w:t>
      </w:r>
      <w:r>
        <w:rPr>
          <w:b w:val="0"/>
          <w:i w:val="0"/>
        </w:rPr>
      </w:r>
    </w:p>
    <w:p>
      <w:pPr>
        <w:pStyle w:val="ListParagraph"/>
        <w:numPr>
          <w:ilvl w:val="0"/>
          <w:numId w:val="67"/>
        </w:numPr>
        <w:tabs>
          <w:tab w:pos="303" w:val="left" w:leader="none"/>
        </w:tabs>
        <w:spacing w:line="240" w:lineRule="auto" w:before="0" w:after="0"/>
        <w:ind w:left="160" w:right="178"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омладину и спорт </w:t>
      </w:r>
      <w:r>
        <w:rPr>
          <w:rFonts w:ascii="Times New Roman" w:hAnsi="Times New Roman"/>
          <w:sz w:val="24"/>
        </w:rPr>
        <w:t>у износу од 1.030 хиљада динара, за ситан инвентар код СЦ </w:t>
      </w:r>
      <w:r>
        <w:rPr>
          <w:rFonts w:ascii="Times New Roman" w:hAnsi="Times New Roman"/>
          <w:sz w:val="24"/>
        </w:rPr>
        <w:t>Чаир.</w:t>
      </w:r>
    </w:p>
    <w:p>
      <w:pPr>
        <w:spacing w:before="0"/>
        <w:ind w:left="160" w:right="174"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да </w:t>
      </w:r>
      <w:r>
        <w:rPr>
          <w:rFonts w:ascii="Times New Roman" w:hAnsi="Times New Roman"/>
          <w:sz w:val="24"/>
        </w:rPr>
        <w:t>СЦ Чаир није донео акт којим  је регулисао отпис ситног</w:t>
      </w:r>
      <w:r>
        <w:rPr>
          <w:rFonts w:ascii="Times New Roman" w:hAnsi="Times New Roman"/>
          <w:spacing w:val="-18"/>
          <w:sz w:val="24"/>
        </w:rPr>
        <w:t> </w:t>
      </w:r>
      <w:r>
        <w:rPr>
          <w:rFonts w:ascii="Times New Roman" w:hAnsi="Times New Roman"/>
          <w:sz w:val="24"/>
        </w:rPr>
        <w:t>инвентара.</w:t>
      </w:r>
    </w:p>
    <w:p>
      <w:pPr>
        <w:pStyle w:val="Heading2"/>
        <w:spacing w:line="240" w:lineRule="auto"/>
        <w:ind w:right="178" w:firstLine="578"/>
        <w:jc w:val="both"/>
        <w:rPr>
          <w:b w:val="0"/>
          <w:bCs w:val="0"/>
          <w:i w:val="0"/>
        </w:rPr>
      </w:pPr>
      <w:r>
        <w:rPr>
          <w:i/>
        </w:rPr>
        <w:t>Препоручије се одговорним лицима да интерним актом регулишу начин отписа ситног</w:t>
      </w:r>
      <w:r>
        <w:rPr>
          <w:i/>
          <w:spacing w:val="-3"/>
        </w:rPr>
        <w:t> </w:t>
      </w:r>
      <w:r>
        <w:rPr>
          <w:i/>
        </w:rPr>
        <w:t>инвентара.</w:t>
      </w:r>
      <w:r>
        <w:rPr>
          <w:b w:val="0"/>
          <w:i w:val="0"/>
        </w:rPr>
      </w:r>
    </w:p>
    <w:p>
      <w:pPr>
        <w:pStyle w:val="ListParagraph"/>
        <w:numPr>
          <w:ilvl w:val="0"/>
          <w:numId w:val="67"/>
        </w:numPr>
        <w:tabs>
          <w:tab w:pos="303" w:val="left" w:leader="none"/>
        </w:tabs>
        <w:spacing w:line="271"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У</w:t>
      </w:r>
      <w:r>
        <w:rPr>
          <w:rFonts w:ascii="Times New Roman" w:hAnsi="Times New Roman"/>
          <w:spacing w:val="41"/>
          <w:sz w:val="24"/>
        </w:rPr>
        <w:t> </w:t>
      </w:r>
      <w:r>
        <w:rPr>
          <w:rFonts w:ascii="Times New Roman" w:hAnsi="Times New Roman"/>
          <w:sz w:val="24"/>
        </w:rPr>
        <w:t>Билансу</w:t>
      </w:r>
      <w:r>
        <w:rPr>
          <w:rFonts w:ascii="Times New Roman" w:hAnsi="Times New Roman"/>
          <w:spacing w:val="38"/>
          <w:sz w:val="24"/>
        </w:rPr>
        <w:t> </w:t>
      </w:r>
      <w:r>
        <w:rPr>
          <w:rFonts w:ascii="Times New Roman" w:hAnsi="Times New Roman"/>
          <w:sz w:val="24"/>
        </w:rPr>
        <w:t>стања</w:t>
      </w:r>
      <w:r>
        <w:rPr>
          <w:rFonts w:ascii="Times New Roman" w:hAnsi="Times New Roman"/>
          <w:spacing w:val="42"/>
          <w:sz w:val="24"/>
        </w:rPr>
        <w:t> </w:t>
      </w:r>
      <w:r>
        <w:rPr>
          <w:rFonts w:ascii="Times New Roman" w:hAnsi="Times New Roman"/>
          <w:spacing w:val="42"/>
          <w:sz w:val="24"/>
        </w:rPr>
      </w:r>
      <w:r>
        <w:rPr>
          <w:rFonts w:ascii="Times New Roman" w:hAnsi="Times New Roman"/>
          <w:spacing w:val="42"/>
          <w:sz w:val="24"/>
          <w:u w:val="single" w:color="000000"/>
        </w:rPr>
      </w:r>
      <w:r>
        <w:rPr>
          <w:rFonts w:ascii="Times New Roman" w:hAnsi="Times New Roman"/>
          <w:sz w:val="24"/>
          <w:u w:val="single" w:color="000000"/>
        </w:rPr>
        <w:t>Управе</w:t>
      </w:r>
      <w:r>
        <w:rPr>
          <w:rFonts w:ascii="Times New Roman" w:hAnsi="Times New Roman"/>
          <w:spacing w:val="39"/>
          <w:sz w:val="24"/>
          <w:u w:val="single" w:color="000000"/>
        </w:rPr>
        <w:t> </w:t>
      </w:r>
      <w:r>
        <w:rPr>
          <w:rFonts w:ascii="Times New Roman" w:hAnsi="Times New Roman"/>
          <w:sz w:val="24"/>
          <w:u w:val="single" w:color="000000"/>
        </w:rPr>
        <w:t>за</w:t>
      </w:r>
      <w:r>
        <w:rPr>
          <w:rFonts w:ascii="Times New Roman" w:hAnsi="Times New Roman"/>
          <w:spacing w:val="39"/>
          <w:sz w:val="24"/>
          <w:u w:val="single" w:color="000000"/>
        </w:rPr>
        <w:t> </w:t>
      </w:r>
      <w:r>
        <w:rPr>
          <w:rFonts w:ascii="Times New Roman" w:hAnsi="Times New Roman"/>
          <w:sz w:val="24"/>
          <w:u w:val="single" w:color="000000"/>
        </w:rPr>
        <w:t>финансије,</w:t>
      </w:r>
      <w:r>
        <w:rPr>
          <w:rFonts w:ascii="Times New Roman" w:hAnsi="Times New Roman"/>
          <w:spacing w:val="40"/>
          <w:sz w:val="24"/>
          <w:u w:val="single" w:color="000000"/>
        </w:rPr>
        <w:t> </w:t>
      </w:r>
      <w:r>
        <w:rPr>
          <w:rFonts w:ascii="Times New Roman" w:hAnsi="Times New Roman"/>
          <w:sz w:val="24"/>
          <w:u w:val="single" w:color="000000"/>
        </w:rPr>
        <w:t>изворне</w:t>
      </w:r>
      <w:r>
        <w:rPr>
          <w:rFonts w:ascii="Times New Roman" w:hAnsi="Times New Roman"/>
          <w:spacing w:val="39"/>
          <w:sz w:val="24"/>
          <w:u w:val="single" w:color="000000"/>
        </w:rPr>
        <w:t> </w:t>
      </w:r>
      <w:r>
        <w:rPr>
          <w:rFonts w:ascii="Times New Roman" w:hAnsi="Times New Roman"/>
          <w:sz w:val="24"/>
          <w:u w:val="single" w:color="000000"/>
        </w:rPr>
        <w:t>приходе</w:t>
      </w:r>
      <w:r>
        <w:rPr>
          <w:rFonts w:ascii="Times New Roman" w:hAnsi="Times New Roman"/>
          <w:spacing w:val="39"/>
          <w:sz w:val="24"/>
          <w:u w:val="single" w:color="000000"/>
        </w:rPr>
        <w:t> </w:t>
      </w:r>
      <w:r>
        <w:rPr>
          <w:rFonts w:ascii="Times New Roman" w:hAnsi="Times New Roman"/>
          <w:sz w:val="24"/>
          <w:u w:val="single" w:color="000000"/>
        </w:rPr>
        <w:t>локалне</w:t>
      </w:r>
      <w:r>
        <w:rPr>
          <w:rFonts w:ascii="Times New Roman" w:hAnsi="Times New Roman"/>
          <w:spacing w:val="39"/>
          <w:sz w:val="24"/>
          <w:u w:val="single" w:color="000000"/>
        </w:rPr>
        <w:t> </w:t>
      </w:r>
      <w:r>
        <w:rPr>
          <w:rFonts w:ascii="Times New Roman" w:hAnsi="Times New Roman"/>
          <w:sz w:val="24"/>
          <w:u w:val="single" w:color="000000"/>
        </w:rPr>
        <w:t>самоуправе</w:t>
      </w:r>
      <w:r>
        <w:rPr>
          <w:rFonts w:ascii="Times New Roman" w:hAnsi="Times New Roman"/>
          <w:spacing w:val="39"/>
          <w:sz w:val="24"/>
          <w:u w:val="single" w:color="000000"/>
        </w:rPr>
        <w:t> </w:t>
      </w:r>
      <w:r>
        <w:rPr>
          <w:rFonts w:ascii="Times New Roman" w:hAnsi="Times New Roman"/>
          <w:sz w:val="24"/>
          <w:u w:val="single" w:color="000000"/>
        </w:rPr>
        <w:t>и</w:t>
      </w:r>
      <w:r>
        <w:rPr>
          <w:rFonts w:ascii="Times New Roman" w:hAnsi="Times New Roman"/>
          <w:spacing w:val="41"/>
          <w:sz w:val="24"/>
          <w:u w:val="single" w:color="000000"/>
        </w:rPr>
        <w:t> </w:t>
      </w:r>
      <w:r>
        <w:rPr>
          <w:rFonts w:ascii="Times New Roman" w:hAnsi="Times New Roman"/>
          <w:sz w:val="24"/>
          <w:u w:val="single" w:color="000000"/>
        </w:rPr>
        <w:t>јавне</w:t>
      </w:r>
      <w:r>
        <w:rPr>
          <w:rFonts w:ascii="Times New Roman" w:hAnsi="Times New Roman"/>
          <w:sz w:val="24"/>
        </w:rPr>
      </w:r>
    </w:p>
    <w:p>
      <w:pPr>
        <w:pStyle w:val="BodyText"/>
        <w:spacing w:line="240" w:lineRule="auto"/>
        <w:ind w:right="183"/>
        <w:jc w:val="both"/>
      </w:pPr>
      <w:r>
        <w:rPr>
          <w:rFonts w:ascii="Times New Roman" w:hAnsi="Times New Roman"/>
        </w:rPr>
      </w:r>
      <w:r>
        <w:rPr>
          <w:rFonts w:ascii="Times New Roman" w:hAnsi="Times New Roman"/>
          <w:spacing w:val="-60"/>
          <w:u w:val="single" w:color="000000"/>
        </w:rPr>
        <w:t> </w:t>
      </w:r>
      <w:r>
        <w:rPr>
          <w:u w:val="single" w:color="000000"/>
        </w:rPr>
        <w:t>набавке </w:t>
      </w:r>
      <w:r>
        <w:rPr/>
        <w:t>није исказан податак јер се ситан инвентар отписује у целости приликом </w:t>
      </w:r>
      <w:r>
        <w:rPr/>
        <w:t>стављања у употребу, на основу Правилника о буџетском рачуноводству и рачуноводственим</w:t>
      </w:r>
      <w:r>
        <w:rPr>
          <w:spacing w:val="-13"/>
        </w:rPr>
        <w:t> </w:t>
      </w:r>
      <w:r>
        <w:rPr/>
        <w:t>политикама.</w:t>
      </w:r>
    </w:p>
    <w:p>
      <w:pPr>
        <w:pStyle w:val="ListParagraph"/>
        <w:numPr>
          <w:ilvl w:val="0"/>
          <w:numId w:val="67"/>
        </w:numPr>
        <w:tabs>
          <w:tab w:pos="303" w:val="left" w:leader="none"/>
        </w:tabs>
        <w:spacing w:line="240" w:lineRule="auto" w:before="0"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У Билансу стања </w:t>
      </w:r>
      <w:r>
        <w:rPr>
          <w:rFonts w:ascii="Times New Roman" w:hAnsi="Times New Roman"/>
          <w:sz w:val="24"/>
        </w:rPr>
      </w:r>
      <w:r>
        <w:rPr>
          <w:rFonts w:ascii="Times New Roman" w:hAnsi="Times New Roman"/>
          <w:sz w:val="24"/>
          <w:u w:val="single" w:color="000000"/>
        </w:rPr>
      </w:r>
      <w:r>
        <w:rPr>
          <w:rFonts w:ascii="Times New Roman" w:hAnsi="Times New Roman"/>
          <w:sz w:val="24"/>
          <w:u w:val="single" w:color="000000"/>
        </w:rPr>
        <w:t>Управе за дечију, социјалну и примарну здравствену заштиту </w:t>
      </w:r>
      <w:r>
        <w:rPr>
          <w:rFonts w:ascii="Times New Roman" w:hAnsi="Times New Roman"/>
          <w:sz w:val="24"/>
        </w:rPr>
        <w:t>није </w:t>
      </w:r>
      <w:r>
        <w:rPr>
          <w:rFonts w:ascii="Times New Roman" w:hAnsi="Times New Roman"/>
          <w:sz w:val="24"/>
        </w:rPr>
        <w:t>исказан</w:t>
      </w:r>
      <w:r>
        <w:rPr>
          <w:rFonts w:ascii="Times New Roman" w:hAnsi="Times New Roman"/>
          <w:spacing w:val="-5"/>
          <w:sz w:val="24"/>
        </w:rPr>
        <w:t> </w:t>
      </w:r>
      <w:r>
        <w:rPr>
          <w:rFonts w:ascii="Times New Roman" w:hAnsi="Times New Roman"/>
          <w:sz w:val="24"/>
        </w:rPr>
        <w:t>податак.</w:t>
      </w:r>
    </w:p>
    <w:p>
      <w:pPr>
        <w:pStyle w:val="Heading1"/>
        <w:spacing w:line="275" w:lineRule="exact"/>
        <w:ind w:right="141"/>
        <w:jc w:val="left"/>
        <w:rPr>
          <w:b w:val="0"/>
          <w:bCs w:val="0"/>
        </w:rPr>
      </w:pPr>
      <w:r>
        <w:rPr/>
        <w:t>На основу ревизије узорковане документације утврђено</w:t>
      </w:r>
      <w:r>
        <w:rPr>
          <w:spacing w:val="-14"/>
        </w:rPr>
        <w:t> </w:t>
      </w:r>
      <w:r>
        <w:rPr/>
        <w:t>је:</w:t>
      </w:r>
      <w:r>
        <w:rPr>
          <w:b w:val="0"/>
        </w:rPr>
      </w:r>
    </w:p>
    <w:p>
      <w:pPr>
        <w:pStyle w:val="ListParagraph"/>
        <w:numPr>
          <w:ilvl w:val="0"/>
          <w:numId w:val="9"/>
        </w:numPr>
        <w:tabs>
          <w:tab w:pos="303" w:val="left" w:leader="none"/>
        </w:tabs>
        <w:spacing w:line="237" w:lineRule="auto" w:before="1" w:after="0"/>
        <w:ind w:left="160" w:right="17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Установа „Мара“ не води евиденцију ситног инвентара у употреби, а који је пописан пописним листама опреме и инвентара, чији износ у поступку ревизије нисмо могли да утврдимо.</w:t>
      </w:r>
    </w:p>
    <w:p>
      <w:pPr>
        <w:pStyle w:val="ListParagraph"/>
        <w:numPr>
          <w:ilvl w:val="0"/>
          <w:numId w:val="9"/>
        </w:numPr>
        <w:tabs>
          <w:tab w:pos="303" w:val="left" w:leader="none"/>
        </w:tabs>
        <w:spacing w:line="240" w:lineRule="auto" w:before="3" w:after="0"/>
        <w:ind w:left="160" w:right="18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билансу стања установе „Сигурна кућа“ није исказан податак у бруто износу, као ни податак о исправци вредности ситног инвентара у употреби, чији износ у поступку ревизије нисмо могли да утврдимо услед евидентирања ситног инвентара на конту опреме.</w:t>
      </w:r>
    </w:p>
    <w:p>
      <w:pPr>
        <w:pStyle w:val="Heading2"/>
        <w:spacing w:line="240" w:lineRule="auto"/>
        <w:ind w:right="173"/>
        <w:jc w:val="both"/>
        <w:rPr>
          <w:rFonts w:ascii="Times New Roman" w:hAnsi="Times New Roman" w:cs="Times New Roman" w:eastAsia="Times New Roman" w:hint="default"/>
          <w:b w:val="0"/>
          <w:bCs w:val="0"/>
          <w:i w:val="0"/>
        </w:rPr>
      </w:pPr>
      <w:r>
        <w:rPr>
          <w:i/>
        </w:rPr>
        <w:t>Препоручује се одговорним лицима да успоставе помоћну евиденцију ситног инвентара у употреби, примењују одредбе Уредбе о буџетском рачуноводству и Правилника о стандардном класификационом оквиру и контном плану за буџетски систем</w:t>
      </w:r>
      <w:r>
        <w:rPr>
          <w:rFonts w:ascii="Times New Roman" w:hAnsi="Times New Roman"/>
          <w:i/>
        </w:rPr>
        <w:t>.</w:t>
      </w:r>
      <w:r>
        <w:rPr>
          <w:rFonts w:ascii="Times New Roman" w:hAnsi="Times New Roman"/>
          <w:b w:val="0"/>
          <w:i w:val="0"/>
        </w:rPr>
      </w:r>
    </w:p>
    <w:p>
      <w:pPr>
        <w:pStyle w:val="BodyText"/>
        <w:spacing w:line="274" w:lineRule="exact"/>
        <w:ind w:left="302" w:right="141" w:hanging="142"/>
        <w:jc w:val="left"/>
      </w:pPr>
      <w:r>
        <w:rPr>
          <w:rFonts w:ascii="Times New Roman" w:hAnsi="Times New Roman"/>
        </w:rPr>
        <w:t>- </w:t>
      </w:r>
      <w:r>
        <w:rPr/>
        <w:t>У Билансу стања </w:t>
      </w:r>
      <w:r>
        <w:rPr>
          <w:rFonts w:ascii="Times New Roman" w:hAnsi="Times New Roman"/>
        </w:rPr>
      </w:r>
      <w:r>
        <w:rPr>
          <w:rFonts w:ascii="Times New Roman" w:hAnsi="Times New Roman"/>
          <w:u w:val="single" w:color="000000"/>
        </w:rPr>
      </w:r>
      <w:r>
        <w:rPr>
          <w:u w:val="single" w:color="000000"/>
        </w:rPr>
        <w:t>Управе за комуналне делатности, енергетику и саобраћај </w:t>
      </w:r>
      <w:r>
        <w:rPr/>
        <w:t>није исказан </w:t>
      </w:r>
      <w:r>
        <w:rPr/>
        <w:t>податак.</w:t>
      </w:r>
    </w:p>
    <w:p>
      <w:pPr>
        <w:spacing w:line="240" w:lineRule="auto" w:before="0"/>
        <w:ind w:left="160" w:right="171"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начин отписа ситног инвентара код ЈП Дирекција није регулисан интерним актом, а отпис је вршен у целости приликом стављања у</w:t>
      </w:r>
      <w:r>
        <w:rPr>
          <w:rFonts w:ascii="Times New Roman" w:hAnsi="Times New Roman"/>
          <w:spacing w:val="-15"/>
          <w:sz w:val="24"/>
        </w:rPr>
        <w:t> </w:t>
      </w:r>
      <w:r>
        <w:rPr>
          <w:rFonts w:ascii="Times New Roman" w:hAnsi="Times New Roman"/>
          <w:sz w:val="24"/>
        </w:rPr>
        <w:t>употребу</w:t>
      </w:r>
      <w:r>
        <w:rPr>
          <w:rFonts w:ascii="Times New Roman" w:hAnsi="Times New Roman"/>
          <w:sz w:val="24"/>
        </w:rPr>
        <w:t>.</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Heading2"/>
        <w:spacing w:line="240" w:lineRule="auto" w:before="126"/>
        <w:ind w:right="175" w:firstLine="578"/>
        <w:jc w:val="both"/>
        <w:rPr>
          <w:b w:val="0"/>
          <w:bCs w:val="0"/>
          <w:i w:val="0"/>
        </w:rPr>
      </w:pPr>
      <w:r>
        <w:rPr>
          <w:i/>
        </w:rPr>
        <w:t>Препоручује се одговорним лицима да интерним актом регулишу начин отписа ситног</w:t>
      </w:r>
      <w:r>
        <w:rPr>
          <w:i/>
          <w:spacing w:val="-3"/>
        </w:rPr>
        <w:t> </w:t>
      </w:r>
      <w:r>
        <w:rPr>
          <w:i/>
        </w:rPr>
        <w:t>инвентара.</w:t>
      </w:r>
      <w:r>
        <w:rPr>
          <w:b w:val="0"/>
          <w:i w:val="0"/>
        </w:rPr>
      </w:r>
    </w:p>
    <w:p>
      <w:pPr>
        <w:pStyle w:val="ListParagraph"/>
        <w:numPr>
          <w:ilvl w:val="0"/>
          <w:numId w:val="68"/>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У Билансу стања </w:t>
      </w:r>
      <w:r>
        <w:rPr>
          <w:rFonts w:ascii="Times New Roman" w:hAnsi="Times New Roman"/>
          <w:sz w:val="24"/>
        </w:rPr>
      </w:r>
      <w:r>
        <w:rPr>
          <w:rFonts w:ascii="Times New Roman" w:hAnsi="Times New Roman"/>
          <w:sz w:val="24"/>
          <w:u w:val="single" w:color="000000"/>
        </w:rPr>
      </w:r>
      <w:r>
        <w:rPr>
          <w:rFonts w:ascii="Times New Roman" w:hAnsi="Times New Roman"/>
          <w:sz w:val="24"/>
          <w:u w:val="single" w:color="000000"/>
        </w:rPr>
        <w:t>Службе за одржавање и информатичко</w:t>
      </w:r>
      <w:r>
        <w:rPr>
          <w:rFonts w:ascii="Times New Roman" w:hAnsi="Times New Roman"/>
          <w:sz w:val="24"/>
          <w:u w:val="single" w:color="000000"/>
        </w:rPr>
        <w:t>-</w:t>
      </w:r>
      <w:r>
        <w:rPr>
          <w:rFonts w:ascii="Times New Roman" w:hAnsi="Times New Roman"/>
          <w:sz w:val="24"/>
          <w:u w:val="single" w:color="000000"/>
        </w:rPr>
        <w:t>комуникационе технологије </w:t>
      </w:r>
      <w:r>
        <w:rPr>
          <w:rFonts w:ascii="Times New Roman" w:hAnsi="Times New Roman"/>
          <w:sz w:val="24"/>
        </w:rPr>
      </w:r>
      <w:r>
        <w:rPr>
          <w:rFonts w:ascii="Times New Roman" w:hAnsi="Times New Roman"/>
          <w:sz w:val="24"/>
        </w:rPr>
        <w:t>није исказан износ, јер је ситан инвентар у износу од 2.541 хиљаде динара отписан приликом стављања у употребу, сходно Правилнику о буџетском рачуноводству и рачуноводственим</w:t>
      </w:r>
      <w:r>
        <w:rPr>
          <w:rFonts w:ascii="Times New Roman" w:hAnsi="Times New Roman"/>
          <w:spacing w:val="-13"/>
          <w:sz w:val="24"/>
        </w:rPr>
        <w:t> </w:t>
      </w:r>
      <w:r>
        <w:rPr>
          <w:rFonts w:ascii="Times New Roman" w:hAnsi="Times New Roman"/>
          <w:sz w:val="24"/>
        </w:rPr>
        <w:t>политикама.</w:t>
      </w:r>
    </w:p>
    <w:p>
      <w:pPr>
        <w:pStyle w:val="ListParagraph"/>
        <w:numPr>
          <w:ilvl w:val="0"/>
          <w:numId w:val="68"/>
        </w:numPr>
        <w:tabs>
          <w:tab w:pos="303" w:val="left" w:leader="none"/>
        </w:tabs>
        <w:spacing w:line="240" w:lineRule="auto" w:before="0"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У Билансу стања </w:t>
      </w:r>
      <w:r>
        <w:rPr>
          <w:rFonts w:ascii="Times New Roman" w:hAnsi="Times New Roman"/>
          <w:sz w:val="24"/>
        </w:rPr>
      </w:r>
      <w:r>
        <w:rPr>
          <w:rFonts w:ascii="Times New Roman" w:hAnsi="Times New Roman"/>
          <w:sz w:val="24"/>
          <w:u w:val="single" w:color="000000"/>
        </w:rPr>
      </w:r>
      <w:r>
        <w:rPr>
          <w:rFonts w:ascii="Times New Roman" w:hAnsi="Times New Roman"/>
          <w:sz w:val="24"/>
          <w:u w:val="single" w:color="000000"/>
        </w:rPr>
        <w:t>Управе за пољопривреду и развој села </w:t>
      </w:r>
      <w:r>
        <w:rPr>
          <w:rFonts w:ascii="Times New Roman" w:hAnsi="Times New Roman"/>
          <w:sz w:val="24"/>
        </w:rPr>
        <w:t>није исказан</w:t>
      </w:r>
      <w:r>
        <w:rPr>
          <w:rFonts w:ascii="Times New Roman" w:hAnsi="Times New Roman"/>
          <w:spacing w:val="-21"/>
          <w:sz w:val="24"/>
        </w:rPr>
        <w:t> </w:t>
      </w:r>
      <w:r>
        <w:rPr>
          <w:rFonts w:ascii="Times New Roman" w:hAnsi="Times New Roman"/>
          <w:sz w:val="24"/>
        </w:rPr>
        <w:t>износ.</w:t>
      </w:r>
    </w:p>
    <w:p>
      <w:pPr>
        <w:pStyle w:val="BodyText"/>
        <w:spacing w:line="240" w:lineRule="auto"/>
        <w:ind w:right="173" w:firstLine="566"/>
        <w:jc w:val="both"/>
      </w:pPr>
      <w:r>
        <w:rPr>
          <w:rFonts w:ascii="Times New Roman" w:hAnsi="Times New Roman"/>
          <w:b/>
        </w:rPr>
        <w:t>На основу ревизије узорковане документације утврђено је </w:t>
      </w:r>
      <w:r>
        <w:rPr/>
        <w:t>да је ова билансна позиција мање исказана код Управе за пољопривреду и развој села за износ који у поступку ревизије нисмо могли да утврдимо, за заштитну одећу и обућу која је неправилно евидентирана као опрема и код које је вршен обрачун</w:t>
      </w:r>
      <w:r>
        <w:rPr>
          <w:spacing w:val="-18"/>
        </w:rPr>
        <w:t> </w:t>
      </w:r>
      <w:r>
        <w:rPr/>
        <w:t>амортизације.</w:t>
      </w:r>
    </w:p>
    <w:p>
      <w:pPr>
        <w:pStyle w:val="Heading2"/>
        <w:spacing w:line="240" w:lineRule="auto"/>
        <w:ind w:right="181"/>
        <w:jc w:val="both"/>
        <w:rPr>
          <w:b w:val="0"/>
          <w:bCs w:val="0"/>
          <w:i w:val="0"/>
        </w:rPr>
      </w:pPr>
      <w:r>
        <w:rPr>
          <w:i/>
        </w:rPr>
        <w:t>Препоручује се одговорним лицима да обезбеде правилну примену одредби Уредбе о буџетском рачуноводству, Правилника о стандардном класификационом оквиру и контном плану за буџетски систем и Правилника о буџетском рачуноводству и рачуноводственим</w:t>
      </w:r>
      <w:r>
        <w:rPr>
          <w:i/>
          <w:spacing w:val="-11"/>
        </w:rPr>
        <w:t> </w:t>
      </w:r>
      <w:r>
        <w:rPr>
          <w:i/>
        </w:rPr>
        <w:t>политикама.</w:t>
      </w:r>
      <w:r>
        <w:rPr>
          <w:b w:val="0"/>
          <w:i w:val="0"/>
        </w:rPr>
      </w:r>
    </w:p>
    <w:p>
      <w:pPr>
        <w:spacing w:line="240" w:lineRule="auto" w:before="0"/>
        <w:ind w:left="160" w:right="180"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Залихе потрошног материјала, конто 022200 </w:t>
      </w:r>
      <w:r>
        <w:rPr>
          <w:rFonts w:ascii="Times New Roman" w:hAnsi="Times New Roman" w:cs="Times New Roman" w:eastAsia="Times New Roman" w:hint="default"/>
          <w:sz w:val="24"/>
          <w:szCs w:val="24"/>
        </w:rPr>
        <w:t>– Исказан је износ од 17.416 хиљада динара за залихе исказане</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код:</w:t>
      </w:r>
    </w:p>
    <w:p>
      <w:pPr>
        <w:pStyle w:val="ListParagraph"/>
        <w:numPr>
          <w:ilvl w:val="0"/>
          <w:numId w:val="69"/>
        </w:numPr>
        <w:tabs>
          <w:tab w:pos="303" w:val="left" w:leader="none"/>
        </w:tabs>
        <w:spacing w:line="240" w:lineRule="auto" w:before="0" w:after="0"/>
        <w:ind w:left="160" w:right="179"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Управе за образовање </w:t>
      </w:r>
      <w:r>
        <w:rPr>
          <w:rFonts w:ascii="Times New Roman" w:hAnsi="Times New Roman" w:cs="Times New Roman" w:eastAsia="Times New Roman" w:hint="default"/>
          <w:sz w:val="24"/>
          <w:szCs w:val="24"/>
        </w:rPr>
        <w:t>у износу од 4.992 хиљаде динара за исказане залихе потрошног </w:t>
      </w:r>
      <w:r>
        <w:rPr>
          <w:rFonts w:ascii="Times New Roman" w:hAnsi="Times New Roman" w:cs="Times New Roman" w:eastAsia="Times New Roman" w:hint="default"/>
          <w:sz w:val="24"/>
          <w:szCs w:val="24"/>
        </w:rPr>
        <w:t>материјала код ПУ</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„Пчелица“</w:t>
      </w:r>
      <w:r>
        <w:rPr>
          <w:rFonts w:ascii="Times New Roman" w:hAnsi="Times New Roman" w:cs="Times New Roman" w:eastAsia="Times New Roman" w:hint="default"/>
          <w:sz w:val="24"/>
          <w:szCs w:val="24"/>
        </w:rPr>
        <w:t>.</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Ова позиција мање је исказана код ПУ „Пчелица“ за износ од укупно 1.408 хиљада динара и то за вредност залиха намирница за припрему оброка за децу у износу од 902 хиљаде динара и за вредност материјала за одржавање објеката и опреме у износу од 506 хиљада динара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што је супротно члану 9. Уредбе о буџетском рачуноводству и Правилнику о стандардном класификационом оквиру и контном плану за буџетски систем.</w:t>
      </w:r>
    </w:p>
    <w:p>
      <w:pPr>
        <w:pStyle w:val="ListParagraph"/>
        <w:numPr>
          <w:ilvl w:val="0"/>
          <w:numId w:val="9"/>
        </w:numPr>
        <w:tabs>
          <w:tab w:pos="303" w:val="left" w:leader="none"/>
        </w:tabs>
        <w:spacing w:line="240" w:lineRule="auto" w:before="2" w:after="0"/>
        <w:ind w:left="160" w:right="17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Ова позиција више је исказана код ПУ „Пчелица“ у укупном износу од 740 хиљада динара и то по основу опреме на залихама у магацину (у припреми) у износу од 440 хиљада динара (опрема за образовање у износу од 245 хиљада динара и опрема за спорт у износу од 195 хиљада динара) и по основу ситног инвентара на залихама у износу од 300 хиљада динара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за дидактички материјал,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систем.</w:t>
      </w:r>
    </w:p>
    <w:p>
      <w:pPr>
        <w:pStyle w:val="Heading2"/>
        <w:spacing w:line="240" w:lineRule="auto"/>
        <w:ind w:right="174" w:firstLine="578"/>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rFonts w:ascii="Times New Roman" w:hAnsi="Times New Roman"/>
          <w:i/>
        </w:rPr>
        <w:t>.</w:t>
      </w:r>
      <w:r>
        <w:rPr>
          <w:rFonts w:ascii="Times New Roman" w:hAnsi="Times New Roman"/>
          <w:b w:val="0"/>
          <w:i w:val="0"/>
        </w:rPr>
      </w:r>
    </w:p>
    <w:p>
      <w:pPr>
        <w:pStyle w:val="ListParagraph"/>
        <w:numPr>
          <w:ilvl w:val="0"/>
          <w:numId w:val="69"/>
        </w:numPr>
        <w:tabs>
          <w:tab w:pos="303"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културу </w:t>
      </w:r>
      <w:r>
        <w:rPr>
          <w:rFonts w:ascii="Times New Roman" w:hAnsi="Times New Roman"/>
          <w:sz w:val="24"/>
        </w:rPr>
        <w:t>у износу од 62 хиљаде динара, за исказане залихе потрошног </w:t>
      </w:r>
      <w:r>
        <w:rPr>
          <w:rFonts w:ascii="Times New Roman" w:hAnsi="Times New Roman"/>
          <w:sz w:val="24"/>
        </w:rPr>
        <w:t>материјала код Народне библиотеке у износу од 15 хиљада динара и Народног  позоришта у износу од 47 хиљада</w:t>
      </w:r>
      <w:r>
        <w:rPr>
          <w:rFonts w:ascii="Times New Roman" w:hAnsi="Times New Roman"/>
          <w:spacing w:val="-12"/>
          <w:sz w:val="24"/>
        </w:rPr>
        <w:t> </w:t>
      </w:r>
      <w:r>
        <w:rPr>
          <w:rFonts w:ascii="Times New Roman" w:hAnsi="Times New Roman"/>
          <w:sz w:val="24"/>
        </w:rPr>
        <w:t>динара</w:t>
      </w:r>
      <w:r>
        <w:rPr>
          <w:rFonts w:ascii="Times New Roman" w:hAnsi="Times New Roman"/>
          <w:sz w:val="24"/>
        </w:rPr>
        <w:t>.</w:t>
      </w:r>
    </w:p>
    <w:p>
      <w:pPr>
        <w:pStyle w:val="ListParagraph"/>
        <w:numPr>
          <w:ilvl w:val="0"/>
          <w:numId w:val="69"/>
        </w:numPr>
        <w:tabs>
          <w:tab w:pos="303" w:val="left" w:leader="none"/>
        </w:tabs>
        <w:spacing w:line="240" w:lineRule="auto" w:before="0" w:after="0"/>
        <w:ind w:left="160" w:right="181"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омладину и спорт </w:t>
      </w:r>
      <w:r>
        <w:rPr>
          <w:rFonts w:ascii="Times New Roman" w:hAnsi="Times New Roman"/>
          <w:sz w:val="24"/>
        </w:rPr>
        <w:t>у износу од 1.217 хиљада динара за залихе материјала </w:t>
      </w:r>
      <w:r>
        <w:rPr>
          <w:rFonts w:ascii="Times New Roman" w:hAnsi="Times New Roman"/>
          <w:sz w:val="24"/>
        </w:rPr>
        <w:t>исказане код СЦ</w:t>
      </w:r>
      <w:r>
        <w:rPr>
          <w:rFonts w:ascii="Times New Roman" w:hAnsi="Times New Roman"/>
          <w:spacing w:val="-6"/>
          <w:sz w:val="24"/>
        </w:rPr>
        <w:t> </w:t>
      </w:r>
      <w:r>
        <w:rPr>
          <w:rFonts w:ascii="Times New Roman" w:hAnsi="Times New Roman"/>
          <w:sz w:val="24"/>
        </w:rPr>
        <w:t>Чаир.</w:t>
      </w:r>
    </w:p>
    <w:p>
      <w:pPr>
        <w:pStyle w:val="ListParagraph"/>
        <w:numPr>
          <w:ilvl w:val="0"/>
          <w:numId w:val="69"/>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комуналне делатности, енергетику и саобраћај </w:t>
      </w:r>
      <w:r>
        <w:rPr>
          <w:rFonts w:ascii="Times New Roman" w:hAnsi="Times New Roman"/>
          <w:sz w:val="24"/>
        </w:rPr>
        <w:t>у износу од 11.145 хиљада </w:t>
      </w:r>
      <w:r>
        <w:rPr>
          <w:rFonts w:ascii="Times New Roman" w:hAnsi="Times New Roman"/>
          <w:sz w:val="24"/>
        </w:rPr>
        <w:t>динара за залихе материјала исказане код ЈП</w:t>
      </w:r>
      <w:r>
        <w:rPr>
          <w:rFonts w:ascii="Times New Roman" w:hAnsi="Times New Roman"/>
          <w:spacing w:val="-17"/>
          <w:sz w:val="24"/>
        </w:rPr>
        <w:t> </w:t>
      </w:r>
      <w:r>
        <w:rPr>
          <w:rFonts w:ascii="Times New Roman" w:hAnsi="Times New Roman"/>
          <w:sz w:val="24"/>
        </w:rPr>
        <w:t>Дирекција.</w:t>
      </w:r>
    </w:p>
    <w:p>
      <w:pPr>
        <w:spacing w:before="0"/>
        <w:ind w:left="160" w:right="174"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је ЈП Дирекција ову билансну позицију исказала у већем износу за 3.189 хиљада динара (за опрему која је утврђена</w:t>
      </w:r>
      <w:r>
        <w:rPr>
          <w:rFonts w:ascii="Times New Roman" w:hAnsi="Times New Roman"/>
          <w:spacing w:val="28"/>
          <w:sz w:val="24"/>
        </w:rPr>
        <w:t> </w:t>
      </w:r>
      <w:r>
        <w:rPr>
          <w:rFonts w:ascii="Times New Roman" w:hAnsi="Times New Roman"/>
          <w:sz w:val="24"/>
        </w:rPr>
        <w:t>по</w:t>
      </w:r>
      <w:r>
        <w:rPr>
          <w:rFonts w:ascii="Times New Roman" w:hAnsi="Times New Roman"/>
          <w:spacing w:val="29"/>
          <w:sz w:val="24"/>
        </w:rPr>
        <w:t> </w:t>
      </w:r>
      <w:r>
        <w:rPr>
          <w:rFonts w:ascii="Times New Roman" w:hAnsi="Times New Roman"/>
          <w:sz w:val="24"/>
        </w:rPr>
        <w:t>попису</w:t>
      </w:r>
      <w:r>
        <w:rPr>
          <w:rFonts w:ascii="Times New Roman" w:hAnsi="Times New Roman"/>
          <w:spacing w:val="24"/>
          <w:sz w:val="24"/>
        </w:rPr>
        <w:t> </w:t>
      </w:r>
      <w:r>
        <w:rPr>
          <w:rFonts w:ascii="Times New Roman" w:hAnsi="Times New Roman"/>
          <w:sz w:val="24"/>
        </w:rPr>
        <w:t>2002.</w:t>
      </w:r>
      <w:r>
        <w:rPr>
          <w:rFonts w:ascii="Times New Roman" w:hAnsi="Times New Roman"/>
          <w:spacing w:val="28"/>
          <w:sz w:val="24"/>
        </w:rPr>
        <w:t> </w:t>
      </w:r>
      <w:r>
        <w:rPr>
          <w:rFonts w:ascii="Times New Roman" w:hAnsi="Times New Roman"/>
          <w:sz w:val="24"/>
        </w:rPr>
        <w:t>године,</w:t>
      </w:r>
      <w:r>
        <w:rPr>
          <w:rFonts w:ascii="Times New Roman" w:hAnsi="Times New Roman"/>
          <w:spacing w:val="28"/>
          <w:sz w:val="24"/>
        </w:rPr>
        <w:t> </w:t>
      </w:r>
      <w:r>
        <w:rPr>
          <w:rFonts w:ascii="Times New Roman" w:hAnsi="Times New Roman"/>
          <w:sz w:val="24"/>
        </w:rPr>
        <w:t>а</w:t>
      </w:r>
      <w:r>
        <w:rPr>
          <w:rFonts w:ascii="Times New Roman" w:hAnsi="Times New Roman"/>
          <w:spacing w:val="28"/>
          <w:sz w:val="24"/>
        </w:rPr>
        <w:t> </w:t>
      </w:r>
      <w:r>
        <w:rPr>
          <w:rFonts w:ascii="Times New Roman" w:hAnsi="Times New Roman"/>
          <w:sz w:val="24"/>
        </w:rPr>
        <w:t>односи</w:t>
      </w:r>
      <w:r>
        <w:rPr>
          <w:rFonts w:ascii="Times New Roman" w:hAnsi="Times New Roman"/>
          <w:spacing w:val="29"/>
          <w:sz w:val="24"/>
        </w:rPr>
        <w:t> </w:t>
      </w:r>
      <w:r>
        <w:rPr>
          <w:rFonts w:ascii="Times New Roman" w:hAnsi="Times New Roman"/>
          <w:sz w:val="24"/>
        </w:rPr>
        <w:t>се</w:t>
      </w:r>
      <w:r>
        <w:rPr>
          <w:rFonts w:ascii="Times New Roman" w:hAnsi="Times New Roman"/>
          <w:spacing w:val="28"/>
          <w:sz w:val="24"/>
        </w:rPr>
        <w:t> </w:t>
      </w:r>
      <w:r>
        <w:rPr>
          <w:rFonts w:ascii="Times New Roman" w:hAnsi="Times New Roman"/>
          <w:sz w:val="24"/>
        </w:rPr>
        <w:t>на</w:t>
      </w:r>
      <w:r>
        <w:rPr>
          <w:rFonts w:ascii="Times New Roman" w:hAnsi="Times New Roman"/>
          <w:spacing w:val="28"/>
          <w:sz w:val="24"/>
        </w:rPr>
        <w:t> </w:t>
      </w:r>
      <w:r>
        <w:rPr>
          <w:rFonts w:ascii="Times New Roman" w:hAnsi="Times New Roman"/>
          <w:sz w:val="24"/>
        </w:rPr>
        <w:t>рекламне</w:t>
      </w:r>
      <w:r>
        <w:rPr>
          <w:rFonts w:ascii="Times New Roman" w:hAnsi="Times New Roman"/>
          <w:spacing w:val="28"/>
          <w:sz w:val="24"/>
        </w:rPr>
        <w:t> </w:t>
      </w:r>
      <w:r>
        <w:rPr>
          <w:rFonts w:ascii="Times New Roman" w:hAnsi="Times New Roman"/>
          <w:sz w:val="24"/>
        </w:rPr>
        <w:t>паное</w:t>
      </w:r>
      <w:r>
        <w:rPr>
          <w:rFonts w:ascii="Times New Roman" w:hAnsi="Times New Roman"/>
          <w:spacing w:val="28"/>
          <w:sz w:val="24"/>
        </w:rPr>
        <w:t> </w:t>
      </w:r>
      <w:r>
        <w:rPr>
          <w:rFonts w:ascii="Times New Roman" w:hAnsi="Times New Roman"/>
          <w:sz w:val="24"/>
        </w:rPr>
        <w:t>и</w:t>
      </w:r>
      <w:r>
        <w:rPr>
          <w:rFonts w:ascii="Times New Roman" w:hAnsi="Times New Roman"/>
          <w:spacing w:val="29"/>
          <w:sz w:val="24"/>
        </w:rPr>
        <w:t> </w:t>
      </w:r>
      <w:r>
        <w:rPr>
          <w:rFonts w:ascii="Times New Roman" w:hAnsi="Times New Roman"/>
          <w:sz w:val="24"/>
        </w:rPr>
        <w:t>електронске</w:t>
      </w:r>
      <w:r>
        <w:rPr>
          <w:rFonts w:ascii="Times New Roman" w:hAnsi="Times New Roman"/>
          <w:spacing w:val="28"/>
          <w:sz w:val="24"/>
        </w:rPr>
        <w:t> </w:t>
      </w:r>
      <w:r>
        <w:rPr>
          <w:rFonts w:ascii="Times New Roman" w:hAnsi="Times New Roman"/>
          <w:sz w:val="24"/>
        </w:rPr>
        <w:t>паное,</w:t>
      </w:r>
    </w:p>
    <w:p>
      <w:pPr>
        <w:spacing w:after="0"/>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2"/>
        <w:jc w:val="both"/>
      </w:pPr>
      <w:r>
        <w:rPr/>
        <w:t>амортизација ове опреме није вршена од 2002. године), а мање исказала билансну позицију 011300 </w:t>
      </w:r>
      <w:r>
        <w:rPr>
          <w:rFonts w:ascii="Times New Roman" w:hAnsi="Times New Roman"/>
        </w:rPr>
        <w:t>- </w:t>
      </w:r>
      <w:r>
        <w:rPr/>
        <w:t>Остале некретнине и опрема у износу који у поступку ревизије нисмо могли утврдити, обзиром да није вршена амортизација ове опреме, што је супротно</w:t>
      </w:r>
      <w:r>
        <w:rPr>
          <w:spacing w:val="-18"/>
        </w:rPr>
        <w:t> </w:t>
      </w:r>
      <w:r>
        <w:rPr/>
        <w:t>члану</w:t>
      </w:r>
    </w:p>
    <w:p>
      <w:pPr>
        <w:pStyle w:val="BodyText"/>
        <w:spacing w:line="240" w:lineRule="auto"/>
        <w:ind w:right="182"/>
        <w:jc w:val="both"/>
      </w:pPr>
      <w:r>
        <w:rPr/>
        <w:t>9. Уредбе о буџетском рачуноводству и Правилнику о стандардном класификационом оквиру и контном плану за буџетски</w:t>
      </w:r>
      <w:r>
        <w:rPr>
          <w:spacing w:val="-21"/>
        </w:rPr>
        <w:t> </w:t>
      </w:r>
      <w:r>
        <w:rPr/>
        <w:t>систем.</w:t>
      </w:r>
    </w:p>
    <w:p>
      <w:pPr>
        <w:pStyle w:val="BodyText"/>
        <w:spacing w:line="240" w:lineRule="auto"/>
        <w:ind w:right="175" w:firstLine="566"/>
        <w:jc w:val="both"/>
      </w:pPr>
      <w:r>
        <w:rPr/>
        <w:t>У поступку ревизије одговорна лица ЈП Дирекција су извршила исправку ове неправилности, тако што су оформила комисију која је извршила процену рекламних и електронских паноа и иста је евидентирана у процењеној вредности на конту 011300 – Остале некретнине и</w:t>
      </w:r>
      <w:r>
        <w:rPr>
          <w:spacing w:val="-11"/>
        </w:rPr>
        <w:t> </w:t>
      </w:r>
      <w:r>
        <w:rPr/>
        <w:t>опрема.</w:t>
      </w:r>
    </w:p>
    <w:p>
      <w:pPr>
        <w:pStyle w:val="BodyText"/>
        <w:spacing w:line="240" w:lineRule="auto"/>
        <w:ind w:right="0"/>
        <w:jc w:val="both"/>
      </w:pPr>
      <w:r>
        <w:rPr>
          <w:rFonts w:ascii="Times New Roman" w:hAnsi="Times New Roman"/>
        </w:rPr>
        <w:t>- </w:t>
      </w:r>
      <w:r>
        <w:rPr/>
        <w:t>У Билансу стања </w:t>
      </w:r>
      <w:r>
        <w:rPr>
          <w:rFonts w:ascii="Times New Roman" w:hAnsi="Times New Roman"/>
        </w:rPr>
      </w:r>
      <w:r>
        <w:rPr>
          <w:rFonts w:ascii="Times New Roman" w:hAnsi="Times New Roman"/>
          <w:u w:val="single" w:color="000000"/>
        </w:rPr>
      </w:r>
      <w:r>
        <w:rPr>
          <w:u w:val="single" w:color="000000"/>
        </w:rPr>
        <w:t>Управе за пољопривреду и развој села </w:t>
      </w:r>
      <w:r>
        <w:rPr/>
        <w:t>није исказан</w:t>
      </w:r>
      <w:r>
        <w:rPr>
          <w:spacing w:val="-21"/>
        </w:rPr>
        <w:t> </w:t>
      </w:r>
      <w:r>
        <w:rPr/>
        <w:t>износ.</w:t>
      </w:r>
    </w:p>
    <w:p>
      <w:pPr>
        <w:pStyle w:val="BodyText"/>
        <w:spacing w:line="240" w:lineRule="auto"/>
        <w:ind w:right="174" w:firstLine="566"/>
        <w:jc w:val="both"/>
      </w:pPr>
      <w:r>
        <w:rPr>
          <w:rFonts w:ascii="Times New Roman" w:hAnsi="Times New Roman"/>
          <w:b/>
        </w:rPr>
        <w:t>На основу ревизије узорковане документације утврђено је </w:t>
      </w:r>
      <w:r>
        <w:rPr/>
        <w:t>да је ова позиција мање исказана за вредност противградних ракета коју у поступку ревизије нисмо могли да утврдимо, јер су исте евидентиране као опрема код којих је вршен обрачун амортизације и јер се нисмо уверили у тачност и правилност извршеног пописа</w:t>
      </w:r>
      <w:r>
        <w:rPr>
          <w:spacing w:val="-20"/>
        </w:rPr>
        <w:t> </w:t>
      </w:r>
      <w:r>
        <w:rPr/>
        <w:t>ракета.</w:t>
      </w:r>
    </w:p>
    <w:p>
      <w:pPr>
        <w:pStyle w:val="Heading2"/>
        <w:spacing w:line="240" w:lineRule="auto"/>
        <w:ind w:right="181"/>
        <w:jc w:val="both"/>
        <w:rPr>
          <w:b w:val="0"/>
          <w:bCs w:val="0"/>
          <w:i w:val="0"/>
        </w:rPr>
      </w:pPr>
      <w:r>
        <w:rPr>
          <w:i/>
        </w:rPr>
        <w:t>Препоручује се одговорним лицима да обезбеде правилну примену одредби Уредбе о буџетском рачуноводству, Правилника о стандардном класификационом оквиру и контном плану за буџетски систем и Правилника о буџетском рачуноводству и рачуноводственим</w:t>
      </w:r>
      <w:r>
        <w:rPr>
          <w:i/>
          <w:spacing w:val="-8"/>
        </w:rPr>
        <w:t> </w:t>
      </w:r>
      <w:r>
        <w:rPr>
          <w:i/>
        </w:rPr>
        <w:t>политикама.</w:t>
      </w:r>
      <w:r>
        <w:rPr>
          <w:b w:val="0"/>
          <w:i w:val="0"/>
        </w:rPr>
      </w:r>
    </w:p>
    <w:p>
      <w:pPr>
        <w:spacing w:line="274" w:lineRule="exact" w:before="137"/>
        <w:ind w:left="726" w:right="141" w:firstLine="0"/>
        <w:jc w:val="left"/>
        <w:rPr>
          <w:rFonts w:ascii="Times New Roman" w:hAnsi="Times New Roman" w:cs="Times New Roman" w:eastAsia="Times New Roman" w:hint="default"/>
          <w:sz w:val="24"/>
          <w:szCs w:val="24"/>
        </w:rPr>
      </w:pPr>
      <w:r>
        <w:rPr>
          <w:rFonts w:ascii="Times New Roman" w:hAnsi="Times New Roman"/>
          <w:b/>
          <w:sz w:val="24"/>
        </w:rPr>
        <w:t>2</w:t>
      </w:r>
      <w:r>
        <w:rPr>
          <w:rFonts w:ascii="Times New Roman" w:hAnsi="Times New Roman"/>
          <w:b/>
          <w:sz w:val="24"/>
        </w:rPr>
        <w:t>) Финансијска</w:t>
      </w:r>
      <w:r>
        <w:rPr>
          <w:rFonts w:ascii="Times New Roman" w:hAnsi="Times New Roman"/>
          <w:b/>
          <w:spacing w:val="-5"/>
          <w:sz w:val="24"/>
        </w:rPr>
        <w:t> </w:t>
      </w:r>
      <w:r>
        <w:rPr>
          <w:rFonts w:ascii="Times New Roman" w:hAnsi="Times New Roman"/>
          <w:b/>
          <w:sz w:val="24"/>
        </w:rPr>
        <w:t>имовина</w:t>
      </w:r>
      <w:r>
        <w:rPr>
          <w:rFonts w:ascii="Times New Roman" w:hAnsi="Times New Roman"/>
          <w:sz w:val="24"/>
        </w:rPr>
      </w:r>
    </w:p>
    <w:p>
      <w:pPr>
        <w:pStyle w:val="BodyText"/>
        <w:spacing w:line="274" w:lineRule="exact"/>
        <w:ind w:left="726" w:right="141"/>
        <w:jc w:val="left"/>
      </w:pPr>
      <w:r>
        <w:rPr/>
        <w:t>Финансијска имовина је исказана у износу од </w:t>
      </w:r>
      <w:r>
        <w:rPr>
          <w:rFonts w:ascii="Times New Roman" w:hAnsi="Times New Roman"/>
        </w:rPr>
        <w:t>3.272.406 </w:t>
      </w:r>
      <w:r>
        <w:rPr/>
        <w:t>хиљада</w:t>
      </w:r>
      <w:r>
        <w:rPr>
          <w:spacing w:val="-19"/>
        </w:rPr>
        <w:t> </w:t>
      </w:r>
      <w:r>
        <w:rPr/>
        <w:t>динара.</w:t>
      </w:r>
    </w:p>
    <w:p>
      <w:pPr>
        <w:spacing w:line="237" w:lineRule="auto" w:before="7"/>
        <w:ind w:left="160" w:right="172" w:firstLine="566"/>
        <w:jc w:val="both"/>
        <w:rPr>
          <w:rFonts w:ascii="Times New Roman" w:hAnsi="Times New Roman" w:cs="Times New Roman" w:eastAsia="Times New Roman" w:hint="default"/>
          <w:sz w:val="24"/>
          <w:szCs w:val="24"/>
        </w:rPr>
      </w:pPr>
      <w:r>
        <w:rPr>
          <w:rFonts w:ascii="Times New Roman" w:hAnsi="Times New Roman"/>
          <w:b/>
          <w:sz w:val="24"/>
        </w:rPr>
        <w:t>Кредити домаћим јавним финансијским институцијама, конто 111300  </w:t>
      </w:r>
      <w:r>
        <w:rPr>
          <w:rFonts w:ascii="Times New Roman" w:hAnsi="Times New Roman"/>
          <w:b/>
          <w:sz w:val="24"/>
        </w:rPr>
        <w:t>- </w:t>
      </w:r>
      <w:r>
        <w:rPr>
          <w:rFonts w:ascii="Times New Roman" w:hAnsi="Times New Roman"/>
          <w:sz w:val="24"/>
        </w:rPr>
        <w:t>Исказан је износ од 200 хиљада динара код Управе за омладину и спорт за кредите домаћим јавним финансијским институцијама исказане код СЦ</w:t>
      </w:r>
      <w:r>
        <w:rPr>
          <w:rFonts w:ascii="Times New Roman" w:hAnsi="Times New Roman"/>
          <w:spacing w:val="-24"/>
          <w:sz w:val="24"/>
        </w:rPr>
        <w:t> </w:t>
      </w:r>
      <w:r>
        <w:rPr>
          <w:rFonts w:ascii="Times New Roman" w:hAnsi="Times New Roman"/>
          <w:sz w:val="24"/>
        </w:rPr>
        <w:t>Чаир.</w:t>
      </w:r>
    </w:p>
    <w:p>
      <w:pPr>
        <w:spacing w:before="0"/>
        <w:ind w:left="160" w:right="173" w:firstLine="566"/>
        <w:jc w:val="both"/>
        <w:rPr>
          <w:rFonts w:ascii="Times New Roman" w:hAnsi="Times New Roman" w:cs="Times New Roman" w:eastAsia="Times New Roman" w:hint="default"/>
          <w:sz w:val="22"/>
          <w:szCs w:val="22"/>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је к</w:t>
      </w:r>
      <w:r>
        <w:rPr>
          <w:rFonts w:ascii="Times New Roman" w:hAnsi="Times New Roman"/>
          <w:sz w:val="22"/>
        </w:rPr>
        <w:t>од СЦ Чаир  </w:t>
      </w:r>
      <w:r>
        <w:rPr>
          <w:rFonts w:ascii="Times New Roman" w:hAnsi="Times New Roman"/>
          <w:sz w:val="22"/>
        </w:rPr>
        <w:t>више исказана дугорочна финансијска имовина у износу од 200 хиљада</w:t>
      </w:r>
      <w:r>
        <w:rPr>
          <w:rFonts w:ascii="Times New Roman" w:hAnsi="Times New Roman"/>
          <w:spacing w:val="-12"/>
          <w:sz w:val="22"/>
        </w:rPr>
        <w:t> </w:t>
      </w:r>
      <w:r>
        <w:rPr>
          <w:rFonts w:ascii="Times New Roman" w:hAnsi="Times New Roman"/>
          <w:sz w:val="22"/>
        </w:rPr>
        <w:t>динара.</w:t>
      </w:r>
    </w:p>
    <w:p>
      <w:pPr>
        <w:pStyle w:val="Heading2"/>
        <w:spacing w:line="275" w:lineRule="exact" w:before="4"/>
        <w:ind w:left="726" w:right="141" w:firstLine="0"/>
        <w:jc w:val="left"/>
        <w:rPr>
          <w:b w:val="0"/>
          <w:bCs w:val="0"/>
          <w:i w:val="0"/>
        </w:rPr>
      </w:pPr>
      <w:r>
        <w:rPr>
          <w:i/>
        </w:rPr>
        <w:t>Препоручује се одговорним лицима да правилно и тачно исказују дате</w:t>
      </w:r>
      <w:r>
        <w:rPr>
          <w:i/>
          <w:spacing w:val="-25"/>
        </w:rPr>
        <w:t> </w:t>
      </w:r>
      <w:r>
        <w:rPr>
          <w:i/>
        </w:rPr>
        <w:t>кредите.</w:t>
      </w:r>
      <w:r>
        <w:rPr>
          <w:b w:val="0"/>
          <w:i w:val="0"/>
        </w:rPr>
      </w:r>
    </w:p>
    <w:p>
      <w:pPr>
        <w:spacing w:line="237" w:lineRule="auto" w:before="1"/>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Кредити домаћим јавним нефинансијским институцијама, конто 111500 </w:t>
      </w:r>
      <w:r>
        <w:rPr>
          <w:rFonts w:ascii="Times New Roman" w:hAnsi="Times New Roman" w:cs="Times New Roman" w:eastAsia="Times New Roman" w:hint="default"/>
          <w:b/>
          <w:bCs/>
          <w:i/>
          <w:sz w:val="24"/>
          <w:szCs w:val="24"/>
        </w:rPr>
        <w:t>– </w:t>
      </w:r>
      <w:r>
        <w:rPr>
          <w:rFonts w:ascii="Times New Roman" w:hAnsi="Times New Roman" w:cs="Times New Roman" w:eastAsia="Times New Roman" w:hint="default"/>
          <w:sz w:val="24"/>
          <w:szCs w:val="24"/>
        </w:rPr>
        <w:t>Исказан је износ од 89.752 хиљаде динара и то код Управе за финансије, изворне приходе локалне самоуправе и јавне</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набавке.</w:t>
      </w:r>
    </w:p>
    <w:p>
      <w:pPr>
        <w:spacing w:before="0"/>
        <w:ind w:left="160" w:right="177"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Кредити физичким лицима и домаћинствима у земљи, конто 111600 </w:t>
      </w:r>
      <w:r>
        <w:rPr>
          <w:rFonts w:ascii="Times New Roman" w:hAnsi="Times New Roman" w:cs="Times New Roman" w:eastAsia="Times New Roman" w:hint="default"/>
          <w:sz w:val="24"/>
          <w:szCs w:val="24"/>
        </w:rPr>
        <w:t>– Исказан је износ од 70.541 хиљаде динара код Управе за планирање и изградњу за ЈП</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ГСА</w:t>
      </w:r>
    </w:p>
    <w:p>
      <w:pPr>
        <w:pStyle w:val="Heading1"/>
        <w:spacing w:line="240" w:lineRule="auto" w:before="0"/>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1"/>
        </w:rPr>
        <w:t> </w:t>
      </w:r>
      <w:r>
        <w:rPr/>
        <w:t>је</w:t>
      </w:r>
      <w:r>
        <w:rPr>
          <w:rFonts w:ascii="Times New Roman" w:hAnsi="Times New Roman"/>
          <w:b w:val="0"/>
        </w:rPr>
        <w:t>:</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Ова билансна позиција </w:t>
      </w:r>
      <w:r>
        <w:rPr>
          <w:rFonts w:ascii="Times New Roman" w:hAnsi="Times New Roman"/>
          <w:spacing w:val="-7"/>
          <w:sz w:val="24"/>
        </w:rPr>
        <w:t>код </w:t>
      </w:r>
      <w:r>
        <w:rPr>
          <w:rFonts w:ascii="Times New Roman" w:hAnsi="Times New Roman"/>
          <w:sz w:val="24"/>
        </w:rPr>
        <w:t>ЈП </w:t>
      </w:r>
      <w:r>
        <w:rPr>
          <w:rFonts w:ascii="Times New Roman" w:hAnsi="Times New Roman"/>
          <w:spacing w:val="-5"/>
          <w:sz w:val="24"/>
        </w:rPr>
        <w:t>ГСА </w:t>
      </w:r>
      <w:r>
        <w:rPr>
          <w:rFonts w:ascii="Times New Roman" w:hAnsi="Times New Roman"/>
          <w:sz w:val="24"/>
        </w:rPr>
        <w:t>исказана је у већем износу за 70.541 хиљаде динара, </w:t>
      </w:r>
      <w:r>
        <w:rPr>
          <w:rFonts w:ascii="Times New Roman" w:hAnsi="Times New Roman"/>
          <w:sz w:val="24"/>
        </w:rPr>
        <w:t>јер је ЈП </w:t>
      </w:r>
      <w:r>
        <w:rPr>
          <w:rFonts w:ascii="Times New Roman" w:hAnsi="Times New Roman"/>
          <w:spacing w:val="-5"/>
          <w:sz w:val="24"/>
        </w:rPr>
        <w:t>ГСА </w:t>
      </w:r>
      <w:r>
        <w:rPr>
          <w:rFonts w:ascii="Times New Roman" w:hAnsi="Times New Roman"/>
          <w:sz w:val="24"/>
        </w:rPr>
        <w:t>евидентирала доспеле ануитете </w:t>
      </w:r>
      <w:r>
        <w:rPr>
          <w:rFonts w:ascii="Times New Roman" w:hAnsi="Times New Roman"/>
          <w:spacing w:val="-3"/>
          <w:sz w:val="24"/>
        </w:rPr>
        <w:t>који </w:t>
      </w:r>
      <w:r>
        <w:rPr>
          <w:rFonts w:ascii="Times New Roman" w:hAnsi="Times New Roman"/>
          <w:sz w:val="24"/>
        </w:rPr>
        <w:t>нису плаћени до краја 2014. </w:t>
      </w:r>
      <w:r>
        <w:rPr>
          <w:rFonts w:ascii="Times New Roman" w:hAnsi="Times New Roman"/>
          <w:spacing w:val="-3"/>
          <w:sz w:val="24"/>
        </w:rPr>
        <w:t>године, </w:t>
      </w:r>
      <w:r>
        <w:rPr>
          <w:rFonts w:ascii="Times New Roman" w:hAnsi="Times New Roman"/>
          <w:spacing w:val="-3"/>
          <w:sz w:val="24"/>
        </w:rPr>
      </w:r>
      <w:r>
        <w:rPr>
          <w:rFonts w:ascii="Times New Roman" w:hAnsi="Times New Roman"/>
          <w:sz w:val="24"/>
        </w:rPr>
        <w:t>што је супротно члану 9. Уредбе о буџетском рачуноводству и Правилнику о </w:t>
      </w:r>
      <w:r>
        <w:rPr>
          <w:rFonts w:ascii="Times New Roman" w:hAnsi="Times New Roman"/>
          <w:sz w:val="24"/>
        </w:rPr>
        <w:t>стандардном класификационом оквиру и контном плану за буџетски</w:t>
      </w:r>
      <w:r>
        <w:rPr>
          <w:rFonts w:ascii="Times New Roman" w:hAnsi="Times New Roman"/>
          <w:spacing w:val="-23"/>
          <w:sz w:val="24"/>
        </w:rPr>
        <w:t> </w:t>
      </w:r>
      <w:r>
        <w:rPr>
          <w:rFonts w:ascii="Times New Roman" w:hAnsi="Times New Roman"/>
          <w:sz w:val="24"/>
        </w:rPr>
        <w:t>систем</w:t>
      </w:r>
      <w:r>
        <w:rPr>
          <w:rFonts w:ascii="Times New Roman" w:hAnsi="Times New Roman"/>
          <w:sz w:val="24"/>
        </w:rPr>
        <w:t>.</w:t>
      </w:r>
    </w:p>
    <w:p>
      <w:pPr>
        <w:pStyle w:val="ListParagraph"/>
        <w:numPr>
          <w:ilvl w:val="0"/>
          <w:numId w:val="9"/>
        </w:numPr>
        <w:tabs>
          <w:tab w:pos="303" w:val="left" w:leader="none"/>
        </w:tabs>
        <w:spacing w:line="237" w:lineRule="auto" w:before="4"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Ова билансна позиција </w:t>
      </w:r>
      <w:r>
        <w:rPr>
          <w:rFonts w:ascii="Times New Roman" w:hAnsi="Times New Roman"/>
          <w:spacing w:val="-7"/>
          <w:sz w:val="24"/>
        </w:rPr>
        <w:t>код </w:t>
      </w:r>
      <w:r>
        <w:rPr>
          <w:rFonts w:ascii="Times New Roman" w:hAnsi="Times New Roman"/>
          <w:sz w:val="24"/>
        </w:rPr>
        <w:t>ЈП </w:t>
      </w:r>
      <w:r>
        <w:rPr>
          <w:rFonts w:ascii="Times New Roman" w:hAnsi="Times New Roman"/>
          <w:spacing w:val="-5"/>
          <w:sz w:val="24"/>
        </w:rPr>
        <w:t>ГСА </w:t>
      </w:r>
      <w:r>
        <w:rPr>
          <w:rFonts w:ascii="Times New Roman" w:hAnsi="Times New Roman"/>
          <w:sz w:val="24"/>
        </w:rPr>
        <w:t>исказана је у мањем износу за 46.637  хиљада </w:t>
      </w:r>
      <w:r>
        <w:rPr>
          <w:rFonts w:ascii="Times New Roman" w:hAnsi="Times New Roman"/>
          <w:sz w:val="24"/>
        </w:rPr>
        <w:t>динара, јер ЈП </w:t>
      </w:r>
      <w:r>
        <w:rPr>
          <w:rFonts w:ascii="Times New Roman" w:hAnsi="Times New Roman"/>
          <w:spacing w:val="-5"/>
          <w:sz w:val="24"/>
        </w:rPr>
        <w:t>ГСА </w:t>
      </w:r>
      <w:r>
        <w:rPr>
          <w:rFonts w:ascii="Times New Roman" w:hAnsi="Times New Roman"/>
          <w:sz w:val="24"/>
        </w:rPr>
        <w:t>није евидентирала кредите </w:t>
      </w:r>
      <w:r>
        <w:rPr>
          <w:rFonts w:ascii="Times New Roman" w:hAnsi="Times New Roman"/>
          <w:spacing w:val="-3"/>
          <w:sz w:val="24"/>
        </w:rPr>
        <w:t>које </w:t>
      </w:r>
      <w:r>
        <w:rPr>
          <w:rFonts w:ascii="Times New Roman" w:hAnsi="Times New Roman"/>
          <w:sz w:val="24"/>
        </w:rPr>
        <w:t>је дала физичким и правним лицима  </w:t>
      </w:r>
      <w:r>
        <w:rPr>
          <w:rFonts w:ascii="Times New Roman" w:hAnsi="Times New Roman"/>
          <w:sz w:val="24"/>
        </w:rPr>
        <w:t>за станове, чији је рок отплате на више година (180 једнаких рата), што је супротно</w:t>
      </w:r>
      <w:r>
        <w:rPr>
          <w:rFonts w:ascii="Times New Roman" w:hAnsi="Times New Roman"/>
          <w:spacing w:val="-6"/>
          <w:sz w:val="24"/>
        </w:rPr>
        <w:t> </w:t>
      </w:r>
      <w:r>
        <w:rPr>
          <w:rFonts w:ascii="Times New Roman" w:hAnsi="Times New Roman"/>
          <w:sz w:val="24"/>
        </w:rPr>
        <w:t>члану</w:t>
      </w:r>
    </w:p>
    <w:p>
      <w:pPr>
        <w:pStyle w:val="BodyText"/>
        <w:spacing w:line="240" w:lineRule="auto"/>
        <w:ind w:right="176"/>
        <w:jc w:val="both"/>
      </w:pPr>
      <w:r>
        <w:rPr/>
        <w:t>9. Уредбе о буџетском рачуноводству и Правилнику о стандардном класификационом оквиру и контном плану за буџетски</w:t>
      </w:r>
      <w:r>
        <w:rPr>
          <w:spacing w:val="-20"/>
        </w:rPr>
        <w:t> </w:t>
      </w:r>
      <w:r>
        <w:rPr/>
        <w:t>систем</w:t>
      </w:r>
    </w:p>
    <w:p>
      <w:pPr>
        <w:pStyle w:val="Heading2"/>
        <w:spacing w:line="240" w:lineRule="auto"/>
        <w:ind w:right="173"/>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ListParagraph"/>
        <w:numPr>
          <w:ilvl w:val="0"/>
          <w:numId w:val="70"/>
        </w:numPr>
        <w:tabs>
          <w:tab w:pos="303"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У билансу стања </w:t>
      </w:r>
      <w:r>
        <w:rPr>
          <w:rFonts w:ascii="Times New Roman" w:hAnsi="Times New Roman"/>
          <w:sz w:val="24"/>
        </w:rPr>
      </w:r>
      <w:r>
        <w:rPr>
          <w:rFonts w:ascii="Times New Roman" w:hAnsi="Times New Roman"/>
          <w:sz w:val="24"/>
          <w:u w:val="single" w:color="000000"/>
        </w:rPr>
      </w:r>
      <w:r>
        <w:rPr>
          <w:rFonts w:ascii="Times New Roman" w:hAnsi="Times New Roman"/>
          <w:sz w:val="24"/>
          <w:u w:val="single" w:color="000000"/>
        </w:rPr>
        <w:t>Управе за имовину и инспекцијске послове </w:t>
      </w:r>
      <w:r>
        <w:rPr>
          <w:rFonts w:ascii="Times New Roman" w:hAnsi="Times New Roman"/>
          <w:sz w:val="24"/>
        </w:rPr>
        <w:t>на овој билансној позицији </w:t>
      </w:r>
      <w:r>
        <w:rPr>
          <w:rFonts w:ascii="Times New Roman" w:hAnsi="Times New Roman"/>
          <w:sz w:val="24"/>
        </w:rPr>
        <w:t>није исказан</w:t>
      </w:r>
      <w:r>
        <w:rPr>
          <w:rFonts w:ascii="Times New Roman" w:hAnsi="Times New Roman"/>
          <w:spacing w:val="-8"/>
          <w:sz w:val="24"/>
        </w:rPr>
        <w:t> </w:t>
      </w:r>
      <w:r>
        <w:rPr>
          <w:rFonts w:ascii="Times New Roman" w:hAnsi="Times New Roman"/>
          <w:sz w:val="24"/>
        </w:rPr>
        <w:t>износ.</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Heading1"/>
        <w:spacing w:line="275" w:lineRule="exact" w:before="126"/>
        <w:ind w:right="141"/>
        <w:jc w:val="left"/>
        <w:rPr>
          <w:b w:val="0"/>
          <w:bCs w:val="0"/>
        </w:rPr>
      </w:pPr>
      <w:r>
        <w:rPr/>
        <w:t>На основу ревизије узорковане документације утврђено</w:t>
      </w:r>
      <w:r>
        <w:rPr>
          <w:spacing w:val="-14"/>
        </w:rPr>
        <w:t> </w:t>
      </w:r>
      <w:r>
        <w:rPr/>
        <w:t>је:</w:t>
      </w:r>
      <w:r>
        <w:rPr>
          <w:b w:val="0"/>
        </w:rPr>
      </w:r>
    </w:p>
    <w:p>
      <w:pPr>
        <w:pStyle w:val="ListParagraph"/>
        <w:numPr>
          <w:ilvl w:val="0"/>
          <w:numId w:val="9"/>
        </w:numPr>
        <w:tabs>
          <w:tab w:pos="303"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Ова позиција мање је исказана у билансу стања Управе за имовину и инспекцијске послове за вредност неотплаћених рата за станове дате у откуп коју у поступку ревизије нисмо могли да утврдимо</w:t>
      </w:r>
      <w:r>
        <w:rPr>
          <w:rFonts w:ascii="Times New Roman" w:hAnsi="Times New Roman"/>
          <w:sz w:val="24"/>
        </w:rPr>
        <w:t>, </w:t>
      </w:r>
      <w:r>
        <w:rPr>
          <w:rFonts w:ascii="Times New Roman" w:hAnsi="Times New Roman"/>
          <w:sz w:val="24"/>
        </w:rPr>
        <w:t>јер тачна и поуздана евиденција о становима датих у откуп не постоји.</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У пословним књигама Управе за имовину и инспекцијске послове, које води Одсек за буџетско рачуноводство Управе за финансије, изворне приходе локалне самоуправе и јавне набавке, није успостављена помоћна евиденција потраживања за станове дате у откуп.</w:t>
      </w:r>
    </w:p>
    <w:p>
      <w:pPr>
        <w:pStyle w:val="ListParagraph"/>
        <w:numPr>
          <w:ilvl w:val="0"/>
          <w:numId w:val="9"/>
        </w:numPr>
        <w:tabs>
          <w:tab w:pos="303" w:val="left" w:leader="none"/>
        </w:tabs>
        <w:spacing w:line="240" w:lineRule="auto" w:before="2"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У условима непостојања помоћне евиденције потраживања за станове дате у откуп, нисмо се уверили да је обезбеђено праћење и контрола извршења уговорних обавеза купаца станова у откуп од стране надлежне Управе за имовину и инспекцијске послове, што је супротно члану 6. Закона о јавној својини, по коме свако ко одлучује о стварима у јавној својини, ко их користи или њима управља дужан је да поступа као добар домаћин  и одговоран је за то, као и члану 8. Одлуке о откупу станова, члану 11. Одлуке о прибављању,</w:t>
      </w:r>
      <w:r>
        <w:rPr>
          <w:rFonts w:ascii="Times New Roman" w:hAnsi="Times New Roman"/>
          <w:spacing w:val="26"/>
          <w:sz w:val="24"/>
        </w:rPr>
        <w:t> </w:t>
      </w:r>
      <w:r>
        <w:rPr>
          <w:rFonts w:ascii="Times New Roman" w:hAnsi="Times New Roman"/>
          <w:sz w:val="24"/>
        </w:rPr>
        <w:t>располагању</w:t>
      </w:r>
      <w:r>
        <w:rPr>
          <w:rFonts w:ascii="Times New Roman" w:hAnsi="Times New Roman"/>
          <w:spacing w:val="21"/>
          <w:sz w:val="24"/>
        </w:rPr>
        <w:t> </w:t>
      </w:r>
      <w:r>
        <w:rPr>
          <w:rFonts w:ascii="Times New Roman" w:hAnsi="Times New Roman"/>
          <w:sz w:val="24"/>
        </w:rPr>
        <w:t>и</w:t>
      </w:r>
      <w:r>
        <w:rPr>
          <w:rFonts w:ascii="Times New Roman" w:hAnsi="Times New Roman"/>
          <w:spacing w:val="29"/>
          <w:sz w:val="24"/>
        </w:rPr>
        <w:t> </w:t>
      </w:r>
      <w:r>
        <w:rPr>
          <w:rFonts w:ascii="Times New Roman" w:hAnsi="Times New Roman"/>
          <w:sz w:val="24"/>
        </w:rPr>
        <w:t>управљању</w:t>
      </w:r>
      <w:r>
        <w:rPr>
          <w:rFonts w:ascii="Times New Roman" w:hAnsi="Times New Roman"/>
          <w:spacing w:val="21"/>
          <w:sz w:val="24"/>
        </w:rPr>
        <w:t> </w:t>
      </w:r>
      <w:r>
        <w:rPr>
          <w:rFonts w:ascii="Times New Roman" w:hAnsi="Times New Roman"/>
          <w:sz w:val="24"/>
        </w:rPr>
        <w:t>стварима</w:t>
      </w:r>
      <w:r>
        <w:rPr>
          <w:rFonts w:ascii="Times New Roman" w:hAnsi="Times New Roman"/>
          <w:spacing w:val="28"/>
          <w:sz w:val="24"/>
        </w:rPr>
        <w:t> </w:t>
      </w:r>
      <w:r>
        <w:rPr>
          <w:rFonts w:ascii="Times New Roman" w:hAnsi="Times New Roman"/>
          <w:sz w:val="24"/>
        </w:rPr>
        <w:t>у</w:t>
      </w:r>
      <w:r>
        <w:rPr>
          <w:rFonts w:ascii="Times New Roman" w:hAnsi="Times New Roman"/>
          <w:spacing w:val="19"/>
          <w:sz w:val="24"/>
        </w:rPr>
        <w:t> </w:t>
      </w:r>
      <w:r>
        <w:rPr>
          <w:rFonts w:ascii="Times New Roman" w:hAnsi="Times New Roman"/>
          <w:sz w:val="24"/>
        </w:rPr>
        <w:t>јавној</w:t>
      </w:r>
      <w:r>
        <w:rPr>
          <w:rFonts w:ascii="Times New Roman" w:hAnsi="Times New Roman"/>
          <w:spacing w:val="27"/>
          <w:sz w:val="24"/>
        </w:rPr>
        <w:t> </w:t>
      </w:r>
      <w:r>
        <w:rPr>
          <w:rFonts w:ascii="Times New Roman" w:hAnsi="Times New Roman"/>
          <w:sz w:val="24"/>
        </w:rPr>
        <w:t>својини</w:t>
      </w:r>
      <w:r>
        <w:rPr>
          <w:rFonts w:ascii="Times New Roman" w:hAnsi="Times New Roman"/>
          <w:spacing w:val="25"/>
          <w:sz w:val="24"/>
        </w:rPr>
        <w:t> </w:t>
      </w:r>
      <w:r>
        <w:rPr>
          <w:rFonts w:ascii="Times New Roman" w:hAnsi="Times New Roman"/>
          <w:sz w:val="24"/>
        </w:rPr>
        <w:t>града</w:t>
      </w:r>
      <w:r>
        <w:rPr>
          <w:rFonts w:ascii="Times New Roman" w:hAnsi="Times New Roman"/>
          <w:spacing w:val="25"/>
          <w:sz w:val="24"/>
        </w:rPr>
        <w:t> </w:t>
      </w:r>
      <w:r>
        <w:rPr>
          <w:rFonts w:ascii="Times New Roman" w:hAnsi="Times New Roman"/>
          <w:sz w:val="24"/>
        </w:rPr>
        <w:t>Ниша</w:t>
      </w:r>
      <w:r>
        <w:rPr>
          <w:rFonts w:ascii="Times New Roman" w:hAnsi="Times New Roman"/>
          <w:spacing w:val="25"/>
          <w:sz w:val="24"/>
        </w:rPr>
        <w:t> </w:t>
      </w:r>
      <w:r>
        <w:rPr>
          <w:rFonts w:ascii="Times New Roman" w:hAnsi="Times New Roman"/>
          <w:sz w:val="24"/>
        </w:rPr>
        <w:t>и</w:t>
      </w:r>
      <w:r>
        <w:rPr>
          <w:rFonts w:ascii="Times New Roman" w:hAnsi="Times New Roman"/>
          <w:spacing w:val="27"/>
          <w:sz w:val="24"/>
        </w:rPr>
        <w:t> </w:t>
      </w:r>
      <w:r>
        <w:rPr>
          <w:rFonts w:ascii="Times New Roman" w:hAnsi="Times New Roman"/>
          <w:sz w:val="24"/>
        </w:rPr>
        <w:t>члану</w:t>
      </w:r>
    </w:p>
    <w:p>
      <w:pPr>
        <w:pStyle w:val="BodyText"/>
        <w:spacing w:line="240" w:lineRule="auto"/>
        <w:ind w:right="0"/>
        <w:jc w:val="both"/>
      </w:pPr>
      <w:r>
        <w:rPr/>
        <w:t>14. Одлуке о организацији градских управа града</w:t>
      </w:r>
      <w:r>
        <w:rPr>
          <w:spacing w:val="-15"/>
        </w:rPr>
        <w:t> </w:t>
      </w:r>
      <w:r>
        <w:rPr/>
        <w:t>Ниша.</w:t>
      </w:r>
    </w:p>
    <w:p>
      <w:pPr>
        <w:pStyle w:val="ListParagraph"/>
        <w:numPr>
          <w:ilvl w:val="0"/>
          <w:numId w:val="9"/>
        </w:numPr>
        <w:tabs>
          <w:tab w:pos="303" w:val="left" w:leader="none"/>
        </w:tabs>
        <w:spacing w:line="240" w:lineRule="auto" w:before="2" w:after="0"/>
        <w:ind w:left="160" w:right="18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ЈП „Нишстан“ утврђује и врши ревалоризацију откупних цена станова и води базу података са висином откупних рата за станове на основу Одлуке о откупу станова, док се уплате месечних рата врше на уплатни рачун код града Ниша, односно код Управе за финансије, изворне приходе локалне самоуправе и јавне набавке, тако да тачну евиденцију о измиреним ратама за станове у откупу немају ни ЈП „Нишстан“ ни Управа за имовину и инспекције</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послове.</w:t>
      </w:r>
    </w:p>
    <w:p>
      <w:pPr>
        <w:pStyle w:val="ListParagraph"/>
        <w:numPr>
          <w:ilvl w:val="0"/>
          <w:numId w:val="9"/>
        </w:numPr>
        <w:tabs>
          <w:tab w:pos="303"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У поступку ревизије, на захтев ревизора, дато је писано појашњење одговорних лица Управе за имовину и инспекцијске послове по коме купац који отплати стан, у недостатку адекватне евиденције о уплати откупне цене стана, сам доказује да је стан и отплатио. Такође у појашњењу се истиче да се, у условима непостојања аналитичке евиденције рата у поступку откупа станова којим располаже град Ниш, а на бази прикупљене документације шаљу обавештења купцима да доставе доказе о извршеним уплатама откупних рата, обавештења о пред раскиду уговора о откупу али да ова обавештења без адекватне финансијске документације не могу бити основ за покретање поступака за раскид уговора, што је супротно члану 26. Закона о становању. На претходно описани начин Управа за имовину и инспекцијске послове сачињавала је евиденцију о стану и отплати станова датих у</w:t>
      </w:r>
      <w:r>
        <w:rPr>
          <w:rFonts w:ascii="Times New Roman" w:hAnsi="Times New Roman"/>
          <w:spacing w:val="-25"/>
          <w:sz w:val="24"/>
        </w:rPr>
        <w:t> </w:t>
      </w:r>
      <w:r>
        <w:rPr>
          <w:rFonts w:ascii="Times New Roman" w:hAnsi="Times New Roman"/>
          <w:sz w:val="24"/>
        </w:rPr>
        <w:t>откуп.</w:t>
      </w:r>
    </w:p>
    <w:p>
      <w:pPr>
        <w:pStyle w:val="Heading2"/>
        <w:spacing w:line="240" w:lineRule="auto"/>
        <w:ind w:right="174"/>
        <w:jc w:val="both"/>
        <w:rPr>
          <w:b w:val="0"/>
          <w:bCs w:val="0"/>
          <w:i w:val="0"/>
        </w:rPr>
      </w:pPr>
      <w:r>
        <w:rPr>
          <w:i/>
        </w:rPr>
        <w:t>Препоручује се одговорним лицима да успоставе и воде помоћну евиденцију потраживања по основу станова датих у откуп, прате извршење уговорних обавеза купаца станова у откуп, обезбеде правилну примену одредби Закона о јавној својини и интерних</w:t>
      </w:r>
      <w:r>
        <w:rPr>
          <w:i/>
          <w:spacing w:val="-4"/>
        </w:rPr>
        <w:t> </w:t>
      </w:r>
      <w:r>
        <w:rPr>
          <w:i/>
        </w:rPr>
        <w:t>аката.</w:t>
      </w:r>
      <w:r>
        <w:rPr>
          <w:b w:val="0"/>
          <w:i w:val="0"/>
        </w:rPr>
      </w:r>
    </w:p>
    <w:p>
      <w:pPr>
        <w:spacing w:line="240" w:lineRule="auto" w:before="0"/>
        <w:ind w:left="160" w:right="179" w:firstLine="566"/>
        <w:jc w:val="both"/>
        <w:rPr>
          <w:rFonts w:ascii="Times New Roman" w:hAnsi="Times New Roman" w:cs="Times New Roman" w:eastAsia="Times New Roman" w:hint="default"/>
          <w:sz w:val="24"/>
          <w:szCs w:val="24"/>
        </w:rPr>
      </w:pPr>
      <w:r>
        <w:rPr>
          <w:rFonts w:ascii="Times New Roman" w:hAnsi="Times New Roman"/>
          <w:b/>
          <w:sz w:val="24"/>
        </w:rPr>
        <w:t>Домаће акције и остали капитал, конто 111</w:t>
      </w:r>
      <w:r>
        <w:rPr>
          <w:rFonts w:ascii="Times New Roman" w:hAnsi="Times New Roman"/>
          <w:b/>
          <w:sz w:val="24"/>
        </w:rPr>
        <w:t>900 - </w:t>
      </w:r>
      <w:r>
        <w:rPr>
          <w:rFonts w:ascii="Times New Roman" w:hAnsi="Times New Roman"/>
          <w:sz w:val="24"/>
        </w:rPr>
        <w:t>Исказана је вредност домаћих акција и осталог капитала у износу од 10.991 хиљаде динара и то</w:t>
      </w:r>
      <w:r>
        <w:rPr>
          <w:rFonts w:ascii="Times New Roman" w:hAnsi="Times New Roman"/>
          <w:spacing w:val="-18"/>
          <w:sz w:val="24"/>
        </w:rPr>
        <w:t> </w:t>
      </w:r>
      <w:r>
        <w:rPr>
          <w:rFonts w:ascii="Times New Roman" w:hAnsi="Times New Roman"/>
          <w:sz w:val="24"/>
        </w:rPr>
        <w:t>код:</w:t>
      </w:r>
    </w:p>
    <w:p>
      <w:pPr>
        <w:pStyle w:val="ListParagraph"/>
        <w:numPr>
          <w:ilvl w:val="0"/>
          <w:numId w:val="70"/>
        </w:numPr>
        <w:tabs>
          <w:tab w:pos="303" w:val="left" w:leader="none"/>
        </w:tabs>
        <w:spacing w:line="240" w:lineRule="auto" w:before="0" w:after="0"/>
        <w:ind w:left="302" w:right="0" w:hanging="142"/>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финансије, изворне приходе локалне самоуправе и јавне набавке </w:t>
      </w:r>
      <w:r>
        <w:rPr>
          <w:rFonts w:ascii="Times New Roman" w:hAnsi="Times New Roman"/>
          <w:sz w:val="24"/>
        </w:rPr>
        <w:t>у износу </w:t>
      </w:r>
      <w:r>
        <w:rPr>
          <w:rFonts w:ascii="Times New Roman" w:hAnsi="Times New Roman"/>
          <w:spacing w:val="57"/>
          <w:sz w:val="24"/>
        </w:rPr>
        <w:t> </w:t>
      </w:r>
      <w:r>
        <w:rPr>
          <w:rFonts w:ascii="Times New Roman" w:hAnsi="Times New Roman"/>
          <w:sz w:val="24"/>
        </w:rPr>
        <w:t>од</w:t>
      </w:r>
    </w:p>
    <w:p>
      <w:pPr>
        <w:pStyle w:val="BodyText"/>
        <w:spacing w:line="240" w:lineRule="auto"/>
        <w:ind w:right="0"/>
        <w:jc w:val="both"/>
      </w:pPr>
      <w:r>
        <w:rPr/>
        <w:t>4.338 хиљада</w:t>
      </w:r>
      <w:r>
        <w:rPr>
          <w:spacing w:val="-3"/>
        </w:rPr>
        <w:t> </w:t>
      </w:r>
      <w:r>
        <w:rPr/>
        <w:t>динара.</w:t>
      </w:r>
    </w:p>
    <w:p>
      <w:pPr>
        <w:pStyle w:val="Heading1"/>
        <w:spacing w:line="275" w:lineRule="exact"/>
        <w:ind w:left="738" w:right="141"/>
        <w:jc w:val="left"/>
        <w:rPr>
          <w:b w:val="0"/>
          <w:bCs w:val="0"/>
        </w:rPr>
      </w:pPr>
      <w:r>
        <w:rPr/>
        <w:t>На основу ревизије узорковане документације утврђено</w:t>
      </w:r>
      <w:r>
        <w:rPr>
          <w:spacing w:val="-13"/>
        </w:rPr>
        <w:t> </w:t>
      </w:r>
      <w:r>
        <w:rPr/>
        <w:t>је:</w:t>
      </w:r>
      <w:r>
        <w:rPr>
          <w:b w:val="0"/>
        </w:rPr>
      </w:r>
    </w:p>
    <w:p>
      <w:pPr>
        <w:pStyle w:val="ListParagraph"/>
        <w:numPr>
          <w:ilvl w:val="0"/>
          <w:numId w:val="9"/>
        </w:numPr>
        <w:tabs>
          <w:tab w:pos="303" w:val="left" w:leader="none"/>
        </w:tabs>
        <w:spacing w:line="237" w:lineRule="auto" w:before="1"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Више је исказана вредност домаћих акција и осталог капитала код Управе за финансије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изворне приходе локалне самоуправе и јавне набавке у укупном износу од </w:t>
      </w:r>
      <w:r>
        <w:rPr>
          <w:rFonts w:ascii="Times New Roman" w:hAnsi="Times New Roman" w:cs="Times New Roman" w:eastAsia="Times New Roman" w:hint="default"/>
          <w:sz w:val="24"/>
          <w:szCs w:val="24"/>
        </w:rPr>
        <w:t>4.237 </w:t>
      </w:r>
      <w:r>
        <w:rPr>
          <w:rFonts w:ascii="Times New Roman" w:hAnsi="Times New Roman" w:cs="Times New Roman" w:eastAsia="Times New Roman" w:hint="default"/>
          <w:sz w:val="24"/>
          <w:szCs w:val="24"/>
        </w:rPr>
        <w:t>хиљада динара  на  име  учешћа  у капиталу  и  то  код:  установе „Сигурна  кућа“  у износу  од</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51</w:t>
      </w:r>
    </w:p>
    <w:p>
      <w:pPr>
        <w:spacing w:after="0" w:line="237"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80"/>
        <w:jc w:val="both"/>
      </w:pPr>
      <w:r>
        <w:rPr/>
        <w:t>хиљаде динара, која од 2014. године послује као индиректни буџетски корисник, Слободне зоне „Југ“ доо Ниш у износу од 4.186 хиљада динара која је Решењем Агенције за привредне регистре Републике Србије број БД 108527/2014 од 29.12.2014. године брисана из Регистра привредних субјеката а самим тим престала да постоји, што је супротно члану 9. Уредбе о буџетском рачуноводству и Правилнику о стандардном класификационом оквиру и контном плану за буџетски систем. Истовремено, за исти износ више је исказана вредност на синтетичком конту 311400 – финансијска</w:t>
      </w:r>
      <w:r>
        <w:rPr>
          <w:spacing w:val="-22"/>
        </w:rPr>
        <w:t> </w:t>
      </w:r>
      <w:r>
        <w:rPr/>
        <w:t>имовина.</w:t>
      </w:r>
    </w:p>
    <w:p>
      <w:pPr>
        <w:pStyle w:val="ListParagraph"/>
        <w:numPr>
          <w:ilvl w:val="0"/>
          <w:numId w:val="9"/>
        </w:numPr>
        <w:tabs>
          <w:tab w:pos="303" w:val="left" w:leader="none"/>
        </w:tabs>
        <w:spacing w:line="292" w:lineRule="exact" w:before="2"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Ова позиција мање је исказана за износ од најмање 2.016.712 хиљада динара и</w:t>
      </w:r>
      <w:r>
        <w:rPr>
          <w:rFonts w:ascii="Times New Roman" w:hAnsi="Times New Roman"/>
          <w:spacing w:val="-18"/>
          <w:sz w:val="24"/>
        </w:rPr>
        <w:t> </w:t>
      </w:r>
      <w:r>
        <w:rPr>
          <w:rFonts w:ascii="Times New Roman" w:hAnsi="Times New Roman"/>
          <w:sz w:val="24"/>
        </w:rPr>
        <w:t>то:</w:t>
      </w:r>
    </w:p>
    <w:p>
      <w:pPr>
        <w:pStyle w:val="ListParagraph"/>
        <w:numPr>
          <w:ilvl w:val="0"/>
          <w:numId w:val="71"/>
        </w:numPr>
        <w:tabs>
          <w:tab w:pos="360"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износ од 1.594.733 хиљаде динара јер нису евидентирана учешћа у оснивачком капиталу код јавних предузећа чији је оснивач град Ниш а који је исказан у  финансијским извештајима наведених јавних предузећа на дан 31.12.2014. године (у Билансу стања на позицији      </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основни капитал)  и то код: ЈКП „Медијана“  у износу од</w:t>
      </w:r>
    </w:p>
    <w:p>
      <w:pPr>
        <w:pStyle w:val="BodyText"/>
        <w:spacing w:line="240" w:lineRule="auto"/>
        <w:ind w:right="173"/>
        <w:jc w:val="both"/>
      </w:pPr>
      <w:r>
        <w:rPr>
          <w:rFonts w:ascii="Times New Roman" w:hAnsi="Times New Roman" w:cs="Times New Roman" w:eastAsia="Times New Roman" w:hint="default"/>
        </w:rPr>
        <w:t>98.007 </w:t>
      </w:r>
      <w:r>
        <w:rPr/>
        <w:t>хиљада динара, ЈКП „Горица“ у износу од </w:t>
      </w:r>
      <w:r>
        <w:rPr>
          <w:rFonts w:ascii="Times New Roman" w:hAnsi="Times New Roman" w:cs="Times New Roman" w:eastAsia="Times New Roman" w:hint="default"/>
        </w:rPr>
        <w:t>144.522 </w:t>
      </w:r>
      <w:r>
        <w:rPr/>
        <w:t>хиљаде динара, ЈКП “Наисус“ у износу од </w:t>
      </w:r>
      <w:r>
        <w:rPr>
          <w:rFonts w:ascii="Times New Roman" w:hAnsi="Times New Roman" w:cs="Times New Roman" w:eastAsia="Times New Roman" w:hint="default"/>
        </w:rPr>
        <w:t>1.268.719 </w:t>
      </w:r>
      <w:r>
        <w:rPr/>
        <w:t>хиљада динара, ЈП „Обједињена наплата“ у износу од 5.005 хиљада динара, ЈП за аеродромске услуге „Аеродром“ Ниш у износу од 66.493 хиљаде динара, ЈКП „Паркинг сервис“ Ниш у износу од 3.81</w:t>
      </w:r>
      <w:r>
        <w:rPr>
          <w:rFonts w:ascii="Times New Roman" w:hAnsi="Times New Roman" w:cs="Times New Roman" w:eastAsia="Times New Roman" w:hint="default"/>
        </w:rPr>
        <w:t>8 </w:t>
      </w:r>
      <w:r>
        <w:rPr/>
        <w:t>хиљада динара, ЈП „Нишка телевизија“ Ниш у износу од 8.169 хиљада динара. Иста неправилност утврђена је и у поступку ревизије финансијских извештаја завршног рачуна буџета града Ниша за 2010.</w:t>
      </w:r>
      <w:r>
        <w:rPr>
          <w:spacing w:val="-25"/>
        </w:rPr>
        <w:t> </w:t>
      </w:r>
      <w:r>
        <w:rPr/>
        <w:t>годину.</w:t>
      </w:r>
    </w:p>
    <w:p>
      <w:pPr>
        <w:pStyle w:val="ListParagraph"/>
        <w:numPr>
          <w:ilvl w:val="0"/>
          <w:numId w:val="71"/>
        </w:numPr>
        <w:tabs>
          <w:tab w:pos="317"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износ од </w:t>
      </w:r>
      <w:r>
        <w:rPr>
          <w:rFonts w:ascii="Times New Roman" w:hAnsi="Times New Roman" w:cs="Times New Roman" w:eastAsia="Times New Roman" w:hint="default"/>
          <w:sz w:val="24"/>
          <w:szCs w:val="24"/>
        </w:rPr>
        <w:t>419.263 </w:t>
      </w:r>
      <w:r>
        <w:rPr>
          <w:rFonts w:ascii="Times New Roman" w:hAnsi="Times New Roman" w:cs="Times New Roman" w:eastAsia="Times New Roman" w:hint="default"/>
          <w:sz w:val="24"/>
          <w:szCs w:val="24"/>
        </w:rPr>
        <w:t>хиљад</w:t>
      </w:r>
      <w:r>
        <w:rPr>
          <w:rFonts w:ascii="Times New Roman" w:hAnsi="Times New Roman" w:cs="Times New Roman" w:eastAsia="Times New Roman" w:hint="default"/>
          <w:sz w:val="24"/>
          <w:szCs w:val="24"/>
        </w:rPr>
        <w:t>e </w:t>
      </w:r>
      <w:r>
        <w:rPr>
          <w:rFonts w:ascii="Times New Roman" w:hAnsi="Times New Roman" w:cs="Times New Roman" w:eastAsia="Times New Roman" w:hint="default"/>
          <w:sz w:val="24"/>
          <w:szCs w:val="24"/>
        </w:rPr>
        <w:t>динара за учешће у оснивачком капиталу код четири јавна предузећа за које су у пословним књигама Управе за финансије, изворне приходе локалне самоуправе и јавне набавке евидентирана учешћа у капиталу у износу од по 100,00 динара за свако предузеће. У финансијским извештајима за 2014. годину јавних  предузећа исказан је основни капитал у укупном износу од </w:t>
      </w:r>
      <w:r>
        <w:rPr>
          <w:rFonts w:ascii="Times New Roman" w:hAnsi="Times New Roman" w:cs="Times New Roman" w:eastAsia="Times New Roman" w:hint="default"/>
          <w:sz w:val="24"/>
          <w:szCs w:val="24"/>
        </w:rPr>
        <w:t>419.263 </w:t>
      </w:r>
      <w:r>
        <w:rPr>
          <w:rFonts w:ascii="Times New Roman" w:hAnsi="Times New Roman" w:cs="Times New Roman" w:eastAsia="Times New Roman" w:hint="default"/>
          <w:sz w:val="24"/>
          <w:szCs w:val="24"/>
        </w:rPr>
        <w:t>хиљад</w:t>
      </w:r>
      <w:r>
        <w:rPr>
          <w:rFonts w:ascii="Times New Roman" w:hAnsi="Times New Roman" w:cs="Times New Roman" w:eastAsia="Times New Roman" w:hint="default"/>
          <w:sz w:val="24"/>
          <w:szCs w:val="24"/>
        </w:rPr>
        <w:t>e </w:t>
      </w:r>
      <w:r>
        <w:rPr>
          <w:rFonts w:ascii="Times New Roman" w:hAnsi="Times New Roman" w:cs="Times New Roman" w:eastAsia="Times New Roman" w:hint="default"/>
          <w:sz w:val="24"/>
          <w:szCs w:val="24"/>
        </w:rPr>
        <w:t>динара и то ЈКП  „Градска  топлана“  у  износу  од  349.641хиљада  динара,  ЈП  за  стамбене    </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услуге</w:t>
      </w:r>
    </w:p>
    <w:p>
      <w:pPr>
        <w:pStyle w:val="BodyText"/>
        <w:spacing w:line="240" w:lineRule="auto"/>
        <w:ind w:right="173"/>
        <w:jc w:val="both"/>
      </w:pPr>
      <w:r>
        <w:rPr/>
        <w:t>„Нишстан“ у износу од 29.096 хиљада динара, ЈКП за пијачне услуге „Тржница“ у  износу од 36.023 хиљаде динара и ЈП „Завод за урбанизам“ у износу од </w:t>
      </w:r>
      <w:r>
        <w:rPr>
          <w:rFonts w:ascii="Times New Roman" w:hAnsi="Times New Roman" w:cs="Times New Roman" w:eastAsia="Times New Roman" w:hint="default"/>
        </w:rPr>
        <w:t>4.503 </w:t>
      </w:r>
      <w:r>
        <w:rPr/>
        <w:t>хиљад</w:t>
      </w:r>
      <w:r>
        <w:rPr>
          <w:rFonts w:ascii="Times New Roman" w:hAnsi="Times New Roman" w:cs="Times New Roman" w:eastAsia="Times New Roman" w:hint="default"/>
        </w:rPr>
        <w:t>e </w:t>
      </w:r>
      <w:r>
        <w:rPr/>
        <w:t>динара. У Регистру привредних субјеката Агенције за привредне субјекте уписан  новчани износ капитала за свако од наведених четири предузећа такође износи 100,00 динара.</w:t>
      </w:r>
    </w:p>
    <w:p>
      <w:pPr>
        <w:pStyle w:val="ListParagraph"/>
        <w:numPr>
          <w:ilvl w:val="0"/>
          <w:numId w:val="71"/>
        </w:numPr>
        <w:tabs>
          <w:tab w:pos="305" w:val="left" w:leader="none"/>
        </w:tabs>
        <w:spacing w:line="240" w:lineRule="auto" w:before="0" w:after="0"/>
        <w:ind w:left="160" w:right="18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износ од 2.716 хиљада динара за учешће у капиталу привредног друштва „Инкубатор центар Ниш“ доо Ниш чији је један од оснивача град Ниш</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и</w:t>
      </w:r>
    </w:p>
    <w:p>
      <w:pPr>
        <w:pStyle w:val="ListParagraph"/>
        <w:numPr>
          <w:ilvl w:val="0"/>
          <w:numId w:val="71"/>
        </w:numPr>
        <w:tabs>
          <w:tab w:pos="351"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износ који у поступку ревизије нисмо могли да утврдимо за учешће у капиталу привредног друштва Регионална развојна агенција „Југ“ доо Ниш, чији је један од оснивача Град Ниш, а које није евидентирано у пословним књигама града Ниша а није исказано ни у билансу стања привредног</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друштва.</w:t>
      </w:r>
    </w:p>
    <w:p>
      <w:pPr>
        <w:pStyle w:val="BodyText"/>
        <w:spacing w:line="240" w:lineRule="auto"/>
        <w:ind w:right="179"/>
        <w:jc w:val="both"/>
      </w:pPr>
      <w:r>
        <w:rPr/>
        <w:t>Истовремено, за најмање исти износ мање је исказан износ на конту 311400 – финансијска</w:t>
      </w:r>
      <w:r>
        <w:rPr>
          <w:spacing w:val="-4"/>
        </w:rPr>
        <w:t> </w:t>
      </w:r>
      <w:r>
        <w:rPr/>
        <w:t>имовина.</w:t>
      </w:r>
    </w:p>
    <w:p>
      <w:pPr>
        <w:pStyle w:val="ListParagraph"/>
        <w:numPr>
          <w:ilvl w:val="0"/>
          <w:numId w:val="9"/>
        </w:numPr>
        <w:tabs>
          <w:tab w:pos="303" w:val="left" w:leader="none"/>
        </w:tabs>
        <w:spacing w:line="292" w:lineRule="exact" w:before="2" w:after="0"/>
        <w:ind w:left="302" w:right="0" w:hanging="142"/>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Код предузећа ЈКП „Медијана“, ЈКП „Горица“, ЈКП „Наисус“</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ЈП за аеродромске</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услуге</w:t>
      </w:r>
    </w:p>
    <w:p>
      <w:pPr>
        <w:pStyle w:val="BodyText"/>
        <w:spacing w:line="240" w:lineRule="auto"/>
        <w:ind w:right="173"/>
        <w:jc w:val="both"/>
        <w:rPr>
          <w:rFonts w:ascii="Times New Roman" w:hAnsi="Times New Roman" w:cs="Times New Roman" w:eastAsia="Times New Roman" w:hint="default"/>
        </w:rPr>
      </w:pPr>
      <w:r>
        <w:rPr/>
        <w:t>„Аеродром“ Ниш</w:t>
      </w:r>
      <w:r>
        <w:rPr>
          <w:rFonts w:ascii="Times New Roman" w:hAnsi="Times New Roman" w:cs="Times New Roman" w:eastAsia="Times New Roman" w:hint="default"/>
        </w:rPr>
        <w:t>, </w:t>
      </w:r>
      <w:r>
        <w:rPr/>
        <w:t>ЈП „Нишка телевизија“ Ниш</w:t>
      </w:r>
      <w:r>
        <w:rPr>
          <w:rFonts w:ascii="Times New Roman" w:hAnsi="Times New Roman" w:cs="Times New Roman" w:eastAsia="Times New Roman" w:hint="default"/>
        </w:rPr>
        <w:t>, </w:t>
      </w:r>
      <w:r>
        <w:rPr/>
        <w:t>ЈП „Градска топлана“, ЈП за стамбене услуге „Нишстан“, ЈКП за пијачне услуге „Тржница“ и ЈП „Завод за урбанизам“ висина основног капитала исказаног у пословним и јавним књигама није усклађена, што је супротно члану 9. Закона о јавним</w:t>
      </w:r>
      <w:r>
        <w:rPr>
          <w:spacing w:val="-16"/>
        </w:rPr>
        <w:t> </w:t>
      </w:r>
      <w:r>
        <w:rPr/>
        <w:t>предузећима</w:t>
      </w:r>
      <w:r>
        <w:rPr>
          <w:rFonts w:ascii="Times New Roman" w:hAnsi="Times New Roman" w:cs="Times New Roman" w:eastAsia="Times New Roman" w:hint="default"/>
        </w:rPr>
        <w:t>;</w:t>
      </w:r>
    </w:p>
    <w:p>
      <w:pPr>
        <w:pStyle w:val="ListParagraph"/>
        <w:numPr>
          <w:ilvl w:val="0"/>
          <w:numId w:val="9"/>
        </w:numPr>
        <w:tabs>
          <w:tab w:pos="303"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Уплата оснивачког улога Завода за геронтологију и палијативно збрињавање Ниш извршена је 27.11.2014. године у износу од 50 хиљада динара са раздела 3. Управа, глава </w:t>
      </w:r>
      <w:r>
        <w:rPr>
          <w:rFonts w:ascii="Times New Roman" w:hAnsi="Times New Roman"/>
          <w:sz w:val="24"/>
        </w:rPr>
        <w:t>3.2.</w:t>
      </w:r>
      <w:r>
        <w:rPr>
          <w:rFonts w:ascii="Times New Roman" w:hAnsi="Times New Roman"/>
          <w:sz w:val="24"/>
        </w:rPr>
        <w:t>Управа</w:t>
      </w:r>
      <w:r>
        <w:rPr>
          <w:rFonts w:ascii="Times New Roman" w:hAnsi="Times New Roman"/>
          <w:spacing w:val="39"/>
          <w:sz w:val="24"/>
        </w:rPr>
        <w:t> </w:t>
      </w:r>
      <w:r>
        <w:rPr>
          <w:rFonts w:ascii="Times New Roman" w:hAnsi="Times New Roman"/>
          <w:sz w:val="24"/>
        </w:rPr>
        <w:t>за</w:t>
      </w:r>
      <w:r>
        <w:rPr>
          <w:rFonts w:ascii="Times New Roman" w:hAnsi="Times New Roman"/>
          <w:spacing w:val="40"/>
          <w:sz w:val="24"/>
        </w:rPr>
        <w:t> </w:t>
      </w:r>
      <w:r>
        <w:rPr>
          <w:rFonts w:ascii="Times New Roman" w:hAnsi="Times New Roman"/>
          <w:sz w:val="24"/>
        </w:rPr>
        <w:t>финансије,</w:t>
      </w:r>
      <w:r>
        <w:rPr>
          <w:rFonts w:ascii="Times New Roman" w:hAnsi="Times New Roman"/>
          <w:spacing w:val="40"/>
          <w:sz w:val="24"/>
        </w:rPr>
        <w:t> </w:t>
      </w:r>
      <w:r>
        <w:rPr>
          <w:rFonts w:ascii="Times New Roman" w:hAnsi="Times New Roman"/>
          <w:sz w:val="24"/>
        </w:rPr>
        <w:t>изворне</w:t>
      </w:r>
      <w:r>
        <w:rPr>
          <w:rFonts w:ascii="Times New Roman" w:hAnsi="Times New Roman"/>
          <w:spacing w:val="40"/>
          <w:sz w:val="24"/>
        </w:rPr>
        <w:t> </w:t>
      </w:r>
      <w:r>
        <w:rPr>
          <w:rFonts w:ascii="Times New Roman" w:hAnsi="Times New Roman"/>
          <w:sz w:val="24"/>
        </w:rPr>
        <w:t>приходе</w:t>
      </w:r>
      <w:r>
        <w:rPr>
          <w:rFonts w:ascii="Times New Roman" w:hAnsi="Times New Roman"/>
          <w:spacing w:val="40"/>
          <w:sz w:val="24"/>
        </w:rPr>
        <w:t> </w:t>
      </w:r>
      <w:r>
        <w:rPr>
          <w:rFonts w:ascii="Times New Roman" w:hAnsi="Times New Roman"/>
          <w:sz w:val="24"/>
        </w:rPr>
        <w:t>локалне</w:t>
      </w:r>
      <w:r>
        <w:rPr>
          <w:rFonts w:ascii="Times New Roman" w:hAnsi="Times New Roman"/>
          <w:spacing w:val="40"/>
          <w:sz w:val="24"/>
        </w:rPr>
        <w:t> </w:t>
      </w:r>
      <w:r>
        <w:rPr>
          <w:rFonts w:ascii="Times New Roman" w:hAnsi="Times New Roman"/>
          <w:sz w:val="24"/>
        </w:rPr>
        <w:t>самоуправе</w:t>
      </w:r>
      <w:r>
        <w:rPr>
          <w:rFonts w:ascii="Times New Roman" w:hAnsi="Times New Roman"/>
          <w:spacing w:val="39"/>
          <w:sz w:val="24"/>
        </w:rPr>
        <w:t> </w:t>
      </w:r>
      <w:r>
        <w:rPr>
          <w:rFonts w:ascii="Times New Roman" w:hAnsi="Times New Roman"/>
          <w:sz w:val="24"/>
        </w:rPr>
        <w:t>и</w:t>
      </w:r>
      <w:r>
        <w:rPr>
          <w:rFonts w:ascii="Times New Roman" w:hAnsi="Times New Roman"/>
          <w:spacing w:val="41"/>
          <w:sz w:val="24"/>
        </w:rPr>
        <w:t> </w:t>
      </w:r>
      <w:r>
        <w:rPr>
          <w:rFonts w:ascii="Times New Roman" w:hAnsi="Times New Roman"/>
          <w:sz w:val="24"/>
        </w:rPr>
        <w:t>јавне</w:t>
      </w:r>
      <w:r>
        <w:rPr>
          <w:rFonts w:ascii="Times New Roman" w:hAnsi="Times New Roman"/>
          <w:spacing w:val="40"/>
          <w:sz w:val="24"/>
        </w:rPr>
        <w:t> </w:t>
      </w:r>
      <w:r>
        <w:rPr>
          <w:rFonts w:ascii="Times New Roman" w:hAnsi="Times New Roman"/>
          <w:sz w:val="24"/>
        </w:rPr>
        <w:t>набавке,</w:t>
      </w:r>
      <w:r>
        <w:rPr>
          <w:rFonts w:ascii="Times New Roman" w:hAnsi="Times New Roman"/>
          <w:spacing w:val="40"/>
          <w:sz w:val="24"/>
        </w:rPr>
        <w:t> </w:t>
      </w:r>
      <w:r>
        <w:rPr>
          <w:rFonts w:ascii="Times New Roman" w:hAnsi="Times New Roman"/>
          <w:sz w:val="24"/>
        </w:rPr>
        <w:t>док</w:t>
      </w:r>
      <w:r>
        <w:rPr>
          <w:rFonts w:ascii="Times New Roman" w:hAnsi="Times New Roman"/>
          <w:spacing w:val="39"/>
          <w:sz w:val="24"/>
        </w:rPr>
        <w:t> </w:t>
      </w:r>
      <w:r>
        <w:rPr>
          <w:rFonts w:ascii="Times New Roman" w:hAnsi="Times New Roman"/>
          <w:sz w:val="24"/>
        </w:rPr>
        <w:t>је</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6"/>
        <w:jc w:val="both"/>
      </w:pPr>
      <w:r>
        <w:rPr/>
        <w:t>учешће неправилно исказано у билансу стања буџета града Ниша, па је за исти износ ова позиција мање исказана у билансу  стања Управе за</w:t>
      </w:r>
      <w:r>
        <w:rPr>
          <w:spacing w:val="-13"/>
        </w:rPr>
        <w:t> </w:t>
      </w:r>
      <w:r>
        <w:rPr/>
        <w:t>финансије.</w:t>
      </w:r>
    </w:p>
    <w:p>
      <w:pPr>
        <w:pStyle w:val="ListParagraph"/>
        <w:numPr>
          <w:ilvl w:val="0"/>
          <w:numId w:val="9"/>
        </w:numPr>
        <w:tabs>
          <w:tab w:pos="303" w:val="left" w:leader="none"/>
        </w:tabs>
        <w:spacing w:line="292" w:lineRule="exact" w:before="2"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Ова </w:t>
      </w:r>
      <w:r>
        <w:rPr>
          <w:rFonts w:ascii="Times New Roman" w:hAnsi="Times New Roman"/>
          <w:spacing w:val="37"/>
          <w:sz w:val="24"/>
        </w:rPr>
        <w:t> </w:t>
      </w:r>
      <w:r>
        <w:rPr>
          <w:rFonts w:ascii="Times New Roman" w:hAnsi="Times New Roman"/>
          <w:sz w:val="24"/>
        </w:rPr>
        <w:t>позиција </w:t>
      </w:r>
      <w:r>
        <w:rPr>
          <w:rFonts w:ascii="Times New Roman" w:hAnsi="Times New Roman"/>
          <w:spacing w:val="38"/>
          <w:sz w:val="24"/>
        </w:rPr>
        <w:t> </w:t>
      </w:r>
      <w:r>
        <w:rPr>
          <w:rFonts w:ascii="Times New Roman" w:hAnsi="Times New Roman"/>
          <w:sz w:val="24"/>
        </w:rPr>
        <w:t>је </w:t>
      </w:r>
      <w:r>
        <w:rPr>
          <w:rFonts w:ascii="Times New Roman" w:hAnsi="Times New Roman"/>
          <w:spacing w:val="38"/>
          <w:sz w:val="24"/>
        </w:rPr>
        <w:t> </w:t>
      </w:r>
      <w:r>
        <w:rPr>
          <w:rFonts w:ascii="Times New Roman" w:hAnsi="Times New Roman"/>
          <w:sz w:val="24"/>
        </w:rPr>
        <w:t>мање </w:t>
      </w:r>
      <w:r>
        <w:rPr>
          <w:rFonts w:ascii="Times New Roman" w:hAnsi="Times New Roman"/>
          <w:spacing w:val="36"/>
          <w:sz w:val="24"/>
        </w:rPr>
        <w:t> </w:t>
      </w:r>
      <w:r>
        <w:rPr>
          <w:rFonts w:ascii="Times New Roman" w:hAnsi="Times New Roman"/>
          <w:sz w:val="24"/>
        </w:rPr>
        <w:t>исказана </w:t>
      </w:r>
      <w:r>
        <w:rPr>
          <w:rFonts w:ascii="Times New Roman" w:hAnsi="Times New Roman"/>
          <w:spacing w:val="37"/>
          <w:sz w:val="24"/>
        </w:rPr>
        <w:t> </w:t>
      </w:r>
      <w:r>
        <w:rPr>
          <w:rFonts w:ascii="Times New Roman" w:hAnsi="Times New Roman"/>
          <w:sz w:val="24"/>
        </w:rPr>
        <w:t>за </w:t>
      </w:r>
      <w:r>
        <w:rPr>
          <w:rFonts w:ascii="Times New Roman" w:hAnsi="Times New Roman"/>
          <w:spacing w:val="37"/>
          <w:sz w:val="24"/>
        </w:rPr>
        <w:t> </w:t>
      </w:r>
      <w:r>
        <w:rPr>
          <w:rFonts w:ascii="Times New Roman" w:hAnsi="Times New Roman"/>
          <w:sz w:val="24"/>
        </w:rPr>
        <w:t>износ </w:t>
      </w:r>
      <w:r>
        <w:rPr>
          <w:rFonts w:ascii="Times New Roman" w:hAnsi="Times New Roman"/>
          <w:spacing w:val="35"/>
          <w:sz w:val="24"/>
        </w:rPr>
        <w:t> </w:t>
      </w:r>
      <w:r>
        <w:rPr>
          <w:rFonts w:ascii="Times New Roman" w:hAnsi="Times New Roman"/>
          <w:sz w:val="24"/>
        </w:rPr>
        <w:t>од </w:t>
      </w:r>
      <w:r>
        <w:rPr>
          <w:rFonts w:ascii="Times New Roman" w:hAnsi="Times New Roman"/>
          <w:spacing w:val="38"/>
          <w:sz w:val="24"/>
        </w:rPr>
        <w:t> </w:t>
      </w:r>
      <w:r>
        <w:rPr>
          <w:rFonts w:ascii="Times New Roman" w:hAnsi="Times New Roman"/>
          <w:sz w:val="24"/>
        </w:rPr>
        <w:t>4.974 </w:t>
      </w:r>
      <w:r>
        <w:rPr>
          <w:rFonts w:ascii="Times New Roman" w:hAnsi="Times New Roman"/>
          <w:spacing w:val="38"/>
          <w:sz w:val="24"/>
        </w:rPr>
        <w:t> </w:t>
      </w:r>
      <w:r>
        <w:rPr>
          <w:rFonts w:ascii="Times New Roman" w:hAnsi="Times New Roman"/>
          <w:sz w:val="24"/>
        </w:rPr>
        <w:t>хиљаде </w:t>
      </w:r>
      <w:r>
        <w:rPr>
          <w:rFonts w:ascii="Times New Roman" w:hAnsi="Times New Roman"/>
          <w:spacing w:val="37"/>
          <w:sz w:val="24"/>
        </w:rPr>
        <w:t> </w:t>
      </w:r>
      <w:r>
        <w:rPr>
          <w:rFonts w:ascii="Times New Roman" w:hAnsi="Times New Roman"/>
          <w:sz w:val="24"/>
        </w:rPr>
        <w:t>динара </w:t>
      </w:r>
      <w:r>
        <w:rPr>
          <w:rFonts w:ascii="Times New Roman" w:hAnsi="Times New Roman"/>
          <w:spacing w:val="37"/>
          <w:sz w:val="24"/>
        </w:rPr>
        <w:t> </w:t>
      </w:r>
      <w:r>
        <w:rPr>
          <w:rFonts w:ascii="Times New Roman" w:hAnsi="Times New Roman"/>
          <w:sz w:val="24"/>
        </w:rPr>
        <w:t>за </w:t>
      </w:r>
      <w:r>
        <w:rPr>
          <w:rFonts w:ascii="Times New Roman" w:hAnsi="Times New Roman"/>
          <w:spacing w:val="40"/>
          <w:sz w:val="24"/>
        </w:rPr>
        <w:t> </w:t>
      </w:r>
      <w:r>
        <w:rPr>
          <w:rFonts w:ascii="Times New Roman" w:hAnsi="Times New Roman"/>
          <w:sz w:val="24"/>
        </w:rPr>
        <w:t>учешће </w:t>
      </w:r>
      <w:r>
        <w:rPr>
          <w:rFonts w:ascii="Times New Roman" w:hAnsi="Times New Roman"/>
          <w:spacing w:val="44"/>
          <w:sz w:val="24"/>
        </w:rPr>
        <w:t> </w:t>
      </w:r>
      <w:r>
        <w:rPr>
          <w:rFonts w:ascii="Times New Roman" w:hAnsi="Times New Roman"/>
          <w:sz w:val="24"/>
        </w:rPr>
        <w:t>у</w:t>
      </w:r>
    </w:p>
    <w:p>
      <w:pPr>
        <w:pStyle w:val="BodyText"/>
        <w:spacing w:line="240" w:lineRule="auto"/>
        <w:ind w:right="181"/>
        <w:jc w:val="both"/>
      </w:pPr>
      <w:r>
        <w:rPr/>
        <w:t>„Регионални карантин за смештај животиња“ доо Ниш, Горња Топоница, које је неправилно исказано у билансу стања буџета града. Истовремено, за исти износ мање је исказан износ на конту 311400</w:t>
      </w:r>
      <w:r>
        <w:rPr>
          <w:rFonts w:ascii="Times New Roman" w:hAnsi="Times New Roman" w:cs="Times New Roman" w:eastAsia="Times New Roman" w:hint="default"/>
        </w:rPr>
        <w:t>-</w:t>
      </w:r>
      <w:r>
        <w:rPr/>
        <w:t>финансијска</w:t>
      </w:r>
      <w:r>
        <w:rPr>
          <w:spacing w:val="-19"/>
        </w:rPr>
        <w:t> </w:t>
      </w:r>
      <w:r>
        <w:rPr/>
        <w:t>имовина.</w:t>
      </w:r>
    </w:p>
    <w:p>
      <w:pPr>
        <w:pStyle w:val="Heading2"/>
        <w:spacing w:line="240" w:lineRule="auto"/>
        <w:ind w:right="174" w:firstLine="578"/>
        <w:jc w:val="both"/>
        <w:rPr>
          <w:b w:val="0"/>
          <w:bCs w:val="0"/>
          <w:i w:val="0"/>
        </w:rPr>
      </w:pPr>
      <w:r>
        <w:rPr>
          <w:i/>
        </w:rPr>
        <w:t>Препоручује се одговорним лицима да правилно и тачно исказују и у својим пословним књигама евидентирају сва учешћа у оснивачком капиталу привредних друштава.</w:t>
      </w:r>
      <w:r>
        <w:rPr>
          <w:b w:val="0"/>
          <w:i w:val="0"/>
        </w:rPr>
      </w:r>
    </w:p>
    <w:p>
      <w:pPr>
        <w:pStyle w:val="BodyText"/>
        <w:spacing w:line="240" w:lineRule="auto"/>
        <w:ind w:left="302" w:right="180"/>
        <w:jc w:val="left"/>
      </w:pPr>
      <w:r>
        <w:rPr>
          <w:rFonts w:ascii="Times New Roman" w:hAnsi="Times New Roman"/>
          <w:b/>
          <w:i/>
        </w:rPr>
        <w:t>- </w:t>
      </w:r>
      <w:r>
        <w:rPr/>
        <w:t>У Билансу стања </w:t>
      </w:r>
      <w:r>
        <w:rPr>
          <w:rFonts w:ascii="Times New Roman" w:hAnsi="Times New Roman"/>
        </w:rPr>
      </w:r>
      <w:r>
        <w:rPr>
          <w:rFonts w:ascii="Times New Roman" w:hAnsi="Times New Roman"/>
          <w:u w:val="single" w:color="000000"/>
        </w:rPr>
      </w:r>
      <w:r>
        <w:rPr>
          <w:u w:val="single" w:color="000000"/>
        </w:rPr>
        <w:t>Управе за омладину и спорт </w:t>
      </w:r>
      <w:r>
        <w:rPr/>
        <w:t>у износу од 82 хиљаде динара за </w:t>
      </w:r>
      <w:r>
        <w:rPr/>
        <w:t>исказану вредност домаћих акција и осталог капитала код СЦ</w:t>
      </w:r>
      <w:r>
        <w:rPr>
          <w:spacing w:val="-18"/>
        </w:rPr>
        <w:t> </w:t>
      </w:r>
      <w:r>
        <w:rPr/>
        <w:t>Чаир.</w:t>
      </w:r>
    </w:p>
    <w:p>
      <w:pPr>
        <w:spacing w:before="0"/>
        <w:ind w:left="160" w:right="179"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су код СЦ Чаир мање исказане домаће акције и остали капитал у износу од 40 хиљада</w:t>
      </w:r>
      <w:r>
        <w:rPr>
          <w:rFonts w:ascii="Times New Roman" w:hAnsi="Times New Roman"/>
          <w:spacing w:val="-26"/>
          <w:sz w:val="24"/>
        </w:rPr>
        <w:t> </w:t>
      </w:r>
      <w:r>
        <w:rPr>
          <w:rFonts w:ascii="Times New Roman" w:hAnsi="Times New Roman"/>
          <w:sz w:val="24"/>
        </w:rPr>
        <w:t>динара.</w:t>
      </w:r>
    </w:p>
    <w:p>
      <w:pPr>
        <w:pStyle w:val="Heading2"/>
        <w:spacing w:line="240" w:lineRule="auto"/>
        <w:ind w:right="177"/>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i/>
        </w:rPr>
        <w:t>.</w:t>
      </w:r>
      <w:r>
        <w:rPr>
          <w:rFonts w:ascii="Times New Roman" w:hAnsi="Times New Roman"/>
          <w:b w:val="0"/>
          <w:i w:val="0"/>
        </w:rPr>
      </w:r>
    </w:p>
    <w:p>
      <w:pPr>
        <w:pStyle w:val="BodyText"/>
        <w:spacing w:line="271" w:lineRule="exact"/>
        <w:ind w:right="0"/>
        <w:jc w:val="both"/>
      </w:pPr>
      <w:r>
        <w:rPr>
          <w:rFonts w:ascii="Times New Roman" w:hAnsi="Times New Roman"/>
          <w:b/>
        </w:rPr>
        <w:t>- </w:t>
      </w:r>
      <w:r>
        <w:rPr/>
        <w:t>У </w:t>
      </w:r>
      <w:r>
        <w:rPr>
          <w:rFonts w:ascii="Times New Roman" w:hAnsi="Times New Roman"/>
        </w:rPr>
      </w:r>
      <w:r>
        <w:rPr>
          <w:rFonts w:ascii="Times New Roman" w:hAnsi="Times New Roman"/>
          <w:u w:val="single" w:color="000000"/>
        </w:rPr>
      </w:r>
      <w:r>
        <w:rPr>
          <w:u w:val="single" w:color="000000"/>
        </w:rPr>
        <w:t>Буџету града Ниша </w:t>
      </w:r>
      <w:r>
        <w:rPr/>
        <w:t>исказан је износ од 6.571 хиљаде</w:t>
      </w:r>
      <w:r>
        <w:rPr>
          <w:spacing w:val="-13"/>
        </w:rPr>
        <w:t> </w:t>
      </w:r>
      <w:r>
        <w:rPr/>
        <w:t>динара.</w:t>
      </w:r>
    </w:p>
    <w:p>
      <w:pPr>
        <w:pStyle w:val="Heading1"/>
        <w:spacing w:line="275" w:lineRule="exact"/>
        <w:ind w:left="738" w:right="141"/>
        <w:jc w:val="left"/>
        <w:rPr>
          <w:b w:val="0"/>
          <w:bCs w:val="0"/>
        </w:rPr>
      </w:pPr>
      <w:r>
        <w:rPr/>
        <w:t>На основу ревизије узорковане документације утврђено</w:t>
      </w:r>
      <w:r>
        <w:rPr>
          <w:spacing w:val="-14"/>
        </w:rPr>
        <w:t> </w:t>
      </w:r>
      <w:r>
        <w:rPr/>
        <w:t>је:</w:t>
      </w:r>
      <w:r>
        <w:rPr>
          <w:b w:val="0"/>
        </w:rPr>
      </w:r>
    </w:p>
    <w:p>
      <w:pPr>
        <w:pStyle w:val="ListParagraph"/>
        <w:numPr>
          <w:ilvl w:val="0"/>
          <w:numId w:val="9"/>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Више је исказана вредност домаћих акција и осталог капитала у билансу стања буџета града Ниша у износу од 1.5</w:t>
      </w:r>
      <w:r>
        <w:rPr>
          <w:rFonts w:ascii="Times New Roman" w:hAnsi="Times New Roman" w:cs="Times New Roman" w:eastAsia="Times New Roman" w:hint="default"/>
          <w:sz w:val="24"/>
          <w:szCs w:val="24"/>
        </w:rPr>
        <w:t>4</w:t>
      </w:r>
      <w:r>
        <w:rPr>
          <w:rFonts w:ascii="Times New Roman" w:hAnsi="Times New Roman" w:cs="Times New Roman" w:eastAsia="Times New Roman" w:hint="default"/>
          <w:sz w:val="24"/>
          <w:szCs w:val="24"/>
        </w:rPr>
        <w:t>7 хиљада динара на име учешћа у капиталу привредног друштва Слободна зона „Југ“ доо Ниш које је, након покренутог поступка ликвидације у 2014. години, Решењем Агенције за привредне регистре Републике Србије број БД 108527/2014 од 29.12.2014. године брисано из Регистра привредних субјеката а самим  тим престало да постоји, што је супротно члану 9. Уредбе о буџетском рачуноводству и Правилнику о стандардном класификационом оквиру и контном плану за буџетски систем. Истовремено, за исти износ више је исказана вредност на групи 311400 – финансијска</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имовина.</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Ова позиција више исказана у билансу стања града Ниша уместо у билансу стања Управе за финансије за уплату оснивачког улога Завода за геронтологију и палијативно збрињавање Ниш у износу од 50 хиљада динара и „Регионални карантин за смештај животиња“ доо Ниш, Горња Топоница у износу од 4.974 хиљаде динара. Истовремено, за исти износ више је исказана вредност на групи 311400 – финансијска</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имовина.</w:t>
      </w:r>
    </w:p>
    <w:p>
      <w:pPr>
        <w:pStyle w:val="Heading2"/>
        <w:spacing w:line="240" w:lineRule="auto"/>
        <w:ind w:right="178" w:firstLine="578"/>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7"/>
        </w:rPr>
        <w:t> </w:t>
      </w:r>
      <w:r>
        <w:rPr>
          <w:i/>
        </w:rPr>
        <w:t>систем.</w:t>
      </w:r>
      <w:r>
        <w:rPr>
          <w:b w:val="0"/>
          <w:i w:val="0"/>
        </w:rPr>
      </w:r>
    </w:p>
    <w:p>
      <w:pPr>
        <w:spacing w:line="240" w:lineRule="auto" w:before="0"/>
        <w:ind w:left="160" w:right="179" w:firstLine="566"/>
        <w:jc w:val="both"/>
        <w:rPr>
          <w:rFonts w:ascii="Times New Roman" w:hAnsi="Times New Roman" w:cs="Times New Roman" w:eastAsia="Times New Roman" w:hint="default"/>
          <w:sz w:val="24"/>
          <w:szCs w:val="24"/>
        </w:rPr>
      </w:pPr>
      <w:r>
        <w:rPr>
          <w:rFonts w:ascii="Times New Roman" w:hAnsi="Times New Roman"/>
          <w:b/>
          <w:sz w:val="24"/>
        </w:rPr>
        <w:t>Жиро и текући рачуни, конто 121100 </w:t>
      </w:r>
      <w:r>
        <w:rPr>
          <w:rFonts w:ascii="Times New Roman" w:hAnsi="Times New Roman"/>
          <w:b/>
          <w:sz w:val="24"/>
        </w:rPr>
        <w:t>- </w:t>
      </w:r>
      <w:r>
        <w:rPr>
          <w:rFonts w:ascii="Times New Roman" w:hAnsi="Times New Roman"/>
          <w:sz w:val="24"/>
        </w:rPr>
        <w:t>Исказано је стање у износу од </w:t>
      </w:r>
      <w:r>
        <w:rPr>
          <w:rFonts w:ascii="Times New Roman" w:hAnsi="Times New Roman"/>
          <w:sz w:val="24"/>
        </w:rPr>
        <w:t>64.720 </w:t>
      </w:r>
      <w:r>
        <w:rPr>
          <w:rFonts w:ascii="Times New Roman" w:hAnsi="Times New Roman"/>
          <w:sz w:val="24"/>
        </w:rPr>
        <w:t>хиљада динара и то</w:t>
      </w:r>
      <w:r>
        <w:rPr>
          <w:rFonts w:ascii="Times New Roman" w:hAnsi="Times New Roman"/>
          <w:spacing w:val="-8"/>
          <w:sz w:val="24"/>
        </w:rPr>
        <w:t> </w:t>
      </w:r>
      <w:r>
        <w:rPr>
          <w:rFonts w:ascii="Times New Roman" w:hAnsi="Times New Roman"/>
          <w:sz w:val="24"/>
        </w:rPr>
        <w:t>код:</w:t>
      </w:r>
    </w:p>
    <w:p>
      <w:pPr>
        <w:pStyle w:val="BodyText"/>
        <w:spacing w:line="240" w:lineRule="auto"/>
        <w:ind w:right="173"/>
        <w:jc w:val="both"/>
      </w:pPr>
      <w:r>
        <w:rPr>
          <w:rFonts w:ascii="Times New Roman" w:hAnsi="Times New Roman" w:cs="Times New Roman" w:eastAsia="Times New Roman" w:hint="default"/>
        </w:rPr>
        <w:t>- </w:t>
      </w:r>
      <w:r>
        <w:rPr>
          <w:rFonts w:ascii="Times New Roman" w:hAnsi="Times New Roman" w:cs="Times New Roman" w:eastAsia="Times New Roman" w:hint="default"/>
        </w:rPr>
      </w:r>
      <w:r>
        <w:rPr>
          <w:rFonts w:ascii="Times New Roman" w:hAnsi="Times New Roman" w:cs="Times New Roman" w:eastAsia="Times New Roman" w:hint="default"/>
          <w:u w:val="single" w:color="000000"/>
        </w:rPr>
      </w:r>
      <w:r>
        <w:rPr>
          <w:u w:val="single" w:color="000000"/>
        </w:rPr>
        <w:t>Управе за дечију, социјалну и примарну здравствену заштиту </w:t>
      </w:r>
      <w:r>
        <w:rPr/>
        <w:t>у износу од 1.834 хиљаде </w:t>
      </w:r>
      <w:r>
        <w:rPr/>
        <w:t>динара, за исказана новачана средства код: Установе „Мара“ у износу од 1.046 хиљда динара и Установе „Сигурна кућа“ у износу од 788 хиљада</w:t>
      </w:r>
      <w:r>
        <w:rPr>
          <w:spacing w:val="-16"/>
        </w:rPr>
        <w:t> </w:t>
      </w:r>
      <w:r>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Ова позиција више је исказана код Установе „Мара“ у износу од две хиљаде динара за наменска средства на подрачуну за боловање. Истовремено, за исти износ мање је исказано стање на позицији 121200 – издвојена новчана средства и акредитиви, што је супротно Правилнику о стандардном класификационом оквиру и контном плану за буџетски</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систем.</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ListParagraph"/>
        <w:numPr>
          <w:ilvl w:val="0"/>
          <w:numId w:val="9"/>
        </w:numPr>
        <w:tabs>
          <w:tab w:pos="303" w:val="left" w:leader="none"/>
        </w:tabs>
        <w:spacing w:line="240" w:lineRule="auto" w:before="124" w:after="0"/>
        <w:ind w:left="160" w:right="179"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Ова позиција више је исказана код Установе „Сигурна кућа“ у износу од 591 хиљаде динара за наменска средства која се воде на издвојеним подрачунима за средства донација и боловање. Истовремено, за исти износ мање је исказано стање на позицији </w:t>
      </w:r>
      <w:r>
        <w:rPr>
          <w:rFonts w:ascii="Times New Roman" w:hAnsi="Times New Roman" w:cs="Times New Roman" w:eastAsia="Times New Roman" w:hint="default"/>
          <w:sz w:val="24"/>
          <w:szCs w:val="24"/>
        </w:rPr>
        <w:t>121200 </w:t>
      </w:r>
      <w:r>
        <w:rPr>
          <w:rFonts w:ascii="Times New Roman" w:hAnsi="Times New Roman" w:cs="Times New Roman" w:eastAsia="Times New Roman" w:hint="default"/>
          <w:sz w:val="24"/>
          <w:szCs w:val="24"/>
        </w:rPr>
        <w:t>– издвојена новчана средства и акредитиви, што је супротно Правилнику о стандардном класификационом оквиру и контном плану за буџетски</w:t>
      </w:r>
      <w:r>
        <w:rPr>
          <w:rFonts w:ascii="Times New Roman" w:hAnsi="Times New Roman" w:cs="Times New Roman" w:eastAsia="Times New Roman" w:hint="default"/>
          <w:spacing w:val="-31"/>
          <w:sz w:val="24"/>
          <w:szCs w:val="24"/>
        </w:rPr>
        <w:t> </w:t>
      </w:r>
      <w:r>
        <w:rPr>
          <w:rFonts w:ascii="Times New Roman" w:hAnsi="Times New Roman" w:cs="Times New Roman" w:eastAsia="Times New Roman" w:hint="default"/>
          <w:sz w:val="24"/>
          <w:szCs w:val="24"/>
        </w:rPr>
        <w:t>систем.</w:t>
      </w:r>
    </w:p>
    <w:p>
      <w:pPr>
        <w:pStyle w:val="Heading2"/>
        <w:spacing w:line="240" w:lineRule="auto"/>
        <w:ind w:right="178"/>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Правилника о стандардном класификационом оквиру и контном плану за буџетски систем</w:t>
      </w:r>
      <w:r>
        <w:rPr>
          <w:rFonts w:ascii="Times New Roman" w:hAnsi="Times New Roman"/>
          <w:i w:val="0"/>
        </w:rPr>
        <w:t>.</w:t>
      </w:r>
      <w:r>
        <w:rPr>
          <w:rFonts w:ascii="Times New Roman" w:hAnsi="Times New Roman"/>
          <w:b w:val="0"/>
          <w:i w:val="0"/>
        </w:rPr>
      </w:r>
    </w:p>
    <w:p>
      <w:pPr>
        <w:pStyle w:val="ListParagraph"/>
        <w:numPr>
          <w:ilvl w:val="0"/>
          <w:numId w:val="72"/>
        </w:numPr>
        <w:tabs>
          <w:tab w:pos="303" w:val="left" w:leader="none"/>
        </w:tabs>
        <w:spacing w:line="240" w:lineRule="auto" w:before="0" w:after="0"/>
        <w:ind w:left="160" w:right="18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Управе за образовање </w:t>
      </w:r>
      <w:r>
        <w:rPr>
          <w:rFonts w:ascii="Times New Roman" w:hAnsi="Times New Roman" w:cs="Times New Roman" w:eastAsia="Times New Roman" w:hint="default"/>
          <w:sz w:val="24"/>
          <w:szCs w:val="24"/>
        </w:rPr>
        <w:t>у износу од 1.058 хиљада динара за исказана новчана средства </w:t>
      </w:r>
      <w:r>
        <w:rPr>
          <w:rFonts w:ascii="Times New Roman" w:hAnsi="Times New Roman" w:cs="Times New Roman" w:eastAsia="Times New Roman" w:hint="default"/>
          <w:sz w:val="24"/>
          <w:szCs w:val="24"/>
        </w:rPr>
        <w:t>код: ПУ „Пчелица“ у износу од 846 хиљада динара, Регионалног центра у износу од 146 хиљада динара и Дечијег центра у износу од 66 хиљада</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динара.</w:t>
      </w:r>
    </w:p>
    <w:p>
      <w:pPr>
        <w:pStyle w:val="Heading1"/>
        <w:spacing w:line="275" w:lineRule="exact"/>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1"/>
        </w:rPr>
        <w:t> </w:t>
      </w:r>
      <w:r>
        <w:rPr/>
        <w:t>је</w:t>
      </w:r>
      <w:r>
        <w:rPr>
          <w:rFonts w:ascii="Times New Roman" w:hAnsi="Times New Roman"/>
        </w:rPr>
        <w:t>:</w:t>
      </w:r>
      <w:r>
        <w:rPr>
          <w:rFonts w:ascii="Times New Roman" w:hAnsi="Times New Roman"/>
          <w:b w:val="0"/>
        </w:rPr>
      </w:r>
    </w:p>
    <w:p>
      <w:pPr>
        <w:pStyle w:val="ListParagraph"/>
        <w:numPr>
          <w:ilvl w:val="0"/>
          <w:numId w:val="9"/>
        </w:numPr>
        <w:tabs>
          <w:tab w:pos="303"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Ова позиција више је исказана код ПУ „Пчелица“ у износу од 638 хиљада динара за наменска средства која се воде на издвојеним подрачунима и то у износу од 308 хиљада динара за праћење комерцијалног сектора, подрачуну за средства родитеља у износу од 24 хиљаде динара и за боловање у износу од 306 хиљада динара. Истовремено, за исти износ мање је исказано стање на позицији </w:t>
      </w:r>
      <w:r>
        <w:rPr>
          <w:rFonts w:ascii="Times New Roman" w:hAnsi="Times New Roman" w:cs="Times New Roman" w:eastAsia="Times New Roman" w:hint="default"/>
          <w:sz w:val="24"/>
          <w:szCs w:val="24"/>
        </w:rPr>
        <w:t>121200 </w:t>
      </w:r>
      <w:r>
        <w:rPr>
          <w:rFonts w:ascii="Times New Roman" w:hAnsi="Times New Roman" w:cs="Times New Roman" w:eastAsia="Times New Roman" w:hint="default"/>
          <w:sz w:val="24"/>
          <w:szCs w:val="24"/>
        </w:rPr>
        <w:t>– издвојена новчана средства и акредитиви. Наведно је супротно Правилнику о стандардном класификационом оквиру и контном плану за буџетски</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систем.</w:t>
      </w:r>
    </w:p>
    <w:p>
      <w:pPr>
        <w:pStyle w:val="ListParagraph"/>
        <w:numPr>
          <w:ilvl w:val="0"/>
          <w:numId w:val="9"/>
        </w:numPr>
        <w:tabs>
          <w:tab w:pos="303" w:val="left" w:leader="none"/>
        </w:tabs>
        <w:spacing w:line="240" w:lineRule="auto" w:before="2"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Код Регионалног центра мање је исказан износ на позицији жиро и текући рачуни у износу од две хиљаде динара,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spacing w:val="-8"/>
          <w:sz w:val="24"/>
        </w:rPr>
        <w:t> </w:t>
      </w:r>
      <w:r>
        <w:rPr>
          <w:rFonts w:ascii="Times New Roman" w:hAnsi="Times New Roman"/>
          <w:sz w:val="24"/>
        </w:rPr>
        <w:t>систем</w:t>
      </w:r>
      <w:r>
        <w:rPr>
          <w:rFonts w:ascii="Times New Roman" w:hAnsi="Times New Roman"/>
          <w:sz w:val="24"/>
        </w:rPr>
        <w:t>.</w:t>
      </w:r>
    </w:p>
    <w:p>
      <w:pPr>
        <w:pStyle w:val="Heading2"/>
        <w:spacing w:line="240" w:lineRule="auto"/>
        <w:ind w:right="172"/>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ListParagraph"/>
        <w:numPr>
          <w:ilvl w:val="0"/>
          <w:numId w:val="72"/>
        </w:numPr>
        <w:tabs>
          <w:tab w:pos="303" w:val="left" w:leader="none"/>
        </w:tabs>
        <w:spacing w:line="240" w:lineRule="auto" w:before="0" w:after="0"/>
        <w:ind w:left="160" w:right="174" w:firstLine="0"/>
        <w:jc w:val="left"/>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културу </w:t>
      </w:r>
      <w:r>
        <w:rPr>
          <w:rFonts w:ascii="Times New Roman" w:hAnsi="Times New Roman"/>
          <w:sz w:val="24"/>
        </w:rPr>
        <w:t>у износу од 7.619 хиљада динара за исказана новачана средства код: </w:t>
      </w:r>
      <w:r>
        <w:rPr>
          <w:rFonts w:ascii="Times New Roman" w:hAnsi="Times New Roman"/>
          <w:sz w:val="24"/>
        </w:rPr>
        <w:t>Галерије савремене ликовне уметности у износу од 150 хиљада динара</w:t>
      </w:r>
      <w:r>
        <w:rPr>
          <w:rFonts w:ascii="Times New Roman" w:hAnsi="Times New Roman"/>
          <w:sz w:val="24"/>
        </w:rPr>
        <w:t>, </w:t>
      </w:r>
      <w:r>
        <w:rPr>
          <w:rFonts w:ascii="Times New Roman" w:hAnsi="Times New Roman"/>
          <w:sz w:val="24"/>
        </w:rPr>
        <w:t>Народне библиотеке у износу од 184 хиљаде динара, Народног музеја у износу од 505 хиљада динара, Народног позоришта у износу од </w:t>
      </w:r>
      <w:r>
        <w:rPr>
          <w:rFonts w:ascii="Times New Roman" w:hAnsi="Times New Roman"/>
          <w:sz w:val="24"/>
        </w:rPr>
        <w:t>30 </w:t>
      </w:r>
      <w:r>
        <w:rPr>
          <w:rFonts w:ascii="Times New Roman" w:hAnsi="Times New Roman"/>
          <w:sz w:val="24"/>
        </w:rPr>
        <w:t>хиљад</w:t>
      </w:r>
      <w:r>
        <w:rPr>
          <w:rFonts w:ascii="Times New Roman" w:hAnsi="Times New Roman"/>
          <w:sz w:val="24"/>
        </w:rPr>
        <w:t>a </w:t>
      </w:r>
      <w:r>
        <w:rPr>
          <w:rFonts w:ascii="Times New Roman" w:hAnsi="Times New Roman"/>
          <w:sz w:val="24"/>
        </w:rPr>
        <w:t>динара</w:t>
      </w:r>
      <w:r>
        <w:rPr>
          <w:rFonts w:ascii="Times New Roman" w:hAnsi="Times New Roman"/>
          <w:sz w:val="24"/>
        </w:rPr>
        <w:t>, </w:t>
      </w:r>
      <w:r>
        <w:rPr>
          <w:rFonts w:ascii="Times New Roman" w:hAnsi="Times New Roman"/>
          <w:sz w:val="24"/>
        </w:rPr>
        <w:t>Нишког симфонијског оркестра у износу од </w:t>
      </w:r>
      <w:r>
        <w:rPr>
          <w:rFonts w:ascii="Times New Roman" w:hAnsi="Times New Roman"/>
          <w:sz w:val="24"/>
        </w:rPr>
        <w:t>157 </w:t>
      </w:r>
      <w:r>
        <w:rPr>
          <w:rFonts w:ascii="Times New Roman" w:hAnsi="Times New Roman"/>
          <w:sz w:val="24"/>
        </w:rPr>
        <w:t>хиљад</w:t>
      </w:r>
      <w:r>
        <w:rPr>
          <w:rFonts w:ascii="Times New Roman" w:hAnsi="Times New Roman"/>
          <w:sz w:val="24"/>
        </w:rPr>
        <w:t>a </w:t>
      </w:r>
      <w:r>
        <w:rPr>
          <w:rFonts w:ascii="Times New Roman" w:hAnsi="Times New Roman"/>
          <w:sz w:val="24"/>
        </w:rPr>
        <w:t>динара</w:t>
      </w:r>
      <w:r>
        <w:rPr>
          <w:rFonts w:ascii="Times New Roman" w:hAnsi="Times New Roman"/>
          <w:sz w:val="24"/>
        </w:rPr>
        <w:t>, </w:t>
      </w:r>
      <w:r>
        <w:rPr>
          <w:rFonts w:ascii="Times New Roman" w:hAnsi="Times New Roman"/>
          <w:sz w:val="24"/>
        </w:rPr>
        <w:t>Позоришта лутака у износу од од </w:t>
      </w:r>
      <w:r>
        <w:rPr>
          <w:rFonts w:ascii="Times New Roman" w:hAnsi="Times New Roman"/>
          <w:sz w:val="24"/>
        </w:rPr>
        <w:t>898 </w:t>
      </w:r>
      <w:r>
        <w:rPr>
          <w:rFonts w:ascii="Times New Roman" w:hAnsi="Times New Roman"/>
          <w:sz w:val="24"/>
        </w:rPr>
        <w:t>хиљад</w:t>
      </w:r>
      <w:r>
        <w:rPr>
          <w:rFonts w:ascii="Times New Roman" w:hAnsi="Times New Roman"/>
          <w:sz w:val="24"/>
        </w:rPr>
        <w:t>a </w:t>
      </w:r>
      <w:r>
        <w:rPr>
          <w:rFonts w:ascii="Times New Roman" w:hAnsi="Times New Roman"/>
          <w:sz w:val="24"/>
        </w:rPr>
        <w:t>динара</w:t>
      </w:r>
      <w:r>
        <w:rPr>
          <w:rFonts w:ascii="Times New Roman" w:hAnsi="Times New Roman"/>
          <w:sz w:val="24"/>
        </w:rPr>
        <w:t>, </w:t>
      </w:r>
      <w:r>
        <w:rPr>
          <w:rFonts w:ascii="Times New Roman" w:hAnsi="Times New Roman"/>
          <w:sz w:val="24"/>
        </w:rPr>
        <w:t>Историјског архива у износу од </w:t>
      </w:r>
      <w:r>
        <w:rPr>
          <w:rFonts w:ascii="Times New Roman" w:hAnsi="Times New Roman"/>
          <w:sz w:val="24"/>
        </w:rPr>
        <w:t>126 </w:t>
      </w:r>
      <w:r>
        <w:rPr>
          <w:rFonts w:ascii="Times New Roman" w:hAnsi="Times New Roman"/>
          <w:sz w:val="24"/>
        </w:rPr>
        <w:t>хиљад</w:t>
      </w:r>
      <w:r>
        <w:rPr>
          <w:rFonts w:ascii="Times New Roman" w:hAnsi="Times New Roman"/>
          <w:sz w:val="24"/>
        </w:rPr>
        <w:t>a </w:t>
      </w:r>
      <w:r>
        <w:rPr>
          <w:rFonts w:ascii="Times New Roman" w:hAnsi="Times New Roman"/>
          <w:sz w:val="24"/>
        </w:rPr>
        <w:t>динара</w:t>
      </w:r>
      <w:r>
        <w:rPr>
          <w:rFonts w:ascii="Times New Roman" w:hAnsi="Times New Roman"/>
          <w:sz w:val="24"/>
        </w:rPr>
        <w:t>, </w:t>
      </w:r>
      <w:r>
        <w:rPr>
          <w:rFonts w:ascii="Times New Roman" w:hAnsi="Times New Roman"/>
          <w:sz w:val="24"/>
        </w:rPr>
        <w:t>Нишког културног центра у износу од 1.054 хиљаде динара</w:t>
      </w:r>
      <w:r>
        <w:rPr>
          <w:rFonts w:ascii="Times New Roman" w:hAnsi="Times New Roman"/>
          <w:sz w:val="24"/>
        </w:rPr>
        <w:t>, </w:t>
      </w:r>
      <w:r>
        <w:rPr>
          <w:rFonts w:ascii="Times New Roman" w:hAnsi="Times New Roman"/>
          <w:sz w:val="24"/>
        </w:rPr>
        <w:t>Завода за заштиту споменика у износу од од  4.515 хиљада динара, који одговара стању средстава на рачуну за буџетска средства, за боловање и сопствени рачун. На рачуну за буџетска средства остала су средства у износу од 3.868 хиљада динара која су од Министарства културе наменски пренета</w:t>
      </w:r>
      <w:r>
        <w:rPr>
          <w:rFonts w:ascii="Times New Roman" w:hAnsi="Times New Roman"/>
          <w:spacing w:val="-19"/>
          <w:sz w:val="24"/>
        </w:rPr>
        <w:t> </w:t>
      </w:r>
      <w:r>
        <w:rPr>
          <w:rFonts w:ascii="Times New Roman" w:hAnsi="Times New Roman"/>
          <w:sz w:val="24"/>
        </w:rPr>
        <w:t>Заводу.</w:t>
      </w:r>
    </w:p>
    <w:p>
      <w:pPr>
        <w:spacing w:before="0"/>
        <w:ind w:left="160" w:right="174"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да је к</w:t>
      </w:r>
      <w:r>
        <w:rPr>
          <w:rFonts w:ascii="Times New Roman" w:hAnsi="Times New Roman"/>
          <w:sz w:val="24"/>
        </w:rPr>
        <w:t>од Народног музеја на подрачуну за буџетска средства остао износ од 271 хиљаде динара. По</w:t>
      </w:r>
      <w:r>
        <w:rPr>
          <w:rFonts w:ascii="Times New Roman" w:hAnsi="Times New Roman"/>
          <w:spacing w:val="-22"/>
          <w:sz w:val="24"/>
        </w:rPr>
        <w:t> </w:t>
      </w:r>
      <w:r>
        <w:rPr>
          <w:rFonts w:ascii="Times New Roman" w:hAnsi="Times New Roman"/>
          <w:sz w:val="24"/>
        </w:rPr>
        <w:t>Пројекту</w:t>
      </w:r>
    </w:p>
    <w:p>
      <w:pPr>
        <w:pStyle w:val="BodyText"/>
        <w:spacing w:line="240" w:lineRule="auto"/>
        <w:ind w:right="177"/>
        <w:jc w:val="both"/>
      </w:pPr>
      <w:r>
        <w:rPr/>
        <w:t>„Изложба Константиново доба – 1700 година“, остала су неутрошена средства, која је уплатило Министарство културе на подрачун Народног музеја, у износу од 1.149 хиљада динара. Од тог износа Народни музеј је искористио износ од 878 хиљада динара (према писаном  појашњењу  одговорног  лица  „средства  привремено  ангажовао“)  за</w:t>
      </w:r>
      <w:r>
        <w:rPr>
          <w:spacing w:val="37"/>
        </w:rPr>
        <w:t> </w:t>
      </w:r>
      <w:r>
        <w:rPr/>
        <w:t>Пројекат</w:t>
      </w:r>
    </w:p>
    <w:p>
      <w:pPr>
        <w:pStyle w:val="BodyText"/>
        <w:spacing w:line="240" w:lineRule="auto"/>
        <w:ind w:right="180"/>
        <w:jc w:val="both"/>
      </w:pPr>
      <w:r>
        <w:rPr/>
        <w:t>„Виртуелни музеј“ који се финансира из средстава ИПА фондова. Да не би закаснили и били кажњени непризнавањем трошкова од стране Главног управљачког органа из Софије, јер он признаје само уплате извршене до 22.04.2014. године, Народни музеј је искористио средства по другом пројекту за тај. Средства су требала да буду</w:t>
      </w:r>
      <w:r>
        <w:rPr>
          <w:spacing w:val="15"/>
        </w:rPr>
        <w:t> </w:t>
      </w:r>
      <w:r>
        <w:rPr/>
        <w:t>рефундирана</w:t>
      </w:r>
    </w:p>
    <w:p>
      <w:pPr>
        <w:spacing w:after="0" w:line="240" w:lineRule="auto"/>
        <w:jc w:val="both"/>
        <w:sectPr>
          <w:footerReference w:type="default" r:id="rId89"/>
          <w:pgSz w:w="12240" w:h="15840"/>
          <w:pgMar w:footer="1274" w:header="740" w:top="1280" w:bottom="1460" w:left="1400" w:right="1260"/>
          <w:pgNumType w:start="270"/>
        </w:sectPr>
      </w:pPr>
    </w:p>
    <w:p>
      <w:pPr>
        <w:pStyle w:val="BodyText"/>
        <w:spacing w:line="240" w:lineRule="auto" w:before="122"/>
        <w:ind w:right="184"/>
        <w:jc w:val="both"/>
      </w:pPr>
      <w:r>
        <w:rPr/>
        <w:t>до краја 2014. године, међутим рефундирана су тек 30.03.2015. године. На описани начин Народни музеј није наменски искористио средства од Министарства културе у износу од 878 хиљада динара, што је супротно члану 56. и 58. Закона о буџетском</w:t>
      </w:r>
      <w:r>
        <w:rPr>
          <w:spacing w:val="-23"/>
        </w:rPr>
        <w:t> </w:t>
      </w:r>
      <w:r>
        <w:rPr/>
        <w:t>систему.</w:t>
      </w:r>
    </w:p>
    <w:p>
      <w:pPr>
        <w:pStyle w:val="Heading2"/>
        <w:spacing w:line="240" w:lineRule="auto"/>
        <w:ind w:right="185" w:firstLine="578"/>
        <w:jc w:val="both"/>
        <w:rPr>
          <w:b w:val="0"/>
          <w:bCs w:val="0"/>
          <w:i w:val="0"/>
        </w:rPr>
      </w:pPr>
      <w:r>
        <w:rPr>
          <w:i/>
        </w:rPr>
        <w:t>Препоручује се одговорним лицима да средства користе за намене за које су одобрена.</w:t>
      </w:r>
      <w:r>
        <w:rPr>
          <w:b w:val="0"/>
          <w:i w:val="0"/>
        </w:rPr>
      </w:r>
    </w:p>
    <w:p>
      <w:pPr>
        <w:pStyle w:val="ListParagraph"/>
        <w:numPr>
          <w:ilvl w:val="0"/>
          <w:numId w:val="73"/>
        </w:numPr>
        <w:tabs>
          <w:tab w:pos="303"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омладину и спорт </w:t>
      </w:r>
      <w:r>
        <w:rPr>
          <w:rFonts w:ascii="Times New Roman" w:hAnsi="Times New Roman"/>
          <w:sz w:val="24"/>
        </w:rPr>
        <w:t>у износу од 958 хиљада динара за исказана новчана </w:t>
      </w:r>
      <w:r>
        <w:rPr>
          <w:rFonts w:ascii="Times New Roman" w:hAnsi="Times New Roman"/>
          <w:sz w:val="24"/>
        </w:rPr>
        <w:t>средства код СЦ</w:t>
      </w:r>
      <w:r>
        <w:rPr>
          <w:rFonts w:ascii="Times New Roman" w:hAnsi="Times New Roman"/>
          <w:spacing w:val="-7"/>
          <w:sz w:val="24"/>
        </w:rPr>
        <w:t> </w:t>
      </w:r>
      <w:r>
        <w:rPr>
          <w:rFonts w:ascii="Times New Roman" w:hAnsi="Times New Roman"/>
          <w:sz w:val="24"/>
        </w:rPr>
        <w:t>Чаир.</w:t>
      </w:r>
    </w:p>
    <w:p>
      <w:pPr>
        <w:pStyle w:val="ListParagraph"/>
        <w:numPr>
          <w:ilvl w:val="0"/>
          <w:numId w:val="73"/>
        </w:numPr>
        <w:tabs>
          <w:tab w:pos="303"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комуналне делатности, енергетику и саобраћај </w:t>
      </w:r>
      <w:r>
        <w:rPr>
          <w:rFonts w:ascii="Times New Roman" w:hAnsi="Times New Roman"/>
          <w:sz w:val="24"/>
        </w:rPr>
        <w:t>у износу од 68 хиљада динара </w:t>
      </w:r>
      <w:r>
        <w:rPr>
          <w:rFonts w:ascii="Times New Roman" w:hAnsi="Times New Roman"/>
          <w:sz w:val="24"/>
        </w:rPr>
        <w:t>за исказана новчана средства код ЈП</w:t>
      </w:r>
      <w:r>
        <w:rPr>
          <w:rFonts w:ascii="Times New Roman" w:hAnsi="Times New Roman"/>
          <w:spacing w:val="-17"/>
          <w:sz w:val="24"/>
        </w:rPr>
        <w:t> </w:t>
      </w:r>
      <w:r>
        <w:rPr>
          <w:rFonts w:ascii="Times New Roman" w:hAnsi="Times New Roman"/>
          <w:sz w:val="24"/>
        </w:rPr>
        <w:t>Дирекција.</w:t>
      </w:r>
    </w:p>
    <w:p>
      <w:pPr>
        <w:pStyle w:val="ListParagraph"/>
        <w:numPr>
          <w:ilvl w:val="0"/>
          <w:numId w:val="73"/>
        </w:numPr>
        <w:tabs>
          <w:tab w:pos="303"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привреду, одрживи развој и заштиту животне средине </w:t>
      </w:r>
      <w:r>
        <w:rPr>
          <w:rFonts w:ascii="Times New Roman" w:hAnsi="Times New Roman"/>
          <w:sz w:val="24"/>
        </w:rPr>
        <w:t>у износу од 185  </w:t>
      </w:r>
      <w:r>
        <w:rPr>
          <w:rFonts w:ascii="Times New Roman" w:hAnsi="Times New Roman"/>
          <w:sz w:val="24"/>
        </w:rPr>
        <w:t>хиљада динара за исказана новчана средства код Туристичке</w:t>
      </w:r>
      <w:r>
        <w:rPr>
          <w:rFonts w:ascii="Times New Roman" w:hAnsi="Times New Roman"/>
          <w:spacing w:val="-24"/>
          <w:sz w:val="24"/>
        </w:rPr>
        <w:t> </w:t>
      </w:r>
      <w:r>
        <w:rPr>
          <w:rFonts w:ascii="Times New Roman" w:hAnsi="Times New Roman"/>
          <w:sz w:val="24"/>
        </w:rPr>
        <w:t>организације.</w:t>
      </w:r>
    </w:p>
    <w:p>
      <w:pPr>
        <w:pStyle w:val="ListParagraph"/>
        <w:numPr>
          <w:ilvl w:val="0"/>
          <w:numId w:val="73"/>
        </w:numPr>
        <w:tabs>
          <w:tab w:pos="303" w:val="left" w:leader="none"/>
        </w:tabs>
        <w:spacing w:line="240" w:lineRule="auto" w:before="0" w:after="0"/>
        <w:ind w:left="160" w:right="178"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пољопривреду и развој села </w:t>
      </w:r>
      <w:r>
        <w:rPr>
          <w:rFonts w:ascii="Times New Roman" w:hAnsi="Times New Roman"/>
          <w:sz w:val="24"/>
        </w:rPr>
        <w:t>у износу од 578 хиљада динара за исказана </w:t>
      </w:r>
      <w:r>
        <w:rPr>
          <w:rFonts w:ascii="Times New Roman" w:hAnsi="Times New Roman"/>
          <w:sz w:val="24"/>
        </w:rPr>
        <w:t>новчана средства код Фонда за развој и</w:t>
      </w:r>
      <w:r>
        <w:rPr>
          <w:rFonts w:ascii="Times New Roman" w:hAnsi="Times New Roman"/>
          <w:spacing w:val="-16"/>
          <w:sz w:val="24"/>
        </w:rPr>
        <w:t> </w:t>
      </w:r>
      <w:r>
        <w:rPr>
          <w:rFonts w:ascii="Times New Roman" w:hAnsi="Times New Roman"/>
          <w:sz w:val="24"/>
        </w:rPr>
        <w:t>самофинансирање.</w:t>
      </w:r>
    </w:p>
    <w:p>
      <w:pPr>
        <w:pStyle w:val="ListParagraph"/>
        <w:numPr>
          <w:ilvl w:val="0"/>
          <w:numId w:val="73"/>
        </w:numPr>
        <w:tabs>
          <w:tab w:pos="303" w:val="left" w:leader="none"/>
        </w:tabs>
        <w:spacing w:line="240" w:lineRule="auto" w:before="0" w:after="0"/>
        <w:ind w:left="160" w:right="182"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планирање и изградњу </w:t>
      </w:r>
      <w:r>
        <w:rPr>
          <w:rFonts w:ascii="Times New Roman" w:hAnsi="Times New Roman"/>
          <w:sz w:val="24"/>
        </w:rPr>
        <w:t>у износу од 26.673 хиљаде динара за  исказана  </w:t>
      </w:r>
      <w:r>
        <w:rPr>
          <w:rFonts w:ascii="Times New Roman" w:hAnsi="Times New Roman"/>
          <w:sz w:val="24"/>
        </w:rPr>
        <w:t>новчана средства код ЈП</w:t>
      </w:r>
      <w:r>
        <w:rPr>
          <w:rFonts w:ascii="Times New Roman" w:hAnsi="Times New Roman"/>
          <w:spacing w:val="-6"/>
          <w:sz w:val="24"/>
        </w:rPr>
        <w:t> </w:t>
      </w:r>
      <w:r>
        <w:rPr>
          <w:rFonts w:ascii="Times New Roman" w:hAnsi="Times New Roman"/>
          <w:sz w:val="24"/>
        </w:rPr>
        <w:t>ГСА</w:t>
      </w:r>
      <w:r>
        <w:rPr>
          <w:rFonts w:ascii="Times New Roman" w:hAnsi="Times New Roman"/>
          <w:sz w:val="24"/>
        </w:rPr>
        <w:t>.</w:t>
      </w:r>
    </w:p>
    <w:p>
      <w:pPr>
        <w:pStyle w:val="Heading1"/>
        <w:spacing w:line="275" w:lineRule="exact"/>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3"/>
        </w:rPr>
        <w:t> </w:t>
      </w:r>
      <w:r>
        <w:rPr/>
        <w:t>је</w:t>
      </w:r>
      <w:r>
        <w:rPr>
          <w:rFonts w:ascii="Times New Roman" w:hAnsi="Times New Roman"/>
        </w:rPr>
        <w:t>:</w:t>
      </w:r>
      <w:r>
        <w:rPr>
          <w:rFonts w:ascii="Times New Roman" w:hAnsi="Times New Roman"/>
          <w:b w:val="0"/>
        </w:rPr>
      </w:r>
    </w:p>
    <w:p>
      <w:pPr>
        <w:pStyle w:val="ListParagraph"/>
        <w:numPr>
          <w:ilvl w:val="0"/>
          <w:numId w:val="9"/>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Ова билансна позиција исказана је у већем износу код ЈП ГСА за 26.</w:t>
      </w:r>
      <w:r>
        <w:rPr>
          <w:rFonts w:ascii="Times New Roman" w:hAnsi="Times New Roman"/>
          <w:sz w:val="24"/>
        </w:rPr>
        <w:t>483 </w:t>
      </w:r>
      <w:r>
        <w:rPr>
          <w:rFonts w:ascii="Times New Roman" w:hAnsi="Times New Roman"/>
          <w:sz w:val="24"/>
        </w:rPr>
        <w:t>хиљаде динара, из разлога што је поменута средства требало евидентирати на конту 121200 </w:t>
      </w:r>
      <w:r>
        <w:rPr>
          <w:rFonts w:ascii="Times New Roman" w:hAnsi="Times New Roman"/>
          <w:sz w:val="24"/>
        </w:rPr>
        <w:t>- </w:t>
      </w:r>
      <w:r>
        <w:rPr>
          <w:rFonts w:ascii="Times New Roman" w:hAnsi="Times New Roman"/>
          <w:sz w:val="24"/>
        </w:rPr>
        <w:t>Издвојена новчана средства и акредитиви у истом износу, што је супротно Правилнику о стандардном класификационом оквиру и контном плану за буџетски</w:t>
      </w:r>
      <w:r>
        <w:rPr>
          <w:rFonts w:ascii="Times New Roman" w:hAnsi="Times New Roman"/>
          <w:spacing w:val="-23"/>
          <w:sz w:val="24"/>
        </w:rPr>
        <w:t> </w:t>
      </w:r>
      <w:r>
        <w:rPr>
          <w:rFonts w:ascii="Times New Roman" w:hAnsi="Times New Roman"/>
          <w:sz w:val="24"/>
        </w:rPr>
        <w:t>систем</w:t>
      </w:r>
      <w:r>
        <w:rPr>
          <w:rFonts w:ascii="Times New Roman" w:hAnsi="Times New Roman"/>
          <w:sz w:val="24"/>
        </w:rPr>
        <w:t>.</w:t>
      </w:r>
    </w:p>
    <w:p>
      <w:pPr>
        <w:pStyle w:val="ListParagraph"/>
        <w:numPr>
          <w:ilvl w:val="0"/>
          <w:numId w:val="9"/>
        </w:numPr>
        <w:tabs>
          <w:tab w:pos="303" w:val="left" w:leader="none"/>
        </w:tabs>
        <w:spacing w:line="274" w:lineRule="exact" w:before="24"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Индиректни корисник ЈП ГСА није вратила средства у износу од 157 хиљада динара граду на дан 31.12.2014. године, што је супротно члану 59. Закона о буџетском</w:t>
      </w:r>
      <w:r>
        <w:rPr>
          <w:rFonts w:ascii="Times New Roman" w:hAnsi="Times New Roman"/>
          <w:spacing w:val="-23"/>
          <w:sz w:val="24"/>
        </w:rPr>
        <w:t> </w:t>
      </w:r>
      <w:r>
        <w:rPr>
          <w:rFonts w:ascii="Times New Roman" w:hAnsi="Times New Roman"/>
          <w:sz w:val="24"/>
        </w:rPr>
        <w:t>систему.</w:t>
      </w:r>
    </w:p>
    <w:p>
      <w:pPr>
        <w:pStyle w:val="Heading2"/>
        <w:spacing w:line="240" w:lineRule="auto" w:before="2"/>
        <w:ind w:right="174" w:firstLine="578"/>
        <w:jc w:val="both"/>
        <w:rPr>
          <w:b w:val="0"/>
          <w:bCs w:val="0"/>
          <w:i w:val="0"/>
        </w:rPr>
      </w:pPr>
      <w:r>
        <w:rPr>
          <w:i/>
        </w:rPr>
        <w:t>Препоручује се одговорним лицима да обезбеде правилну примену Закона о буџетском систему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ListParagraph"/>
        <w:numPr>
          <w:ilvl w:val="0"/>
          <w:numId w:val="73"/>
        </w:numPr>
        <w:tabs>
          <w:tab w:pos="444"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 Буџету града Ниша </w:t>
      </w:r>
      <w:r>
        <w:rPr>
          <w:rFonts w:ascii="Times New Roman" w:hAnsi="Times New Roman"/>
          <w:sz w:val="24"/>
        </w:rPr>
        <w:t>исказан је износ од 25.747 хиљада динара и одговара стању </w:t>
      </w:r>
      <w:r>
        <w:rPr>
          <w:rFonts w:ascii="Times New Roman" w:hAnsi="Times New Roman"/>
          <w:sz w:val="24"/>
        </w:rPr>
        <w:t>новчаних средстава на рачуну извршења буџета града Ниша на дан 31.12.2014. године, а који је требало исказати код Управе за финансије, изворне приходе локлане самоуправе и јавне</w:t>
      </w:r>
      <w:r>
        <w:rPr>
          <w:rFonts w:ascii="Times New Roman" w:hAnsi="Times New Roman"/>
          <w:spacing w:val="-4"/>
          <w:sz w:val="24"/>
        </w:rPr>
        <w:t> </w:t>
      </w:r>
      <w:r>
        <w:rPr>
          <w:rFonts w:ascii="Times New Roman" w:hAnsi="Times New Roman"/>
          <w:sz w:val="24"/>
        </w:rPr>
        <w:t>набавке.</w:t>
      </w:r>
    </w:p>
    <w:p>
      <w:pPr>
        <w:spacing w:before="0"/>
        <w:ind w:left="160" w:right="175"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Издвојена новчана средства и акредитиви</w:t>
      </w:r>
      <w:r>
        <w:rPr>
          <w:rFonts w:ascii="Times New Roman" w:hAnsi="Times New Roman" w:cs="Times New Roman" w:eastAsia="Times New Roman" w:hint="default"/>
          <w:b/>
          <w:bCs/>
          <w:sz w:val="24"/>
          <w:szCs w:val="24"/>
        </w:rPr>
        <w:t>, </w:t>
      </w:r>
      <w:r>
        <w:rPr>
          <w:rFonts w:ascii="Times New Roman" w:hAnsi="Times New Roman" w:cs="Times New Roman" w:eastAsia="Times New Roman" w:hint="default"/>
          <w:b/>
          <w:bCs/>
          <w:sz w:val="24"/>
          <w:szCs w:val="24"/>
        </w:rPr>
        <w:t>конто 121</w:t>
      </w:r>
      <w:r>
        <w:rPr>
          <w:rFonts w:ascii="Times New Roman" w:hAnsi="Times New Roman" w:cs="Times New Roman" w:eastAsia="Times New Roman" w:hint="default"/>
          <w:b/>
          <w:bCs/>
          <w:sz w:val="24"/>
          <w:szCs w:val="24"/>
        </w:rPr>
        <w:t>200 </w:t>
      </w:r>
      <w:r>
        <w:rPr>
          <w:rFonts w:ascii="Times New Roman" w:hAnsi="Times New Roman" w:cs="Times New Roman" w:eastAsia="Times New Roman" w:hint="default"/>
          <w:b/>
          <w:bCs/>
          <w:sz w:val="24"/>
          <w:szCs w:val="24"/>
        </w:rPr>
        <w:t>– </w:t>
      </w:r>
      <w:r>
        <w:rPr>
          <w:rFonts w:ascii="Times New Roman" w:hAnsi="Times New Roman" w:cs="Times New Roman" w:eastAsia="Times New Roman" w:hint="default"/>
          <w:sz w:val="24"/>
          <w:szCs w:val="24"/>
        </w:rPr>
        <w:t>Исказано је стање у износу од три хиљаде динара и то</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код:</w:t>
      </w:r>
    </w:p>
    <w:p>
      <w:pPr>
        <w:pStyle w:val="ListParagraph"/>
        <w:numPr>
          <w:ilvl w:val="0"/>
          <w:numId w:val="73"/>
        </w:numPr>
        <w:tabs>
          <w:tab w:pos="303" w:val="left" w:leader="none"/>
        </w:tabs>
        <w:spacing w:line="240" w:lineRule="auto" w:before="0" w:after="0"/>
        <w:ind w:left="302" w:right="0" w:hanging="142"/>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омладину и спорт </w:t>
      </w:r>
      <w:r>
        <w:rPr>
          <w:rFonts w:ascii="Times New Roman" w:hAnsi="Times New Roman"/>
          <w:sz w:val="24"/>
        </w:rPr>
        <w:t>у износу од једне хиљаде динара код СЦ</w:t>
      </w:r>
      <w:r>
        <w:rPr>
          <w:rFonts w:ascii="Times New Roman" w:hAnsi="Times New Roman"/>
          <w:spacing w:val="-18"/>
          <w:sz w:val="24"/>
        </w:rPr>
        <w:t> </w:t>
      </w:r>
      <w:r>
        <w:rPr>
          <w:rFonts w:ascii="Times New Roman" w:hAnsi="Times New Roman"/>
          <w:sz w:val="24"/>
        </w:rPr>
        <w:t>Чаир.</w:t>
      </w:r>
    </w:p>
    <w:p>
      <w:pPr>
        <w:pStyle w:val="ListParagraph"/>
        <w:numPr>
          <w:ilvl w:val="0"/>
          <w:numId w:val="73"/>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културу </w:t>
      </w:r>
      <w:r>
        <w:rPr>
          <w:rFonts w:ascii="Times New Roman" w:hAnsi="Times New Roman"/>
          <w:sz w:val="24"/>
        </w:rPr>
        <w:t>у износу од две хиљаде динара за исказана средства код Народног </w:t>
      </w:r>
      <w:r>
        <w:rPr>
          <w:rFonts w:ascii="Times New Roman" w:hAnsi="Times New Roman"/>
          <w:sz w:val="24"/>
        </w:rPr>
        <w:t>музеја.</w:t>
      </w:r>
    </w:p>
    <w:p>
      <w:pPr>
        <w:pStyle w:val="ListParagraph"/>
        <w:numPr>
          <w:ilvl w:val="0"/>
          <w:numId w:val="73"/>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У билансу стања </w:t>
      </w:r>
      <w:r>
        <w:rPr>
          <w:rFonts w:ascii="Times New Roman" w:hAnsi="Times New Roman"/>
          <w:sz w:val="24"/>
        </w:rPr>
      </w:r>
      <w:r>
        <w:rPr>
          <w:rFonts w:ascii="Times New Roman" w:hAnsi="Times New Roman"/>
          <w:sz w:val="24"/>
          <w:u w:val="single" w:color="000000"/>
        </w:rPr>
      </w:r>
      <w:r>
        <w:rPr>
          <w:rFonts w:ascii="Times New Roman" w:hAnsi="Times New Roman"/>
          <w:sz w:val="24"/>
          <w:u w:val="single" w:color="000000"/>
        </w:rPr>
        <w:t>Управе за дечију, социјалну и примарну здравствену заштиту </w:t>
      </w:r>
      <w:r>
        <w:rPr>
          <w:rFonts w:ascii="Times New Roman" w:hAnsi="Times New Roman"/>
          <w:sz w:val="24"/>
        </w:rPr>
        <w:t>није </w:t>
      </w:r>
      <w:r>
        <w:rPr>
          <w:rFonts w:ascii="Times New Roman" w:hAnsi="Times New Roman"/>
          <w:sz w:val="24"/>
        </w:rPr>
        <w:t>исказан</w:t>
      </w:r>
      <w:r>
        <w:rPr>
          <w:rFonts w:ascii="Times New Roman" w:hAnsi="Times New Roman"/>
          <w:spacing w:val="-5"/>
          <w:sz w:val="24"/>
        </w:rPr>
        <w:t> </w:t>
      </w:r>
      <w:r>
        <w:rPr>
          <w:rFonts w:ascii="Times New Roman" w:hAnsi="Times New Roman"/>
          <w:sz w:val="24"/>
        </w:rPr>
        <w:t>износ.</w:t>
      </w:r>
    </w:p>
    <w:p>
      <w:pPr>
        <w:pStyle w:val="BodyText"/>
        <w:spacing w:line="240" w:lineRule="auto"/>
        <w:ind w:right="174" w:firstLine="566"/>
        <w:jc w:val="both"/>
      </w:pPr>
      <w:r>
        <w:rPr>
          <w:rFonts w:ascii="Times New Roman" w:hAnsi="Times New Roman" w:cs="Times New Roman" w:eastAsia="Times New Roman" w:hint="default"/>
          <w:b/>
          <w:bCs/>
        </w:rPr>
        <w:t>На основу ревизије узорковане документације утврђено је </w:t>
      </w:r>
      <w:r>
        <w:rPr/>
        <w:t>да је ова позиција исказана мање у укупном износу од 593 хиљаде динара и то код Установе „Мара“ у износу од две хиљаде динара на име издвојених средстава за исплату боловања и код Установе „Сигурна кућа“ у износу од 591 хиљаде динара, на име издвојених средстава на подрачунима, што је супротно Правилнику о стандардном класификационом оквиру и контном плану за буџетски</w:t>
      </w:r>
      <w:r>
        <w:rPr>
          <w:spacing w:val="-17"/>
        </w:rPr>
        <w:t> </w:t>
      </w:r>
      <w:r>
        <w:rPr/>
        <w:t>систем.</w:t>
      </w:r>
    </w:p>
    <w:p>
      <w:pPr>
        <w:pStyle w:val="Heading2"/>
        <w:spacing w:line="240" w:lineRule="auto"/>
        <w:ind w:right="178"/>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Правилника о стандардном класификационом оквиру и контном плану за буџетски систем</w:t>
      </w:r>
      <w:r>
        <w:rPr>
          <w:rFonts w:ascii="Times New Roman" w:hAnsi="Times New Roman"/>
          <w:i w:val="0"/>
        </w:rPr>
        <w:t>.</w:t>
      </w:r>
      <w:r>
        <w:rPr>
          <w:rFonts w:ascii="Times New Roman" w:hAnsi="Times New Roman"/>
          <w:b w:val="0"/>
          <w:i w:val="0"/>
        </w:rPr>
      </w:r>
    </w:p>
    <w:p>
      <w:pPr>
        <w:pStyle w:val="ListParagraph"/>
        <w:numPr>
          <w:ilvl w:val="0"/>
          <w:numId w:val="73"/>
        </w:numPr>
        <w:tabs>
          <w:tab w:pos="303" w:val="left" w:leader="none"/>
        </w:tabs>
        <w:spacing w:line="271"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У билансу стања </w:t>
      </w:r>
      <w:r>
        <w:rPr>
          <w:rFonts w:ascii="Times New Roman" w:hAnsi="Times New Roman"/>
          <w:sz w:val="24"/>
        </w:rPr>
      </w:r>
      <w:r>
        <w:rPr>
          <w:rFonts w:ascii="Times New Roman" w:hAnsi="Times New Roman"/>
          <w:sz w:val="24"/>
          <w:u w:val="single" w:color="000000"/>
        </w:rPr>
      </w:r>
      <w:r>
        <w:rPr>
          <w:rFonts w:ascii="Times New Roman" w:hAnsi="Times New Roman"/>
          <w:sz w:val="24"/>
          <w:u w:val="single" w:color="000000"/>
        </w:rPr>
        <w:t>Управе за образовање </w:t>
      </w:r>
      <w:r>
        <w:rPr>
          <w:rFonts w:ascii="Times New Roman" w:hAnsi="Times New Roman"/>
          <w:sz w:val="24"/>
        </w:rPr>
        <w:t>није исказан</w:t>
      </w:r>
      <w:r>
        <w:rPr>
          <w:rFonts w:ascii="Times New Roman" w:hAnsi="Times New Roman"/>
          <w:spacing w:val="-11"/>
          <w:sz w:val="24"/>
        </w:rPr>
        <w:t> </w:t>
      </w:r>
      <w:r>
        <w:rPr>
          <w:rFonts w:ascii="Times New Roman" w:hAnsi="Times New Roman"/>
          <w:sz w:val="24"/>
        </w:rPr>
        <w:t>износ.</w:t>
      </w:r>
    </w:p>
    <w:p>
      <w:pPr>
        <w:spacing w:after="0" w:line="271" w:lineRule="exact"/>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spacing w:before="122"/>
        <w:ind w:left="160" w:right="174" w:firstLine="539"/>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На основу ревизије узорковане документације утврђено је </w:t>
      </w:r>
      <w:r>
        <w:rPr>
          <w:rFonts w:ascii="Times New Roman" w:hAnsi="Times New Roman" w:cs="Times New Roman" w:eastAsia="Times New Roman" w:hint="default"/>
          <w:sz w:val="24"/>
          <w:szCs w:val="24"/>
        </w:rPr>
        <w:t>да је ова позиција исказана мање код ПУ „Пчелица“ у износу од 638 хиљада динара на име издвојених средстава.</w:t>
      </w:r>
    </w:p>
    <w:p>
      <w:pPr>
        <w:pStyle w:val="Heading2"/>
        <w:spacing w:line="240" w:lineRule="auto"/>
        <w:ind w:right="174" w:firstLine="539"/>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Правилника о стандардном класификационом оквиру и контном плану за буџетски систем</w:t>
      </w:r>
      <w:r>
        <w:rPr>
          <w:rFonts w:ascii="Times New Roman" w:hAnsi="Times New Roman"/>
          <w:i/>
        </w:rPr>
        <w:t>.</w:t>
      </w:r>
      <w:r>
        <w:rPr>
          <w:rFonts w:ascii="Times New Roman" w:hAnsi="Times New Roman"/>
          <w:b w:val="0"/>
          <w:i w:val="0"/>
        </w:rPr>
      </w:r>
    </w:p>
    <w:p>
      <w:pPr>
        <w:pStyle w:val="ListParagraph"/>
        <w:numPr>
          <w:ilvl w:val="0"/>
          <w:numId w:val="73"/>
        </w:numPr>
        <w:tabs>
          <w:tab w:pos="303" w:val="left" w:leader="none"/>
        </w:tabs>
        <w:spacing w:line="271"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У билансу стања </w:t>
      </w:r>
      <w:r>
        <w:rPr>
          <w:rFonts w:ascii="Times New Roman" w:hAnsi="Times New Roman"/>
          <w:sz w:val="24"/>
        </w:rPr>
      </w:r>
      <w:r>
        <w:rPr>
          <w:rFonts w:ascii="Times New Roman" w:hAnsi="Times New Roman"/>
          <w:sz w:val="24"/>
          <w:u w:val="single" w:color="000000"/>
        </w:rPr>
      </w:r>
      <w:r>
        <w:rPr>
          <w:rFonts w:ascii="Times New Roman" w:hAnsi="Times New Roman"/>
          <w:sz w:val="24"/>
          <w:u w:val="single" w:color="000000"/>
        </w:rPr>
        <w:t>Управе за планирање и изградњу </w:t>
      </w:r>
      <w:r>
        <w:rPr>
          <w:rFonts w:ascii="Times New Roman" w:hAnsi="Times New Roman"/>
          <w:sz w:val="24"/>
        </w:rPr>
        <w:t>није исказан</w:t>
      </w:r>
      <w:r>
        <w:rPr>
          <w:rFonts w:ascii="Times New Roman" w:hAnsi="Times New Roman"/>
          <w:spacing w:val="-22"/>
          <w:sz w:val="24"/>
        </w:rPr>
        <w:t> </w:t>
      </w:r>
      <w:r>
        <w:rPr>
          <w:rFonts w:ascii="Times New Roman" w:hAnsi="Times New Roman"/>
          <w:sz w:val="24"/>
        </w:rPr>
        <w:t>податак.</w:t>
      </w:r>
    </w:p>
    <w:p>
      <w:pPr>
        <w:pStyle w:val="BodyText"/>
        <w:spacing w:line="240" w:lineRule="auto"/>
        <w:ind w:right="173" w:firstLine="539"/>
        <w:jc w:val="both"/>
      </w:pPr>
      <w:r>
        <w:rPr>
          <w:rFonts w:ascii="Times New Roman" w:hAnsi="Times New Roman"/>
          <w:b/>
        </w:rPr>
        <w:t>На основу ревизије узорковане документације утврђено је </w:t>
      </w:r>
      <w:r>
        <w:rPr/>
        <w:t>да је ова позиција исказана мање код ЈП ГСА у укупном износу од 26.673 хиљаде динара, на име  издвојених наменских средстава, што је супротно Правилнику о стандардном класификационом оквиру и контном плану за буџетски</w:t>
      </w:r>
      <w:r>
        <w:rPr>
          <w:spacing w:val="-31"/>
        </w:rPr>
        <w:t> </w:t>
      </w:r>
      <w:r>
        <w:rPr/>
        <w:t>систем.</w:t>
      </w:r>
    </w:p>
    <w:p>
      <w:pPr>
        <w:pStyle w:val="Heading2"/>
        <w:spacing w:line="240" w:lineRule="auto"/>
        <w:ind w:right="178" w:firstLine="539"/>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Правилника о стандардном класификационом оквиру и контном плану за буџетски систем</w:t>
      </w:r>
      <w:r>
        <w:rPr>
          <w:rFonts w:ascii="Times New Roman" w:hAnsi="Times New Roman"/>
          <w:i w:val="0"/>
        </w:rPr>
        <w:t>.</w:t>
      </w:r>
      <w:r>
        <w:rPr>
          <w:rFonts w:ascii="Times New Roman" w:hAnsi="Times New Roman"/>
          <w:b w:val="0"/>
          <w:i w:val="0"/>
        </w:rPr>
      </w:r>
    </w:p>
    <w:p>
      <w:pPr>
        <w:pStyle w:val="ListParagraph"/>
        <w:numPr>
          <w:ilvl w:val="0"/>
          <w:numId w:val="73"/>
        </w:numPr>
        <w:tabs>
          <w:tab w:pos="303" w:val="left" w:leader="none"/>
        </w:tabs>
        <w:spacing w:line="271"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У</w:t>
      </w:r>
      <w:r>
        <w:rPr>
          <w:rFonts w:ascii="Times New Roman" w:hAnsi="Times New Roman"/>
          <w:spacing w:val="41"/>
          <w:sz w:val="24"/>
        </w:rPr>
        <w:t> </w:t>
      </w:r>
      <w:r>
        <w:rPr>
          <w:rFonts w:ascii="Times New Roman" w:hAnsi="Times New Roman"/>
          <w:sz w:val="24"/>
        </w:rPr>
        <w:t>Билансу</w:t>
      </w:r>
      <w:r>
        <w:rPr>
          <w:rFonts w:ascii="Times New Roman" w:hAnsi="Times New Roman"/>
          <w:spacing w:val="38"/>
          <w:sz w:val="24"/>
        </w:rPr>
        <w:t> </w:t>
      </w:r>
      <w:r>
        <w:rPr>
          <w:rFonts w:ascii="Times New Roman" w:hAnsi="Times New Roman"/>
          <w:sz w:val="24"/>
        </w:rPr>
        <w:t>стања</w:t>
      </w:r>
      <w:r>
        <w:rPr>
          <w:rFonts w:ascii="Times New Roman" w:hAnsi="Times New Roman"/>
          <w:spacing w:val="42"/>
          <w:sz w:val="24"/>
        </w:rPr>
        <w:t> </w:t>
      </w:r>
      <w:r>
        <w:rPr>
          <w:rFonts w:ascii="Times New Roman" w:hAnsi="Times New Roman"/>
          <w:spacing w:val="42"/>
          <w:sz w:val="24"/>
        </w:rPr>
      </w:r>
      <w:r>
        <w:rPr>
          <w:rFonts w:ascii="Times New Roman" w:hAnsi="Times New Roman"/>
          <w:spacing w:val="42"/>
          <w:sz w:val="24"/>
          <w:u w:val="single" w:color="000000"/>
        </w:rPr>
      </w:r>
      <w:r>
        <w:rPr>
          <w:rFonts w:ascii="Times New Roman" w:hAnsi="Times New Roman"/>
          <w:sz w:val="24"/>
          <w:u w:val="single" w:color="000000"/>
        </w:rPr>
        <w:t>Управе</w:t>
      </w:r>
      <w:r>
        <w:rPr>
          <w:rFonts w:ascii="Times New Roman" w:hAnsi="Times New Roman"/>
          <w:spacing w:val="39"/>
          <w:sz w:val="24"/>
          <w:u w:val="single" w:color="000000"/>
        </w:rPr>
        <w:t> </w:t>
      </w:r>
      <w:r>
        <w:rPr>
          <w:rFonts w:ascii="Times New Roman" w:hAnsi="Times New Roman"/>
          <w:sz w:val="24"/>
          <w:u w:val="single" w:color="000000"/>
        </w:rPr>
        <w:t>за</w:t>
      </w:r>
      <w:r>
        <w:rPr>
          <w:rFonts w:ascii="Times New Roman" w:hAnsi="Times New Roman"/>
          <w:spacing w:val="39"/>
          <w:sz w:val="24"/>
          <w:u w:val="single" w:color="000000"/>
        </w:rPr>
        <w:t> </w:t>
      </w:r>
      <w:r>
        <w:rPr>
          <w:rFonts w:ascii="Times New Roman" w:hAnsi="Times New Roman"/>
          <w:sz w:val="24"/>
          <w:u w:val="single" w:color="000000"/>
        </w:rPr>
        <w:t>финансије,</w:t>
      </w:r>
      <w:r>
        <w:rPr>
          <w:rFonts w:ascii="Times New Roman" w:hAnsi="Times New Roman"/>
          <w:spacing w:val="40"/>
          <w:sz w:val="24"/>
          <w:u w:val="single" w:color="000000"/>
        </w:rPr>
        <w:t> </w:t>
      </w:r>
      <w:r>
        <w:rPr>
          <w:rFonts w:ascii="Times New Roman" w:hAnsi="Times New Roman"/>
          <w:sz w:val="24"/>
          <w:u w:val="single" w:color="000000"/>
        </w:rPr>
        <w:t>изворне</w:t>
      </w:r>
      <w:r>
        <w:rPr>
          <w:rFonts w:ascii="Times New Roman" w:hAnsi="Times New Roman"/>
          <w:spacing w:val="39"/>
          <w:sz w:val="24"/>
          <w:u w:val="single" w:color="000000"/>
        </w:rPr>
        <w:t> </w:t>
      </w:r>
      <w:r>
        <w:rPr>
          <w:rFonts w:ascii="Times New Roman" w:hAnsi="Times New Roman"/>
          <w:sz w:val="24"/>
          <w:u w:val="single" w:color="000000"/>
        </w:rPr>
        <w:t>приходе</w:t>
      </w:r>
      <w:r>
        <w:rPr>
          <w:rFonts w:ascii="Times New Roman" w:hAnsi="Times New Roman"/>
          <w:spacing w:val="39"/>
          <w:sz w:val="24"/>
          <w:u w:val="single" w:color="000000"/>
        </w:rPr>
        <w:t> </w:t>
      </w:r>
      <w:r>
        <w:rPr>
          <w:rFonts w:ascii="Times New Roman" w:hAnsi="Times New Roman"/>
          <w:sz w:val="24"/>
          <w:u w:val="single" w:color="000000"/>
        </w:rPr>
        <w:t>локалне</w:t>
      </w:r>
      <w:r>
        <w:rPr>
          <w:rFonts w:ascii="Times New Roman" w:hAnsi="Times New Roman"/>
          <w:spacing w:val="39"/>
          <w:sz w:val="24"/>
          <w:u w:val="single" w:color="000000"/>
        </w:rPr>
        <w:t> </w:t>
      </w:r>
      <w:r>
        <w:rPr>
          <w:rFonts w:ascii="Times New Roman" w:hAnsi="Times New Roman"/>
          <w:sz w:val="24"/>
          <w:u w:val="single" w:color="000000"/>
        </w:rPr>
        <w:t>самоуправе</w:t>
      </w:r>
      <w:r>
        <w:rPr>
          <w:rFonts w:ascii="Times New Roman" w:hAnsi="Times New Roman"/>
          <w:spacing w:val="39"/>
          <w:sz w:val="24"/>
          <w:u w:val="single" w:color="000000"/>
        </w:rPr>
        <w:t> </w:t>
      </w:r>
      <w:r>
        <w:rPr>
          <w:rFonts w:ascii="Times New Roman" w:hAnsi="Times New Roman"/>
          <w:sz w:val="24"/>
          <w:u w:val="single" w:color="000000"/>
        </w:rPr>
        <w:t>и</w:t>
      </w:r>
      <w:r>
        <w:rPr>
          <w:rFonts w:ascii="Times New Roman" w:hAnsi="Times New Roman"/>
          <w:spacing w:val="41"/>
          <w:sz w:val="24"/>
          <w:u w:val="single" w:color="000000"/>
        </w:rPr>
        <w:t> </w:t>
      </w:r>
      <w:r>
        <w:rPr>
          <w:rFonts w:ascii="Times New Roman" w:hAnsi="Times New Roman"/>
          <w:sz w:val="24"/>
          <w:u w:val="single" w:color="000000"/>
        </w:rPr>
        <w:t>јавне</w:t>
      </w:r>
      <w:r>
        <w:rPr>
          <w:rFonts w:ascii="Times New Roman" w:hAnsi="Times New Roman"/>
          <w:sz w:val="24"/>
        </w:rPr>
      </w:r>
    </w:p>
    <w:p>
      <w:pPr>
        <w:pStyle w:val="BodyText"/>
        <w:spacing w:line="240" w:lineRule="auto"/>
        <w:ind w:right="0"/>
        <w:jc w:val="both"/>
      </w:pPr>
      <w:r>
        <w:rPr>
          <w:rFonts w:ascii="Times New Roman" w:hAnsi="Times New Roman"/>
        </w:rPr>
      </w:r>
      <w:r>
        <w:rPr>
          <w:rFonts w:ascii="Times New Roman" w:hAnsi="Times New Roman"/>
          <w:spacing w:val="-60"/>
          <w:u w:val="single" w:color="000000"/>
        </w:rPr>
        <w:t> </w:t>
      </w:r>
      <w:r>
        <w:rPr>
          <w:u w:val="single" w:color="000000"/>
        </w:rPr>
        <w:t>набавке </w:t>
      </w:r>
      <w:r>
        <w:rPr/>
        <w:t>није исказан</w:t>
      </w:r>
      <w:r>
        <w:rPr>
          <w:spacing w:val="-11"/>
        </w:rPr>
        <w:t> </w:t>
      </w:r>
      <w:r>
        <w:rPr/>
        <w:t>износ.</w:t>
      </w:r>
    </w:p>
    <w:p>
      <w:pPr>
        <w:pStyle w:val="Heading1"/>
        <w:spacing w:line="275" w:lineRule="exact"/>
        <w:ind w:right="141"/>
        <w:jc w:val="left"/>
        <w:rPr>
          <w:b w:val="0"/>
          <w:bCs w:val="0"/>
        </w:rPr>
      </w:pPr>
      <w:r>
        <w:rPr/>
        <w:t>На основу ревизије узорковане документације утврђено</w:t>
      </w:r>
      <w:r>
        <w:rPr>
          <w:spacing w:val="-14"/>
        </w:rPr>
        <w:t> </w:t>
      </w:r>
      <w:r>
        <w:rPr/>
        <w:t>је:</w:t>
      </w:r>
      <w:r>
        <w:rPr>
          <w:b w:val="0"/>
        </w:rPr>
      </w:r>
    </w:p>
    <w:p>
      <w:pPr>
        <w:pStyle w:val="ListParagraph"/>
        <w:numPr>
          <w:ilvl w:val="0"/>
          <w:numId w:val="9"/>
        </w:numPr>
        <w:tabs>
          <w:tab w:pos="303"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У пословним књигама Управе за финансије, изворне приходе локалне самоуправе и јавне набавке нису евидентирана новчана средства у укупном износу од 15.</w:t>
      </w:r>
      <w:r>
        <w:rPr>
          <w:rFonts w:ascii="Times New Roman" w:hAnsi="Times New Roman"/>
          <w:sz w:val="24"/>
        </w:rPr>
        <w:t>623 </w:t>
      </w:r>
      <w:r>
        <w:rPr>
          <w:rFonts w:ascii="Times New Roman" w:hAnsi="Times New Roman"/>
          <w:sz w:val="24"/>
        </w:rPr>
        <w:t>хиљаде динара која се воде на издвојеним подрачунима за пројекте и наменска средства, па је ова позиција за исти износ мање исказана. Истовремено, мање је исказан износ на субаналитичком конту 321121</w:t>
      </w:r>
      <w:r>
        <w:rPr>
          <w:rFonts w:ascii="Times New Roman" w:hAnsi="Times New Roman"/>
          <w:sz w:val="24"/>
        </w:rPr>
        <w:t>-</w:t>
      </w:r>
      <w:r>
        <w:rPr>
          <w:rFonts w:ascii="Times New Roman" w:hAnsi="Times New Roman"/>
          <w:sz w:val="24"/>
        </w:rPr>
        <w:t>вишак прихода и примања</w:t>
      </w:r>
      <w:r>
        <w:rPr>
          <w:rFonts w:ascii="Times New Roman" w:hAnsi="Times New Roman"/>
          <w:sz w:val="24"/>
        </w:rPr>
        <w:t>-</w:t>
      </w:r>
      <w:r>
        <w:rPr>
          <w:rFonts w:ascii="Times New Roman" w:hAnsi="Times New Roman"/>
          <w:sz w:val="24"/>
        </w:rPr>
        <w:t>суфицит и износ на субаналитичком конту 321311</w:t>
      </w:r>
      <w:r>
        <w:rPr>
          <w:rFonts w:ascii="Times New Roman" w:hAnsi="Times New Roman"/>
          <w:sz w:val="24"/>
        </w:rPr>
        <w:t>-</w:t>
      </w:r>
      <w:r>
        <w:rPr>
          <w:rFonts w:ascii="Times New Roman" w:hAnsi="Times New Roman"/>
          <w:sz w:val="24"/>
        </w:rPr>
        <w:t>нераспоређени вишак прихода и примања у ранијим годинама за износе које у поступку ревизије нисмо могли да</w:t>
      </w:r>
      <w:r>
        <w:rPr>
          <w:rFonts w:ascii="Times New Roman" w:hAnsi="Times New Roman"/>
          <w:spacing w:val="-20"/>
          <w:sz w:val="24"/>
        </w:rPr>
        <w:t> </w:t>
      </w:r>
      <w:r>
        <w:rPr>
          <w:rFonts w:ascii="Times New Roman" w:hAnsi="Times New Roman"/>
          <w:sz w:val="24"/>
        </w:rPr>
        <w:t>утврдимо.</w:t>
      </w:r>
    </w:p>
    <w:p>
      <w:pPr>
        <w:pStyle w:val="ListParagraph"/>
        <w:numPr>
          <w:ilvl w:val="0"/>
          <w:numId w:val="9"/>
        </w:numPr>
        <w:tabs>
          <w:tab w:pos="303" w:val="left" w:leader="none"/>
        </w:tabs>
        <w:spacing w:line="237" w:lineRule="auto" w:before="4" w:after="0"/>
        <w:ind w:left="160" w:right="185" w:firstLine="0"/>
        <w:jc w:val="both"/>
        <w:rPr>
          <w:rFonts w:ascii="Times New Roman" w:hAnsi="Times New Roman" w:cs="Times New Roman" w:eastAsia="Times New Roman" w:hint="default"/>
          <w:sz w:val="24"/>
          <w:szCs w:val="24"/>
        </w:rPr>
      </w:pPr>
      <w:r>
        <w:rPr>
          <w:rFonts w:ascii="Times New Roman" w:hAnsi="Times New Roman"/>
          <w:sz w:val="24"/>
        </w:rPr>
        <w:t>Управа за финансије, изворне приходе локалне самоуправе и јавне набавке у својим пословним књигама не води аналитичку евиденцију о издвојеним новчаним средствима на подрачунима, што је супротно члану 9. и 14. Уредбе о буџетском</w:t>
      </w:r>
      <w:r>
        <w:rPr>
          <w:rFonts w:ascii="Times New Roman" w:hAnsi="Times New Roman"/>
          <w:spacing w:val="-19"/>
          <w:sz w:val="24"/>
        </w:rPr>
        <w:t> </w:t>
      </w:r>
      <w:r>
        <w:rPr>
          <w:rFonts w:ascii="Times New Roman" w:hAnsi="Times New Roman"/>
          <w:sz w:val="24"/>
        </w:rPr>
        <w:t>рачуноводству.</w:t>
      </w:r>
    </w:p>
    <w:p>
      <w:pPr>
        <w:pStyle w:val="Heading2"/>
        <w:spacing w:line="240" w:lineRule="auto"/>
        <w:ind w:right="141" w:firstLine="719"/>
        <w:jc w:val="left"/>
        <w:rPr>
          <w:b w:val="0"/>
          <w:bCs w:val="0"/>
          <w:i w:val="0"/>
        </w:rPr>
      </w:pPr>
      <w:r>
        <w:rPr>
          <w:i/>
        </w:rPr>
        <w:t>Препоручује се одговорним лицима да правилно и тачно исказују новчана средства и обезбеде правилну примену одредби Уредбе о буџетском</w:t>
      </w:r>
      <w:r>
        <w:rPr>
          <w:i/>
          <w:spacing w:val="-25"/>
        </w:rPr>
        <w:t> </w:t>
      </w:r>
      <w:r>
        <w:rPr>
          <w:i/>
        </w:rPr>
        <w:t>рачуноводству.</w:t>
      </w:r>
      <w:r>
        <w:rPr>
          <w:b w:val="0"/>
          <w:i w:val="0"/>
        </w:rPr>
      </w:r>
    </w:p>
    <w:p>
      <w:pPr>
        <w:pStyle w:val="BodyText"/>
        <w:spacing w:line="240" w:lineRule="auto"/>
        <w:ind w:right="176" w:firstLine="566"/>
        <w:jc w:val="both"/>
        <w:rPr>
          <w:rFonts w:ascii="Times New Roman" w:hAnsi="Times New Roman" w:cs="Times New Roman" w:eastAsia="Times New Roman" w:hint="default"/>
        </w:rPr>
      </w:pPr>
      <w:r>
        <w:rPr>
          <w:rFonts w:ascii="Times New Roman" w:hAnsi="Times New Roman"/>
          <w:b/>
        </w:rPr>
        <w:t>Благајна, конто 121300 </w:t>
      </w:r>
      <w:r>
        <w:rPr>
          <w:rFonts w:ascii="Times New Roman" w:hAnsi="Times New Roman"/>
          <w:b/>
        </w:rPr>
        <w:t>- </w:t>
      </w:r>
      <w:r>
        <w:rPr/>
        <w:t>Исказана су средства у износу од </w:t>
      </w:r>
      <w:r>
        <w:rPr>
          <w:rFonts w:ascii="Times New Roman" w:hAnsi="Times New Roman"/>
        </w:rPr>
        <w:t>88 </w:t>
      </w:r>
      <w:r>
        <w:rPr/>
        <w:t>хиљада динара која се односе на стање благајне на дан 31.12.201</w:t>
      </w:r>
      <w:r>
        <w:rPr>
          <w:rFonts w:ascii="Times New Roman" w:hAnsi="Times New Roman"/>
        </w:rPr>
        <w:t>4</w:t>
      </w:r>
      <w:r>
        <w:rPr/>
        <w:t>. године</w:t>
      </w:r>
      <w:r>
        <w:rPr>
          <w:spacing w:val="-6"/>
        </w:rPr>
        <w:t> </w:t>
      </w:r>
      <w:r>
        <w:rPr/>
        <w:t>код</w:t>
      </w:r>
      <w:r>
        <w:rPr>
          <w:rFonts w:ascii="Times New Roman" w:hAnsi="Times New Roman"/>
        </w:rPr>
        <w:t>:</w:t>
      </w:r>
    </w:p>
    <w:p>
      <w:pPr>
        <w:pStyle w:val="ListParagraph"/>
        <w:numPr>
          <w:ilvl w:val="0"/>
          <w:numId w:val="73"/>
        </w:numPr>
        <w:tabs>
          <w:tab w:pos="303" w:val="left" w:leader="none"/>
        </w:tabs>
        <w:spacing w:line="240" w:lineRule="auto" w:before="0" w:after="0"/>
        <w:ind w:left="160" w:right="181"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културу </w:t>
      </w:r>
      <w:r>
        <w:rPr>
          <w:rFonts w:ascii="Times New Roman" w:hAnsi="Times New Roman"/>
          <w:sz w:val="24"/>
        </w:rPr>
        <w:t>у износу од 35 хиљада динара за исказано стање благајне код </w:t>
      </w:r>
      <w:r>
        <w:rPr>
          <w:rFonts w:ascii="Times New Roman" w:hAnsi="Times New Roman"/>
          <w:sz w:val="24"/>
        </w:rPr>
        <w:t>Нишког културног центра у износу од 23 хиљаде динара и Народног музеја у износу од 12 хиљада</w:t>
      </w:r>
      <w:r>
        <w:rPr>
          <w:rFonts w:ascii="Times New Roman" w:hAnsi="Times New Roman"/>
          <w:spacing w:val="-3"/>
          <w:sz w:val="24"/>
        </w:rPr>
        <w:t> </w:t>
      </w:r>
      <w:r>
        <w:rPr>
          <w:rFonts w:ascii="Times New Roman" w:hAnsi="Times New Roman"/>
          <w:sz w:val="24"/>
        </w:rPr>
        <w:t>динара.</w:t>
      </w:r>
    </w:p>
    <w:p>
      <w:pPr>
        <w:pStyle w:val="ListParagraph"/>
        <w:numPr>
          <w:ilvl w:val="0"/>
          <w:numId w:val="73"/>
        </w:numPr>
        <w:tabs>
          <w:tab w:pos="303" w:val="left" w:leader="none"/>
        </w:tabs>
        <w:spacing w:line="240" w:lineRule="auto" w:before="0" w:after="0"/>
        <w:ind w:left="160" w:right="179"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образовање </w:t>
      </w:r>
      <w:r>
        <w:rPr>
          <w:rFonts w:ascii="Times New Roman" w:hAnsi="Times New Roman"/>
          <w:sz w:val="24"/>
        </w:rPr>
        <w:t>у износу од 19 хиљада динара за исказано стање у благајни код </w:t>
      </w:r>
      <w:r>
        <w:rPr>
          <w:rFonts w:ascii="Times New Roman" w:hAnsi="Times New Roman"/>
          <w:sz w:val="24"/>
        </w:rPr>
        <w:t>ПУ Пчелица у износу од девет хиљада динара и Дечијег центра у износу од 10 хиљада 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Ова позиција мање је исказана код ПУ Пчелица у износу од 566 хиљада динара и то на име примљених уплата за боравак деце у износу од 131 хиљаде динара, примљених уплата пазара кантина у износу од 185 хиљада динара, примљених уплата за ужине у износу од 168 хиљада динара, уплата за продужени боравак у износу од 31 хиљаде динара, примљених уплата по основу продаје пецива у износу од 33 хиљаде динара, повраћаја аконтације по обрачуну путног налога у износу од две хиљаде динара и средстава у износу од 16 хиљада динара подигнутих са рачуна на име повраћаја родитељима  по коначном  обрачуну.  Средства  у износу од  550  хиљада  динара  на</w:t>
      </w:r>
      <w:r>
        <w:rPr>
          <w:rFonts w:ascii="Times New Roman" w:hAnsi="Times New Roman"/>
          <w:spacing w:val="33"/>
          <w:sz w:val="24"/>
        </w:rPr>
        <w:t> </w:t>
      </w:r>
      <w:r>
        <w:rPr>
          <w:rFonts w:ascii="Times New Roman" w:hAnsi="Times New Roman"/>
          <w:sz w:val="24"/>
        </w:rPr>
        <w:t>име</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9"/>
        <w:jc w:val="both"/>
      </w:pPr>
      <w:r>
        <w:rPr/>
        <w:t>примљених уплата родитеља, пазара, ужина и боравка, пецива и повраћаја аконтације евидентирана су преко благајне на дан 05.01.2015. године и истог дана су уплаћена на текући</w:t>
      </w:r>
      <w:r>
        <w:rPr>
          <w:spacing w:val="-7"/>
        </w:rPr>
        <w:t> </w:t>
      </w:r>
      <w:r>
        <w:rPr/>
        <w:t>рачун.</w:t>
      </w:r>
    </w:p>
    <w:p>
      <w:pPr>
        <w:pStyle w:val="ListParagraph"/>
        <w:numPr>
          <w:ilvl w:val="0"/>
          <w:numId w:val="9"/>
        </w:numPr>
        <w:tabs>
          <w:tab w:pos="363"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Код ПУ Пчелица комисија за попис благајне извршила је попис благајне дана 05.01.2015. године на дан 31.12.2014. године и том приликом је пописала затечен пазар у износу од 550 хиљада динара и неисплаћен повраћај родитељима у износу од 16 хиљада динара. Књиговодствено стање благајне није усклађено са стањем готовине по попису, што је супротно члану 18. Уредбе о буџетском рачуноводству и Правилнику о начину и роковима вршења пописа и усклађивања књиговодственог стања са стварним</w:t>
      </w:r>
      <w:r>
        <w:rPr>
          <w:rFonts w:ascii="Times New Roman" w:hAnsi="Times New Roman"/>
          <w:spacing w:val="-24"/>
          <w:sz w:val="24"/>
        </w:rPr>
        <w:t> </w:t>
      </w:r>
      <w:r>
        <w:rPr>
          <w:rFonts w:ascii="Times New Roman" w:hAnsi="Times New Roman"/>
          <w:sz w:val="24"/>
        </w:rPr>
        <w:t>стањем.</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Признанице (на пример број 9177, 9178, 9183, 918</w:t>
      </w:r>
      <w:r>
        <w:rPr>
          <w:rFonts w:ascii="Times New Roman" w:hAnsi="Times New Roman" w:cs="Times New Roman" w:eastAsia="Times New Roman" w:hint="default"/>
          <w:sz w:val="24"/>
          <w:szCs w:val="24"/>
        </w:rPr>
        <w:t>4) </w:t>
      </w:r>
      <w:r>
        <w:rPr>
          <w:rFonts w:ascii="Times New Roman" w:hAnsi="Times New Roman" w:cs="Times New Roman" w:eastAsia="Times New Roman" w:hint="default"/>
          <w:sz w:val="24"/>
          <w:szCs w:val="24"/>
        </w:rPr>
        <w:t>ПУ Пчелица којим се потврђује пријем готовине на благајни, готовински налози за уплату пазара од кантина (на пример продајни објекат „Студентски клуб“ од 7.622 динара, „Чокот“ од 7.104</w:t>
      </w:r>
      <w:r>
        <w:rPr>
          <w:rFonts w:ascii="Times New Roman" w:hAnsi="Times New Roman" w:cs="Times New Roman" w:eastAsia="Times New Roman" w:hint="default"/>
          <w:sz w:val="24"/>
          <w:szCs w:val="24"/>
        </w:rPr>
        <w:t>,00 </w:t>
      </w:r>
      <w:r>
        <w:rPr>
          <w:rFonts w:ascii="Times New Roman" w:hAnsi="Times New Roman" w:cs="Times New Roman" w:eastAsia="Times New Roman" w:hint="default"/>
          <w:sz w:val="24"/>
          <w:szCs w:val="24"/>
        </w:rPr>
        <w:t>динара, </w:t>
      </w:r>
      <w:r>
        <w:rPr>
          <w:rFonts w:ascii="Times New Roman" w:hAnsi="Times New Roman" w:cs="Times New Roman" w:eastAsia="Times New Roman" w:hint="default"/>
          <w:sz w:val="24"/>
          <w:szCs w:val="24"/>
        </w:rPr>
        <w:t>10.430,00 </w:t>
      </w:r>
      <w:r>
        <w:rPr>
          <w:rFonts w:ascii="Times New Roman" w:hAnsi="Times New Roman" w:cs="Times New Roman" w:eastAsia="Times New Roman" w:hint="default"/>
          <w:sz w:val="24"/>
          <w:szCs w:val="24"/>
        </w:rPr>
        <w:t>динара, 9.700</w:t>
      </w:r>
      <w:r>
        <w:rPr>
          <w:rFonts w:ascii="Times New Roman" w:hAnsi="Times New Roman" w:cs="Times New Roman" w:eastAsia="Times New Roman" w:hint="default"/>
          <w:sz w:val="24"/>
          <w:szCs w:val="24"/>
        </w:rPr>
        <w:t>,00 </w:t>
      </w:r>
      <w:r>
        <w:rPr>
          <w:rFonts w:ascii="Times New Roman" w:hAnsi="Times New Roman" w:cs="Times New Roman" w:eastAsia="Times New Roman" w:hint="default"/>
          <w:sz w:val="24"/>
          <w:szCs w:val="24"/>
        </w:rPr>
        <w:t>динара, ОШ „Коле Рашић“ од 9.1</w:t>
      </w:r>
      <w:r>
        <w:rPr>
          <w:rFonts w:ascii="Times New Roman" w:hAnsi="Times New Roman" w:cs="Times New Roman" w:eastAsia="Times New Roman" w:hint="default"/>
          <w:sz w:val="24"/>
          <w:szCs w:val="24"/>
        </w:rPr>
        <w:t>63,00 </w:t>
      </w:r>
      <w:r>
        <w:rPr>
          <w:rFonts w:ascii="Times New Roman" w:hAnsi="Times New Roman" w:cs="Times New Roman" w:eastAsia="Times New Roman" w:hint="default"/>
          <w:sz w:val="24"/>
          <w:szCs w:val="24"/>
        </w:rPr>
        <w:t>динара), готовински налози за уплату ужина (на пример „Чокот“ од 20 хиљада динара, ОШ „Свети Сава“  11/14 од 12 хиљада динара) које чине пазар од 550 хиљада динара, гласе на датуме 30.12. и 31.12.2014. године, док су евидентиране преко благајне на дан 05.01.2015. године, што је супротно члану 16. Уредбе о буџетском</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рачуноводству.</w:t>
      </w:r>
    </w:p>
    <w:p>
      <w:pPr>
        <w:pStyle w:val="Heading2"/>
        <w:spacing w:line="240" w:lineRule="auto"/>
        <w:ind w:right="172"/>
        <w:jc w:val="both"/>
        <w:rPr>
          <w:b w:val="0"/>
          <w:bCs w:val="0"/>
          <w:i w:val="0"/>
        </w:rPr>
      </w:pPr>
      <w:r>
        <w:rPr>
          <w:i/>
        </w:rPr>
        <w:t>Препоручује се одговорним лицима да обезбеде правилну примену одредби Уредбе о буџетском рачуноводству</w:t>
      </w:r>
      <w:r>
        <w:rPr>
          <w:rFonts w:ascii="Times New Roman" w:hAnsi="Times New Roman"/>
          <w:i/>
        </w:rPr>
        <w:t>, </w:t>
      </w:r>
      <w:r>
        <w:rPr>
          <w:i/>
        </w:rPr>
        <w:t>Правилника о стандардном класификационом оквиру и контном плану за буџетски систем и Правилника о начину и роковима вршења пописа и усклађивања књиговодственог стања са стварним</w:t>
      </w:r>
      <w:r>
        <w:rPr>
          <w:i/>
          <w:spacing w:val="-17"/>
        </w:rPr>
        <w:t> </w:t>
      </w:r>
      <w:r>
        <w:rPr>
          <w:i/>
        </w:rPr>
        <w:t>стањем.</w:t>
      </w:r>
      <w:r>
        <w:rPr>
          <w:b w:val="0"/>
          <w:i w:val="0"/>
        </w:rPr>
      </w:r>
    </w:p>
    <w:p>
      <w:pPr>
        <w:pStyle w:val="ListParagraph"/>
        <w:numPr>
          <w:ilvl w:val="0"/>
          <w:numId w:val="73"/>
        </w:numPr>
        <w:tabs>
          <w:tab w:pos="303" w:val="left" w:leader="none"/>
        </w:tabs>
        <w:spacing w:line="240" w:lineRule="auto" w:before="0" w:after="0"/>
        <w:ind w:left="160" w:right="184"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омладину и спорт </w:t>
      </w:r>
      <w:r>
        <w:rPr>
          <w:rFonts w:ascii="Times New Roman" w:hAnsi="Times New Roman"/>
          <w:sz w:val="24"/>
        </w:rPr>
        <w:t>у износу од 14 хиљада динара, за исказана средства </w:t>
      </w:r>
      <w:r>
        <w:rPr>
          <w:rFonts w:ascii="Times New Roman" w:hAnsi="Times New Roman"/>
          <w:sz w:val="24"/>
        </w:rPr>
        <w:t>благајне код СЦ</w:t>
      </w:r>
      <w:r>
        <w:rPr>
          <w:rFonts w:ascii="Times New Roman" w:hAnsi="Times New Roman"/>
          <w:spacing w:val="-3"/>
          <w:sz w:val="24"/>
        </w:rPr>
        <w:t> </w:t>
      </w:r>
      <w:r>
        <w:rPr>
          <w:rFonts w:ascii="Times New Roman" w:hAnsi="Times New Roman"/>
          <w:sz w:val="24"/>
        </w:rPr>
        <w:t>Чаир</w:t>
      </w:r>
      <w:r>
        <w:rPr>
          <w:rFonts w:ascii="Times New Roman" w:hAnsi="Times New Roman"/>
          <w:sz w:val="24"/>
        </w:rPr>
        <w:t>.</w:t>
      </w:r>
    </w:p>
    <w:p>
      <w:pPr>
        <w:pStyle w:val="ListParagraph"/>
        <w:numPr>
          <w:ilvl w:val="0"/>
          <w:numId w:val="73"/>
        </w:numPr>
        <w:tabs>
          <w:tab w:pos="303" w:val="left" w:leader="none"/>
        </w:tabs>
        <w:spacing w:line="240" w:lineRule="auto" w:before="0" w:after="0"/>
        <w:ind w:left="160" w:right="178"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планирање и изградњу </w:t>
      </w:r>
      <w:r>
        <w:rPr>
          <w:rFonts w:ascii="Times New Roman" w:hAnsi="Times New Roman"/>
          <w:sz w:val="24"/>
        </w:rPr>
        <w:t>у износу од 20 хиљада динара за исказану благајну  </w:t>
      </w:r>
      <w:r>
        <w:rPr>
          <w:rFonts w:ascii="Times New Roman" w:hAnsi="Times New Roman"/>
          <w:sz w:val="24"/>
        </w:rPr>
        <w:t>код ЈП</w:t>
      </w:r>
      <w:r>
        <w:rPr>
          <w:rFonts w:ascii="Times New Roman" w:hAnsi="Times New Roman"/>
          <w:spacing w:val="-2"/>
          <w:sz w:val="24"/>
        </w:rPr>
        <w:t> </w:t>
      </w:r>
      <w:r>
        <w:rPr>
          <w:rFonts w:ascii="Times New Roman" w:hAnsi="Times New Roman"/>
          <w:sz w:val="24"/>
        </w:rPr>
        <w:t>ГСА.</w:t>
      </w:r>
    </w:p>
    <w:p>
      <w:pPr>
        <w:spacing w:before="0"/>
        <w:ind w:left="160" w:right="177"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Девизни рачун, конто 121400 </w:t>
      </w:r>
      <w:r>
        <w:rPr>
          <w:rFonts w:ascii="Times New Roman" w:hAnsi="Times New Roman" w:cs="Times New Roman" w:eastAsia="Times New Roman" w:hint="default"/>
          <w:sz w:val="24"/>
          <w:szCs w:val="24"/>
        </w:rPr>
        <w:t>– Исказан је износ од 1.709 хиљада динара за исказана девизна средства</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код:</w:t>
      </w:r>
    </w:p>
    <w:p>
      <w:pPr>
        <w:pStyle w:val="ListParagraph"/>
        <w:numPr>
          <w:ilvl w:val="0"/>
          <w:numId w:val="73"/>
        </w:numPr>
        <w:tabs>
          <w:tab w:pos="303"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културу </w:t>
      </w:r>
      <w:r>
        <w:rPr>
          <w:rFonts w:ascii="Times New Roman" w:hAnsi="Times New Roman"/>
          <w:sz w:val="24"/>
        </w:rPr>
        <w:t>у износу од осам хиљада динара за девизна средства исказана код </w:t>
      </w:r>
      <w:r>
        <w:rPr>
          <w:rFonts w:ascii="Times New Roman" w:hAnsi="Times New Roman"/>
          <w:sz w:val="24"/>
        </w:rPr>
        <w:t>Народног позоришта у износу од седам хиљада динара и Народног музеја у износу од једне хиљаде</w:t>
      </w:r>
      <w:r>
        <w:rPr>
          <w:rFonts w:ascii="Times New Roman" w:hAnsi="Times New Roman"/>
          <w:spacing w:val="-4"/>
          <w:sz w:val="24"/>
        </w:rPr>
        <w:t> </w:t>
      </w:r>
      <w:r>
        <w:rPr>
          <w:rFonts w:ascii="Times New Roman" w:hAnsi="Times New Roman"/>
          <w:sz w:val="24"/>
        </w:rPr>
        <w:t>динара.</w:t>
      </w:r>
    </w:p>
    <w:p>
      <w:pPr>
        <w:pStyle w:val="ListParagraph"/>
        <w:numPr>
          <w:ilvl w:val="0"/>
          <w:numId w:val="73"/>
        </w:numPr>
        <w:tabs>
          <w:tab w:pos="303"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привреду </w:t>
      </w:r>
      <w:r>
        <w:rPr>
          <w:rFonts w:ascii="Times New Roman" w:hAnsi="Times New Roman"/>
          <w:sz w:val="24"/>
        </w:rPr>
        <w:t>у износу од две хиљаде динара за девизна средства исказана код </w:t>
      </w:r>
      <w:r>
        <w:rPr>
          <w:rFonts w:ascii="Times New Roman" w:hAnsi="Times New Roman"/>
          <w:sz w:val="24"/>
        </w:rPr>
        <w:t>Туристичке</w:t>
      </w:r>
      <w:r>
        <w:rPr>
          <w:rFonts w:ascii="Times New Roman" w:hAnsi="Times New Roman"/>
          <w:spacing w:val="-9"/>
          <w:sz w:val="24"/>
        </w:rPr>
        <w:t> </w:t>
      </w:r>
      <w:r>
        <w:rPr>
          <w:rFonts w:ascii="Times New Roman" w:hAnsi="Times New Roman"/>
          <w:sz w:val="24"/>
        </w:rPr>
        <w:t>организације</w:t>
      </w:r>
      <w:r>
        <w:rPr>
          <w:rFonts w:ascii="Times New Roman" w:hAnsi="Times New Roman"/>
          <w:sz w:val="24"/>
        </w:rPr>
        <w:t>.</w:t>
      </w:r>
    </w:p>
    <w:p>
      <w:pPr>
        <w:pStyle w:val="ListParagraph"/>
        <w:numPr>
          <w:ilvl w:val="0"/>
          <w:numId w:val="73"/>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планирање и изградњу </w:t>
      </w:r>
      <w:r>
        <w:rPr>
          <w:rFonts w:ascii="Times New Roman" w:hAnsi="Times New Roman"/>
          <w:sz w:val="24"/>
        </w:rPr>
        <w:t>у износу од 1.699 хиљада динара за динарску </w:t>
      </w:r>
      <w:r>
        <w:rPr>
          <w:rFonts w:ascii="Times New Roman" w:hAnsi="Times New Roman"/>
          <w:sz w:val="24"/>
        </w:rPr>
        <w:t>противвредност девизних средстава код ЈП</w:t>
      </w:r>
      <w:r>
        <w:rPr>
          <w:rFonts w:ascii="Times New Roman" w:hAnsi="Times New Roman"/>
          <w:spacing w:val="-14"/>
          <w:sz w:val="24"/>
        </w:rPr>
        <w:t> </w:t>
      </w:r>
      <w:r>
        <w:rPr>
          <w:rFonts w:ascii="Times New Roman" w:hAnsi="Times New Roman"/>
          <w:sz w:val="24"/>
        </w:rPr>
        <w:t>ГСА.</w:t>
      </w:r>
    </w:p>
    <w:p>
      <w:pPr>
        <w:spacing w:before="0"/>
        <w:ind w:left="160" w:right="179"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да </w:t>
      </w:r>
      <w:r>
        <w:rPr>
          <w:rFonts w:ascii="Times New Roman" w:hAnsi="Times New Roman"/>
          <w:sz w:val="24"/>
        </w:rPr>
        <w:t>ЈП ГСА није вршила усаглашавање стања са банкама на дан 31.12.2014. године, што је супротно</w:t>
      </w:r>
      <w:r>
        <w:rPr>
          <w:rFonts w:ascii="Times New Roman" w:hAnsi="Times New Roman"/>
          <w:spacing w:val="4"/>
          <w:sz w:val="24"/>
        </w:rPr>
        <w:t> </w:t>
      </w:r>
      <w:r>
        <w:rPr>
          <w:rFonts w:ascii="Times New Roman" w:hAnsi="Times New Roman"/>
          <w:sz w:val="24"/>
        </w:rPr>
        <w:t>члану</w:t>
      </w:r>
    </w:p>
    <w:p>
      <w:pPr>
        <w:pStyle w:val="BodyText"/>
        <w:spacing w:line="240" w:lineRule="auto"/>
        <w:ind w:right="177"/>
        <w:jc w:val="both"/>
        <w:rPr>
          <w:rFonts w:ascii="Times New Roman" w:hAnsi="Times New Roman" w:cs="Times New Roman" w:eastAsia="Times New Roman" w:hint="default"/>
        </w:rPr>
      </w:pPr>
      <w:r>
        <w:rPr/>
        <w:t>18. Уредбе о буџетском рачуноводству. На захтев ревизора, у поступку ревизије, прибављени су изводи отворених ставки од поменутих</w:t>
      </w:r>
      <w:r>
        <w:rPr>
          <w:spacing w:val="-11"/>
        </w:rPr>
        <w:t> </w:t>
      </w:r>
      <w:r>
        <w:rPr/>
        <w:t>банака</w:t>
      </w:r>
      <w:r>
        <w:rPr>
          <w:rFonts w:ascii="Times New Roman" w:hAnsi="Times New Roman"/>
        </w:rPr>
        <w:t>.</w:t>
      </w:r>
    </w:p>
    <w:p>
      <w:pPr>
        <w:pStyle w:val="Heading2"/>
        <w:spacing w:line="240" w:lineRule="auto"/>
        <w:ind w:right="175"/>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w:t>
      </w:r>
      <w:r>
        <w:rPr>
          <w:i/>
          <w:spacing w:val="-6"/>
        </w:rPr>
        <w:t> </w:t>
      </w:r>
      <w:r>
        <w:rPr>
          <w:i/>
        </w:rPr>
        <w:t>рачуноводству</w:t>
      </w:r>
      <w:r>
        <w:rPr>
          <w:rFonts w:ascii="Times New Roman" w:hAnsi="Times New Roman"/>
          <w:i/>
        </w:rPr>
        <w:t>.</w:t>
      </w:r>
      <w:r>
        <w:rPr>
          <w:rFonts w:ascii="Times New Roman" w:hAnsi="Times New Roman"/>
          <w:b w:val="0"/>
          <w:i w:val="0"/>
        </w:rPr>
      </w:r>
    </w:p>
    <w:p>
      <w:pPr>
        <w:pStyle w:val="ListParagraph"/>
        <w:numPr>
          <w:ilvl w:val="0"/>
          <w:numId w:val="73"/>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У билансу стања </w:t>
      </w:r>
      <w:r>
        <w:rPr>
          <w:rFonts w:ascii="Times New Roman" w:hAnsi="Times New Roman"/>
          <w:sz w:val="24"/>
        </w:rPr>
      </w:r>
      <w:r>
        <w:rPr>
          <w:rFonts w:ascii="Times New Roman" w:hAnsi="Times New Roman"/>
          <w:sz w:val="24"/>
          <w:u w:val="single" w:color="000000"/>
        </w:rPr>
      </w:r>
      <w:r>
        <w:rPr>
          <w:rFonts w:ascii="Times New Roman" w:hAnsi="Times New Roman"/>
          <w:sz w:val="24"/>
          <w:u w:val="single" w:color="000000"/>
        </w:rPr>
        <w:t>Управе за дечију, социјалну и примарну здравствену заштиту </w:t>
      </w:r>
      <w:r>
        <w:rPr>
          <w:rFonts w:ascii="Times New Roman" w:hAnsi="Times New Roman"/>
          <w:sz w:val="24"/>
        </w:rPr>
        <w:t>није </w:t>
      </w:r>
      <w:r>
        <w:rPr>
          <w:rFonts w:ascii="Times New Roman" w:hAnsi="Times New Roman"/>
          <w:sz w:val="24"/>
        </w:rPr>
        <w:t>исказан</w:t>
      </w:r>
      <w:r>
        <w:rPr>
          <w:rFonts w:ascii="Times New Roman" w:hAnsi="Times New Roman"/>
          <w:spacing w:val="-5"/>
          <w:sz w:val="24"/>
        </w:rPr>
        <w:t> </w:t>
      </w:r>
      <w:r>
        <w:rPr>
          <w:rFonts w:ascii="Times New Roman" w:hAnsi="Times New Roman"/>
          <w:sz w:val="24"/>
        </w:rPr>
        <w:t>износ.</w:t>
      </w:r>
    </w:p>
    <w:p>
      <w:pPr>
        <w:spacing w:before="0"/>
        <w:ind w:left="160" w:right="174"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На основу ревизије узорковане документације утврђено је </w:t>
      </w:r>
      <w:r>
        <w:rPr>
          <w:rFonts w:ascii="Times New Roman" w:hAnsi="Times New Roman" w:cs="Times New Roman" w:eastAsia="Times New Roman" w:hint="default"/>
          <w:sz w:val="24"/>
          <w:szCs w:val="24"/>
        </w:rPr>
        <w:t>да је ова позиција исказана мање у износу од три хиљаде динара код Установе „Сигурна кућа“, по основу уплате средстава донације из 2013.</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године.</w:t>
      </w:r>
    </w:p>
    <w:p>
      <w:pPr>
        <w:spacing w:after="0"/>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Heading2"/>
        <w:spacing w:line="240" w:lineRule="auto" w:before="126"/>
        <w:ind w:right="177"/>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i w:val="0"/>
        </w:rPr>
        <w:t>.</w:t>
      </w:r>
      <w:r>
        <w:rPr>
          <w:rFonts w:ascii="Times New Roman" w:hAnsi="Times New Roman"/>
          <w:b w:val="0"/>
          <w:i w:val="0"/>
        </w:rPr>
      </w:r>
    </w:p>
    <w:p>
      <w:pPr>
        <w:pStyle w:val="ListParagraph"/>
        <w:numPr>
          <w:ilvl w:val="0"/>
          <w:numId w:val="73"/>
        </w:numPr>
        <w:tabs>
          <w:tab w:pos="444" w:val="left" w:leader="none"/>
        </w:tabs>
        <w:spacing w:line="271" w:lineRule="exact" w:before="0" w:after="0"/>
        <w:ind w:left="443" w:right="0" w:hanging="283"/>
        <w:jc w:val="both"/>
        <w:rPr>
          <w:rFonts w:ascii="Times New Roman" w:hAnsi="Times New Roman" w:cs="Times New Roman" w:eastAsia="Times New Roman" w:hint="default"/>
          <w:sz w:val="24"/>
          <w:szCs w:val="24"/>
        </w:rPr>
      </w:pPr>
      <w:r>
        <w:rPr>
          <w:rFonts w:ascii="Times New Roman" w:hAnsi="Times New Roman"/>
          <w:sz w:val="24"/>
        </w:rPr>
        <w:t>У  билансу стања  </w:t>
      </w:r>
      <w:r>
        <w:rPr>
          <w:rFonts w:ascii="Times New Roman" w:hAnsi="Times New Roman"/>
          <w:sz w:val="24"/>
        </w:rPr>
      </w:r>
      <w:r>
        <w:rPr>
          <w:rFonts w:ascii="Times New Roman" w:hAnsi="Times New Roman"/>
          <w:sz w:val="24"/>
          <w:u w:val="single" w:color="000000"/>
        </w:rPr>
      </w:r>
      <w:r>
        <w:rPr>
          <w:rFonts w:ascii="Times New Roman" w:hAnsi="Times New Roman"/>
          <w:sz w:val="24"/>
          <w:u w:val="single" w:color="000000"/>
        </w:rPr>
        <w:t>Управе за финансије, изворне приходе локалне самоуправе и   </w:t>
      </w:r>
      <w:r>
        <w:rPr>
          <w:rFonts w:ascii="Times New Roman" w:hAnsi="Times New Roman"/>
          <w:spacing w:val="11"/>
          <w:sz w:val="24"/>
          <w:u w:val="single" w:color="000000"/>
        </w:rPr>
        <w:t> </w:t>
      </w:r>
      <w:r>
        <w:rPr>
          <w:rFonts w:ascii="Times New Roman" w:hAnsi="Times New Roman"/>
          <w:sz w:val="24"/>
          <w:u w:val="single" w:color="000000"/>
        </w:rPr>
        <w:t>јавне</w:t>
      </w:r>
      <w:r>
        <w:rPr>
          <w:rFonts w:ascii="Times New Roman" w:hAnsi="Times New Roman"/>
          <w:sz w:val="24"/>
        </w:rPr>
      </w:r>
    </w:p>
    <w:p>
      <w:pPr>
        <w:pStyle w:val="BodyText"/>
        <w:spacing w:line="240" w:lineRule="auto"/>
        <w:ind w:right="0"/>
        <w:jc w:val="both"/>
      </w:pPr>
      <w:r>
        <w:rPr>
          <w:rFonts w:ascii="Times New Roman" w:hAnsi="Times New Roman"/>
        </w:rPr>
      </w:r>
      <w:r>
        <w:rPr>
          <w:rFonts w:ascii="Times New Roman" w:hAnsi="Times New Roman"/>
          <w:spacing w:val="-60"/>
          <w:u w:val="single" w:color="000000"/>
        </w:rPr>
        <w:t> </w:t>
      </w:r>
      <w:r>
        <w:rPr>
          <w:u w:val="single" w:color="000000"/>
        </w:rPr>
        <w:t>набавке </w:t>
      </w:r>
      <w:r>
        <w:rPr/>
        <w:t>није исказан</w:t>
      </w:r>
      <w:r>
        <w:rPr>
          <w:spacing w:val="-11"/>
        </w:rPr>
        <w:t> </w:t>
      </w:r>
      <w:r>
        <w:rPr/>
        <w:t>износ.</w:t>
      </w:r>
    </w:p>
    <w:p>
      <w:pPr>
        <w:pStyle w:val="Heading1"/>
        <w:spacing w:line="275" w:lineRule="exact"/>
        <w:ind w:left="738" w:right="141"/>
        <w:jc w:val="left"/>
        <w:rPr>
          <w:b w:val="0"/>
          <w:bCs w:val="0"/>
        </w:rPr>
      </w:pPr>
      <w:r>
        <w:rPr/>
        <w:t>На основу ревизије узорковане документације утврђено је</w:t>
      </w:r>
      <w:r>
        <w:rPr>
          <w:spacing w:val="-16"/>
        </w:rPr>
        <w:t> </w:t>
      </w:r>
      <w:r>
        <w:rPr/>
        <w:t>да:</w:t>
      </w:r>
      <w:r>
        <w:rPr>
          <w:b w:val="0"/>
        </w:rPr>
      </w:r>
    </w:p>
    <w:p>
      <w:pPr>
        <w:pStyle w:val="ListParagraph"/>
        <w:numPr>
          <w:ilvl w:val="0"/>
          <w:numId w:val="9"/>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Ова позиција мање је исказана у билансу стања Управе за финансије за износ од </w:t>
      </w:r>
      <w:r>
        <w:rPr>
          <w:rFonts w:ascii="Times New Roman" w:hAnsi="Times New Roman"/>
          <w:sz w:val="24"/>
        </w:rPr>
        <w:t>12.144 </w:t>
      </w:r>
      <w:r>
        <w:rPr>
          <w:rFonts w:ascii="Times New Roman" w:hAnsi="Times New Roman"/>
          <w:sz w:val="24"/>
        </w:rPr>
        <w:t>хиљаде динара која се воде на девизним рачунима и то код: Народне банке Србије у износу од 12.142 хиљаде динара (динарска противвредност обрачуната по средњем курсу на дан 31.12.2014. године за две хиљаде америчких долара и за 99 хиљада евра) и код АИК банке у износу од две хиљаде динара (динарска противвредност од 12 евра) а која нису евидентирана у пословним књигама. Истовремено, за исти износ мање је исказан вишак прихода и примања</w:t>
      </w:r>
      <w:r>
        <w:rPr>
          <w:rFonts w:ascii="Times New Roman" w:hAnsi="Times New Roman"/>
          <w:sz w:val="24"/>
        </w:rPr>
        <w:t>-</w:t>
      </w:r>
      <w:r>
        <w:rPr>
          <w:rFonts w:ascii="Times New Roman" w:hAnsi="Times New Roman"/>
          <w:sz w:val="24"/>
        </w:rPr>
        <w:t>суфицит у износу од 11.945 хиљада динара и нераспоређени вишак прихода и примања у износу од 199 хиљада</w:t>
      </w:r>
      <w:r>
        <w:rPr>
          <w:rFonts w:ascii="Times New Roman" w:hAnsi="Times New Roman"/>
          <w:spacing w:val="-18"/>
          <w:sz w:val="24"/>
        </w:rPr>
        <w:t> </w:t>
      </w:r>
      <w:r>
        <w:rPr>
          <w:rFonts w:ascii="Times New Roman" w:hAnsi="Times New Roman"/>
          <w:sz w:val="24"/>
        </w:rPr>
        <w:t>динара.</w:t>
      </w:r>
    </w:p>
    <w:p>
      <w:pPr>
        <w:pStyle w:val="ListParagraph"/>
        <w:numPr>
          <w:ilvl w:val="0"/>
          <w:numId w:val="9"/>
        </w:numPr>
        <w:tabs>
          <w:tab w:pos="303" w:val="left" w:leader="none"/>
        </w:tabs>
        <w:spacing w:line="237" w:lineRule="auto" w:before="4"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Управа за финансије, изворне приходе локалне смаоуправе и јавне набавке града Ниша у својим пословним књигама не води аналитичку евиденцију девизних рачуна и девизних подрачуна,  што је супротно члану 9. и </w:t>
      </w:r>
      <w:r>
        <w:rPr>
          <w:rFonts w:ascii="Times New Roman" w:hAnsi="Times New Roman"/>
          <w:sz w:val="24"/>
        </w:rPr>
        <w:t>14. </w:t>
      </w:r>
      <w:r>
        <w:rPr>
          <w:rFonts w:ascii="Times New Roman" w:hAnsi="Times New Roman"/>
          <w:sz w:val="24"/>
        </w:rPr>
        <w:t>Уредбе о буџетском</w:t>
      </w:r>
      <w:r>
        <w:rPr>
          <w:rFonts w:ascii="Times New Roman" w:hAnsi="Times New Roman"/>
          <w:spacing w:val="-22"/>
          <w:sz w:val="24"/>
        </w:rPr>
        <w:t> </w:t>
      </w:r>
      <w:r>
        <w:rPr>
          <w:rFonts w:ascii="Times New Roman" w:hAnsi="Times New Roman"/>
          <w:sz w:val="24"/>
        </w:rPr>
        <w:t>рачуноводству.</w:t>
      </w:r>
    </w:p>
    <w:p>
      <w:pPr>
        <w:pStyle w:val="Heading2"/>
        <w:spacing w:line="240" w:lineRule="auto"/>
        <w:ind w:right="180"/>
        <w:jc w:val="both"/>
        <w:rPr>
          <w:b w:val="0"/>
          <w:bCs w:val="0"/>
          <w:i w:val="0"/>
        </w:rPr>
      </w:pPr>
      <w:r>
        <w:rPr>
          <w:i/>
        </w:rPr>
        <w:t>Препоручује се одговорним лицима да правилно и тачно исказују стање  девизних средстава и да у пословним књигама евидентирају сву имовину којом располажу.</w:t>
      </w:r>
      <w:r>
        <w:rPr>
          <w:b w:val="0"/>
          <w:i w:val="0"/>
        </w:rPr>
      </w:r>
    </w:p>
    <w:p>
      <w:pPr>
        <w:spacing w:line="271" w:lineRule="exact" w:before="0"/>
        <w:ind w:left="726" w:right="141"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Девизна благајна, конто 121600 – </w:t>
      </w:r>
      <w:r>
        <w:rPr>
          <w:rFonts w:ascii="Times New Roman" w:hAnsi="Times New Roman" w:cs="Times New Roman" w:eastAsia="Times New Roman" w:hint="default"/>
          <w:sz w:val="24"/>
          <w:szCs w:val="24"/>
        </w:rPr>
        <w:t>На овој позицији није исказан</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износ.</w:t>
      </w:r>
    </w:p>
    <w:p>
      <w:pPr>
        <w:pStyle w:val="BodyText"/>
        <w:spacing w:line="240" w:lineRule="auto"/>
        <w:ind w:right="171" w:firstLine="566"/>
        <w:jc w:val="both"/>
      </w:pPr>
      <w:r>
        <w:rPr>
          <w:rFonts w:ascii="Times New Roman" w:hAnsi="Times New Roman"/>
          <w:b/>
        </w:rPr>
        <w:t>На основу ревизије узорковане документације утврђено је </w:t>
      </w:r>
      <w:r>
        <w:rPr/>
        <w:t>да у пословним књигама </w:t>
      </w:r>
      <w:r>
        <w:rPr>
          <w:rFonts w:ascii="Times New Roman" w:hAnsi="Times New Roman"/>
        </w:rPr>
      </w:r>
      <w:r>
        <w:rPr>
          <w:rFonts w:ascii="Times New Roman" w:hAnsi="Times New Roman"/>
          <w:u w:val="single" w:color="000000"/>
        </w:rPr>
      </w:r>
      <w:r>
        <w:rPr>
          <w:u w:val="single" w:color="000000"/>
        </w:rPr>
        <w:t>Управе за финансије, изворне приходе локалне самоуправе и јавне набавке </w:t>
      </w:r>
      <w:r>
        <w:rPr/>
        <w:t>нису </w:t>
      </w:r>
      <w:r>
        <w:rPr/>
        <w:t>евидентирана средства у укупном износу од 162 хиљаде динара која су годишњим пописом затечена и пописана у благајни на дан 31.12.2014. године. Пописом је утврђено да је стварно стање девизних средстава у девизној благајни на дан 31.12.2014. године и то: 820 евра и 635 долара, што у динарској противвредности, обрачунато по средњем курсу динара на дан састављања биланса стања, износи 162 хиљаде динара, па је за исти износ ова позиција мање исказана. Истовремено, за исти износ мање је исказана вредност на субаналитичком конту 321311</w:t>
      </w:r>
      <w:r>
        <w:rPr>
          <w:rFonts w:ascii="Times New Roman" w:hAnsi="Times New Roman"/>
        </w:rPr>
        <w:t>- </w:t>
      </w:r>
      <w:r>
        <w:rPr/>
        <w:t>нераспоређени вишак прихода и примања из ранијих година.</w:t>
      </w:r>
    </w:p>
    <w:p>
      <w:pPr>
        <w:pStyle w:val="Heading2"/>
        <w:spacing w:line="240" w:lineRule="auto"/>
        <w:ind w:right="178"/>
        <w:jc w:val="both"/>
        <w:rPr>
          <w:b w:val="0"/>
          <w:bCs w:val="0"/>
          <w:i w:val="0"/>
        </w:rPr>
      </w:pPr>
      <w:r>
        <w:rPr>
          <w:i/>
        </w:rPr>
        <w:t>Препоручује се одговорним лицима да правилно и тачно исказују стање својих девизних средстава и да у пословним књигама евидентирају сву имовину којом располажу.</w:t>
      </w:r>
      <w:r>
        <w:rPr>
          <w:b w:val="0"/>
          <w:i w:val="0"/>
        </w:rPr>
      </w:r>
    </w:p>
    <w:p>
      <w:pPr>
        <w:spacing w:line="240" w:lineRule="auto" w:before="0"/>
        <w:ind w:left="160" w:right="176"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Остала новчана средства, конто 121700 </w:t>
      </w:r>
      <w:r>
        <w:rPr>
          <w:rFonts w:ascii="Times New Roman" w:hAnsi="Times New Roman" w:cs="Times New Roman" w:eastAsia="Times New Roman" w:hint="default"/>
          <w:sz w:val="24"/>
          <w:szCs w:val="24"/>
        </w:rPr>
        <w:t>– Исказан је износ од 13.719 хиљада динара</w:t>
      </w:r>
      <w:r>
        <w:rPr>
          <w:rFonts w:ascii="Times New Roman" w:hAnsi="Times New Roman" w:cs="Times New Roman" w:eastAsia="Times New Roman" w:hint="default"/>
          <w:spacing w:val="59"/>
          <w:sz w:val="24"/>
          <w:szCs w:val="24"/>
        </w:rPr>
        <w:t> </w:t>
      </w:r>
      <w:r>
        <w:rPr>
          <w:rFonts w:ascii="Times New Roman" w:hAnsi="Times New Roman" w:cs="Times New Roman" w:eastAsia="Times New Roman" w:hint="default"/>
          <w:sz w:val="24"/>
          <w:szCs w:val="24"/>
        </w:rPr>
        <w:t>код:</w:t>
      </w:r>
    </w:p>
    <w:p>
      <w:pPr>
        <w:pStyle w:val="ListParagraph"/>
        <w:numPr>
          <w:ilvl w:val="0"/>
          <w:numId w:val="74"/>
        </w:numPr>
        <w:tabs>
          <w:tab w:pos="303" w:val="left" w:leader="none"/>
        </w:tabs>
        <w:spacing w:line="240" w:lineRule="auto" w:before="0" w:after="0"/>
        <w:ind w:left="160" w:right="184"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културу </w:t>
      </w:r>
      <w:r>
        <w:rPr>
          <w:rFonts w:ascii="Times New Roman" w:hAnsi="Times New Roman"/>
          <w:sz w:val="24"/>
        </w:rPr>
        <w:t>у износу од 98 хиљада динара за исказана остала новчана средства </w:t>
      </w:r>
      <w:r>
        <w:rPr>
          <w:rFonts w:ascii="Times New Roman" w:hAnsi="Times New Roman"/>
          <w:sz w:val="24"/>
        </w:rPr>
        <w:t>код Народног позоришта у износу од три хиљаде динара и Народног музеја у износу од 95 хиљада</w:t>
      </w:r>
      <w:r>
        <w:rPr>
          <w:rFonts w:ascii="Times New Roman" w:hAnsi="Times New Roman"/>
          <w:spacing w:val="-2"/>
          <w:sz w:val="24"/>
        </w:rPr>
        <w:t> </w:t>
      </w:r>
      <w:r>
        <w:rPr>
          <w:rFonts w:ascii="Times New Roman" w:hAnsi="Times New Roman"/>
          <w:sz w:val="24"/>
        </w:rPr>
        <w:t>динара</w:t>
      </w:r>
      <w:r>
        <w:rPr>
          <w:rFonts w:ascii="Times New Roman" w:hAnsi="Times New Roman"/>
          <w:sz w:val="24"/>
        </w:rPr>
        <w:t>.</w:t>
      </w:r>
    </w:p>
    <w:p>
      <w:pPr>
        <w:pStyle w:val="ListParagraph"/>
        <w:numPr>
          <w:ilvl w:val="0"/>
          <w:numId w:val="74"/>
        </w:numPr>
        <w:tabs>
          <w:tab w:pos="303"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планирање и изградњу </w:t>
      </w:r>
      <w:r>
        <w:rPr>
          <w:rFonts w:ascii="Times New Roman" w:hAnsi="Times New Roman"/>
          <w:sz w:val="24"/>
        </w:rPr>
        <w:t>у износу од 13.621 хиљаде динара за остала новчана </w:t>
      </w:r>
      <w:r>
        <w:rPr>
          <w:rFonts w:ascii="Times New Roman" w:hAnsi="Times New Roman"/>
          <w:sz w:val="24"/>
        </w:rPr>
        <w:t>средства исказана код ЈП</w:t>
      </w:r>
      <w:r>
        <w:rPr>
          <w:rFonts w:ascii="Times New Roman" w:hAnsi="Times New Roman"/>
          <w:spacing w:val="-9"/>
          <w:sz w:val="24"/>
        </w:rPr>
        <w:t> </w:t>
      </w:r>
      <w:r>
        <w:rPr>
          <w:rFonts w:ascii="Times New Roman" w:hAnsi="Times New Roman"/>
          <w:sz w:val="24"/>
        </w:rPr>
        <w:t>ГСА.</w:t>
      </w:r>
    </w:p>
    <w:p>
      <w:pPr>
        <w:pStyle w:val="BodyText"/>
        <w:spacing w:line="240" w:lineRule="auto"/>
        <w:ind w:right="172" w:firstLine="566"/>
        <w:jc w:val="both"/>
      </w:pPr>
      <w:r>
        <w:rPr>
          <w:rFonts w:ascii="Times New Roman" w:hAnsi="Times New Roman" w:cs="Times New Roman" w:eastAsia="Times New Roman" w:hint="default"/>
          <w:b/>
          <w:bCs/>
        </w:rPr>
        <w:t>На основу ревизије узорковане документације утврђено је </w:t>
      </w:r>
      <w:r>
        <w:rPr/>
        <w:t>да је ова билансна позиција исказана у већем износу за 13.621 хиљаде динара</w:t>
      </w:r>
      <w:r>
        <w:rPr>
          <w:rFonts w:ascii="Times New Roman" w:hAnsi="Times New Roman" w:cs="Times New Roman" w:eastAsia="Times New Roman" w:hint="default"/>
        </w:rPr>
        <w:t>, </w:t>
      </w:r>
      <w:r>
        <w:rPr/>
        <w:t>а мање је исказана вредност на конту </w:t>
      </w:r>
      <w:r>
        <w:rPr>
          <w:rFonts w:ascii="Times New Roman" w:hAnsi="Times New Roman" w:cs="Times New Roman" w:eastAsia="Times New Roman" w:hint="default"/>
        </w:rPr>
        <w:t>122100 </w:t>
      </w:r>
      <w:r>
        <w:rPr/>
        <w:t>– потраживања по основу продаје и друга потраживања у истом износу</w:t>
      </w:r>
      <w:r>
        <w:rPr>
          <w:rFonts w:ascii="Times New Roman" w:hAnsi="Times New Roman" w:cs="Times New Roman" w:eastAsia="Times New Roman" w:hint="default"/>
        </w:rPr>
        <w:t>, </w:t>
      </w:r>
      <w:r>
        <w:rPr/>
        <w:t>јер</w:t>
      </w:r>
      <w:r>
        <w:rPr>
          <w:spacing w:val="39"/>
        </w:rPr>
        <w:t> </w:t>
      </w:r>
      <w:r>
        <w:rPr/>
        <w:t>евидентирана</w:t>
      </w:r>
      <w:r>
        <w:rPr>
          <w:spacing w:val="38"/>
        </w:rPr>
        <w:t> </w:t>
      </w:r>
      <w:r>
        <w:rPr/>
        <w:t>средства</w:t>
      </w:r>
      <w:r>
        <w:rPr>
          <w:spacing w:val="38"/>
        </w:rPr>
        <w:t> </w:t>
      </w:r>
      <w:r>
        <w:rPr/>
        <w:t>представљају</w:t>
      </w:r>
      <w:r>
        <w:rPr>
          <w:spacing w:val="34"/>
        </w:rPr>
        <w:t> </w:t>
      </w:r>
      <w:r>
        <w:rPr/>
        <w:t>потраживање</w:t>
      </w:r>
      <w:r>
        <w:rPr>
          <w:spacing w:val="37"/>
        </w:rPr>
        <w:t> </w:t>
      </w:r>
      <w:r>
        <w:rPr/>
        <w:t>од</w:t>
      </w:r>
      <w:r>
        <w:rPr>
          <w:spacing w:val="39"/>
        </w:rPr>
        <w:t> </w:t>
      </w:r>
      <w:r>
        <w:rPr/>
        <w:t>купаца</w:t>
      </w:r>
      <w:r>
        <w:rPr>
          <w:spacing w:val="38"/>
        </w:rPr>
        <w:t> </w:t>
      </w:r>
      <w:r>
        <w:rPr/>
        <w:t>за</w:t>
      </w:r>
      <w:r>
        <w:rPr>
          <w:spacing w:val="38"/>
        </w:rPr>
        <w:t> </w:t>
      </w:r>
      <w:r>
        <w:rPr/>
        <w:t>неплаћен</w:t>
      </w:r>
      <w:r>
        <w:rPr>
          <w:spacing w:val="40"/>
        </w:rPr>
        <w:t> </w:t>
      </w:r>
      <w:r>
        <w:rPr/>
        <w:t>порез</w:t>
      </w:r>
      <w:r>
        <w:rPr>
          <w:spacing w:val="50"/>
        </w:rPr>
        <w:t> </w:t>
      </w:r>
      <w:r>
        <w:rPr/>
        <w:t>на</w:t>
      </w:r>
    </w:p>
    <w:p>
      <w:pPr>
        <w:spacing w:after="0" w:line="240" w:lineRule="auto"/>
        <w:jc w:val="both"/>
        <w:sectPr>
          <w:pgSz w:w="12240" w:h="15840"/>
          <w:pgMar w:header="740" w:footer="1274" w:top="1280" w:bottom="1460" w:left="1400" w:right="1260"/>
        </w:sectPr>
      </w:pPr>
    </w:p>
    <w:p>
      <w:pPr>
        <w:pStyle w:val="BodyText"/>
        <w:spacing w:line="240" w:lineRule="auto" w:before="122"/>
        <w:ind w:right="176"/>
        <w:jc w:val="both"/>
        <w:rPr>
          <w:rFonts w:ascii="Times New Roman" w:hAnsi="Times New Roman" w:cs="Times New Roman" w:eastAsia="Times New Roman" w:hint="default"/>
        </w:rPr>
      </w:pPr>
      <w:r>
        <w:rPr/>
        <w:t>пренос апсолутних права, што је супротно Правилнику о стандардном класификационом оквиру и контном плану за буџетски</w:t>
      </w:r>
      <w:r>
        <w:rPr>
          <w:spacing w:val="-16"/>
        </w:rPr>
        <w:t> </w:t>
      </w:r>
      <w:r>
        <w:rPr/>
        <w:t>систем</w:t>
      </w:r>
      <w:r>
        <w:rPr>
          <w:rFonts w:ascii="Times New Roman" w:hAnsi="Times New Roman"/>
        </w:rPr>
        <w:t>.</w:t>
      </w:r>
    </w:p>
    <w:p>
      <w:pPr>
        <w:pStyle w:val="Heading2"/>
        <w:spacing w:line="240" w:lineRule="auto"/>
        <w:ind w:right="173"/>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Правилника о стандардном класификационом оквиру и контном плану за буџетски</w:t>
      </w:r>
      <w:r>
        <w:rPr>
          <w:i/>
          <w:spacing w:val="-20"/>
        </w:rPr>
        <w:t> </w:t>
      </w:r>
      <w:r>
        <w:rPr>
          <w:i/>
        </w:rPr>
        <w:t>систем</w:t>
      </w:r>
      <w:r>
        <w:rPr>
          <w:rFonts w:ascii="Times New Roman" w:hAnsi="Times New Roman"/>
          <w:i/>
        </w:rPr>
        <w:t>.</w:t>
      </w:r>
      <w:r>
        <w:rPr>
          <w:rFonts w:ascii="Times New Roman" w:hAnsi="Times New Roman"/>
          <w:b w:val="0"/>
          <w:i w:val="0"/>
        </w:rPr>
      </w:r>
    </w:p>
    <w:p>
      <w:pPr>
        <w:spacing w:line="237" w:lineRule="auto" w:before="2"/>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Потраживања по основу продаје и друга потраживања, конто 122100 –  </w:t>
      </w:r>
      <w:r>
        <w:rPr>
          <w:rFonts w:ascii="Times New Roman" w:hAnsi="Times New Roman" w:cs="Times New Roman" w:eastAsia="Times New Roman" w:hint="default"/>
          <w:sz w:val="24"/>
          <w:szCs w:val="24"/>
        </w:rPr>
        <w:t>Исказано је стање у износу до 512.167 хиљада динара по основу потраживања исказаних код:</w:t>
      </w:r>
    </w:p>
    <w:p>
      <w:pPr>
        <w:pStyle w:val="BodyText"/>
        <w:spacing w:line="240" w:lineRule="auto"/>
        <w:ind w:right="0"/>
        <w:jc w:val="both"/>
      </w:pPr>
      <w:r>
        <w:rPr>
          <w:rFonts w:ascii="Times New Roman" w:hAnsi="Times New Roman"/>
          <w:b/>
        </w:rPr>
        <w:t>- </w:t>
      </w:r>
      <w:r>
        <w:rPr>
          <w:rFonts w:ascii="Times New Roman" w:hAnsi="Times New Roman"/>
        </w:rPr>
      </w:r>
      <w:r>
        <w:rPr>
          <w:rFonts w:ascii="Times New Roman" w:hAnsi="Times New Roman"/>
          <w:u w:val="single" w:color="000000"/>
        </w:rPr>
      </w:r>
      <w:r>
        <w:rPr>
          <w:u w:val="single" w:color="000000"/>
        </w:rPr>
        <w:t>Скупштине града </w:t>
      </w:r>
      <w:r>
        <w:rPr/>
        <w:t>у износу од 3.790 хиљада</w:t>
      </w:r>
      <w:r>
        <w:rPr>
          <w:spacing w:val="-14"/>
        </w:rPr>
        <w:t> </w:t>
      </w:r>
      <w:r>
        <w:rPr/>
        <w:t>динара.</w:t>
      </w:r>
    </w:p>
    <w:p>
      <w:pPr>
        <w:pStyle w:val="Heading1"/>
        <w:spacing w:line="275" w:lineRule="exact"/>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2"/>
        </w:rPr>
        <w:t> </w:t>
      </w:r>
      <w:r>
        <w:rPr/>
        <w:t>је</w:t>
      </w:r>
      <w:r>
        <w:rPr>
          <w:rFonts w:ascii="Times New Roman" w:hAnsi="Times New Roman"/>
        </w:rPr>
        <w:t>:</w:t>
      </w:r>
      <w:r>
        <w:rPr>
          <w:rFonts w:ascii="Times New Roman" w:hAnsi="Times New Roman"/>
          <w:b w:val="0"/>
        </w:rPr>
      </w:r>
    </w:p>
    <w:p>
      <w:pPr>
        <w:pStyle w:val="ListParagraph"/>
        <w:numPr>
          <w:ilvl w:val="0"/>
          <w:numId w:val="9"/>
        </w:numPr>
        <w:tabs>
          <w:tab w:pos="303"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Нисмо се уверили у тачност и правилност исказаних потраживања од купаца у износу од 3.660 хиљада динара код Скуштине града, јер нису вршена редовна раскњижавања уплата од стране</w:t>
      </w:r>
      <w:r>
        <w:rPr>
          <w:rFonts w:ascii="Times New Roman" w:hAnsi="Times New Roman"/>
          <w:spacing w:val="-10"/>
          <w:sz w:val="24"/>
        </w:rPr>
        <w:t> </w:t>
      </w:r>
      <w:r>
        <w:rPr>
          <w:rFonts w:ascii="Times New Roman" w:hAnsi="Times New Roman"/>
          <w:sz w:val="24"/>
        </w:rPr>
        <w:t>купаца.</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Потраживања по основу аконтације за службена путовања односе се на службена путовања у иностранство у износу од 127 хиљада динара и потичу из 2012. и 2013. године, и на службена путовања у земљи у износу од три хиљаде динара из 2009. године. За наведена потраживања нису предузете мере ради њихове</w:t>
      </w:r>
      <w:r>
        <w:rPr>
          <w:rFonts w:ascii="Times New Roman" w:hAnsi="Times New Roman"/>
          <w:spacing w:val="-20"/>
          <w:sz w:val="24"/>
        </w:rPr>
        <w:t> </w:t>
      </w:r>
      <w:r>
        <w:rPr>
          <w:rFonts w:ascii="Times New Roman" w:hAnsi="Times New Roman"/>
          <w:sz w:val="24"/>
        </w:rPr>
        <w:t>наплате.</w:t>
      </w:r>
    </w:p>
    <w:p>
      <w:pPr>
        <w:pStyle w:val="ListParagraph"/>
        <w:numPr>
          <w:ilvl w:val="0"/>
          <w:numId w:val="9"/>
        </w:numPr>
        <w:tabs>
          <w:tab w:pos="303" w:val="left" w:leader="none"/>
        </w:tabs>
        <w:spacing w:line="237" w:lineRule="auto" w:before="4" w:after="0"/>
        <w:ind w:left="160" w:right="184" w:firstLine="0"/>
        <w:jc w:val="both"/>
        <w:rPr>
          <w:rFonts w:ascii="Times New Roman" w:hAnsi="Times New Roman" w:cs="Times New Roman" w:eastAsia="Times New Roman" w:hint="default"/>
          <w:sz w:val="24"/>
          <w:szCs w:val="24"/>
        </w:rPr>
      </w:pPr>
      <w:r>
        <w:rPr>
          <w:rFonts w:ascii="Times New Roman" w:hAnsi="Times New Roman"/>
          <w:sz w:val="24"/>
        </w:rPr>
        <w:t>Није вршена анализа потраживања како би се утврдио износ вероватне ненаплативости потраживања у циљу правилног и тачног исказивања, што је супротно члану 34. Правилника о буџетском рачуноводству и рачуноводственим</w:t>
      </w:r>
      <w:r>
        <w:rPr>
          <w:rFonts w:ascii="Times New Roman" w:hAnsi="Times New Roman"/>
          <w:spacing w:val="-29"/>
          <w:sz w:val="24"/>
        </w:rPr>
        <w:t> </w:t>
      </w:r>
      <w:r>
        <w:rPr>
          <w:rFonts w:ascii="Times New Roman" w:hAnsi="Times New Roman"/>
          <w:sz w:val="24"/>
        </w:rPr>
        <w:t>политикама.</w:t>
      </w:r>
    </w:p>
    <w:p>
      <w:pPr>
        <w:pStyle w:val="Heading2"/>
        <w:spacing w:line="272" w:lineRule="exact" w:before="12"/>
        <w:ind w:right="184" w:firstLine="578"/>
        <w:jc w:val="both"/>
        <w:rPr>
          <w:rFonts w:ascii="Times New Roman" w:hAnsi="Times New Roman" w:cs="Times New Roman" w:eastAsia="Times New Roman" w:hint="default"/>
          <w:b w:val="0"/>
          <w:bCs w:val="0"/>
          <w:i w:val="0"/>
        </w:rPr>
      </w:pPr>
      <w:r>
        <w:rPr>
          <w:i/>
        </w:rPr>
        <w:t>Препоручује се одговорним лицима да правилно и тачно исказују своја потраживања и предузму мере ради њихове</w:t>
      </w:r>
      <w:r>
        <w:rPr>
          <w:i/>
          <w:spacing w:val="-13"/>
        </w:rPr>
        <w:t> </w:t>
      </w:r>
      <w:r>
        <w:rPr>
          <w:i/>
        </w:rPr>
        <w:t>наплате</w:t>
      </w:r>
      <w:r>
        <w:rPr>
          <w:rFonts w:ascii="Times New Roman" w:hAnsi="Times New Roman"/>
          <w:b w:val="0"/>
          <w:i w:val="0"/>
        </w:rPr>
        <w:t>.</w:t>
      </w:r>
    </w:p>
    <w:p>
      <w:pPr>
        <w:pStyle w:val="ListParagraph"/>
        <w:numPr>
          <w:ilvl w:val="0"/>
          <w:numId w:val="75"/>
        </w:numPr>
        <w:tabs>
          <w:tab w:pos="303" w:val="left" w:leader="none"/>
        </w:tabs>
        <w:spacing w:line="274"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Градоначелника </w:t>
      </w:r>
      <w:r>
        <w:rPr>
          <w:rFonts w:ascii="Times New Roman" w:hAnsi="Times New Roman"/>
          <w:sz w:val="24"/>
        </w:rPr>
        <w:t>у износу од 1.383 хиљаде</w:t>
      </w:r>
      <w:r>
        <w:rPr>
          <w:rFonts w:ascii="Times New Roman" w:hAnsi="Times New Roman"/>
          <w:spacing w:val="-16"/>
          <w:sz w:val="24"/>
        </w:rPr>
        <w:t> </w:t>
      </w:r>
      <w:r>
        <w:rPr>
          <w:rFonts w:ascii="Times New Roman" w:hAnsi="Times New Roman"/>
          <w:sz w:val="24"/>
        </w:rPr>
        <w:t>динара.</w:t>
      </w:r>
    </w:p>
    <w:p>
      <w:pPr>
        <w:pStyle w:val="Heading1"/>
        <w:spacing w:line="275" w:lineRule="exact"/>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2"/>
        </w:rPr>
        <w:t> </w:t>
      </w:r>
      <w:r>
        <w:rPr/>
        <w:t>је</w:t>
      </w:r>
      <w:r>
        <w:rPr>
          <w:rFonts w:ascii="Times New Roman" w:hAnsi="Times New Roman"/>
        </w:rPr>
        <w:t>:</w:t>
      </w:r>
      <w:r>
        <w:rPr>
          <w:rFonts w:ascii="Times New Roman" w:hAnsi="Times New Roman"/>
          <w:b w:val="0"/>
        </w:rPr>
      </w:r>
    </w:p>
    <w:p>
      <w:pPr>
        <w:pStyle w:val="ListParagraph"/>
        <w:numPr>
          <w:ilvl w:val="0"/>
          <w:numId w:val="9"/>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Потраживања по основу аконтације за службена путовања у иностранство потичу из ранијих година и то: износ од 464 хиљаде динара из 2009. године, износ од 553 хиљаде динара из 2010. године, износ од 111 хиљада динара из 2011. године и износ од 243 хиљаде динара из 2012. године, јер није вршено правдање аконтације и обрачун по путним налозима, што је супротно члану 30. Уредбе о накнади трошкова и отпремнини државних службеника и намештеника, члану 37. Одлуке о накнадама, додацима на плату и другим примањима изабраних, постављених и запослених лица у органима и службама града  Ниша број 15</w:t>
      </w:r>
      <w:r>
        <w:rPr>
          <w:rFonts w:ascii="Times New Roman" w:hAnsi="Times New Roman"/>
          <w:sz w:val="24"/>
        </w:rPr>
        <w:t>-</w:t>
      </w:r>
      <w:r>
        <w:rPr>
          <w:rFonts w:ascii="Times New Roman" w:hAnsi="Times New Roman"/>
          <w:sz w:val="24"/>
        </w:rPr>
        <w:t>27/2008 од 17.01.2008.</w:t>
      </w:r>
      <w:r>
        <w:rPr>
          <w:rFonts w:ascii="Times New Roman" w:hAnsi="Times New Roman"/>
          <w:spacing w:val="-1"/>
          <w:sz w:val="24"/>
        </w:rPr>
        <w:t> </w:t>
      </w:r>
      <w:r>
        <w:rPr>
          <w:rFonts w:ascii="Times New Roman" w:hAnsi="Times New Roman"/>
          <w:sz w:val="24"/>
        </w:rPr>
        <w:t>године.</w:t>
      </w:r>
    </w:p>
    <w:p>
      <w:pPr>
        <w:pStyle w:val="ListParagraph"/>
        <w:numPr>
          <w:ilvl w:val="0"/>
          <w:numId w:val="9"/>
        </w:numPr>
        <w:tabs>
          <w:tab w:pos="303" w:val="left" w:leader="none"/>
        </w:tabs>
        <w:spacing w:line="274" w:lineRule="exact" w:before="24" w:after="0"/>
        <w:ind w:left="160" w:right="183" w:firstLine="0"/>
        <w:jc w:val="both"/>
        <w:rPr>
          <w:rFonts w:ascii="Times New Roman" w:hAnsi="Times New Roman" w:cs="Times New Roman" w:eastAsia="Times New Roman" w:hint="default"/>
          <w:sz w:val="24"/>
          <w:szCs w:val="24"/>
        </w:rPr>
      </w:pPr>
      <w:r>
        <w:rPr>
          <w:rFonts w:ascii="Times New Roman" w:hAnsi="Times New Roman"/>
          <w:sz w:val="24"/>
        </w:rPr>
        <w:t>Град Ниш није предузео мере ради повраћаја средстава на име исплаћених аконтација  за службена путовања у</w:t>
      </w:r>
      <w:r>
        <w:rPr>
          <w:rFonts w:ascii="Times New Roman" w:hAnsi="Times New Roman"/>
          <w:spacing w:val="-18"/>
          <w:sz w:val="24"/>
        </w:rPr>
        <w:t> </w:t>
      </w:r>
      <w:r>
        <w:rPr>
          <w:rFonts w:ascii="Times New Roman" w:hAnsi="Times New Roman"/>
          <w:sz w:val="24"/>
        </w:rPr>
        <w:t>иностранству.</w:t>
      </w:r>
    </w:p>
    <w:p>
      <w:pPr>
        <w:pStyle w:val="ListParagraph"/>
        <w:numPr>
          <w:ilvl w:val="0"/>
          <w:numId w:val="9"/>
        </w:numPr>
        <w:tabs>
          <w:tab w:pos="303" w:val="left" w:leader="none"/>
        </w:tabs>
        <w:spacing w:line="240" w:lineRule="auto" w:before="0" w:after="0"/>
        <w:ind w:left="160" w:right="184" w:firstLine="0"/>
        <w:jc w:val="both"/>
        <w:rPr>
          <w:rFonts w:ascii="Times New Roman" w:hAnsi="Times New Roman" w:cs="Times New Roman" w:eastAsia="Times New Roman" w:hint="default"/>
          <w:sz w:val="24"/>
          <w:szCs w:val="24"/>
        </w:rPr>
      </w:pPr>
      <w:r>
        <w:rPr>
          <w:rFonts w:ascii="Times New Roman" w:hAnsi="Times New Roman"/>
          <w:sz w:val="24"/>
        </w:rPr>
        <w:t>Није вршена анализа потраживања како би се утврдио износ вероватне ненаплативости потраживања у циљу правилног и тачног исказивања, што је супротно члану 34. Правилника о буџетском рачуноводству и рачуноводственим</w:t>
      </w:r>
      <w:r>
        <w:rPr>
          <w:rFonts w:ascii="Times New Roman" w:hAnsi="Times New Roman"/>
          <w:spacing w:val="-27"/>
          <w:sz w:val="24"/>
        </w:rPr>
        <w:t> </w:t>
      </w:r>
      <w:r>
        <w:rPr>
          <w:rFonts w:ascii="Times New Roman" w:hAnsi="Times New Roman"/>
          <w:sz w:val="24"/>
        </w:rPr>
        <w:t>политика.</w:t>
      </w:r>
    </w:p>
    <w:p>
      <w:pPr>
        <w:pStyle w:val="Heading2"/>
        <w:spacing w:line="240" w:lineRule="auto"/>
        <w:ind w:right="177" w:firstLine="578"/>
        <w:jc w:val="both"/>
        <w:rPr>
          <w:b w:val="0"/>
          <w:bCs w:val="0"/>
          <w:i w:val="0"/>
        </w:rPr>
      </w:pPr>
      <w:r>
        <w:rPr>
          <w:i/>
        </w:rPr>
        <w:t>Препоручује се одговорним лицима да интерним контролним поступцима обезбеде правдање и обрачун путних налога за службена путовања у иностранство, предузму мере за повраћај исплаћених аконтација, правилно и тачно исказују своја потраживања и обезбеде правилну примену одредби интерних</w:t>
      </w:r>
      <w:r>
        <w:rPr>
          <w:i/>
          <w:spacing w:val="-22"/>
        </w:rPr>
        <w:t> </w:t>
      </w:r>
      <w:r>
        <w:rPr>
          <w:i/>
        </w:rPr>
        <w:t>аката.</w:t>
      </w:r>
      <w:r>
        <w:rPr>
          <w:b w:val="0"/>
          <w:i w:val="0"/>
        </w:rPr>
      </w:r>
    </w:p>
    <w:p>
      <w:pPr>
        <w:pStyle w:val="ListParagraph"/>
        <w:numPr>
          <w:ilvl w:val="0"/>
          <w:numId w:val="75"/>
        </w:numPr>
        <w:tabs>
          <w:tab w:pos="303" w:val="left" w:leader="none"/>
        </w:tabs>
        <w:spacing w:line="270"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Градског већа </w:t>
      </w:r>
      <w:r>
        <w:rPr>
          <w:rFonts w:ascii="Times New Roman" w:hAnsi="Times New Roman"/>
          <w:sz w:val="24"/>
        </w:rPr>
        <w:t>у износу од 324 хиљаде</w:t>
      </w:r>
      <w:r>
        <w:rPr>
          <w:rFonts w:ascii="Times New Roman" w:hAnsi="Times New Roman"/>
          <w:spacing w:val="-7"/>
          <w:sz w:val="24"/>
        </w:rPr>
        <w:t> </w:t>
      </w:r>
      <w:r>
        <w:rPr>
          <w:rFonts w:ascii="Times New Roman" w:hAnsi="Times New Roman"/>
          <w:sz w:val="24"/>
        </w:rPr>
        <w:t>динара</w:t>
      </w:r>
      <w:r>
        <w:rPr>
          <w:rFonts w:ascii="Times New Roman" w:hAnsi="Times New Roman"/>
          <w:sz w:val="24"/>
        </w:rPr>
        <w:t>.</w:t>
      </w:r>
    </w:p>
    <w:p>
      <w:pPr>
        <w:pStyle w:val="Heading1"/>
        <w:spacing w:line="275" w:lineRule="exact" w:before="0"/>
        <w:ind w:left="738"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2"/>
        </w:rPr>
        <w:t> </w:t>
      </w:r>
      <w:r>
        <w:rPr/>
        <w:t>је</w:t>
      </w:r>
      <w:r>
        <w:rPr>
          <w:rFonts w:ascii="Times New Roman" w:hAnsi="Times New Roman"/>
          <w:b w:val="0"/>
        </w:rPr>
        <w:t>:</w:t>
      </w:r>
    </w:p>
    <w:p>
      <w:pPr>
        <w:pStyle w:val="ListParagraph"/>
        <w:numPr>
          <w:ilvl w:val="0"/>
          <w:numId w:val="9"/>
        </w:numPr>
        <w:tabs>
          <w:tab w:pos="303" w:val="left" w:leader="none"/>
        </w:tabs>
        <w:spacing w:line="240" w:lineRule="auto" w:before="2"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Потраживања по основу аконтације за службена путовања у иностранство потичу из ранијих година и то износ од </w:t>
      </w:r>
      <w:r>
        <w:rPr>
          <w:rFonts w:ascii="Times New Roman" w:hAnsi="Times New Roman"/>
          <w:sz w:val="24"/>
        </w:rPr>
        <w:t>218 </w:t>
      </w:r>
      <w:r>
        <w:rPr>
          <w:rFonts w:ascii="Times New Roman" w:hAnsi="Times New Roman"/>
          <w:sz w:val="24"/>
        </w:rPr>
        <w:t>хиљада динара из 20</w:t>
      </w:r>
      <w:r>
        <w:rPr>
          <w:rFonts w:ascii="Times New Roman" w:hAnsi="Times New Roman"/>
          <w:sz w:val="24"/>
        </w:rPr>
        <w:t>11</w:t>
      </w:r>
      <w:r>
        <w:rPr>
          <w:rFonts w:ascii="Times New Roman" w:hAnsi="Times New Roman"/>
          <w:sz w:val="24"/>
        </w:rPr>
        <w:t>. године и 12 хиљада динара из 2013. године, јер није вршено правдање аконтације и обрачун по путним налозима, што  је супротно члану 30. Уредбе о накнади трошкова и отпремнини државних службеника</w:t>
      </w:r>
      <w:r>
        <w:rPr>
          <w:rFonts w:ascii="Times New Roman" w:hAnsi="Times New Roman"/>
          <w:spacing w:val="55"/>
          <w:sz w:val="24"/>
        </w:rPr>
        <w:t> </w:t>
      </w:r>
      <w:r>
        <w:rPr>
          <w:rFonts w:ascii="Times New Roman" w:hAnsi="Times New Roman"/>
          <w:sz w:val="24"/>
        </w:rPr>
        <w:t>и</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7"/>
        <w:jc w:val="both"/>
      </w:pPr>
      <w:r>
        <w:rPr/>
        <w:t>намештеника и члану 37. Одлуке о накнадама, додацима на плату и другим примањима изабраних, постављених и запослених лица у органима и службама града Ниша број </w:t>
      </w:r>
      <w:r>
        <w:rPr>
          <w:spacing w:val="3"/>
        </w:rPr>
        <w:t>15</w:t>
      </w:r>
      <w:r>
        <w:rPr>
          <w:rFonts w:ascii="Times New Roman" w:hAnsi="Times New Roman"/>
          <w:spacing w:val="3"/>
        </w:rPr>
        <w:t>- </w:t>
      </w:r>
      <w:r>
        <w:rPr/>
        <w:t>27/2008 од 17.01.2008. године.</w:t>
      </w:r>
    </w:p>
    <w:p>
      <w:pPr>
        <w:pStyle w:val="ListParagraph"/>
        <w:numPr>
          <w:ilvl w:val="0"/>
          <w:numId w:val="9"/>
        </w:numPr>
        <w:tabs>
          <w:tab w:pos="303" w:val="left" w:leader="none"/>
        </w:tabs>
        <w:spacing w:line="274" w:lineRule="exact" w:before="24"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Нису предузете мере ради повраћаја средстава на име исплаћених аконтација за службена путовања у</w:t>
      </w:r>
      <w:r>
        <w:rPr>
          <w:rFonts w:ascii="Times New Roman" w:hAnsi="Times New Roman"/>
          <w:spacing w:val="-9"/>
          <w:sz w:val="24"/>
        </w:rPr>
        <w:t> </w:t>
      </w:r>
      <w:r>
        <w:rPr>
          <w:rFonts w:ascii="Times New Roman" w:hAnsi="Times New Roman"/>
          <w:sz w:val="24"/>
        </w:rPr>
        <w:t>иностранство.</w:t>
      </w:r>
    </w:p>
    <w:p>
      <w:pPr>
        <w:pStyle w:val="ListParagraph"/>
        <w:numPr>
          <w:ilvl w:val="0"/>
          <w:numId w:val="9"/>
        </w:numPr>
        <w:tabs>
          <w:tab w:pos="303"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Потраживања код Градског већа на име накнаде зараде у износу од 94 хиљаде динара су рефундирана и нису правилно евидентирана (уплата је евидентирана на Управу за финансије), па је ова позиција више исказана. Истовремено, више је исказана вредност на конту 291900 – остала пасивна временска разграничења за исти</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износ.</w:t>
      </w:r>
    </w:p>
    <w:p>
      <w:pPr>
        <w:pStyle w:val="ListParagraph"/>
        <w:numPr>
          <w:ilvl w:val="0"/>
          <w:numId w:val="9"/>
        </w:numPr>
        <w:tabs>
          <w:tab w:pos="303" w:val="left" w:leader="none"/>
        </w:tabs>
        <w:spacing w:line="240" w:lineRule="auto" w:before="2" w:after="0"/>
        <w:ind w:left="160" w:right="185" w:firstLine="0"/>
        <w:jc w:val="both"/>
        <w:rPr>
          <w:rFonts w:ascii="Times New Roman" w:hAnsi="Times New Roman" w:cs="Times New Roman" w:eastAsia="Times New Roman" w:hint="default"/>
          <w:sz w:val="24"/>
          <w:szCs w:val="24"/>
        </w:rPr>
      </w:pPr>
      <w:r>
        <w:rPr>
          <w:rFonts w:ascii="Times New Roman" w:hAnsi="Times New Roman"/>
          <w:sz w:val="24"/>
        </w:rPr>
        <w:t>Није вршена анализа потраживања како би се утврдио износ вероватне ненаплативости потраживања у циљу правилног и тачног исказивања, што је супротно члану 34. Правилника о буџетском рачуноводству и рачуноводственим</w:t>
      </w:r>
      <w:r>
        <w:rPr>
          <w:rFonts w:ascii="Times New Roman" w:hAnsi="Times New Roman"/>
          <w:spacing w:val="-24"/>
          <w:sz w:val="24"/>
        </w:rPr>
        <w:t> </w:t>
      </w:r>
      <w:r>
        <w:rPr>
          <w:rFonts w:ascii="Times New Roman" w:hAnsi="Times New Roman"/>
          <w:sz w:val="24"/>
        </w:rPr>
        <w:t>политикама.</w:t>
      </w:r>
    </w:p>
    <w:p>
      <w:pPr>
        <w:pStyle w:val="Heading2"/>
        <w:spacing w:line="240" w:lineRule="auto"/>
        <w:ind w:right="179" w:firstLine="578"/>
        <w:jc w:val="both"/>
        <w:rPr>
          <w:b w:val="0"/>
          <w:bCs w:val="0"/>
          <w:i w:val="0"/>
        </w:rPr>
      </w:pPr>
      <w:r>
        <w:rPr>
          <w:i/>
        </w:rPr>
        <w:t>Препоручује се одговорним лицима да интерним контролним поступцима обезбеде правдање и обрачун путних налога за службена путовања у иностранство, предузму мере за повраћај исплаћених аконтација</w:t>
      </w:r>
      <w:r>
        <w:rPr>
          <w:rFonts w:ascii="Times New Roman" w:hAnsi="Times New Roman"/>
          <w:i/>
        </w:rPr>
        <w:t>, </w:t>
      </w:r>
      <w:r>
        <w:rPr>
          <w:i/>
        </w:rPr>
        <w:t>правилно и тачно исказују своја потраживања и обезбеде правилну примену одредби интерних</w:t>
      </w:r>
      <w:r>
        <w:rPr>
          <w:i/>
          <w:spacing w:val="-22"/>
        </w:rPr>
        <w:t> </w:t>
      </w:r>
      <w:r>
        <w:rPr>
          <w:i/>
        </w:rPr>
        <w:t>аката.</w:t>
      </w:r>
      <w:r>
        <w:rPr>
          <w:b w:val="0"/>
          <w:i w:val="0"/>
        </w:rPr>
      </w:r>
    </w:p>
    <w:p>
      <w:pPr>
        <w:pStyle w:val="BodyText"/>
        <w:spacing w:line="240" w:lineRule="auto"/>
        <w:ind w:right="179"/>
        <w:jc w:val="both"/>
      </w:pPr>
      <w:r>
        <w:rPr>
          <w:rFonts w:ascii="Times New Roman" w:hAnsi="Times New Roman"/>
          <w:b/>
        </w:rPr>
        <w:t>- </w:t>
      </w:r>
      <w:r>
        <w:rPr>
          <w:rFonts w:ascii="Times New Roman" w:hAnsi="Times New Roman"/>
        </w:rPr>
      </w:r>
      <w:r>
        <w:rPr>
          <w:rFonts w:ascii="Times New Roman" w:hAnsi="Times New Roman"/>
          <w:u w:val="single" w:color="000000"/>
        </w:rPr>
      </w:r>
      <w:r>
        <w:rPr>
          <w:u w:val="single" w:color="000000"/>
        </w:rPr>
        <w:t>Управе за финансије, изворне приходе локалне самоуправе и јавне набавке </w:t>
      </w:r>
      <w:r>
        <w:rPr/>
        <w:t>у износу од </w:t>
      </w:r>
      <w:r>
        <w:rPr/>
        <w:t>32.781 хиљаде</w:t>
      </w:r>
      <w:r>
        <w:rPr>
          <w:spacing w:val="-3"/>
        </w:rPr>
        <w:t> </w:t>
      </w:r>
      <w:r>
        <w:rPr/>
        <w:t>динара.</w:t>
      </w:r>
    </w:p>
    <w:p>
      <w:pPr>
        <w:pStyle w:val="Heading1"/>
        <w:spacing w:line="275" w:lineRule="exact"/>
        <w:ind w:left="738"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Више су исказана потраживања од купаца код Управе за финансије у износу од 23.899 хиљада динара, која се односе се потраживање од ЈКП „</w:t>
      </w:r>
      <w:r>
        <w:rPr>
          <w:rFonts w:ascii="Times New Roman" w:hAnsi="Times New Roman" w:cs="Times New Roman" w:eastAsia="Times New Roman" w:hint="default"/>
          <w:sz w:val="24"/>
          <w:szCs w:val="24"/>
        </w:rPr>
        <w:t>Naissus</w:t>
      </w:r>
      <w:r>
        <w:rPr>
          <w:rFonts w:ascii="Times New Roman" w:hAnsi="Times New Roman" w:cs="Times New Roman" w:eastAsia="Times New Roman" w:hint="default"/>
          <w:sz w:val="24"/>
          <w:szCs w:val="24"/>
        </w:rPr>
        <w:t>“ Ниш за доспелу обавезу за исплату рате (доспеле у септембру 2014. године) кредита према Европској банци за обнову и развој – ЕБРД, што је супротно члану 9. Уредбе о буџетском рачуноводству и Правилнику о стандардном класификационом оквиру и контном плану за буџетски систем.</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Потраживања од купаца исказана код Управе за финансије, изворне приходе локалне самоуправе и јавне набавке у износу од 3.189 хиљада динара потичу из периода од пре 2010. године (највећи део потиче из 2006. године) и застарела су. Према усменом објашњењу одговорних лица потраживања су настала по основу задужења корисника и закупаца пословног простора који је у власништу града Ниша за материјалне трошкове која су се у годинама пре 2010. године евидентирала преко Управе за финансије и која се као таква преносе из године у</w:t>
      </w:r>
      <w:r>
        <w:rPr>
          <w:rFonts w:ascii="Times New Roman" w:hAnsi="Times New Roman"/>
          <w:spacing w:val="-14"/>
          <w:sz w:val="24"/>
        </w:rPr>
        <w:t> </w:t>
      </w:r>
      <w:r>
        <w:rPr>
          <w:rFonts w:ascii="Times New Roman" w:hAnsi="Times New Roman"/>
          <w:sz w:val="24"/>
        </w:rPr>
        <w:t>годину.</w:t>
      </w:r>
    </w:p>
    <w:p>
      <w:pPr>
        <w:pStyle w:val="ListParagraph"/>
        <w:numPr>
          <w:ilvl w:val="0"/>
          <w:numId w:val="9"/>
        </w:numPr>
        <w:tabs>
          <w:tab w:pos="303" w:val="left" w:leader="none"/>
        </w:tabs>
        <w:spacing w:line="240" w:lineRule="auto" w:before="2"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Управа за финансије није вршила анализу својих потраживања како би утврдила износ вероватне ненаплативости потраживања у циљу правилног и тачног исказивања, што је супротно члану 34. Правилника о буџетском рачуноводству и рачуноводственим политикама.</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Потраживања од запослених по основу аконтације за службено путовање у иностранство потичу из ранијих година и то из периода од 2009. године до 2011. године у износу од 865 хиљада динара, из 2012. године у износу од 124 хиљаде динара, из 2013. године у износу од 11 хиљада динара и из 2014. године у износу од 94 хиљаде динара, јер се путни налози не правдају у законском року и не врши се обрачун путних налога, али се и обрачунати путни налози не евидентирају ради</w:t>
      </w:r>
      <w:r>
        <w:rPr>
          <w:rFonts w:ascii="Times New Roman" w:hAnsi="Times New Roman"/>
          <w:spacing w:val="-25"/>
          <w:sz w:val="24"/>
        </w:rPr>
        <w:t> </w:t>
      </w:r>
      <w:r>
        <w:rPr>
          <w:rFonts w:ascii="Times New Roman" w:hAnsi="Times New Roman"/>
          <w:sz w:val="24"/>
        </w:rPr>
        <w:t>раскњижавања.</w:t>
      </w:r>
    </w:p>
    <w:p>
      <w:pPr>
        <w:pStyle w:val="ListParagraph"/>
        <w:numPr>
          <w:ilvl w:val="0"/>
          <w:numId w:val="9"/>
        </w:numPr>
        <w:tabs>
          <w:tab w:pos="303" w:val="left" w:leader="none"/>
        </w:tabs>
        <w:spacing w:line="274" w:lineRule="exact" w:before="24" w:after="0"/>
        <w:ind w:left="160" w:right="186" w:firstLine="0"/>
        <w:jc w:val="both"/>
        <w:rPr>
          <w:rFonts w:ascii="Times New Roman" w:hAnsi="Times New Roman" w:cs="Times New Roman" w:eastAsia="Times New Roman" w:hint="default"/>
          <w:sz w:val="24"/>
          <w:szCs w:val="24"/>
        </w:rPr>
      </w:pPr>
      <w:r>
        <w:rPr>
          <w:rFonts w:ascii="Times New Roman" w:hAnsi="Times New Roman"/>
          <w:sz w:val="24"/>
        </w:rPr>
        <w:t>Нису предузете мере ради наплате потраживања од запослених по основу исплаћених аконтација за службена</w:t>
      </w:r>
      <w:r>
        <w:rPr>
          <w:rFonts w:ascii="Times New Roman" w:hAnsi="Times New Roman"/>
          <w:spacing w:val="-14"/>
          <w:sz w:val="24"/>
        </w:rPr>
        <w:t> </w:t>
      </w:r>
      <w:r>
        <w:rPr>
          <w:rFonts w:ascii="Times New Roman" w:hAnsi="Times New Roman"/>
          <w:sz w:val="24"/>
        </w:rPr>
        <w:t>путовања.</w:t>
      </w:r>
    </w:p>
    <w:p>
      <w:pPr>
        <w:pStyle w:val="ListParagraph"/>
        <w:numPr>
          <w:ilvl w:val="0"/>
          <w:numId w:val="9"/>
        </w:numPr>
        <w:tabs>
          <w:tab w:pos="303" w:val="left" w:leader="none"/>
        </w:tabs>
        <w:spacing w:line="274" w:lineRule="exact" w:before="21" w:after="0"/>
        <w:ind w:left="160" w:right="183" w:firstLine="0"/>
        <w:jc w:val="both"/>
        <w:rPr>
          <w:rFonts w:ascii="Times New Roman" w:hAnsi="Times New Roman" w:cs="Times New Roman" w:eastAsia="Times New Roman" w:hint="default"/>
          <w:sz w:val="24"/>
          <w:szCs w:val="24"/>
        </w:rPr>
      </w:pPr>
      <w:r>
        <w:rPr>
          <w:rFonts w:ascii="Times New Roman" w:hAnsi="Times New Roman"/>
          <w:sz w:val="24"/>
        </w:rPr>
        <w:t>Потраживања за накнаде породиљског боловања у износу од 2.954 хиљаде динара представљају  разлику  између  ненаплаћених  потраживања  која  се  воде  у  </w:t>
      </w:r>
      <w:r>
        <w:rPr>
          <w:rFonts w:ascii="Times New Roman" w:hAnsi="Times New Roman"/>
          <w:spacing w:val="46"/>
          <w:sz w:val="24"/>
        </w:rPr>
        <w:t> </w:t>
      </w:r>
      <w:r>
        <w:rPr>
          <w:rFonts w:ascii="Times New Roman" w:hAnsi="Times New Roman"/>
          <w:sz w:val="24"/>
        </w:rPr>
        <w:t>пословним</w:t>
      </w:r>
    </w:p>
    <w:p>
      <w:pPr>
        <w:spacing w:after="0" w:line="274" w:lineRule="exact"/>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7"/>
        <w:jc w:val="both"/>
      </w:pPr>
      <w:r>
        <w:rPr/>
        <w:t>књигама у износу од 3.160 хиљада динара, која потичу из 2005, 2006, 2007, 2008. и 2010. године и рефундираних средстава у укупном износу од 207 хиљада динара за која нису створена потраживања у књигама. У поступку ревизије, нисмо добили појашњење зашто средства у ранијим годинама нису рефундирана. Анализа потраживања није вршена како би се утврдио износ вероватне ненаплативости потраживања у циљу правилног и тачног исказивања, што је супротно члану 34. Правилника о буџетском рачуноводству и рачуноводственим</w:t>
      </w:r>
      <w:r>
        <w:rPr>
          <w:spacing w:val="-13"/>
        </w:rPr>
        <w:t> </w:t>
      </w:r>
      <w:r>
        <w:rPr/>
        <w:t>политикама.</w:t>
      </w:r>
    </w:p>
    <w:p>
      <w:pPr>
        <w:pStyle w:val="ListParagraph"/>
        <w:numPr>
          <w:ilvl w:val="0"/>
          <w:numId w:val="9"/>
        </w:numPr>
        <w:tabs>
          <w:tab w:pos="303" w:val="left" w:leader="none"/>
        </w:tabs>
        <w:spacing w:line="237" w:lineRule="auto" w:before="4" w:after="0"/>
        <w:ind w:left="160" w:right="184" w:firstLine="0"/>
        <w:jc w:val="both"/>
        <w:rPr>
          <w:rFonts w:ascii="Times New Roman" w:hAnsi="Times New Roman" w:cs="Times New Roman" w:eastAsia="Times New Roman" w:hint="default"/>
          <w:sz w:val="24"/>
          <w:szCs w:val="24"/>
        </w:rPr>
      </w:pPr>
      <w:r>
        <w:rPr>
          <w:rFonts w:ascii="Times New Roman" w:hAnsi="Times New Roman"/>
          <w:sz w:val="24"/>
        </w:rPr>
        <w:t>Код Управе за финансије, изворне приходе локалне самоуправе и јавне набавке мање је исказан износ потраживања по основу накнаде боловања у износу од 212 хиљада динара због неправилног евидентирања</w:t>
      </w:r>
      <w:r>
        <w:rPr>
          <w:rFonts w:ascii="Times New Roman" w:hAnsi="Times New Roman"/>
          <w:spacing w:val="-16"/>
          <w:sz w:val="24"/>
        </w:rPr>
        <w:t> </w:t>
      </w:r>
      <w:r>
        <w:rPr>
          <w:rFonts w:ascii="Times New Roman" w:hAnsi="Times New Roman"/>
          <w:sz w:val="24"/>
        </w:rPr>
        <w:t>уплата.</w:t>
      </w:r>
    </w:p>
    <w:p>
      <w:pPr>
        <w:pStyle w:val="Heading2"/>
        <w:spacing w:line="240" w:lineRule="auto"/>
        <w:ind w:right="174" w:firstLine="578"/>
        <w:jc w:val="both"/>
        <w:rPr>
          <w:b w:val="0"/>
          <w:bCs w:val="0"/>
          <w:i w:val="0"/>
        </w:rPr>
      </w:pPr>
      <w:r>
        <w:rPr>
          <w:i/>
        </w:rPr>
        <w:t>Препоручује се одговорним лицима да обезбеде правилну примену одредби  Уредбе о буџетском рачуноводству, Правилника о стандардном класификационом оквиру и контном плану за буџетски систем и интерних аката, редовно врше анализу својих потраживања и предузимају мере ради наплате</w:t>
      </w:r>
      <w:r>
        <w:rPr>
          <w:i/>
          <w:spacing w:val="-17"/>
        </w:rPr>
        <w:t> </w:t>
      </w:r>
      <w:r>
        <w:rPr>
          <w:i/>
        </w:rPr>
        <w:t>истих.</w:t>
      </w:r>
      <w:r>
        <w:rPr>
          <w:b w:val="0"/>
          <w:i w:val="0"/>
        </w:rPr>
      </w:r>
    </w:p>
    <w:p>
      <w:pPr>
        <w:pStyle w:val="BodyText"/>
        <w:spacing w:line="240" w:lineRule="auto"/>
        <w:ind w:right="175"/>
        <w:jc w:val="both"/>
        <w:rPr>
          <w:rFonts w:ascii="Times New Roman" w:hAnsi="Times New Roman" w:cs="Times New Roman" w:eastAsia="Times New Roman" w:hint="default"/>
        </w:rPr>
      </w:pPr>
      <w:r>
        <w:rPr>
          <w:rFonts w:ascii="Times New Roman" w:hAnsi="Times New Roman" w:cs="Times New Roman" w:eastAsia="Times New Roman" w:hint="default"/>
        </w:rPr>
        <w:t>- </w:t>
      </w:r>
      <w:r>
        <w:rPr>
          <w:rFonts w:ascii="Times New Roman" w:hAnsi="Times New Roman" w:cs="Times New Roman" w:eastAsia="Times New Roman" w:hint="default"/>
        </w:rPr>
      </w:r>
      <w:r>
        <w:rPr>
          <w:rFonts w:ascii="Times New Roman" w:hAnsi="Times New Roman" w:cs="Times New Roman" w:eastAsia="Times New Roman" w:hint="default"/>
          <w:u w:val="single" w:color="000000"/>
        </w:rPr>
      </w:r>
      <w:r>
        <w:rPr>
          <w:u w:val="single" w:color="000000"/>
        </w:rPr>
        <w:t>Управе за дечију, социјалну и примарну здравствену заштиту </w:t>
      </w:r>
      <w:r>
        <w:rPr/>
        <w:t>у износу од 775 хиљада </w:t>
      </w:r>
      <w:r>
        <w:rPr/>
        <w:t>динара за исказана потраживања код Установе „Сигурна</w:t>
      </w:r>
      <w:r>
        <w:rPr>
          <w:spacing w:val="-14"/>
        </w:rPr>
        <w:t> </w:t>
      </w:r>
      <w:r>
        <w:rPr/>
        <w:t>кућа“</w:t>
      </w:r>
      <w:r>
        <w:rPr>
          <w:rFonts w:ascii="Times New Roman" w:hAnsi="Times New Roman" w:cs="Times New Roman" w:eastAsia="Times New Roman" w:hint="default"/>
        </w:rPr>
        <w:t>.</w:t>
      </w:r>
    </w:p>
    <w:p>
      <w:pPr>
        <w:pStyle w:val="Heading1"/>
        <w:spacing w:line="275" w:lineRule="exact"/>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1"/>
        </w:rPr>
        <w:t> </w:t>
      </w:r>
      <w:r>
        <w:rPr/>
        <w:t>је</w:t>
      </w:r>
      <w:r>
        <w:rPr>
          <w:rFonts w:ascii="Times New Roman" w:hAnsi="Times New Roman"/>
        </w:rPr>
        <w:t>:</w:t>
      </w:r>
      <w:r>
        <w:rPr>
          <w:rFonts w:ascii="Times New Roman" w:hAnsi="Times New Roman"/>
          <w:b w:val="0"/>
        </w:rPr>
      </w:r>
    </w:p>
    <w:p>
      <w:pPr>
        <w:pStyle w:val="ListParagraph"/>
        <w:numPr>
          <w:ilvl w:val="0"/>
          <w:numId w:val="9"/>
        </w:numPr>
        <w:tabs>
          <w:tab w:pos="303" w:val="left" w:leader="none"/>
        </w:tabs>
        <w:spacing w:line="240" w:lineRule="auto" w:before="0" w:after="0"/>
        <w:ind w:left="160" w:right="179"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Ова позиција исказана је у већем износу код Установе „Сигурна кућа“ за 433 хиљаде динара, јер је као стање потраживања од купаца у биланс стања унет промет дуговне стране, што је супротно Правилнику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буџетских</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фондова</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37" w:lineRule="auto" w:before="4" w:after="0"/>
        <w:ind w:left="160" w:right="17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Потраживања од купаца код Установе „Сигурна кућа"у износу од 184 хиљаде динара потичу из 2012. и 2013. године и нису усаглашена, док износ од 158 хиљада динара потиче из 2014. године и усаглашен</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је.</w:t>
      </w:r>
    </w:p>
    <w:p>
      <w:pPr>
        <w:pStyle w:val="Heading2"/>
        <w:spacing w:line="240" w:lineRule="auto"/>
        <w:ind w:right="174"/>
        <w:jc w:val="both"/>
        <w:rPr>
          <w:b w:val="0"/>
          <w:bCs w:val="0"/>
          <w:i w:val="0"/>
        </w:rPr>
      </w:pPr>
      <w:r>
        <w:rPr>
          <w:i/>
        </w:rPr>
        <w:t>Препоручује се одговорним лицима да обезбеде правилну примену Правилника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буџетских фондова и редовно врше усаглашавање стања са стањима својих</w:t>
      </w:r>
      <w:r>
        <w:rPr>
          <w:i/>
          <w:spacing w:val="-1"/>
        </w:rPr>
        <w:t> </w:t>
      </w:r>
      <w:r>
        <w:rPr>
          <w:i/>
        </w:rPr>
        <w:t>купаца.</w:t>
      </w:r>
      <w:r>
        <w:rPr>
          <w:b w:val="0"/>
          <w:i w:val="0"/>
        </w:rPr>
      </w:r>
    </w:p>
    <w:p>
      <w:pPr>
        <w:pStyle w:val="BodyText"/>
        <w:spacing w:line="240" w:lineRule="auto"/>
        <w:ind w:right="180"/>
        <w:jc w:val="both"/>
      </w:pPr>
      <w:r>
        <w:rPr>
          <w:rFonts w:ascii="Times New Roman" w:hAnsi="Times New Roman" w:cs="Times New Roman" w:eastAsia="Times New Roman" w:hint="default"/>
          <w:w w:val="99"/>
        </w:rPr>
      </w:r>
      <w:r>
        <w:rPr>
          <w:rFonts w:ascii="Times New Roman" w:hAnsi="Times New Roman" w:cs="Times New Roman" w:eastAsia="Times New Roman" w:hint="default"/>
          <w:u w:val="single" w:color="000000"/>
        </w:rPr>
        <w:t>-</w:t>
      </w:r>
      <w:r>
        <w:rPr>
          <w:u w:val="single" w:color="000000"/>
        </w:rPr>
        <w:t>Управе за образовање </w:t>
      </w:r>
      <w:r>
        <w:rPr/>
        <w:t>у износу од 39.840 хиљада динара за исказана потраживања код: </w:t>
      </w:r>
      <w:r>
        <w:rPr/>
        <w:t>ПУ „Пчелица“ у износу од 39.229 хиљада динара, Регионалног центра у износу од 390 хиљада динара и Дечијег центра у износу од 221 хиљаде</w:t>
      </w:r>
      <w:r>
        <w:rPr>
          <w:spacing w:val="-19"/>
        </w:rPr>
        <w:t> </w:t>
      </w:r>
      <w:r>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74" w:lineRule="exact" w:before="20" w:after="0"/>
        <w:ind w:left="160" w:right="17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Код ПУ „Пчелица“ више су исказана потраживања за износ од 365 хиљада динара и то за боравак деце у износу од 131 хиљаде  динара, примљених уплата за ужине у износу</w:t>
      </w:r>
      <w:r>
        <w:rPr>
          <w:rFonts w:ascii="Times New Roman" w:hAnsi="Times New Roman" w:cs="Times New Roman" w:eastAsia="Times New Roman" w:hint="default"/>
          <w:spacing w:val="35"/>
          <w:sz w:val="24"/>
          <w:szCs w:val="24"/>
        </w:rPr>
        <w:t> </w:t>
      </w:r>
      <w:r>
        <w:rPr>
          <w:rFonts w:ascii="Times New Roman" w:hAnsi="Times New Roman" w:cs="Times New Roman" w:eastAsia="Times New Roman" w:hint="default"/>
          <w:sz w:val="24"/>
          <w:szCs w:val="24"/>
        </w:rPr>
        <w:t>од</w:t>
      </w:r>
    </w:p>
    <w:p>
      <w:pPr>
        <w:pStyle w:val="BodyText"/>
        <w:spacing w:line="240" w:lineRule="auto"/>
        <w:ind w:right="183"/>
        <w:jc w:val="both"/>
      </w:pPr>
      <w:r>
        <w:rPr/>
        <w:t>168 хиљада динара, уплата за продужени боравак у износу од 31 хиљаде динара, примљених уплата по основу продаје пецива у износу од 33 хиљаде динара и повраћаја неискоришћене аконтације за службени пут у износу од две хиљаде</w:t>
      </w:r>
      <w:r>
        <w:rPr>
          <w:spacing w:val="-24"/>
        </w:rPr>
        <w:t> </w:t>
      </w:r>
      <w:r>
        <w:rPr/>
        <w:t>динара.</w:t>
      </w:r>
    </w:p>
    <w:p>
      <w:pPr>
        <w:pStyle w:val="ListParagraph"/>
        <w:numPr>
          <w:ilvl w:val="0"/>
          <w:numId w:val="9"/>
        </w:numPr>
        <w:tabs>
          <w:tab w:pos="303" w:val="left" w:leader="none"/>
        </w:tabs>
        <w:spacing w:line="237" w:lineRule="auto" w:before="4"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Код ПУ „Пчелица“ исказана потраживања од фондова у износу од 2.344 хиљаде динара потичу из 2005. године и застарела су. Настала су као разлика између исплаћених и признатих накнада</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боловања.</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Код ПУ „Пчелица“ мање су исказана потраживања од купаца</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запослених на име продатих готових производа на обуставу од зараде за износ од 234 хиљаде динара, по основу компензовања обавеза за плату за децембар 2014. године и потраживања од запослених по</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обустави.</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ListParagraph"/>
        <w:numPr>
          <w:ilvl w:val="0"/>
          <w:numId w:val="9"/>
        </w:numPr>
        <w:tabs>
          <w:tab w:pos="303" w:val="left" w:leader="none"/>
        </w:tabs>
        <w:spacing w:line="240" w:lineRule="auto" w:before="124"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Код ПУ „Пчелица“ мање су исказана потраживања од Управе за дечију, социјалну и примарну здравствену заштиту по основу продаје и дистрибуције бесплатних ужина деци и оброка у продуженом боравку у износу од 23.619 хиљада динара, на основу  закључених</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уговора</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40" w:lineRule="auto" w:before="2" w:after="0"/>
        <w:ind w:left="160" w:right="171" w:firstLine="0"/>
        <w:jc w:val="both"/>
        <w:rPr>
          <w:rFonts w:ascii="Times New Roman" w:hAnsi="Times New Roman" w:cs="Times New Roman" w:eastAsia="Times New Roman" w:hint="default"/>
          <w:sz w:val="24"/>
          <w:szCs w:val="24"/>
        </w:rPr>
      </w:pPr>
      <w:r>
        <w:rPr>
          <w:rFonts w:ascii="Times New Roman" w:hAnsi="Times New Roman"/>
          <w:sz w:val="24"/>
        </w:rPr>
        <w:t>Код Регионалног центра исказана су само потраживања из 2014. године, која нису наплаћена. Ова позиција мање је исказана за износ од 1.102 хиљаде динара </w:t>
      </w:r>
      <w:r>
        <w:rPr>
          <w:rFonts w:ascii="Times New Roman" w:hAnsi="Times New Roman"/>
          <w:spacing w:val="4"/>
          <w:sz w:val="24"/>
        </w:rPr>
        <w:t>по </w:t>
      </w:r>
      <w:r>
        <w:rPr>
          <w:rFonts w:ascii="Times New Roman" w:hAnsi="Times New Roman"/>
          <w:sz w:val="24"/>
        </w:rPr>
        <w:t>основу </w:t>
      </w:r>
      <w:r>
        <w:rPr>
          <w:rFonts w:ascii="Times New Roman" w:hAnsi="Times New Roman"/>
          <w:sz w:val="24"/>
        </w:rPr>
        <w:t>неисказаних ненаплаћених потраживања из ранијих година</w:t>
      </w:r>
      <w:r>
        <w:rPr>
          <w:rFonts w:ascii="Times New Roman" w:hAnsi="Times New Roman"/>
          <w:sz w:val="24"/>
        </w:rPr>
        <w:t>, </w:t>
      </w:r>
      <w:r>
        <w:rPr>
          <w:rFonts w:ascii="Times New Roman" w:hAnsi="Times New Roman"/>
          <w:sz w:val="24"/>
        </w:rPr>
        <w:t>што је супротно Правилнику о начину припреме, састављања и подношења финансијских извештаја корисника буџетских средстава</w:t>
      </w:r>
      <w:r>
        <w:rPr>
          <w:rFonts w:ascii="Times New Roman" w:hAnsi="Times New Roman"/>
          <w:sz w:val="24"/>
        </w:rPr>
        <w:t>, </w:t>
      </w:r>
      <w:r>
        <w:rPr>
          <w:rFonts w:ascii="Times New Roman" w:hAnsi="Times New Roman"/>
          <w:sz w:val="24"/>
        </w:rPr>
        <w:t>корисника средстава организација за обавезно социјално осигурање и буџетских</w:t>
      </w:r>
      <w:r>
        <w:rPr>
          <w:rFonts w:ascii="Times New Roman" w:hAnsi="Times New Roman"/>
          <w:spacing w:val="-4"/>
          <w:sz w:val="24"/>
        </w:rPr>
        <w:t> </w:t>
      </w:r>
      <w:r>
        <w:rPr>
          <w:rFonts w:ascii="Times New Roman" w:hAnsi="Times New Roman"/>
          <w:sz w:val="24"/>
        </w:rPr>
        <w:t>фондова</w:t>
      </w:r>
      <w:r>
        <w:rPr>
          <w:rFonts w:ascii="Times New Roman" w:hAnsi="Times New Roman"/>
          <w:sz w:val="24"/>
        </w:rPr>
        <w:t>.</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Код Дечијег центра потраживање од закупца СУР „Ђелато“ пр Ниш у износу од 36 хиљада динара потиче из 2007. године. Дечији центар није предузео мере </w:t>
      </w:r>
      <w:r>
        <w:rPr>
          <w:rFonts w:ascii="Times New Roman" w:hAnsi="Times New Roman" w:cs="Times New Roman" w:eastAsia="Times New Roman" w:hint="default"/>
          <w:spacing w:val="5"/>
          <w:sz w:val="24"/>
          <w:szCs w:val="24"/>
        </w:rPr>
        <w:t>за </w:t>
      </w:r>
      <w:r>
        <w:rPr>
          <w:rFonts w:ascii="Times New Roman" w:hAnsi="Times New Roman" w:cs="Times New Roman" w:eastAsia="Times New Roman" w:hint="default"/>
          <w:sz w:val="24"/>
          <w:szCs w:val="24"/>
        </w:rPr>
        <w:t>наплату </w:t>
      </w:r>
      <w:r>
        <w:rPr>
          <w:rFonts w:ascii="Times New Roman" w:hAnsi="Times New Roman" w:cs="Times New Roman" w:eastAsia="Times New Roman" w:hint="default"/>
          <w:sz w:val="24"/>
          <w:szCs w:val="24"/>
        </w:rPr>
        <w:t>наведеног</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потраживања.</w:t>
      </w:r>
    </w:p>
    <w:p>
      <w:pPr>
        <w:pStyle w:val="ListParagraph"/>
        <w:numPr>
          <w:ilvl w:val="0"/>
          <w:numId w:val="9"/>
        </w:numPr>
        <w:tabs>
          <w:tab w:pos="303" w:val="left" w:leader="none"/>
        </w:tabs>
        <w:spacing w:line="274" w:lineRule="exact" w:before="24"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Дечији центар није слао ИОС обрасце дужницима, што је супротно члану </w:t>
      </w:r>
      <w:r>
        <w:rPr>
          <w:rFonts w:ascii="Times New Roman" w:hAnsi="Times New Roman"/>
          <w:sz w:val="24"/>
        </w:rPr>
        <w:t>18. </w:t>
      </w:r>
      <w:r>
        <w:rPr>
          <w:rFonts w:ascii="Times New Roman" w:hAnsi="Times New Roman"/>
          <w:sz w:val="24"/>
        </w:rPr>
        <w:t>Уредбе о буџетском</w:t>
      </w:r>
      <w:r>
        <w:rPr>
          <w:rFonts w:ascii="Times New Roman" w:hAnsi="Times New Roman"/>
          <w:spacing w:val="-13"/>
          <w:sz w:val="24"/>
        </w:rPr>
        <w:t> </w:t>
      </w:r>
      <w:r>
        <w:rPr>
          <w:rFonts w:ascii="Times New Roman" w:hAnsi="Times New Roman"/>
          <w:sz w:val="24"/>
        </w:rPr>
        <w:t>рачуноводству.</w:t>
      </w:r>
    </w:p>
    <w:p>
      <w:pPr>
        <w:pStyle w:val="ListParagraph"/>
        <w:numPr>
          <w:ilvl w:val="0"/>
          <w:numId w:val="9"/>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Код Дечијег центра евидентирано је потраживање од Пореске управе за преплаћене порезе и доприносе у износу од 27 хиљада динара из претходне године, али Дечији центар се није обратио Пореској управи за повраћај или прекњижење преплаћених  пореза и</w:t>
      </w:r>
      <w:r>
        <w:rPr>
          <w:rFonts w:ascii="Times New Roman" w:hAnsi="Times New Roman"/>
          <w:spacing w:val="-4"/>
          <w:sz w:val="24"/>
        </w:rPr>
        <w:t> </w:t>
      </w:r>
      <w:r>
        <w:rPr>
          <w:rFonts w:ascii="Times New Roman" w:hAnsi="Times New Roman"/>
          <w:sz w:val="24"/>
        </w:rPr>
        <w:t>доприноса</w:t>
      </w:r>
      <w:r>
        <w:rPr>
          <w:rFonts w:ascii="Times New Roman" w:hAnsi="Times New Roman"/>
          <w:sz w:val="24"/>
        </w:rPr>
        <w:t>.</w:t>
      </w:r>
    </w:p>
    <w:p>
      <w:pPr>
        <w:pStyle w:val="Heading2"/>
        <w:spacing w:line="240" w:lineRule="auto"/>
        <w:ind w:right="178"/>
        <w:jc w:val="both"/>
        <w:rPr>
          <w:rFonts w:ascii="Times New Roman" w:hAnsi="Times New Roman" w:cs="Times New Roman" w:eastAsia="Times New Roman" w:hint="default"/>
          <w:b w:val="0"/>
          <w:bCs w:val="0"/>
          <w:i w:val="0"/>
        </w:rPr>
      </w:pPr>
      <w:r>
        <w:rPr>
          <w:i/>
        </w:rPr>
        <w:t>Препоручује се одговрним лицима да обезбеде правилну примену одредби Уредбе о буџетском рачуновдству, Правилника о стандардном класификационом оквиру и контном плану за буџетски систем и Правилника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буџетских</w:t>
      </w:r>
      <w:r>
        <w:rPr>
          <w:i/>
          <w:spacing w:val="-10"/>
        </w:rPr>
        <w:t> </w:t>
      </w:r>
      <w:r>
        <w:rPr>
          <w:i/>
        </w:rPr>
        <w:t>фондова</w:t>
      </w:r>
      <w:r>
        <w:rPr>
          <w:rFonts w:ascii="Times New Roman" w:hAnsi="Times New Roman"/>
          <w:i/>
        </w:rPr>
        <w:t>.</w:t>
      </w:r>
      <w:r>
        <w:rPr>
          <w:rFonts w:ascii="Times New Roman" w:hAnsi="Times New Roman"/>
          <w:b w:val="0"/>
          <w:i w:val="0"/>
        </w:rPr>
      </w:r>
    </w:p>
    <w:p>
      <w:pPr>
        <w:pStyle w:val="BodyText"/>
        <w:spacing w:line="240" w:lineRule="auto"/>
        <w:ind w:right="175"/>
        <w:jc w:val="both"/>
      </w:pPr>
      <w:r>
        <w:rPr>
          <w:rFonts w:ascii="Times New Roman" w:hAnsi="Times New Roman"/>
          <w:w w:val="99"/>
        </w:rPr>
      </w:r>
      <w:r>
        <w:rPr>
          <w:rFonts w:ascii="Times New Roman" w:hAnsi="Times New Roman"/>
          <w:u w:val="single" w:color="000000"/>
        </w:rPr>
        <w:t>-</w:t>
      </w:r>
      <w:r>
        <w:rPr>
          <w:u w:val="single" w:color="000000"/>
        </w:rPr>
        <w:t>Управе за културу </w:t>
      </w:r>
      <w:r>
        <w:rPr/>
        <w:t>у износу од 16.677 хиљада динара за исказана потраживања код: </w:t>
      </w:r>
      <w:r>
        <w:rPr/>
        <w:t>Галерије савремене ликовне уметности у износу од од 474 хиљаде динара, Народне библиотеке у износу од 1.650 хиљада динара, Народног позоришта у износу од од 2.064 хиљаде динара, Нишког симфонијског оркестра у износу од 1.590 хиљада динара</w:t>
      </w:r>
      <w:r>
        <w:rPr>
          <w:rFonts w:ascii="Times New Roman" w:hAnsi="Times New Roman"/>
        </w:rPr>
        <w:t>, </w:t>
      </w:r>
      <w:r>
        <w:rPr/>
        <w:t>Позоришта лутака у износу од </w:t>
      </w:r>
      <w:r>
        <w:rPr>
          <w:rFonts w:ascii="Times New Roman" w:hAnsi="Times New Roman"/>
        </w:rPr>
        <w:t>258 </w:t>
      </w:r>
      <w:r>
        <w:rPr/>
        <w:t>хиљада динара</w:t>
      </w:r>
      <w:r>
        <w:rPr>
          <w:rFonts w:ascii="Times New Roman" w:hAnsi="Times New Roman"/>
        </w:rPr>
        <w:t>, </w:t>
      </w:r>
      <w:r>
        <w:rPr/>
        <w:t>Историјског архива у износу од </w:t>
      </w:r>
      <w:r>
        <w:rPr>
          <w:rFonts w:ascii="Times New Roman" w:hAnsi="Times New Roman"/>
        </w:rPr>
        <w:t>505 </w:t>
      </w:r>
      <w:r>
        <w:rPr/>
        <w:t>хиљада динара, Народног музеја у износу од 8.761 хиљаде динара, Нишког културног центра у износу од 415 хиљада динара и Завода за заштиту споменика културе у износу од 960 хиљада</w:t>
      </w:r>
      <w:r>
        <w:rPr>
          <w:spacing w:val="-3"/>
        </w:rPr>
        <w:t> </w:t>
      </w:r>
      <w:r>
        <w:rPr/>
        <w:t>динара.</w:t>
      </w:r>
    </w:p>
    <w:p>
      <w:pPr>
        <w:pStyle w:val="Heading1"/>
        <w:spacing w:line="275" w:lineRule="exact"/>
        <w:ind w:left="661" w:right="141"/>
        <w:jc w:val="left"/>
        <w:rPr>
          <w:b w:val="0"/>
          <w:bCs w:val="0"/>
        </w:rPr>
      </w:pPr>
      <w:r>
        <w:rPr/>
        <w:t>На основу ревизије узорковане документације утврђено</w:t>
      </w:r>
      <w:r>
        <w:rPr>
          <w:spacing w:val="-13"/>
        </w:rPr>
        <w:t> </w:t>
      </w:r>
      <w:r>
        <w:rPr/>
        <w:t>је:</w:t>
      </w:r>
      <w:r>
        <w:rPr>
          <w:b w:val="0"/>
        </w:rPr>
      </w:r>
    </w:p>
    <w:p>
      <w:pPr>
        <w:pStyle w:val="ListParagraph"/>
        <w:numPr>
          <w:ilvl w:val="0"/>
          <w:numId w:val="9"/>
        </w:numPr>
        <w:tabs>
          <w:tab w:pos="303"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Код Народне библиотеке потраживање од радника по Записнику НБЈ ЗОП УП/1 број </w:t>
      </w:r>
      <w:r>
        <w:rPr>
          <w:rFonts w:ascii="Times New Roman" w:hAnsi="Times New Roman"/>
          <w:sz w:val="24"/>
        </w:rPr>
        <w:t>159/02-</w:t>
      </w:r>
      <w:r>
        <w:rPr>
          <w:rFonts w:ascii="Times New Roman" w:hAnsi="Times New Roman"/>
          <w:sz w:val="24"/>
        </w:rPr>
        <w:t>3 од 05.08.2002. године, којим је утврђена исплата у већем износу од прописане нето плате у износу од 124 хиљаде динара и пореза у износу од 101 хиљаде динара је застарело. Поједини радници од којих Народна библиотека потражује још увек су на сталном</w:t>
      </w:r>
      <w:r>
        <w:rPr>
          <w:rFonts w:ascii="Times New Roman" w:hAnsi="Times New Roman"/>
          <w:spacing w:val="-6"/>
          <w:sz w:val="24"/>
        </w:rPr>
        <w:t> </w:t>
      </w:r>
      <w:r>
        <w:rPr>
          <w:rFonts w:ascii="Times New Roman" w:hAnsi="Times New Roman"/>
          <w:sz w:val="24"/>
        </w:rPr>
        <w:t>раду</w:t>
      </w:r>
      <w:r>
        <w:rPr>
          <w:rFonts w:ascii="Times New Roman" w:hAnsi="Times New Roman"/>
          <w:sz w:val="24"/>
        </w:rPr>
        <w:t>.</w:t>
      </w:r>
    </w:p>
    <w:p>
      <w:pPr>
        <w:pStyle w:val="ListParagraph"/>
        <w:numPr>
          <w:ilvl w:val="0"/>
          <w:numId w:val="9"/>
        </w:numPr>
        <w:tabs>
          <w:tab w:pos="303" w:val="left" w:leader="none"/>
        </w:tabs>
        <w:spacing w:line="237" w:lineRule="auto" w:before="4"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Потраживања по основу преплаћених пореза и доприноса у износу од 101 хиљаде динара су застарела, јер Народна библиотека није поднела захтев Пореској управи за повраћај или</w:t>
      </w:r>
      <w:r>
        <w:rPr>
          <w:rFonts w:ascii="Times New Roman" w:hAnsi="Times New Roman"/>
          <w:spacing w:val="-6"/>
          <w:sz w:val="24"/>
        </w:rPr>
        <w:t> </w:t>
      </w:r>
      <w:r>
        <w:rPr>
          <w:rFonts w:ascii="Times New Roman" w:hAnsi="Times New Roman"/>
          <w:sz w:val="24"/>
        </w:rPr>
        <w:t>прекњижење</w:t>
      </w:r>
      <w:r>
        <w:rPr>
          <w:rFonts w:ascii="Times New Roman" w:hAnsi="Times New Roman"/>
          <w:sz w:val="24"/>
        </w:rPr>
        <w:t>.</w:t>
      </w:r>
    </w:p>
    <w:p>
      <w:pPr>
        <w:pStyle w:val="ListParagraph"/>
        <w:numPr>
          <w:ilvl w:val="0"/>
          <w:numId w:val="9"/>
        </w:numPr>
        <w:tabs>
          <w:tab w:pos="303" w:val="left" w:leader="none"/>
        </w:tabs>
        <w:spacing w:line="293" w:lineRule="exact" w:before="2"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Народна библиотека није вршила  усаглашавање потраживања,  што  је супротно </w:t>
      </w:r>
      <w:r>
        <w:rPr>
          <w:rFonts w:ascii="Times New Roman" w:hAnsi="Times New Roman"/>
          <w:spacing w:val="35"/>
          <w:sz w:val="24"/>
        </w:rPr>
        <w:t> </w:t>
      </w:r>
      <w:r>
        <w:rPr>
          <w:rFonts w:ascii="Times New Roman" w:hAnsi="Times New Roman"/>
          <w:sz w:val="24"/>
        </w:rPr>
        <w:t>члану</w:t>
      </w:r>
    </w:p>
    <w:p>
      <w:pPr>
        <w:pStyle w:val="BodyText"/>
        <w:spacing w:line="275" w:lineRule="exact"/>
        <w:ind w:right="0"/>
        <w:jc w:val="both"/>
        <w:rPr>
          <w:rFonts w:ascii="Times New Roman" w:hAnsi="Times New Roman" w:cs="Times New Roman" w:eastAsia="Times New Roman" w:hint="default"/>
        </w:rPr>
      </w:pPr>
      <w:r>
        <w:rPr/>
        <w:t>18. Уредбе о буџетском</w:t>
      </w:r>
      <w:r>
        <w:rPr>
          <w:spacing w:val="-9"/>
        </w:rPr>
        <w:t> </w:t>
      </w:r>
      <w:r>
        <w:rPr/>
        <w:t>рачуноводству</w:t>
      </w:r>
      <w:r>
        <w:rPr>
          <w:rFonts w:ascii="Times New Roman" w:hAnsi="Times New Roman"/>
        </w:rPr>
        <w:t>.</w:t>
      </w:r>
    </w:p>
    <w:p>
      <w:pPr>
        <w:pStyle w:val="ListParagraph"/>
        <w:numPr>
          <w:ilvl w:val="0"/>
          <w:numId w:val="9"/>
        </w:numPr>
        <w:tabs>
          <w:tab w:pos="303" w:val="left" w:leader="none"/>
        </w:tabs>
        <w:spacing w:line="237" w:lineRule="auto" w:before="4"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Код Галерије савремене ликовне уметности потраживања су више исказана за 273 хиљаде динара и то по основу неправилног евидентирања обрачунатих неплаћених расхода</w:t>
      </w:r>
      <w:r>
        <w:rPr>
          <w:rFonts w:ascii="Times New Roman" w:hAnsi="Times New Roman"/>
          <w:spacing w:val="39"/>
          <w:sz w:val="24"/>
        </w:rPr>
        <w:t> </w:t>
      </w:r>
      <w:r>
        <w:rPr>
          <w:rFonts w:ascii="Times New Roman" w:hAnsi="Times New Roman"/>
          <w:sz w:val="24"/>
        </w:rPr>
        <w:t>за</w:t>
      </w:r>
      <w:r>
        <w:rPr>
          <w:rFonts w:ascii="Times New Roman" w:hAnsi="Times New Roman"/>
          <w:spacing w:val="39"/>
          <w:sz w:val="24"/>
        </w:rPr>
        <w:t> </w:t>
      </w:r>
      <w:r>
        <w:rPr>
          <w:rFonts w:ascii="Times New Roman" w:hAnsi="Times New Roman"/>
          <w:sz w:val="24"/>
        </w:rPr>
        <w:t>путне</w:t>
      </w:r>
      <w:r>
        <w:rPr>
          <w:rFonts w:ascii="Times New Roman" w:hAnsi="Times New Roman"/>
          <w:spacing w:val="39"/>
          <w:sz w:val="24"/>
        </w:rPr>
        <w:t> </w:t>
      </w:r>
      <w:r>
        <w:rPr>
          <w:rFonts w:ascii="Times New Roman" w:hAnsi="Times New Roman"/>
          <w:sz w:val="24"/>
        </w:rPr>
        <w:t>трошкове</w:t>
      </w:r>
      <w:r>
        <w:rPr>
          <w:rFonts w:ascii="Times New Roman" w:hAnsi="Times New Roman"/>
          <w:spacing w:val="39"/>
          <w:sz w:val="24"/>
        </w:rPr>
        <w:t> </w:t>
      </w:r>
      <w:r>
        <w:rPr>
          <w:rFonts w:ascii="Times New Roman" w:hAnsi="Times New Roman"/>
          <w:sz w:val="24"/>
        </w:rPr>
        <w:t>и</w:t>
      </w:r>
      <w:r>
        <w:rPr>
          <w:rFonts w:ascii="Times New Roman" w:hAnsi="Times New Roman"/>
          <w:spacing w:val="41"/>
          <w:sz w:val="24"/>
        </w:rPr>
        <w:t> </w:t>
      </w:r>
      <w:r>
        <w:rPr>
          <w:rFonts w:ascii="Times New Roman" w:hAnsi="Times New Roman"/>
          <w:sz w:val="24"/>
        </w:rPr>
        <w:t>ауторске</w:t>
      </w:r>
      <w:r>
        <w:rPr>
          <w:rFonts w:ascii="Times New Roman" w:hAnsi="Times New Roman"/>
          <w:spacing w:val="39"/>
          <w:sz w:val="24"/>
        </w:rPr>
        <w:t> </w:t>
      </w:r>
      <w:r>
        <w:rPr>
          <w:rFonts w:ascii="Times New Roman" w:hAnsi="Times New Roman"/>
          <w:sz w:val="24"/>
        </w:rPr>
        <w:t>хонораре</w:t>
      </w:r>
      <w:r>
        <w:rPr>
          <w:rFonts w:ascii="Times New Roman" w:hAnsi="Times New Roman"/>
          <w:spacing w:val="44"/>
          <w:sz w:val="24"/>
        </w:rPr>
        <w:t> </w:t>
      </w:r>
      <w:r>
        <w:rPr>
          <w:rFonts w:ascii="Times New Roman" w:hAnsi="Times New Roman"/>
          <w:sz w:val="24"/>
        </w:rPr>
        <w:t>у</w:t>
      </w:r>
      <w:r>
        <w:rPr>
          <w:rFonts w:ascii="Times New Roman" w:hAnsi="Times New Roman"/>
          <w:spacing w:val="35"/>
          <w:sz w:val="24"/>
        </w:rPr>
        <w:t> </w:t>
      </w:r>
      <w:r>
        <w:rPr>
          <w:rFonts w:ascii="Times New Roman" w:hAnsi="Times New Roman"/>
          <w:sz w:val="24"/>
        </w:rPr>
        <w:t>износу</w:t>
      </w:r>
      <w:r>
        <w:rPr>
          <w:rFonts w:ascii="Times New Roman" w:hAnsi="Times New Roman"/>
          <w:spacing w:val="35"/>
          <w:sz w:val="24"/>
        </w:rPr>
        <w:t> </w:t>
      </w:r>
      <w:r>
        <w:rPr>
          <w:rFonts w:ascii="Times New Roman" w:hAnsi="Times New Roman"/>
          <w:sz w:val="24"/>
        </w:rPr>
        <w:t>од</w:t>
      </w:r>
      <w:r>
        <w:rPr>
          <w:rFonts w:ascii="Times New Roman" w:hAnsi="Times New Roman"/>
          <w:spacing w:val="40"/>
          <w:sz w:val="24"/>
        </w:rPr>
        <w:t> </w:t>
      </w:r>
      <w:r>
        <w:rPr>
          <w:rFonts w:ascii="Times New Roman" w:hAnsi="Times New Roman"/>
          <w:sz w:val="24"/>
        </w:rPr>
        <w:t>231</w:t>
      </w:r>
      <w:r>
        <w:rPr>
          <w:rFonts w:ascii="Times New Roman" w:hAnsi="Times New Roman"/>
          <w:spacing w:val="42"/>
          <w:sz w:val="24"/>
        </w:rPr>
        <w:t> </w:t>
      </w:r>
      <w:r>
        <w:rPr>
          <w:rFonts w:ascii="Times New Roman" w:hAnsi="Times New Roman"/>
          <w:sz w:val="24"/>
        </w:rPr>
        <w:t>хиљаде</w:t>
      </w:r>
      <w:r>
        <w:rPr>
          <w:rFonts w:ascii="Times New Roman" w:hAnsi="Times New Roman"/>
          <w:spacing w:val="39"/>
          <w:sz w:val="24"/>
        </w:rPr>
        <w:t> </w:t>
      </w:r>
      <w:r>
        <w:rPr>
          <w:rFonts w:ascii="Times New Roman" w:hAnsi="Times New Roman"/>
          <w:sz w:val="24"/>
        </w:rPr>
        <w:t>динара</w:t>
      </w:r>
      <w:r>
        <w:rPr>
          <w:rFonts w:ascii="Times New Roman" w:hAnsi="Times New Roman"/>
          <w:spacing w:val="39"/>
          <w:sz w:val="24"/>
        </w:rPr>
        <w:t> </w:t>
      </w:r>
      <w:r>
        <w:rPr>
          <w:rFonts w:ascii="Times New Roman" w:hAnsi="Times New Roman"/>
          <w:sz w:val="24"/>
        </w:rPr>
        <w:t>и</w:t>
      </w:r>
      <w:r>
        <w:rPr>
          <w:rFonts w:ascii="Times New Roman" w:hAnsi="Times New Roman"/>
          <w:spacing w:val="52"/>
          <w:sz w:val="24"/>
        </w:rPr>
        <w:t> </w:t>
      </w:r>
      <w:r>
        <w:rPr>
          <w:rFonts w:ascii="Times New Roman" w:hAnsi="Times New Roman"/>
          <w:sz w:val="24"/>
        </w:rPr>
        <w:t>по</w:t>
      </w:r>
    </w:p>
    <w:p>
      <w:pPr>
        <w:spacing w:after="0" w:line="237"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5"/>
        <w:jc w:val="both"/>
        <w:rPr>
          <w:rFonts w:ascii="Times New Roman" w:hAnsi="Times New Roman" w:cs="Times New Roman" w:eastAsia="Times New Roman" w:hint="default"/>
        </w:rPr>
      </w:pPr>
      <w:r>
        <w:rPr/>
        <w:t>основу евидентирања потраживања од Архитектонског факултета без правног основа, јер је уговор са наведеним потписан у 2015.</w:t>
      </w:r>
      <w:r>
        <w:rPr>
          <w:spacing w:val="-8"/>
        </w:rPr>
        <w:t> </w:t>
      </w:r>
      <w:r>
        <w:rPr/>
        <w:t>години</w:t>
      </w:r>
      <w:r>
        <w:rPr>
          <w:rFonts w:ascii="Times New Roman" w:hAnsi="Times New Roman"/>
        </w:rPr>
        <w:t>.</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Позориште лутака Ниш није утужила купца УР „Клубе“ Ниш, за неплаћена потраживања из 2013. године а по основу Уговора о закупу број 46</w:t>
      </w:r>
      <w:r>
        <w:rPr>
          <w:rFonts w:ascii="Times New Roman" w:hAnsi="Times New Roman" w:cs="Times New Roman" w:eastAsia="Times New Roman" w:hint="default"/>
          <w:sz w:val="24"/>
          <w:szCs w:val="24"/>
        </w:rPr>
        <w:t>-1/13-</w:t>
      </w:r>
      <w:r>
        <w:rPr>
          <w:rFonts w:ascii="Times New Roman" w:hAnsi="Times New Roman" w:cs="Times New Roman" w:eastAsia="Times New Roman" w:hint="default"/>
          <w:sz w:val="24"/>
          <w:szCs w:val="24"/>
        </w:rPr>
        <w:t>03 од 15.</w:t>
      </w:r>
      <w:r>
        <w:rPr>
          <w:rFonts w:ascii="Times New Roman" w:hAnsi="Times New Roman" w:cs="Times New Roman" w:eastAsia="Times New Roman" w:hint="default"/>
          <w:sz w:val="24"/>
          <w:szCs w:val="24"/>
        </w:rPr>
        <w:t>01.2013. </w:t>
      </w:r>
      <w:r>
        <w:rPr>
          <w:rFonts w:ascii="Times New Roman" w:hAnsi="Times New Roman" w:cs="Times New Roman" w:eastAsia="Times New Roman" w:hint="default"/>
          <w:sz w:val="24"/>
          <w:szCs w:val="24"/>
        </w:rPr>
        <w:t>године, иако поменути купац није измирио своје обавезе за закуп и након послате опомене за утужење, која му је послата </w:t>
      </w:r>
      <w:r>
        <w:rPr>
          <w:rFonts w:ascii="Times New Roman" w:hAnsi="Times New Roman" w:cs="Times New Roman" w:eastAsia="Times New Roman" w:hint="default"/>
          <w:sz w:val="24"/>
          <w:szCs w:val="24"/>
        </w:rPr>
        <w:t>0</w:t>
      </w:r>
      <w:r>
        <w:rPr>
          <w:rFonts w:ascii="Times New Roman" w:hAnsi="Times New Roman" w:cs="Times New Roman" w:eastAsia="Times New Roman" w:hint="default"/>
          <w:sz w:val="24"/>
          <w:szCs w:val="24"/>
        </w:rPr>
        <w:t>1.11.2013.</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године</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92" w:lineRule="exact" w:before="2"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Код  Народног позоришта за потраживања старија од  пет  година  у износу од </w:t>
      </w:r>
      <w:r>
        <w:rPr>
          <w:rFonts w:ascii="Times New Roman" w:hAnsi="Times New Roman"/>
          <w:spacing w:val="54"/>
          <w:sz w:val="24"/>
        </w:rPr>
        <w:t> </w:t>
      </w:r>
      <w:r>
        <w:rPr>
          <w:rFonts w:ascii="Times New Roman" w:hAnsi="Times New Roman"/>
          <w:sz w:val="24"/>
        </w:rPr>
        <w:t>најмање</w:t>
      </w:r>
    </w:p>
    <w:p>
      <w:pPr>
        <w:pStyle w:val="BodyText"/>
        <w:spacing w:line="240" w:lineRule="auto"/>
        <w:ind w:right="175"/>
        <w:jc w:val="both"/>
      </w:pPr>
      <w:r>
        <w:rPr>
          <w:rFonts w:ascii="Times New Roman" w:hAnsi="Times New Roman"/>
        </w:rPr>
        <w:t>1.281 </w:t>
      </w:r>
      <w:r>
        <w:rPr/>
        <w:t>хиљаде динара престало је право захтевања испуњења обавезе сходно Закону о облигационим</w:t>
      </w:r>
      <w:r>
        <w:rPr>
          <w:spacing w:val="-10"/>
        </w:rPr>
        <w:t> </w:t>
      </w:r>
      <w:r>
        <w:rPr/>
        <w:t>односима.</w:t>
      </w:r>
    </w:p>
    <w:p>
      <w:pPr>
        <w:pStyle w:val="ListParagraph"/>
        <w:numPr>
          <w:ilvl w:val="0"/>
          <w:numId w:val="9"/>
        </w:numPr>
        <w:tabs>
          <w:tab w:pos="303" w:val="left" w:leader="none"/>
        </w:tabs>
        <w:spacing w:line="240" w:lineRule="auto" w:before="11"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Народно позориште није слало изводе отворених ставки како би усагласило потраживања на дан 31.12.201</w:t>
      </w:r>
      <w:r>
        <w:rPr>
          <w:rFonts w:ascii="Times New Roman" w:hAnsi="Times New Roman"/>
          <w:sz w:val="24"/>
        </w:rPr>
        <w:t>4. </w:t>
      </w:r>
      <w:r>
        <w:rPr>
          <w:rFonts w:ascii="Times New Roman" w:hAnsi="Times New Roman"/>
          <w:sz w:val="24"/>
        </w:rPr>
        <w:t>године, што је супротно члану 18. Уредбе о буџетском рачуноводству</w:t>
      </w:r>
      <w:r>
        <w:rPr>
          <w:rFonts w:ascii="Times New Roman" w:hAnsi="Times New Roman"/>
          <w:sz w:val="24"/>
        </w:rPr>
        <w:t>.</w:t>
      </w:r>
    </w:p>
    <w:p>
      <w:pPr>
        <w:pStyle w:val="ListParagraph"/>
        <w:numPr>
          <w:ilvl w:val="0"/>
          <w:numId w:val="9"/>
        </w:numPr>
        <w:tabs>
          <w:tab w:pos="303" w:val="left" w:leader="none"/>
        </w:tabs>
        <w:spacing w:line="274" w:lineRule="exact" w:before="24"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Историјски архив није вршио усаглашавање са купцима путем </w:t>
      </w:r>
      <w:r>
        <w:rPr>
          <w:rFonts w:ascii="Times New Roman" w:hAnsi="Times New Roman"/>
          <w:spacing w:val="2"/>
          <w:sz w:val="24"/>
        </w:rPr>
        <w:t>ИОС </w:t>
      </w:r>
      <w:r>
        <w:rPr>
          <w:rFonts w:ascii="Times New Roman" w:hAnsi="Times New Roman"/>
          <w:sz w:val="24"/>
        </w:rPr>
        <w:t>образаца, што је </w:t>
      </w:r>
      <w:r>
        <w:rPr>
          <w:rFonts w:ascii="Times New Roman" w:hAnsi="Times New Roman"/>
          <w:sz w:val="24"/>
        </w:rPr>
        <w:t>супротно члану 18. Уредбе о буџетском</w:t>
      </w:r>
      <w:r>
        <w:rPr>
          <w:rFonts w:ascii="Times New Roman" w:hAnsi="Times New Roman"/>
          <w:spacing w:val="-18"/>
          <w:sz w:val="24"/>
        </w:rPr>
        <w:t> </w:t>
      </w:r>
      <w:r>
        <w:rPr>
          <w:rFonts w:ascii="Times New Roman" w:hAnsi="Times New Roman"/>
          <w:sz w:val="24"/>
        </w:rPr>
        <w:t>рачуноводству</w:t>
      </w:r>
      <w:r>
        <w:rPr>
          <w:rFonts w:ascii="Times New Roman" w:hAnsi="Times New Roman"/>
          <w:sz w:val="24"/>
        </w:rPr>
        <w:t>.</w:t>
      </w:r>
    </w:p>
    <w:p>
      <w:pPr>
        <w:pStyle w:val="ListParagraph"/>
        <w:numPr>
          <w:ilvl w:val="0"/>
          <w:numId w:val="9"/>
        </w:numPr>
        <w:tabs>
          <w:tab w:pos="303" w:val="left" w:leader="none"/>
        </w:tabs>
        <w:spacing w:line="274" w:lineRule="exact" w:before="21"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Код Народног музеја потраживања су више исказана у износу од 5.332 хиљаде динара по основу потраживања од буџета</w:t>
      </w:r>
      <w:r>
        <w:rPr>
          <w:rFonts w:ascii="Times New Roman" w:hAnsi="Times New Roman"/>
          <w:spacing w:val="-15"/>
          <w:sz w:val="24"/>
        </w:rPr>
        <w:t> </w:t>
      </w:r>
      <w:r>
        <w:rPr>
          <w:rFonts w:ascii="Times New Roman" w:hAnsi="Times New Roman"/>
          <w:sz w:val="24"/>
        </w:rPr>
        <w:t>града.</w:t>
      </w:r>
    </w:p>
    <w:p>
      <w:pPr>
        <w:pStyle w:val="ListParagraph"/>
        <w:numPr>
          <w:ilvl w:val="0"/>
          <w:numId w:val="9"/>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Код Народног музеја исказан је аванс у износу од 199 хиљада динара, дат „Музејско снабдевање“ доо Београд за набавку пет панела по Уговору број 02</w:t>
      </w:r>
      <w:r>
        <w:rPr>
          <w:rFonts w:ascii="Times New Roman" w:hAnsi="Times New Roman" w:cs="Times New Roman" w:eastAsia="Times New Roman" w:hint="default"/>
          <w:sz w:val="24"/>
          <w:szCs w:val="24"/>
        </w:rPr>
        <w:t>-749/4-</w:t>
      </w:r>
      <w:r>
        <w:rPr>
          <w:rFonts w:ascii="Times New Roman" w:hAnsi="Times New Roman" w:cs="Times New Roman" w:eastAsia="Times New Roman" w:hint="default"/>
          <w:sz w:val="24"/>
          <w:szCs w:val="24"/>
        </w:rPr>
        <w:t>14 од 03.10.2014. године, којим је уговорено плаћање, аванс 25%, а остатак по испостављеној фактури за испоручена добра. Уговорена је испорука добара у року од 5 дана (максимум 15 дана). Уговорено је и да за повраћај аванса добављач при закључењу уговора достави Народном музеју соло меницу са клаузулом „без протеста“ и „без извештаја“ на износ траженог аванса са обрачунатим ПДВ. Панели нису испоручени. Меницу је у </w:t>
      </w:r>
      <w:r>
        <w:rPr>
          <w:rFonts w:ascii="Times New Roman" w:hAnsi="Times New Roman" w:cs="Times New Roman" w:eastAsia="Times New Roman" w:hint="default"/>
          <w:spacing w:val="3"/>
          <w:sz w:val="24"/>
          <w:szCs w:val="24"/>
        </w:rPr>
        <w:t>току </w:t>
      </w:r>
      <w:r>
        <w:rPr>
          <w:rFonts w:ascii="Times New Roman" w:hAnsi="Times New Roman" w:cs="Times New Roman" w:eastAsia="Times New Roman" w:hint="default"/>
          <w:spacing w:val="3"/>
          <w:sz w:val="24"/>
          <w:szCs w:val="24"/>
        </w:rPr>
      </w:r>
      <w:r>
        <w:rPr>
          <w:rFonts w:ascii="Times New Roman" w:hAnsi="Times New Roman" w:cs="Times New Roman" w:eastAsia="Times New Roman" w:hint="default"/>
          <w:sz w:val="24"/>
          <w:szCs w:val="24"/>
        </w:rPr>
        <w:t>поступка контроле доставио</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понуђач</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40" w:lineRule="auto" w:before="2" w:after="0"/>
        <w:ind w:left="160" w:right="188" w:firstLine="0"/>
        <w:jc w:val="both"/>
        <w:rPr>
          <w:rFonts w:ascii="Times New Roman" w:hAnsi="Times New Roman" w:cs="Times New Roman" w:eastAsia="Times New Roman" w:hint="default"/>
          <w:sz w:val="24"/>
          <w:szCs w:val="24"/>
        </w:rPr>
      </w:pPr>
      <w:r>
        <w:rPr>
          <w:rFonts w:ascii="Times New Roman" w:hAnsi="Times New Roman"/>
          <w:sz w:val="24"/>
        </w:rPr>
        <w:t>Код Народног музеја није евидентирано потраживање од радника за мањак штампача, који је утврђен годишњим</w:t>
      </w:r>
      <w:r>
        <w:rPr>
          <w:rFonts w:ascii="Times New Roman" w:hAnsi="Times New Roman"/>
          <w:spacing w:val="-12"/>
          <w:sz w:val="24"/>
        </w:rPr>
        <w:t> </w:t>
      </w:r>
      <w:r>
        <w:rPr>
          <w:rFonts w:ascii="Times New Roman" w:hAnsi="Times New Roman"/>
          <w:sz w:val="24"/>
        </w:rPr>
        <w:t>пописом.</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Нишки културни центар је дана 30.12.2014. године исплатио запосленима по пет  хиљада динара по Одлуци директора број 2027/1 од 29.12.2014. године на име зајма за набавку огрева и зимнице, који су запослени дужни да врате у року од 12  месеци. Исплата у укупном износу од 220 хиљада динара је извршена са сопственог рачуна. Наведено је супротно члану 56. Закона о буџетском систему и члану 16. Закона о буџету Републике</w:t>
      </w:r>
      <w:r>
        <w:rPr>
          <w:rFonts w:ascii="Times New Roman" w:hAnsi="Times New Roman"/>
          <w:spacing w:val="-4"/>
          <w:sz w:val="24"/>
        </w:rPr>
        <w:t> </w:t>
      </w:r>
      <w:r>
        <w:rPr>
          <w:rFonts w:ascii="Times New Roman" w:hAnsi="Times New Roman"/>
          <w:sz w:val="24"/>
        </w:rPr>
        <w:t>Србије</w:t>
      </w:r>
      <w:r>
        <w:rPr>
          <w:rFonts w:ascii="Times New Roman" w:hAnsi="Times New Roman"/>
          <w:sz w:val="24"/>
        </w:rPr>
        <w:t>.</w:t>
      </w:r>
    </w:p>
    <w:p>
      <w:pPr>
        <w:pStyle w:val="ListParagraph"/>
        <w:numPr>
          <w:ilvl w:val="0"/>
          <w:numId w:val="9"/>
        </w:numPr>
        <w:tabs>
          <w:tab w:pos="303" w:val="left" w:leader="none"/>
        </w:tabs>
        <w:spacing w:line="293" w:lineRule="exact" w:before="2"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Код Нишког културног центра потраживања у износу од 90 хиљада динара су</w:t>
      </w:r>
      <w:r>
        <w:rPr>
          <w:rFonts w:ascii="Times New Roman" w:hAnsi="Times New Roman"/>
          <w:spacing w:val="-28"/>
          <w:sz w:val="24"/>
        </w:rPr>
        <w:t> </w:t>
      </w:r>
      <w:r>
        <w:rPr>
          <w:rFonts w:ascii="Times New Roman" w:hAnsi="Times New Roman"/>
          <w:sz w:val="24"/>
        </w:rPr>
        <w:t>застарела.</w:t>
      </w:r>
    </w:p>
    <w:p>
      <w:pPr>
        <w:pStyle w:val="ListParagraph"/>
        <w:numPr>
          <w:ilvl w:val="0"/>
          <w:numId w:val="9"/>
        </w:numPr>
        <w:tabs>
          <w:tab w:pos="303" w:val="left" w:leader="none"/>
        </w:tabs>
        <w:spacing w:line="292"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Нишки културни центар није слао ИОС обрасце својим купцима, што је супротно</w:t>
      </w:r>
      <w:r>
        <w:rPr>
          <w:rFonts w:ascii="Times New Roman" w:hAnsi="Times New Roman"/>
          <w:spacing w:val="9"/>
          <w:sz w:val="24"/>
        </w:rPr>
        <w:t> </w:t>
      </w:r>
      <w:r>
        <w:rPr>
          <w:rFonts w:ascii="Times New Roman" w:hAnsi="Times New Roman"/>
          <w:sz w:val="24"/>
        </w:rPr>
        <w:t>члану</w:t>
      </w:r>
    </w:p>
    <w:p>
      <w:pPr>
        <w:pStyle w:val="BodyText"/>
        <w:spacing w:line="274" w:lineRule="exact"/>
        <w:ind w:right="0"/>
        <w:jc w:val="both"/>
      </w:pPr>
      <w:r>
        <w:rPr/>
        <w:t>18. Уредбе о буџетском</w:t>
      </w:r>
      <w:r>
        <w:rPr>
          <w:spacing w:val="-10"/>
        </w:rPr>
        <w:t> </w:t>
      </w:r>
      <w:r>
        <w:rPr/>
        <w:t>рачуноводству.</w:t>
      </w:r>
    </w:p>
    <w:p>
      <w:pPr>
        <w:pStyle w:val="ListParagraph"/>
        <w:numPr>
          <w:ilvl w:val="0"/>
          <w:numId w:val="9"/>
        </w:numPr>
        <w:tabs>
          <w:tab w:pos="303" w:val="left" w:leader="none"/>
        </w:tabs>
        <w:spacing w:line="274" w:lineRule="exact" w:before="24"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Завод за заштиту споменика за потраживања у износу од 497 хиљада динара из 2011. године није предузео мере наплате, нису послате опомене, нити су</w:t>
      </w:r>
      <w:r>
        <w:rPr>
          <w:rFonts w:ascii="Times New Roman" w:hAnsi="Times New Roman"/>
          <w:spacing w:val="-27"/>
          <w:sz w:val="24"/>
        </w:rPr>
        <w:t> </w:t>
      </w:r>
      <w:r>
        <w:rPr>
          <w:rFonts w:ascii="Times New Roman" w:hAnsi="Times New Roman"/>
          <w:sz w:val="24"/>
        </w:rPr>
        <w:t>утужени.</w:t>
      </w:r>
    </w:p>
    <w:p>
      <w:pPr>
        <w:pStyle w:val="ListParagraph"/>
        <w:numPr>
          <w:ilvl w:val="0"/>
          <w:numId w:val="9"/>
        </w:numPr>
        <w:tabs>
          <w:tab w:pos="303" w:val="left" w:leader="none"/>
        </w:tabs>
        <w:spacing w:line="274" w:lineRule="exact" w:before="21" w:after="0"/>
        <w:ind w:left="160" w:right="187" w:firstLine="0"/>
        <w:jc w:val="both"/>
        <w:rPr>
          <w:rFonts w:ascii="Times New Roman" w:hAnsi="Times New Roman" w:cs="Times New Roman" w:eastAsia="Times New Roman" w:hint="default"/>
          <w:sz w:val="24"/>
          <w:szCs w:val="24"/>
        </w:rPr>
      </w:pPr>
      <w:r>
        <w:rPr>
          <w:rFonts w:ascii="Times New Roman" w:hAnsi="Times New Roman"/>
          <w:sz w:val="24"/>
        </w:rPr>
        <w:t>Завод за заштиту споменика није слао ИОС обрасце и није извршено усаглашавање са купцима, што је супротно члану 18. Уредбе о буџетском</w:t>
      </w:r>
      <w:r>
        <w:rPr>
          <w:rFonts w:ascii="Times New Roman" w:hAnsi="Times New Roman"/>
          <w:spacing w:val="-25"/>
          <w:sz w:val="24"/>
        </w:rPr>
        <w:t> </w:t>
      </w:r>
      <w:r>
        <w:rPr>
          <w:rFonts w:ascii="Times New Roman" w:hAnsi="Times New Roman"/>
          <w:sz w:val="24"/>
        </w:rPr>
        <w:t>рачуноводству.</w:t>
      </w:r>
    </w:p>
    <w:p>
      <w:pPr>
        <w:pStyle w:val="Heading2"/>
        <w:spacing w:line="240" w:lineRule="auto" w:before="2"/>
        <w:ind w:right="175"/>
        <w:jc w:val="both"/>
        <w:rPr>
          <w:b w:val="0"/>
          <w:bCs w:val="0"/>
          <w:i w:val="0"/>
        </w:rPr>
      </w:pPr>
      <w:r>
        <w:rPr>
          <w:i/>
        </w:rPr>
        <w:t>Препоручује се одговорним лицима да предузму све мере ради наплате потраживања како не би застарела</w:t>
      </w:r>
      <w:r>
        <w:rPr>
          <w:rFonts w:ascii="Times New Roman" w:hAnsi="Times New Roman"/>
          <w:i/>
        </w:rPr>
        <w:t>, </w:t>
      </w:r>
      <w:r>
        <w:rPr>
          <w:i/>
        </w:rPr>
        <w:t>врше анализу стања потраживања, усаглашавање стања потраживања, интерним актом дефинишу услове и рокове отписа застарелих потраживања и обезбеде потраживања средствима обезбеђења</w:t>
      </w:r>
      <w:r>
        <w:rPr>
          <w:rFonts w:ascii="Times New Roman" w:hAnsi="Times New Roman"/>
          <w:i/>
        </w:rPr>
        <w:t>, </w:t>
      </w:r>
      <w:r>
        <w:rPr>
          <w:i/>
        </w:rPr>
        <w:t>обезбеде</w:t>
      </w:r>
      <w:r>
        <w:rPr>
          <w:i/>
          <w:spacing w:val="39"/>
        </w:rPr>
        <w:t> </w:t>
      </w:r>
      <w:r>
        <w:rPr>
          <w:i/>
        </w:rPr>
        <w:t>правилну</w:t>
      </w:r>
      <w:r>
        <w:rPr>
          <w:i/>
          <w:spacing w:val="39"/>
        </w:rPr>
        <w:t> </w:t>
      </w:r>
      <w:r>
        <w:rPr>
          <w:i/>
        </w:rPr>
        <w:t>примену</w:t>
      </w:r>
      <w:r>
        <w:rPr>
          <w:i/>
          <w:spacing w:val="39"/>
        </w:rPr>
        <w:t> </w:t>
      </w:r>
      <w:r>
        <w:rPr>
          <w:i/>
        </w:rPr>
        <w:t>одредби</w:t>
      </w:r>
      <w:r>
        <w:rPr>
          <w:i/>
          <w:spacing w:val="40"/>
        </w:rPr>
        <w:t> </w:t>
      </w:r>
      <w:r>
        <w:rPr>
          <w:i/>
        </w:rPr>
        <w:t>Закона</w:t>
      </w:r>
      <w:r>
        <w:rPr>
          <w:i/>
          <w:spacing w:val="37"/>
        </w:rPr>
        <w:t> </w:t>
      </w:r>
      <w:r>
        <w:rPr>
          <w:i/>
        </w:rPr>
        <w:t>о</w:t>
      </w:r>
      <w:r>
        <w:rPr>
          <w:i/>
          <w:spacing w:val="39"/>
        </w:rPr>
        <w:t> </w:t>
      </w:r>
      <w:r>
        <w:rPr>
          <w:i/>
        </w:rPr>
        <w:t>буџетском</w:t>
      </w:r>
      <w:r>
        <w:rPr>
          <w:i/>
          <w:spacing w:val="40"/>
        </w:rPr>
        <w:t> </w:t>
      </w:r>
      <w:r>
        <w:rPr>
          <w:i/>
        </w:rPr>
        <w:t>систему,</w:t>
      </w:r>
      <w:r>
        <w:rPr>
          <w:i/>
          <w:spacing w:val="39"/>
        </w:rPr>
        <w:t> </w:t>
      </w:r>
      <w:r>
        <w:rPr>
          <w:i/>
        </w:rPr>
        <w:t>Закона</w:t>
      </w:r>
      <w:r>
        <w:rPr>
          <w:i/>
          <w:spacing w:val="39"/>
        </w:rPr>
        <w:t> </w:t>
      </w:r>
      <w:r>
        <w:rPr>
          <w:i/>
        </w:rPr>
        <w:t>о</w:t>
      </w:r>
      <w:r>
        <w:rPr>
          <w:i/>
          <w:spacing w:val="39"/>
        </w:rPr>
        <w:t> </w:t>
      </w:r>
      <w:r>
        <w:rPr>
          <w:i/>
        </w:rPr>
        <w:t>буџету</w:t>
      </w:r>
      <w:r>
        <w:rPr>
          <w:b w:val="0"/>
          <w:i w:val="0"/>
        </w:rPr>
      </w:r>
    </w:p>
    <w:p>
      <w:pPr>
        <w:spacing w:after="0" w:line="240" w:lineRule="auto"/>
        <w:jc w:val="both"/>
        <w:sectPr>
          <w:pgSz w:w="12240" w:h="15840"/>
          <w:pgMar w:header="740" w:footer="1274" w:top="1280" w:bottom="1460" w:left="1400" w:right="1260"/>
        </w:sectPr>
      </w:pPr>
    </w:p>
    <w:p>
      <w:pPr>
        <w:pStyle w:val="Heading2"/>
        <w:spacing w:line="240" w:lineRule="auto" w:before="126"/>
        <w:ind w:right="184" w:firstLine="0"/>
        <w:jc w:val="both"/>
        <w:rPr>
          <w:b w:val="0"/>
          <w:bCs w:val="0"/>
          <w:i w:val="0"/>
        </w:rPr>
      </w:pPr>
      <w:r>
        <w:rPr>
          <w:i/>
        </w:rPr>
        <w:t>Републике Србије, Уредбе о буџетском рачуноводству и Правилника о стандардном класификационом оквиру и контном плану за буџетски</w:t>
      </w:r>
      <w:r>
        <w:rPr>
          <w:i/>
          <w:spacing w:val="-18"/>
        </w:rPr>
        <w:t> </w:t>
      </w:r>
      <w:r>
        <w:rPr>
          <w:i/>
        </w:rPr>
        <w:t>систем.</w:t>
      </w:r>
      <w:r>
        <w:rPr>
          <w:b w:val="0"/>
          <w:i w:val="0"/>
        </w:rPr>
      </w:r>
    </w:p>
    <w:p>
      <w:pPr>
        <w:pStyle w:val="ListParagraph"/>
        <w:numPr>
          <w:ilvl w:val="0"/>
          <w:numId w:val="76"/>
        </w:numPr>
        <w:tabs>
          <w:tab w:pos="303" w:val="left" w:leader="none"/>
        </w:tabs>
        <w:spacing w:line="240" w:lineRule="auto" w:before="0" w:after="0"/>
        <w:ind w:left="160" w:right="181"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омладину и спорт </w:t>
      </w:r>
      <w:r>
        <w:rPr>
          <w:rFonts w:ascii="Times New Roman" w:hAnsi="Times New Roman"/>
          <w:sz w:val="24"/>
        </w:rPr>
        <w:t>у износу од 33.192 хиљаде динара за исказана потраживања </w:t>
      </w:r>
      <w:r>
        <w:rPr>
          <w:rFonts w:ascii="Times New Roman" w:hAnsi="Times New Roman"/>
          <w:sz w:val="24"/>
        </w:rPr>
        <w:t>код СЦ</w:t>
      </w:r>
      <w:r>
        <w:rPr>
          <w:rFonts w:ascii="Times New Roman" w:hAnsi="Times New Roman"/>
          <w:spacing w:val="-2"/>
          <w:sz w:val="24"/>
        </w:rPr>
        <w:t> </w:t>
      </w:r>
      <w:r>
        <w:rPr>
          <w:rFonts w:ascii="Times New Roman" w:hAnsi="Times New Roman"/>
          <w:sz w:val="24"/>
        </w:rPr>
        <w:t>Чаир.</w:t>
      </w:r>
    </w:p>
    <w:p>
      <w:pPr>
        <w:spacing w:before="0"/>
        <w:ind w:left="160" w:right="177"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су потраживања код СЦ Чаир у износу од 26.387 хиљада динара утужена, а потраживања у износу од 2.644 хиљаде динара нису наплатива. Највеће потраживање је од Клинике Нироши Ниш, по основу</w:t>
      </w:r>
      <w:r>
        <w:rPr>
          <w:rFonts w:ascii="Times New Roman" w:hAnsi="Times New Roman"/>
          <w:spacing w:val="-10"/>
          <w:sz w:val="24"/>
        </w:rPr>
        <w:t> </w:t>
      </w:r>
      <w:r>
        <w:rPr>
          <w:rFonts w:ascii="Times New Roman" w:hAnsi="Times New Roman"/>
          <w:sz w:val="24"/>
        </w:rPr>
        <w:t>закупнине.</w:t>
      </w:r>
    </w:p>
    <w:p>
      <w:pPr>
        <w:pStyle w:val="Heading2"/>
        <w:spacing w:line="240" w:lineRule="auto" w:before="0"/>
        <w:ind w:left="738" w:right="141" w:firstLine="0"/>
        <w:jc w:val="left"/>
        <w:rPr>
          <w:rFonts w:ascii="Times New Roman" w:hAnsi="Times New Roman" w:cs="Times New Roman" w:eastAsia="Times New Roman" w:hint="default"/>
          <w:b w:val="0"/>
          <w:bCs w:val="0"/>
          <w:i w:val="0"/>
        </w:rPr>
      </w:pPr>
      <w:r>
        <w:rPr>
          <w:i/>
        </w:rPr>
        <w:t>Препоручује се одговорним лицима да анализирају своја</w:t>
      </w:r>
      <w:r>
        <w:rPr>
          <w:i/>
          <w:spacing w:val="-16"/>
        </w:rPr>
        <w:t> </w:t>
      </w:r>
      <w:r>
        <w:rPr>
          <w:i/>
        </w:rPr>
        <w:t>потраживања</w:t>
      </w:r>
      <w:r>
        <w:rPr>
          <w:rFonts w:ascii="Times New Roman" w:hAnsi="Times New Roman"/>
          <w:b w:val="0"/>
          <w:i w:val="0"/>
        </w:rPr>
        <w:t>.</w:t>
      </w:r>
    </w:p>
    <w:p>
      <w:pPr>
        <w:pStyle w:val="ListParagraph"/>
        <w:numPr>
          <w:ilvl w:val="0"/>
          <w:numId w:val="76"/>
        </w:numPr>
        <w:tabs>
          <w:tab w:pos="363"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комуналне делатности, енергетику и саобраћај </w:t>
      </w:r>
      <w:r>
        <w:rPr>
          <w:rFonts w:ascii="Times New Roman" w:hAnsi="Times New Roman"/>
          <w:sz w:val="24"/>
        </w:rPr>
        <w:t>у износу од 27.636 хиљада </w:t>
      </w:r>
      <w:r>
        <w:rPr>
          <w:rFonts w:ascii="Times New Roman" w:hAnsi="Times New Roman"/>
          <w:sz w:val="24"/>
        </w:rPr>
        <w:t>динара за исказана потраживања код ЈП</w:t>
      </w:r>
      <w:r>
        <w:rPr>
          <w:rFonts w:ascii="Times New Roman" w:hAnsi="Times New Roman"/>
          <w:spacing w:val="-15"/>
          <w:sz w:val="24"/>
        </w:rPr>
        <w:t> </w:t>
      </w:r>
      <w:r>
        <w:rPr>
          <w:rFonts w:ascii="Times New Roman" w:hAnsi="Times New Roman"/>
          <w:sz w:val="24"/>
        </w:rPr>
        <w:t>Дирекција.</w:t>
      </w:r>
    </w:p>
    <w:p>
      <w:pPr>
        <w:pStyle w:val="Heading1"/>
        <w:spacing w:line="275" w:lineRule="exact"/>
        <w:ind w:right="141"/>
        <w:jc w:val="left"/>
        <w:rPr>
          <w:b w:val="0"/>
          <w:bCs w:val="0"/>
        </w:rPr>
      </w:pPr>
      <w:r>
        <w:rPr/>
        <w:t>На основу извршене ревизије узорковане документације утврђено</w:t>
      </w:r>
      <w:r>
        <w:rPr>
          <w:spacing w:val="-18"/>
        </w:rPr>
        <w:t> </w:t>
      </w:r>
      <w:r>
        <w:rPr/>
        <w:t>је:</w:t>
      </w:r>
      <w:r>
        <w:rPr>
          <w:b w:val="0"/>
        </w:rPr>
      </w:r>
    </w:p>
    <w:p>
      <w:pPr>
        <w:pStyle w:val="ListParagraph"/>
        <w:numPr>
          <w:ilvl w:val="0"/>
          <w:numId w:val="9"/>
        </w:numPr>
        <w:tabs>
          <w:tab w:pos="303" w:val="left" w:leader="none"/>
        </w:tabs>
        <w:spacing w:line="240" w:lineRule="auto" w:before="0"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Потраживања у износу од 19.549 хиљаде динара од „ПЗП“ ад Ниш у износу од 5.174 хиљаде динара, „Нискоградња“ доо Ниш у износу од 11.888 хиљада динара и „МД ГИТ“ доо Ниш, у износу од 2.487 хиљада динара, евидентирана су у 2013. години, а потичу из претходних година. „Нискоградња“ доо Ниш и „МД ГИТ“ доо Ниш потврдили су износ потраживања. По Налогу вд директора број 05</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3313 од 26.04.2013. године извршена је анализа цена које се примењују код уговора о периодичном одржавању коловоза и тротоара. Анализом је утврђено да је више плаћено по ситуацијама за периодично одржавање улица, путева и јавних површина у периоду од 2009. до 2011. године, јер приликом испостављања ситуација извођачи радова нису извршили умањење јединичних цена за 10% по тада важећем ценовнику ЈП „Путеви Србије“. Надзорни орган је такве ситуације оверио и исте су плаћене </w:t>
      </w:r>
      <w:r>
        <w:rPr>
          <w:rFonts w:ascii="Times New Roman" w:hAnsi="Times New Roman" w:cs="Times New Roman" w:eastAsia="Times New Roman" w:hint="default"/>
          <w:spacing w:val="3"/>
          <w:sz w:val="24"/>
          <w:szCs w:val="24"/>
        </w:rPr>
        <w:t>из </w:t>
      </w:r>
      <w:r>
        <w:rPr>
          <w:rFonts w:ascii="Times New Roman" w:hAnsi="Times New Roman" w:cs="Times New Roman" w:eastAsia="Times New Roman" w:hint="default"/>
          <w:sz w:val="24"/>
          <w:szCs w:val="24"/>
        </w:rPr>
        <w:t>средстава буџета. На тај начин је поступљено </w:t>
      </w:r>
      <w:r>
        <w:rPr>
          <w:rFonts w:ascii="Times New Roman" w:hAnsi="Times New Roman" w:cs="Times New Roman" w:eastAsia="Times New Roman" w:hint="default"/>
          <w:sz w:val="24"/>
          <w:szCs w:val="24"/>
        </w:rPr>
        <w:t>супротно члану 56. и 58. Закона о буџетском систему, члану 153. Закона о планирању и изградњи и члану 4. Правилника о начину и поступку вршења надзора у току грађења објекта.</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Исказано потраживање за периодично одржавање улица у периоду од 2009. до 2011. године према „ПЗП“ ад у стечају Ниш у износу од 5.174 хиљаде динара евидентирано је на основу књижних задужења од 27.</w:t>
      </w:r>
      <w:r>
        <w:rPr>
          <w:rFonts w:ascii="Times New Roman" w:hAnsi="Times New Roman" w:cs="Times New Roman" w:eastAsia="Times New Roman" w:hint="default"/>
          <w:sz w:val="24"/>
          <w:szCs w:val="24"/>
        </w:rPr>
        <w:t>0</w:t>
      </w:r>
      <w:r>
        <w:rPr>
          <w:rFonts w:ascii="Times New Roman" w:hAnsi="Times New Roman" w:cs="Times New Roman" w:eastAsia="Times New Roman" w:hint="default"/>
          <w:sz w:val="24"/>
          <w:szCs w:val="24"/>
        </w:rPr>
        <w:t>6.2013. године. Наведено потраживање није наплативо, јер кад је утврђено да је више плаћено, „ПЗП“ ад Ниш је већ био у стечају и прошао је рок за пријаву потраживања у стечајну масу, те је суд пријаву одбацио као неблаговремену.</w:t>
      </w:r>
    </w:p>
    <w:p>
      <w:pPr>
        <w:pStyle w:val="ListParagraph"/>
        <w:numPr>
          <w:ilvl w:val="0"/>
          <w:numId w:val="9"/>
        </w:numPr>
        <w:tabs>
          <w:tab w:pos="303" w:val="left" w:leader="none"/>
        </w:tabs>
        <w:spacing w:line="240" w:lineRule="auto" w:before="2" w:after="0"/>
        <w:ind w:left="160" w:right="18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Потраживање у износу од 320 хиљада динара од „ПЗП“ ад Ниш по регресним захтевима јер је ЈП Дирекција судским путем у целости исплатила накнаду штете грађанима, а обавеза је да наручилац и извођач радова солидарно исплате тужбе грађана за накнаду штете није наплативо јер није пријављено у стечајну масу, што је супротно члану 111. Закона о</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стечају.</w:t>
      </w:r>
    </w:p>
    <w:p>
      <w:pPr>
        <w:pStyle w:val="ListParagraph"/>
        <w:numPr>
          <w:ilvl w:val="0"/>
          <w:numId w:val="9"/>
        </w:numPr>
        <w:tabs>
          <w:tab w:pos="303" w:val="left" w:leader="none"/>
        </w:tabs>
        <w:spacing w:line="274" w:lineRule="exact" w:before="24" w:after="0"/>
        <w:ind w:left="160" w:right="183" w:firstLine="0"/>
        <w:jc w:val="both"/>
        <w:rPr>
          <w:rFonts w:ascii="Times New Roman" w:hAnsi="Times New Roman" w:cs="Times New Roman" w:eastAsia="Times New Roman" w:hint="default"/>
          <w:sz w:val="24"/>
          <w:szCs w:val="24"/>
        </w:rPr>
      </w:pPr>
      <w:r>
        <w:rPr>
          <w:rFonts w:ascii="Times New Roman" w:hAnsi="Times New Roman"/>
          <w:sz w:val="24"/>
        </w:rPr>
        <w:t>Потраживања у износу од 626 хиљада динара потичу из периода од пре пет година и застарела</w:t>
      </w:r>
      <w:r>
        <w:rPr>
          <w:rFonts w:ascii="Times New Roman" w:hAnsi="Times New Roman"/>
          <w:spacing w:val="-7"/>
          <w:sz w:val="24"/>
        </w:rPr>
        <w:t> </w:t>
      </w:r>
      <w:r>
        <w:rPr>
          <w:rFonts w:ascii="Times New Roman" w:hAnsi="Times New Roman"/>
          <w:sz w:val="24"/>
        </w:rPr>
        <w:t>су.</w:t>
      </w:r>
    </w:p>
    <w:p>
      <w:pPr>
        <w:pStyle w:val="ListParagraph"/>
        <w:numPr>
          <w:ilvl w:val="0"/>
          <w:numId w:val="9"/>
        </w:numPr>
        <w:tabs>
          <w:tab w:pos="303" w:val="left" w:leader="none"/>
        </w:tabs>
        <w:spacing w:line="240" w:lineRule="auto" w:before="0" w:after="0"/>
        <w:ind w:left="160" w:right="18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Потраживање у износу од 441 хиљаде динара према „Нискоградња“ доо Ниш, настало  је по основу регресних захтева које је ЈП Дирекција упутила „Нискоградња“ доо, јер су судским путем исплаћене накнаде штете по основу тужби грађана а обавеза је да наручилац и извођач радова солидарно исплате тужбе, које потичу из периода 2011. и 2012. године.</w:t>
      </w:r>
    </w:p>
    <w:p>
      <w:pPr>
        <w:pStyle w:val="ListParagraph"/>
        <w:numPr>
          <w:ilvl w:val="0"/>
          <w:numId w:val="9"/>
        </w:numPr>
        <w:tabs>
          <w:tab w:pos="348" w:val="left" w:leader="none"/>
        </w:tabs>
        <w:spacing w:line="240" w:lineRule="auto" w:before="2" w:after="0"/>
        <w:ind w:left="347" w:right="0" w:hanging="187"/>
        <w:jc w:val="both"/>
        <w:rPr>
          <w:rFonts w:ascii="Times New Roman" w:hAnsi="Times New Roman" w:cs="Times New Roman" w:eastAsia="Times New Roman" w:hint="default"/>
          <w:sz w:val="24"/>
          <w:szCs w:val="24"/>
        </w:rPr>
      </w:pPr>
      <w:r>
        <w:rPr>
          <w:rFonts w:ascii="Times New Roman" w:hAnsi="Times New Roman"/>
          <w:sz w:val="24"/>
        </w:rPr>
        <w:t>ЈП Дирекција није предузела мере како би наплатил</w:t>
      </w:r>
      <w:r>
        <w:rPr>
          <w:rFonts w:ascii="Times New Roman" w:hAnsi="Times New Roman"/>
          <w:sz w:val="24"/>
        </w:rPr>
        <w:t>o </w:t>
      </w:r>
      <w:r>
        <w:rPr>
          <w:rFonts w:ascii="Times New Roman" w:hAnsi="Times New Roman"/>
          <w:sz w:val="24"/>
        </w:rPr>
        <w:t>своја</w:t>
      </w:r>
      <w:r>
        <w:rPr>
          <w:rFonts w:ascii="Times New Roman" w:hAnsi="Times New Roman"/>
          <w:spacing w:val="-18"/>
          <w:sz w:val="24"/>
        </w:rPr>
        <w:t> </w:t>
      </w:r>
      <w:r>
        <w:rPr>
          <w:rFonts w:ascii="Times New Roman" w:hAnsi="Times New Roman"/>
          <w:sz w:val="24"/>
        </w:rPr>
        <w:t>потраживања.</w:t>
      </w:r>
    </w:p>
    <w:p>
      <w:pPr>
        <w:spacing w:after="0" w:line="240" w:lineRule="auto"/>
        <w:jc w:val="both"/>
        <w:rPr>
          <w:rFonts w:ascii="Times New Roman" w:hAnsi="Times New Roman" w:cs="Times New Roman" w:eastAsia="Times New Roman" w:hint="default"/>
          <w:sz w:val="24"/>
          <w:szCs w:val="24"/>
        </w:rPr>
        <w:sectPr>
          <w:footerReference w:type="default" r:id="rId90"/>
          <w:pgSz w:w="12240" w:h="15840"/>
          <w:pgMar w:footer="1274" w:header="740" w:top="1280" w:bottom="1460" w:left="1400" w:right="1260"/>
          <w:pgNumType w:start="280"/>
        </w:sectPr>
      </w:pPr>
    </w:p>
    <w:p>
      <w:pPr>
        <w:pStyle w:val="ListParagraph"/>
        <w:numPr>
          <w:ilvl w:val="0"/>
          <w:numId w:val="9"/>
        </w:numPr>
        <w:tabs>
          <w:tab w:pos="348" w:val="left" w:leader="none"/>
        </w:tabs>
        <w:spacing w:line="274" w:lineRule="exact" w:before="146" w:after="0"/>
        <w:ind w:left="160" w:right="392" w:firstLine="0"/>
        <w:jc w:val="left"/>
        <w:rPr>
          <w:rFonts w:ascii="Times New Roman" w:hAnsi="Times New Roman" w:cs="Times New Roman" w:eastAsia="Times New Roman" w:hint="default"/>
          <w:sz w:val="24"/>
          <w:szCs w:val="24"/>
        </w:rPr>
      </w:pPr>
      <w:r>
        <w:rPr>
          <w:rFonts w:ascii="Times New Roman" w:hAnsi="Times New Roman"/>
          <w:sz w:val="24"/>
        </w:rPr>
        <w:t>У уговорима за издавање стубова у закуп нису дефинисане заштитне клаузуле у циљу наплате потраживања и заштите јавних</w:t>
      </w:r>
      <w:r>
        <w:rPr>
          <w:rFonts w:ascii="Times New Roman" w:hAnsi="Times New Roman"/>
          <w:spacing w:val="-17"/>
          <w:sz w:val="24"/>
        </w:rPr>
        <w:t> </w:t>
      </w:r>
      <w:r>
        <w:rPr>
          <w:rFonts w:ascii="Times New Roman" w:hAnsi="Times New Roman"/>
          <w:sz w:val="24"/>
        </w:rPr>
        <w:t>средстава.</w:t>
      </w:r>
    </w:p>
    <w:p>
      <w:pPr>
        <w:pStyle w:val="Heading2"/>
        <w:spacing w:line="240" w:lineRule="auto" w:before="2"/>
        <w:ind w:right="180"/>
        <w:jc w:val="both"/>
        <w:rPr>
          <w:rFonts w:ascii="Times New Roman" w:hAnsi="Times New Roman" w:cs="Times New Roman" w:eastAsia="Times New Roman" w:hint="default"/>
          <w:b w:val="0"/>
          <w:bCs w:val="0"/>
          <w:i w:val="0"/>
        </w:rPr>
      </w:pPr>
      <w:r>
        <w:rPr>
          <w:i/>
        </w:rPr>
        <w:t>Препоручује се одговорним лицима да врше анализу стања потраживања, усаглашавање стања потраживања, интерним актом дефинишу услове и рокове отписа застарелих потраживања и обезбеде потраживања средствима</w:t>
      </w:r>
      <w:r>
        <w:rPr>
          <w:i/>
          <w:spacing w:val="-12"/>
        </w:rPr>
        <w:t> </w:t>
      </w:r>
      <w:r>
        <w:rPr>
          <w:i/>
        </w:rPr>
        <w:t>обезбеђења</w:t>
      </w:r>
      <w:r>
        <w:rPr>
          <w:rFonts w:ascii="Times New Roman" w:hAnsi="Times New Roman"/>
          <w:i/>
        </w:rPr>
        <w:t>.</w:t>
      </w:r>
      <w:r>
        <w:rPr>
          <w:rFonts w:ascii="Times New Roman" w:hAnsi="Times New Roman"/>
          <w:b w:val="0"/>
          <w:i w:val="0"/>
        </w:rPr>
      </w:r>
    </w:p>
    <w:p>
      <w:pPr>
        <w:pStyle w:val="ListParagraph"/>
        <w:numPr>
          <w:ilvl w:val="0"/>
          <w:numId w:val="76"/>
        </w:numPr>
        <w:tabs>
          <w:tab w:pos="303" w:val="left" w:leader="none"/>
        </w:tabs>
        <w:spacing w:line="240" w:lineRule="auto" w:before="0" w:after="0"/>
        <w:ind w:left="160" w:right="178"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привреду, одрживи развој и заштиту животне средине </w:t>
      </w:r>
      <w:r>
        <w:rPr>
          <w:rFonts w:ascii="Times New Roman" w:hAnsi="Times New Roman"/>
          <w:sz w:val="24"/>
        </w:rPr>
        <w:t>у износу од 4.305 </w:t>
      </w:r>
      <w:r>
        <w:rPr>
          <w:rFonts w:ascii="Times New Roman" w:hAnsi="Times New Roman"/>
          <w:sz w:val="24"/>
        </w:rPr>
        <w:t>хиљада динара за исказана потраживања код: Управе у износу од 3.553 хиљаде динара и Туристичке организације у износу од 752 хиљаде</w:t>
      </w:r>
      <w:r>
        <w:rPr>
          <w:rFonts w:ascii="Times New Roman" w:hAnsi="Times New Roman"/>
          <w:spacing w:val="-16"/>
          <w:sz w:val="24"/>
        </w:rPr>
        <w:t> </w:t>
      </w:r>
      <w:r>
        <w:rPr>
          <w:rFonts w:ascii="Times New Roman" w:hAnsi="Times New Roman"/>
          <w:sz w:val="24"/>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Потраживање од купаца код Управе за привреду, одрживи развој и заштиту животне средине у износу од 3.413 хиљада динара потиче из 2010. године и застарело је. За исказано    потраживање    послат    је    ИОС    образац    ради    потврде    стања    </w:t>
      </w:r>
      <w:r>
        <w:rPr>
          <w:rFonts w:ascii="Times New Roman" w:hAnsi="Times New Roman"/>
          <w:spacing w:val="51"/>
          <w:sz w:val="24"/>
        </w:rPr>
        <w:t> </w:t>
      </w:r>
      <w:r>
        <w:rPr>
          <w:rFonts w:ascii="Times New Roman" w:hAnsi="Times New Roman"/>
          <w:sz w:val="24"/>
        </w:rPr>
        <w:t>купцу</w:t>
      </w:r>
    </w:p>
    <w:p>
      <w:pPr>
        <w:pStyle w:val="BodyText"/>
        <w:spacing w:line="240" w:lineRule="auto"/>
        <w:ind w:right="178"/>
        <w:jc w:val="both"/>
      </w:pPr>
      <w:r>
        <w:rPr/>
        <w:t>„Аеродромтурс“ Ниш (по повратници од 19.02.2014. године за пошиљку под  бројем 10/2), на који није приспео одговор. Ради усаглашавања стања на дан 31.12.2014. године покушана је достава ИОС обрасца наведеном купцу дана 30.01.2015. године али је на коверти назначено да је фирма под стечајем и пошиљка је враћена. У поступку ревизије утврђено је да је у Регистру привредних субјеката Агенције за привредне регистре уписана забелешба о покретању стечајног поступка над предузећем на основу Решења Привредног суда у Нишу, посл.број 3.Ст.45/2013 од 26.12.2013. године. На захтев ревизора, у поступку ревизије, није достављен доказ о пријави потраживања у стечајну масу.</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Потраживања од запослених за аконтације за службена путовања у иностранство код Управе за привреду, одрживи развој и заштиту животне средине потичу из 2011. године, јер нису правдани путни налози за путовања у иностранство, застарела су и за њихову наплату нису предузете</w:t>
      </w:r>
      <w:r>
        <w:rPr>
          <w:rFonts w:ascii="Times New Roman" w:hAnsi="Times New Roman"/>
          <w:spacing w:val="-15"/>
          <w:sz w:val="24"/>
        </w:rPr>
        <w:t> </w:t>
      </w:r>
      <w:r>
        <w:rPr>
          <w:rFonts w:ascii="Times New Roman" w:hAnsi="Times New Roman"/>
          <w:sz w:val="24"/>
        </w:rPr>
        <w:t>мере.</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Код Управе за привреду, одрживи развој и заштиту животне средине није евидентирано потраживање у укупном износу од 6.283 хиљаде динара и то у износу од 5.283 хиљаде динара од Туристичке организације дато за пројекат „Мотодестинг“ и у износу од 1.000 хиљаде динара од Регионалног центра за развој малих и средњих предузећа и предузетништва доо Ниш, </w:t>
      </w:r>
      <w:r>
        <w:rPr>
          <w:rFonts w:ascii="Times New Roman" w:hAnsi="Times New Roman" w:cs="Times New Roman" w:eastAsia="Times New Roman" w:hint="default"/>
          <w:spacing w:val="-4"/>
          <w:sz w:val="24"/>
          <w:szCs w:val="24"/>
        </w:rPr>
        <w:t>уз </w:t>
      </w:r>
      <w:r>
        <w:rPr>
          <w:rFonts w:ascii="Times New Roman" w:hAnsi="Times New Roman" w:cs="Times New Roman" w:eastAsia="Times New Roman" w:hint="default"/>
          <w:sz w:val="24"/>
          <w:szCs w:val="24"/>
        </w:rPr>
        <w:t>обавезу враћања, што је супротно члану 9. Уредбе о </w:t>
      </w:r>
      <w:r>
        <w:rPr>
          <w:rFonts w:ascii="Times New Roman" w:hAnsi="Times New Roman" w:cs="Times New Roman" w:eastAsia="Times New Roman" w:hint="default"/>
          <w:sz w:val="24"/>
          <w:szCs w:val="24"/>
        </w:rPr>
        <w:t>буџетском рачуноводству и Правилнику о стандардном класификационом оквиру и контном плану за буџетски систем. Истовремено, за исти износ мање је исказано стање  на конту 291300 – обрачунати ненаплаћени приходи и</w:t>
      </w:r>
      <w:r>
        <w:rPr>
          <w:rFonts w:ascii="Times New Roman" w:hAnsi="Times New Roman" w:cs="Times New Roman" w:eastAsia="Times New Roman" w:hint="default"/>
          <w:spacing w:val="-29"/>
          <w:sz w:val="24"/>
          <w:szCs w:val="24"/>
        </w:rPr>
        <w:t> </w:t>
      </w:r>
      <w:r>
        <w:rPr>
          <w:rFonts w:ascii="Times New Roman" w:hAnsi="Times New Roman" w:cs="Times New Roman" w:eastAsia="Times New Roman" w:hint="default"/>
          <w:sz w:val="24"/>
          <w:szCs w:val="24"/>
        </w:rPr>
        <w:t>примања.</w:t>
      </w:r>
    </w:p>
    <w:p>
      <w:pPr>
        <w:pStyle w:val="ListParagraph"/>
        <w:numPr>
          <w:ilvl w:val="0"/>
          <w:numId w:val="9"/>
        </w:numPr>
        <w:tabs>
          <w:tab w:pos="303" w:val="left" w:leader="none"/>
        </w:tabs>
        <w:spacing w:line="274" w:lineRule="exact" w:before="24" w:after="0"/>
        <w:ind w:left="160" w:right="184" w:firstLine="0"/>
        <w:jc w:val="both"/>
        <w:rPr>
          <w:rFonts w:ascii="Times New Roman" w:hAnsi="Times New Roman" w:cs="Times New Roman" w:eastAsia="Times New Roman" w:hint="default"/>
          <w:sz w:val="24"/>
          <w:szCs w:val="24"/>
        </w:rPr>
      </w:pPr>
      <w:r>
        <w:rPr>
          <w:rFonts w:ascii="Times New Roman" w:hAnsi="Times New Roman"/>
          <w:sz w:val="24"/>
        </w:rPr>
        <w:t>Краткорочна потраживања код Туристичке организације у износу од 83 хиљаде динара су застарела, потичу из 2009. и 2010.</w:t>
      </w:r>
      <w:r>
        <w:rPr>
          <w:rFonts w:ascii="Times New Roman" w:hAnsi="Times New Roman"/>
          <w:spacing w:val="-8"/>
          <w:sz w:val="24"/>
        </w:rPr>
        <w:t> </w:t>
      </w:r>
      <w:r>
        <w:rPr>
          <w:rFonts w:ascii="Times New Roman" w:hAnsi="Times New Roman"/>
          <w:sz w:val="24"/>
        </w:rPr>
        <w:t>године.</w:t>
      </w:r>
    </w:p>
    <w:p>
      <w:pPr>
        <w:pStyle w:val="Heading2"/>
        <w:spacing w:line="240" w:lineRule="auto" w:before="2"/>
        <w:ind w:right="177" w:firstLine="578"/>
        <w:jc w:val="both"/>
        <w:rPr>
          <w:rFonts w:ascii="Times New Roman" w:hAnsi="Times New Roman" w:cs="Times New Roman" w:eastAsia="Times New Roman" w:hint="default"/>
          <w:b w:val="0"/>
          <w:bCs w:val="0"/>
          <w:i w:val="0"/>
        </w:rPr>
      </w:pPr>
      <w:r>
        <w:rPr>
          <w:i/>
        </w:rPr>
        <w:t>Препоручује се одговорним лицима да анализирају своја потраживања, предузму мере ради њихове наплате, контролним поступцима обезбеде правдање путних налога за путовања у иностранство,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b w:val="0"/>
          <w:i w:val="0"/>
        </w:rPr>
        <w:t>.</w:t>
      </w:r>
    </w:p>
    <w:p>
      <w:pPr>
        <w:pStyle w:val="BodyText"/>
        <w:spacing w:line="240" w:lineRule="auto"/>
        <w:ind w:right="177"/>
        <w:jc w:val="both"/>
        <w:rPr>
          <w:rFonts w:ascii="Times New Roman" w:hAnsi="Times New Roman" w:cs="Times New Roman" w:eastAsia="Times New Roman" w:hint="default"/>
        </w:rPr>
      </w:pPr>
      <w:r>
        <w:rPr/>
        <w:pict>
          <v:group style="position:absolute;margin-left:81.984001pt;margin-top:12.823101pt;width:186.4pt;height:.1pt;mso-position-horizontal-relative:page;mso-position-vertical-relative:paragraph;z-index:-772600" coordorigin="1640,256" coordsize="3728,2">
            <v:shape style="position:absolute;left:1640;top:256;width:3728;height:2" coordorigin="1640,256" coordsize="3728,0" path="m1640,256l5367,256e" filled="false" stroked="true" strokeweight=".60004pt" strokecolor="#000000">
              <v:path arrowok="t"/>
            </v:shape>
            <w10:wrap type="none"/>
          </v:group>
        </w:pict>
      </w:r>
      <w:r>
        <w:rPr>
          <w:rFonts w:ascii="Times New Roman" w:hAnsi="Times New Roman"/>
        </w:rPr>
        <w:t>-</w:t>
      </w:r>
      <w:r>
        <w:rPr/>
        <w:t>Управе за планирање и изградњу у износу од 40.892 хиљаде динара за исказана потраживања код ЈП</w:t>
      </w:r>
      <w:r>
        <w:rPr>
          <w:spacing w:val="-6"/>
        </w:rPr>
        <w:t> </w:t>
      </w:r>
      <w:r>
        <w:rPr/>
        <w:t>ГСА</w:t>
      </w:r>
      <w:r>
        <w:rPr>
          <w:rFonts w:ascii="Times New Roman" w:hAnsi="Times New Roman"/>
        </w:rPr>
        <w:t>.</w:t>
      </w:r>
    </w:p>
    <w:p>
      <w:pPr>
        <w:pStyle w:val="Heading1"/>
        <w:spacing w:line="275" w:lineRule="exact"/>
        <w:ind w:right="141"/>
        <w:jc w:val="left"/>
        <w:rPr>
          <w:rFonts w:ascii="Times New Roman" w:hAnsi="Times New Roman" w:cs="Times New Roman" w:eastAsia="Times New Roman" w:hint="default"/>
          <w:b w:val="0"/>
          <w:bCs w:val="0"/>
        </w:rPr>
      </w:pPr>
      <w:r>
        <w:rPr/>
        <w:t>На основу извршене ревизије узорковане документације утврђено</w:t>
      </w:r>
      <w:r>
        <w:rPr>
          <w:spacing w:val="-14"/>
        </w:rPr>
        <w:t> </w:t>
      </w:r>
      <w:r>
        <w:rPr/>
        <w:t>је</w:t>
      </w:r>
      <w:r>
        <w:rPr>
          <w:rFonts w:ascii="Times New Roman" w:hAnsi="Times New Roman"/>
        </w:rPr>
        <w:t>:</w:t>
      </w:r>
      <w:r>
        <w:rPr>
          <w:rFonts w:ascii="Times New Roman" w:hAnsi="Times New Roman"/>
          <w:b w:val="0"/>
        </w:rPr>
      </w:r>
    </w:p>
    <w:p>
      <w:pPr>
        <w:pStyle w:val="ListParagraph"/>
        <w:numPr>
          <w:ilvl w:val="0"/>
          <w:numId w:val="9"/>
        </w:numPr>
        <w:tabs>
          <w:tab w:pos="303" w:val="left" w:leader="none"/>
        </w:tabs>
        <w:spacing w:line="274" w:lineRule="exact" w:before="21"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Ова билансна позиција исказана је у мањем износу за 70.541 хиљаду динара, што је објашњено на конту 111600 – кредити физичким лицима и домаћинствима у земљи, </w:t>
      </w:r>
      <w:r>
        <w:rPr>
          <w:rFonts w:ascii="Times New Roman" w:hAnsi="Times New Roman" w:cs="Times New Roman" w:eastAsia="Times New Roman" w:hint="default"/>
          <w:spacing w:val="55"/>
          <w:sz w:val="24"/>
          <w:szCs w:val="24"/>
        </w:rPr>
        <w:t> </w:t>
      </w:r>
      <w:r>
        <w:rPr>
          <w:rFonts w:ascii="Times New Roman" w:hAnsi="Times New Roman" w:cs="Times New Roman" w:eastAsia="Times New Roman" w:hint="default"/>
          <w:sz w:val="24"/>
          <w:szCs w:val="24"/>
        </w:rPr>
        <w:t>што</w:t>
      </w:r>
    </w:p>
    <w:p>
      <w:pPr>
        <w:spacing w:after="0" w:line="274" w:lineRule="exact"/>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85"/>
        <w:jc w:val="both"/>
        <w:rPr>
          <w:rFonts w:ascii="Times New Roman" w:hAnsi="Times New Roman" w:cs="Times New Roman" w:eastAsia="Times New Roman" w:hint="default"/>
        </w:rPr>
      </w:pPr>
      <w:r>
        <w:rPr/>
        <w:t>је супротно члану 9. Уредбе о буџетском рачуноводству и Правилнику о стандардном класификационом оквиру и контном плану за буџетски</w:t>
      </w:r>
      <w:r>
        <w:rPr>
          <w:spacing w:val="-24"/>
        </w:rPr>
        <w:t> </w:t>
      </w:r>
      <w:r>
        <w:rPr/>
        <w:t>систем</w:t>
      </w:r>
      <w:r>
        <w:rPr>
          <w:rFonts w:ascii="Times New Roman" w:hAnsi="Times New Roman"/>
        </w:rPr>
        <w:t>.</w:t>
      </w:r>
    </w:p>
    <w:p>
      <w:pPr>
        <w:pStyle w:val="ListParagraph"/>
        <w:numPr>
          <w:ilvl w:val="0"/>
          <w:numId w:val="9"/>
        </w:numPr>
        <w:tabs>
          <w:tab w:pos="303" w:val="left" w:leader="none"/>
        </w:tabs>
        <w:spacing w:line="292" w:lineRule="exact" w:before="11" w:after="0"/>
        <w:ind w:left="302" w:right="0" w:hanging="142"/>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ЈП</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„Градска</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стамбена</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агенција“</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је</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ову</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билансну</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позицију</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исказала</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у</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мањем</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износу</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за</w:t>
      </w:r>
    </w:p>
    <w:p>
      <w:pPr>
        <w:pStyle w:val="BodyText"/>
        <w:spacing w:line="240" w:lineRule="auto"/>
        <w:ind w:right="184"/>
        <w:jc w:val="both"/>
        <w:rPr>
          <w:rFonts w:ascii="Times New Roman" w:hAnsi="Times New Roman" w:cs="Times New Roman" w:eastAsia="Times New Roman" w:hint="default"/>
        </w:rPr>
      </w:pPr>
      <w:r>
        <w:rPr/>
        <w:t>107.042 хиљаде динара, јер је књижила исправку вредности потраживања (поменути износ се односи на утужена потраживања за које још судски процес није завршен), без правног основа за</w:t>
      </w:r>
      <w:r>
        <w:rPr>
          <w:spacing w:val="-8"/>
        </w:rPr>
        <w:t> </w:t>
      </w:r>
      <w:r>
        <w:rPr/>
        <w:t>умањење</w:t>
      </w:r>
      <w:r>
        <w:rPr>
          <w:rFonts w:ascii="Times New Roman" w:hAnsi="Times New Roman"/>
        </w:rPr>
        <w:t>.</w:t>
      </w:r>
    </w:p>
    <w:p>
      <w:pPr>
        <w:pStyle w:val="ListParagraph"/>
        <w:numPr>
          <w:ilvl w:val="0"/>
          <w:numId w:val="9"/>
        </w:numPr>
        <w:tabs>
          <w:tab w:pos="303" w:val="left" w:leader="none"/>
        </w:tabs>
        <w:spacing w:line="240" w:lineRule="auto" w:before="9"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Уговорима за издавање стамбеног простора нису дефинисане заштитне клаузуле у циљу наплате потраживања и заштите јавних</w:t>
      </w:r>
      <w:r>
        <w:rPr>
          <w:rFonts w:ascii="Times New Roman" w:hAnsi="Times New Roman"/>
          <w:spacing w:val="-13"/>
          <w:sz w:val="24"/>
        </w:rPr>
        <w:t> </w:t>
      </w:r>
      <w:r>
        <w:rPr>
          <w:rFonts w:ascii="Times New Roman" w:hAnsi="Times New Roman"/>
          <w:sz w:val="24"/>
        </w:rPr>
        <w:t>средстава</w:t>
      </w:r>
      <w:r>
        <w:rPr>
          <w:rFonts w:ascii="Times New Roman" w:hAnsi="Times New Roman"/>
          <w:sz w:val="24"/>
        </w:rPr>
        <w:t>.</w:t>
      </w:r>
    </w:p>
    <w:p>
      <w:pPr>
        <w:pStyle w:val="ListParagraph"/>
        <w:numPr>
          <w:ilvl w:val="0"/>
          <w:numId w:val="9"/>
        </w:numPr>
        <w:tabs>
          <w:tab w:pos="36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Уговори о закупу станова, које је ЈП ГСА закључила са физичким лицима,  су закључени на период од три године и исти нису обновљени од 2010. године како је то прописано чланом 6. Уговора о закупу, тако да су станови издати без важећег</w:t>
      </w:r>
      <w:r>
        <w:rPr>
          <w:rFonts w:ascii="Times New Roman" w:hAnsi="Times New Roman"/>
          <w:spacing w:val="-27"/>
          <w:sz w:val="24"/>
        </w:rPr>
        <w:t> </w:t>
      </w:r>
      <w:r>
        <w:rPr>
          <w:rFonts w:ascii="Times New Roman" w:hAnsi="Times New Roman"/>
          <w:sz w:val="24"/>
        </w:rPr>
        <w:t>уговора.</w:t>
      </w:r>
    </w:p>
    <w:p>
      <w:pPr>
        <w:pStyle w:val="ListParagraph"/>
        <w:numPr>
          <w:ilvl w:val="0"/>
          <w:numId w:val="9"/>
        </w:numPr>
        <w:tabs>
          <w:tab w:pos="303" w:val="left" w:leader="none"/>
        </w:tabs>
        <w:spacing w:line="237" w:lineRule="auto" w:before="4" w:after="0"/>
        <w:ind w:left="160" w:right="170" w:firstLine="0"/>
        <w:jc w:val="both"/>
        <w:rPr>
          <w:rFonts w:ascii="Times New Roman" w:hAnsi="Times New Roman" w:cs="Times New Roman" w:eastAsia="Times New Roman" w:hint="default"/>
          <w:sz w:val="24"/>
          <w:szCs w:val="24"/>
        </w:rPr>
      </w:pPr>
      <w:r>
        <w:rPr>
          <w:rFonts w:ascii="Times New Roman" w:hAnsi="Times New Roman"/>
          <w:sz w:val="24"/>
        </w:rPr>
        <w:t>Потраживања од купаца на дан 31.12.201</w:t>
      </w:r>
      <w:r>
        <w:rPr>
          <w:rFonts w:ascii="Times New Roman" w:hAnsi="Times New Roman"/>
          <w:sz w:val="24"/>
        </w:rPr>
        <w:t>4</w:t>
      </w:r>
      <w:r>
        <w:rPr>
          <w:rFonts w:ascii="Times New Roman" w:hAnsi="Times New Roman"/>
          <w:sz w:val="24"/>
        </w:rPr>
        <w:t>. године нису усаглашена за износ који у поступку ревизије нисмо могли утврдити, што је супротно члану 18. Уредбе о буџетском рачуноводству.</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ЈП ГСА се обраћала у више наврата градској општини Палилула, на чијој се територији налазе ти станови са обавештењем да имају проблема са наплатом потраживања </w:t>
      </w:r>
      <w:r>
        <w:rPr>
          <w:rFonts w:ascii="Times New Roman" w:hAnsi="Times New Roman" w:cs="Times New Roman" w:eastAsia="Times New Roman" w:hint="default"/>
          <w:spacing w:val="4"/>
          <w:sz w:val="24"/>
          <w:szCs w:val="24"/>
        </w:rPr>
        <w:t>за </w:t>
      </w:r>
      <w:r>
        <w:rPr>
          <w:rFonts w:ascii="Times New Roman" w:hAnsi="Times New Roman" w:cs="Times New Roman" w:eastAsia="Times New Roman" w:hint="default"/>
          <w:sz w:val="24"/>
          <w:szCs w:val="24"/>
        </w:rPr>
        <w:t>закуп </w:t>
      </w:r>
      <w:r>
        <w:rPr>
          <w:rFonts w:ascii="Times New Roman" w:hAnsi="Times New Roman" w:cs="Times New Roman" w:eastAsia="Times New Roman" w:hint="default"/>
          <w:sz w:val="24"/>
          <w:szCs w:val="24"/>
        </w:rPr>
        <w:t>станова са 37 закупца. Дана 14.</w:t>
      </w:r>
      <w:r>
        <w:rPr>
          <w:rFonts w:ascii="Times New Roman" w:hAnsi="Times New Roman" w:cs="Times New Roman" w:eastAsia="Times New Roman" w:hint="default"/>
          <w:sz w:val="24"/>
          <w:szCs w:val="24"/>
        </w:rPr>
        <w:t>0</w:t>
      </w:r>
      <w:r>
        <w:rPr>
          <w:rFonts w:ascii="Times New Roman" w:hAnsi="Times New Roman" w:cs="Times New Roman" w:eastAsia="Times New Roman" w:hint="default"/>
          <w:sz w:val="24"/>
          <w:szCs w:val="24"/>
        </w:rPr>
        <w:t>6.2010. године поднети су захтеви за исељење  надлежном органу градске општине Палилула, заведеним под бројем 04/3</w:t>
      </w:r>
      <w:r>
        <w:rPr>
          <w:rFonts w:ascii="Times New Roman" w:hAnsi="Times New Roman" w:cs="Times New Roman" w:eastAsia="Times New Roman" w:hint="default"/>
          <w:sz w:val="24"/>
          <w:szCs w:val="24"/>
        </w:rPr>
        <w:t>-2-360-</w:t>
      </w:r>
      <w:r>
        <w:rPr>
          <w:rFonts w:ascii="Times New Roman" w:hAnsi="Times New Roman" w:cs="Times New Roman" w:eastAsia="Times New Roman" w:hint="default"/>
          <w:sz w:val="24"/>
          <w:szCs w:val="24"/>
        </w:rPr>
        <w:t>319 до </w:t>
      </w:r>
      <w:r>
        <w:rPr>
          <w:rFonts w:ascii="Times New Roman" w:hAnsi="Times New Roman" w:cs="Times New Roman" w:eastAsia="Times New Roman" w:hint="default"/>
          <w:sz w:val="24"/>
          <w:szCs w:val="24"/>
        </w:rPr>
        <w:t>04/3-2-360-</w:t>
      </w:r>
      <w:r>
        <w:rPr>
          <w:rFonts w:ascii="Times New Roman" w:hAnsi="Times New Roman" w:cs="Times New Roman" w:eastAsia="Times New Roman" w:hint="default"/>
          <w:sz w:val="24"/>
          <w:szCs w:val="24"/>
        </w:rPr>
        <w:t>357. Градска општина Палилула је донела Решење број Уп. Број 360</w:t>
      </w:r>
      <w:r>
        <w:rPr>
          <w:rFonts w:ascii="Times New Roman" w:hAnsi="Times New Roman" w:cs="Times New Roman" w:eastAsia="Times New Roman" w:hint="default"/>
          <w:sz w:val="24"/>
          <w:szCs w:val="24"/>
        </w:rPr>
        <w:t>-331/10- 04/3-2 </w:t>
      </w:r>
      <w:r>
        <w:rPr>
          <w:rFonts w:ascii="Times New Roman" w:hAnsi="Times New Roman" w:cs="Times New Roman" w:eastAsia="Times New Roman" w:hint="default"/>
          <w:sz w:val="24"/>
          <w:szCs w:val="24"/>
        </w:rPr>
        <w:t>од 10.</w:t>
      </w:r>
      <w:r>
        <w:rPr>
          <w:rFonts w:ascii="Times New Roman" w:hAnsi="Times New Roman" w:cs="Times New Roman" w:eastAsia="Times New Roman" w:hint="default"/>
          <w:sz w:val="24"/>
          <w:szCs w:val="24"/>
        </w:rPr>
        <w:t>0</w:t>
      </w:r>
      <w:r>
        <w:rPr>
          <w:rFonts w:ascii="Times New Roman" w:hAnsi="Times New Roman" w:cs="Times New Roman" w:eastAsia="Times New Roman" w:hint="default"/>
          <w:sz w:val="24"/>
          <w:szCs w:val="24"/>
        </w:rPr>
        <w:t>6.2011. године о усвајању захтева за исељење, али је после извесног времена Закључцима одбацила свих 37 захтева за исељење. ЈП „Градска стамбена агенција“ је поднела жалбу Већу градске општине Палилула, по којој није одлучивано. Спор је покренут код Основног суда у Нишу и пресуђено у корист ЈП „Градска стамбена агенција“. Заштитник грађана се огласио својим мишљењем 3Г</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57/11 дана </w:t>
      </w:r>
      <w:r>
        <w:rPr>
          <w:rFonts w:ascii="Times New Roman" w:hAnsi="Times New Roman" w:cs="Times New Roman" w:eastAsia="Times New Roman" w:hint="default"/>
          <w:sz w:val="24"/>
          <w:szCs w:val="24"/>
        </w:rPr>
        <w:t>08.04.2011. </w:t>
      </w:r>
      <w:r>
        <w:rPr>
          <w:rFonts w:ascii="Times New Roman" w:hAnsi="Times New Roman" w:cs="Times New Roman" w:eastAsia="Times New Roman" w:hint="default"/>
          <w:sz w:val="24"/>
          <w:szCs w:val="24"/>
        </w:rPr>
        <w:t>године, којим тражи да се извршење судских одлука не спроводи. Питање потраживања од закупа није решено до дана вршења</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ревизије</w:t>
      </w:r>
      <w:r>
        <w:rPr>
          <w:rFonts w:ascii="Times New Roman" w:hAnsi="Times New Roman" w:cs="Times New Roman" w:eastAsia="Times New Roman" w:hint="default"/>
          <w:sz w:val="24"/>
          <w:szCs w:val="24"/>
        </w:rPr>
        <w:t>.</w:t>
      </w:r>
    </w:p>
    <w:p>
      <w:pPr>
        <w:pStyle w:val="Heading2"/>
        <w:spacing w:line="240" w:lineRule="auto" w:before="14"/>
        <w:ind w:right="174"/>
        <w:jc w:val="both"/>
        <w:rPr>
          <w:rFonts w:ascii="Times New Roman" w:hAnsi="Times New Roman" w:cs="Times New Roman" w:eastAsia="Times New Roman" w:hint="default"/>
          <w:b w:val="0"/>
          <w:bCs w:val="0"/>
          <w:i w:val="0"/>
        </w:rPr>
      </w:pPr>
      <w:r>
        <w:rPr>
          <w:i/>
        </w:rPr>
        <w:t>Препоручује се одговорним лицима да</w:t>
      </w:r>
      <w:r>
        <w:rPr>
          <w:rFonts w:ascii="Times New Roman" w:hAnsi="Times New Roman"/>
          <w:i/>
        </w:rPr>
        <w:t>: </w:t>
      </w:r>
      <w:r>
        <w:rPr>
          <w:i/>
        </w:rPr>
        <w:t>обезбеде основ за отпис потраживања, интерним актом дефинишу услове и рокове отписа потраживања</w:t>
      </w:r>
      <w:r>
        <w:rPr>
          <w:rFonts w:ascii="Times New Roman" w:hAnsi="Times New Roman"/>
          <w:i/>
        </w:rPr>
        <w:t>, </w:t>
      </w:r>
      <w:r>
        <w:rPr>
          <w:i/>
        </w:rPr>
        <w:t>станове издају у закуп на основу уговора</w:t>
      </w:r>
      <w:r>
        <w:rPr>
          <w:rFonts w:ascii="Times New Roman" w:hAnsi="Times New Roman"/>
          <w:i/>
        </w:rPr>
        <w:t>, </w:t>
      </w:r>
      <w:r>
        <w:rPr>
          <w:i/>
        </w:rPr>
        <w:t>уговори које закључују садрже заштитне клаузуле које треба примењивати у циљу заштите јавних средстава и обезбеде потраживања средствима</w:t>
      </w:r>
      <w:r>
        <w:rPr>
          <w:i/>
          <w:spacing w:val="-5"/>
        </w:rPr>
        <w:t> </w:t>
      </w:r>
      <w:r>
        <w:rPr>
          <w:i/>
        </w:rPr>
        <w:t>обезбеђења</w:t>
      </w:r>
      <w:r>
        <w:rPr>
          <w:rFonts w:ascii="Times New Roman" w:hAnsi="Times New Roman"/>
          <w:i/>
        </w:rPr>
        <w:t>.</w:t>
      </w:r>
      <w:r>
        <w:rPr>
          <w:rFonts w:ascii="Times New Roman" w:hAnsi="Times New Roman"/>
          <w:b w:val="0"/>
          <w:i w:val="0"/>
        </w:rPr>
      </w:r>
    </w:p>
    <w:p>
      <w:pPr>
        <w:pStyle w:val="ListParagraph"/>
        <w:numPr>
          <w:ilvl w:val="0"/>
          <w:numId w:val="76"/>
        </w:numPr>
        <w:tabs>
          <w:tab w:pos="303" w:val="left" w:leader="none"/>
        </w:tabs>
        <w:spacing w:line="271"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имовину и инспекцијске послове </w:t>
      </w:r>
      <w:r>
        <w:rPr>
          <w:rFonts w:ascii="Times New Roman" w:hAnsi="Times New Roman"/>
          <w:sz w:val="24"/>
        </w:rPr>
        <w:t>у износу од 4.297 хиљада</w:t>
      </w:r>
      <w:r>
        <w:rPr>
          <w:rFonts w:ascii="Times New Roman" w:hAnsi="Times New Roman"/>
          <w:spacing w:val="-23"/>
          <w:sz w:val="24"/>
        </w:rPr>
        <w:t> </w:t>
      </w:r>
      <w:r>
        <w:rPr>
          <w:rFonts w:ascii="Times New Roman" w:hAnsi="Times New Roman"/>
          <w:sz w:val="24"/>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3"/>
        </w:rPr>
        <w:t> </w:t>
      </w:r>
      <w:r>
        <w:rPr/>
        <w:t>је:</w:t>
      </w:r>
      <w:r>
        <w:rPr>
          <w:b w:val="0"/>
        </w:rPr>
      </w:r>
    </w:p>
    <w:p>
      <w:pPr>
        <w:pStyle w:val="ListParagraph"/>
        <w:numPr>
          <w:ilvl w:val="0"/>
          <w:numId w:val="9"/>
        </w:numPr>
        <w:tabs>
          <w:tab w:pos="303"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Ова позиција мање је исказана у билансу стања Управе за имовину и инспекцијске послове за износ потраживања по основу закупа станова који су у власништву града Ниша а који у поступку ревизије нисмо могли да утврдимо, јер евиденција не постоји. Према писаном објашњењу одговорних лица Управе за имовину и инспекцијске послове на дан 31.12.2014. године у закуп је издато 258 станова. Чланом 45. Одлуке о стамбеним зградама и становима („Службени лист града Ниша“ број 14/93, 24/93, 1/96, 1/2000, 40/04, 68/06 и 101/12) евиденцију о становима издатим у закуп и закљученим уговорима  о закупу води Управа за имовину и инспекцијске послове, а чланом 44. Одлуке регулисано је да утврђивање, обрачун и наплату закупнине за станове врши ЈП „Нишстан“.  Уговором о вршењу послова наплате број 01</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2189 од 01.01.2009. године ЈП „Нишстан“ је послове наплате стамбених услуга поверио ЈКП „Обједињена наплата“. Управа за имовину и инспекцијске послове нема евиденцију о износу потраживања закупаца за издате</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станове,</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као</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ни</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уговоре</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о</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закупу</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који</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су</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закључивани</w:t>
      </w:r>
      <w:r>
        <w:rPr>
          <w:rFonts w:ascii="Times New Roman" w:hAnsi="Times New Roman" w:cs="Times New Roman" w:eastAsia="Times New Roman" w:hint="default"/>
          <w:spacing w:val="27"/>
          <w:sz w:val="24"/>
          <w:szCs w:val="24"/>
        </w:rPr>
        <w:t> </w:t>
      </w:r>
      <w:r>
        <w:rPr>
          <w:rFonts w:ascii="Times New Roman" w:hAnsi="Times New Roman" w:cs="Times New Roman" w:eastAsia="Times New Roman" w:hint="default"/>
          <w:sz w:val="24"/>
          <w:szCs w:val="24"/>
        </w:rPr>
        <w:t>у</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претходном</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периоду.</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У</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7"/>
        <w:jc w:val="both"/>
      </w:pPr>
      <w:r>
        <w:rPr/>
        <w:t>објашњењу се даље истиче да је део документације изгорео у пожару, као и да постоје уговори без печата, без датума закључења уговора, без заводног броја. Документација којом располаже Управа за имовину потиче од ЈП „Нишстан“ и ради се о фотокопијама. Средства која по основу закупа станова наплати ЈКП „Обједињена наплата“ преноси на рачун ЈП „Нишстан“ и иста се не уплаћују у буџет града Ниша. Претходно наведено супротно је члану 6. Закона о јавној својини, по коме свако ко одлучује о стварима у јавној својини, ко их користи или њима управља дужан је да поступа као добар домаћин  и одговоран је за то, а супротно је и члану 11. Одлуке о прибављању, располагању и управљању стварима у јавној својини града Ниша и члану 14. Одлуке о организацији градских управа града</w:t>
      </w:r>
      <w:r>
        <w:rPr>
          <w:spacing w:val="-8"/>
        </w:rPr>
        <w:t> </w:t>
      </w:r>
      <w:r>
        <w:rPr/>
        <w:t>Ниша.</w:t>
      </w:r>
    </w:p>
    <w:p>
      <w:pPr>
        <w:pStyle w:val="ListParagraph"/>
        <w:numPr>
          <w:ilvl w:val="0"/>
          <w:numId w:val="9"/>
        </w:numPr>
        <w:tabs>
          <w:tab w:pos="363" w:val="left" w:leader="none"/>
        </w:tabs>
        <w:spacing w:line="240" w:lineRule="auto" w:before="2" w:after="0"/>
        <w:ind w:left="160" w:right="17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поступку ревизије утврђено је да ЈКП „Обједињена наплата“ у 2014. години није имала посебну евиденцију наплате закупа станова којим располаже град Ниш, већ збирно за све станове, на основу евиденције добијене од ЈП „Нишстан“, док је ЈП „Нишстан“ по основу закупа пренето укупно 11.794 хиљаде</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динара.</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Не можемо се уверити у тачност и правилност исказаног потраживања од купаца за задужење за комуналне трошкове код Управе за имовину и инспекцијске послове јер се у Управи за финансије града Ниша, Одсеку за буџетско рачуноводство не врши редовно евидентирање уплата од стране корисника на име задужења за комуналне трошкове, </w:t>
      </w:r>
      <w:r>
        <w:rPr>
          <w:rFonts w:ascii="Times New Roman" w:hAnsi="Times New Roman"/>
          <w:spacing w:val="3"/>
          <w:sz w:val="24"/>
        </w:rPr>
        <w:t>као </w:t>
      </w:r>
      <w:r>
        <w:rPr>
          <w:rFonts w:ascii="Times New Roman" w:hAnsi="Times New Roman"/>
          <w:spacing w:val="3"/>
          <w:sz w:val="24"/>
        </w:rPr>
      </w:r>
      <w:r>
        <w:rPr>
          <w:rFonts w:ascii="Times New Roman" w:hAnsi="Times New Roman"/>
          <w:sz w:val="24"/>
        </w:rPr>
        <w:t>ни сва месечна задужења корисника, тако да стање исказаног потраживања није тачно и </w:t>
      </w:r>
      <w:r>
        <w:rPr>
          <w:rFonts w:ascii="Times New Roman" w:hAnsi="Times New Roman"/>
          <w:sz w:val="24"/>
        </w:rPr>
        <w:t>реално</w:t>
      </w:r>
      <w:r>
        <w:rPr>
          <w:rFonts w:ascii="Times New Roman" w:hAnsi="Times New Roman"/>
          <w:spacing w:val="-4"/>
          <w:sz w:val="24"/>
        </w:rPr>
        <w:t> </w:t>
      </w:r>
      <w:r>
        <w:rPr>
          <w:rFonts w:ascii="Times New Roman" w:hAnsi="Times New Roman"/>
          <w:sz w:val="24"/>
        </w:rPr>
        <w:t>исказано.</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 основу података добијених од стране Управе за имовину и инспекцијске послове дуг закупаца и корисника пословног простора по основу комуналних трошкова, према њиховој евиденцији износи 10.207 хиљада динара са пресеком на дан 31.12.2014. године, у коме је исказан </w:t>
      </w:r>
      <w:r>
        <w:rPr>
          <w:rFonts w:ascii="Times New Roman" w:hAnsi="Times New Roman" w:cs="Times New Roman" w:eastAsia="Times New Roman" w:hint="default"/>
          <w:spacing w:val="-2"/>
          <w:sz w:val="24"/>
          <w:szCs w:val="24"/>
        </w:rPr>
        <w:t>дуг </w:t>
      </w:r>
      <w:r>
        <w:rPr>
          <w:rFonts w:ascii="Times New Roman" w:hAnsi="Times New Roman" w:cs="Times New Roman" w:eastAsia="Times New Roman" w:hint="default"/>
          <w:sz w:val="24"/>
          <w:szCs w:val="24"/>
        </w:rPr>
        <w:t>активних и пасивних закупаца, од чега дуговање активних закупаца </w:t>
      </w:r>
      <w:r>
        <w:rPr>
          <w:rFonts w:ascii="Times New Roman" w:hAnsi="Times New Roman" w:cs="Times New Roman" w:eastAsia="Times New Roman" w:hint="default"/>
          <w:sz w:val="24"/>
          <w:szCs w:val="24"/>
        </w:rPr>
        <w:t>износи 8.978 хиљада динара а дуговање пасивних закупаца износи 1.229 хиљада динара. Наведена потраживања нису евидентирана у пословним књигама Управе за имовину и инспекцијске послове нити су исказана у билансу стања у датом износу, па је ова позиција мање исказана за износ који у поступку ревизије нисмо могли да утврдимо. Истовремено, мање је исказана вредност на позицији 291300 – обрачунати ненаплаћени приходи и</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примања.</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Корисницима пословног простора достављени су ИОС обрасци стања дуговања према граду на дан 31.12.2014. године и од стране Управе за имовину и инспекцијске послове и од стране Управе за финансије, изворне приходе локалне самоуправе и јавне набавке али је број и износ усаглашених потраживања</w:t>
      </w:r>
      <w:r>
        <w:rPr>
          <w:rFonts w:ascii="Times New Roman" w:hAnsi="Times New Roman"/>
          <w:spacing w:val="-15"/>
          <w:sz w:val="24"/>
        </w:rPr>
        <w:t> </w:t>
      </w:r>
      <w:r>
        <w:rPr>
          <w:rFonts w:ascii="Times New Roman" w:hAnsi="Times New Roman"/>
          <w:sz w:val="24"/>
        </w:rPr>
        <w:t>безначајан.</w:t>
      </w:r>
    </w:p>
    <w:p>
      <w:pPr>
        <w:pStyle w:val="ListParagraph"/>
        <w:numPr>
          <w:ilvl w:val="0"/>
          <w:numId w:val="9"/>
        </w:numPr>
        <w:tabs>
          <w:tab w:pos="303" w:val="left" w:leader="none"/>
        </w:tabs>
        <w:spacing w:line="240" w:lineRule="auto" w:before="2" w:after="0"/>
        <w:ind w:left="160" w:right="18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Према пословним књигама Установе „Пчелица“ стање дуговања према граду Нишу на име комуналних трошкова на дан 31.12.2014. године износи 72 хиљаде динара, док укупно извршена плаћања током 2014. године износе 706 хиљада динара. Према евиденцији у пословним књигама Управе за имовину и инспекцијске послове, коју води Управа за финансије града Ниша стање потраживања од установе „Пчелица“ на дан 31.12.2014. године износи 85 хиљада динара, док је износ евидентираних уплата седам хиљада динара. Према помоћној евиденцији Управе за имовину стање потраживања од Установе „Пчелица“ са пресеком на дан 31.12.2014. године износи 82 хиљаде динара, док је износ извршених уплата 714 хиљада</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динара.</w:t>
      </w:r>
    </w:p>
    <w:p>
      <w:pPr>
        <w:pStyle w:val="ListParagraph"/>
        <w:numPr>
          <w:ilvl w:val="0"/>
          <w:numId w:val="9"/>
        </w:numPr>
        <w:tabs>
          <w:tab w:pos="303" w:val="left" w:leader="none"/>
        </w:tabs>
        <w:spacing w:line="237" w:lineRule="auto" w:before="5"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 основу увида у финансијске картице купаца: Установа „Пчелица“ (шифра 5055) са исказаним салдом дуговања у износу од 85 хиљада динара, МУП Србије (шифра 5078) са исказаним</w:t>
      </w:r>
      <w:r>
        <w:rPr>
          <w:rFonts w:ascii="Times New Roman" w:hAnsi="Times New Roman" w:cs="Times New Roman" w:eastAsia="Times New Roman" w:hint="default"/>
          <w:spacing w:val="40"/>
          <w:sz w:val="24"/>
          <w:szCs w:val="24"/>
        </w:rPr>
        <w:t> </w:t>
      </w:r>
      <w:r>
        <w:rPr>
          <w:rFonts w:ascii="Times New Roman" w:hAnsi="Times New Roman" w:cs="Times New Roman" w:eastAsia="Times New Roman" w:hint="default"/>
          <w:sz w:val="24"/>
          <w:szCs w:val="24"/>
        </w:rPr>
        <w:t>салдом</w:t>
      </w:r>
      <w:r>
        <w:rPr>
          <w:rFonts w:ascii="Times New Roman" w:hAnsi="Times New Roman" w:cs="Times New Roman" w:eastAsia="Times New Roman" w:hint="default"/>
          <w:spacing w:val="40"/>
          <w:sz w:val="24"/>
          <w:szCs w:val="24"/>
        </w:rPr>
        <w:t> </w:t>
      </w:r>
      <w:r>
        <w:rPr>
          <w:rFonts w:ascii="Times New Roman" w:hAnsi="Times New Roman" w:cs="Times New Roman" w:eastAsia="Times New Roman" w:hint="default"/>
          <w:sz w:val="24"/>
          <w:szCs w:val="24"/>
        </w:rPr>
        <w:t>дуговања</w:t>
      </w:r>
      <w:r>
        <w:rPr>
          <w:rFonts w:ascii="Times New Roman" w:hAnsi="Times New Roman" w:cs="Times New Roman" w:eastAsia="Times New Roman" w:hint="default"/>
          <w:spacing w:val="44"/>
          <w:sz w:val="24"/>
          <w:szCs w:val="24"/>
        </w:rPr>
        <w:t> </w:t>
      </w:r>
      <w:r>
        <w:rPr>
          <w:rFonts w:ascii="Times New Roman" w:hAnsi="Times New Roman" w:cs="Times New Roman" w:eastAsia="Times New Roman" w:hint="default"/>
          <w:sz w:val="24"/>
          <w:szCs w:val="24"/>
        </w:rPr>
        <w:t>у</w:t>
      </w:r>
      <w:r>
        <w:rPr>
          <w:rFonts w:ascii="Times New Roman" w:hAnsi="Times New Roman" w:cs="Times New Roman" w:eastAsia="Times New Roman" w:hint="default"/>
          <w:spacing w:val="36"/>
          <w:sz w:val="24"/>
          <w:szCs w:val="24"/>
        </w:rPr>
        <w:t> </w:t>
      </w:r>
      <w:r>
        <w:rPr>
          <w:rFonts w:ascii="Times New Roman" w:hAnsi="Times New Roman" w:cs="Times New Roman" w:eastAsia="Times New Roman" w:hint="default"/>
          <w:sz w:val="24"/>
          <w:szCs w:val="24"/>
        </w:rPr>
        <w:t>износу</w:t>
      </w:r>
      <w:r>
        <w:rPr>
          <w:rFonts w:ascii="Times New Roman" w:hAnsi="Times New Roman" w:cs="Times New Roman" w:eastAsia="Times New Roman" w:hint="default"/>
          <w:spacing w:val="33"/>
          <w:sz w:val="24"/>
          <w:szCs w:val="24"/>
        </w:rPr>
        <w:t> </w:t>
      </w:r>
      <w:r>
        <w:rPr>
          <w:rFonts w:ascii="Times New Roman" w:hAnsi="Times New Roman" w:cs="Times New Roman" w:eastAsia="Times New Roman" w:hint="default"/>
          <w:sz w:val="24"/>
          <w:szCs w:val="24"/>
        </w:rPr>
        <w:t>од</w:t>
      </w:r>
      <w:r>
        <w:rPr>
          <w:rFonts w:ascii="Times New Roman" w:hAnsi="Times New Roman" w:cs="Times New Roman" w:eastAsia="Times New Roman" w:hint="default"/>
          <w:spacing w:val="41"/>
          <w:sz w:val="24"/>
          <w:szCs w:val="24"/>
        </w:rPr>
        <w:t> </w:t>
      </w:r>
      <w:r>
        <w:rPr>
          <w:rFonts w:ascii="Times New Roman" w:hAnsi="Times New Roman" w:cs="Times New Roman" w:eastAsia="Times New Roman" w:hint="default"/>
          <w:sz w:val="24"/>
          <w:szCs w:val="24"/>
        </w:rPr>
        <w:t>366</w:t>
      </w:r>
      <w:r>
        <w:rPr>
          <w:rFonts w:ascii="Times New Roman" w:hAnsi="Times New Roman" w:cs="Times New Roman" w:eastAsia="Times New Roman" w:hint="default"/>
          <w:spacing w:val="43"/>
          <w:sz w:val="24"/>
          <w:szCs w:val="24"/>
        </w:rPr>
        <w:t> </w:t>
      </w:r>
      <w:r>
        <w:rPr>
          <w:rFonts w:ascii="Times New Roman" w:hAnsi="Times New Roman" w:cs="Times New Roman" w:eastAsia="Times New Roman" w:hint="default"/>
          <w:sz w:val="24"/>
          <w:szCs w:val="24"/>
        </w:rPr>
        <w:t>хиљада</w:t>
      </w:r>
      <w:r>
        <w:rPr>
          <w:rFonts w:ascii="Times New Roman" w:hAnsi="Times New Roman" w:cs="Times New Roman" w:eastAsia="Times New Roman" w:hint="default"/>
          <w:spacing w:val="40"/>
          <w:sz w:val="24"/>
          <w:szCs w:val="24"/>
        </w:rPr>
        <w:t> </w:t>
      </w:r>
      <w:r>
        <w:rPr>
          <w:rFonts w:ascii="Times New Roman" w:hAnsi="Times New Roman" w:cs="Times New Roman" w:eastAsia="Times New Roman" w:hint="default"/>
          <w:sz w:val="24"/>
          <w:szCs w:val="24"/>
        </w:rPr>
        <w:t>динара,</w:t>
      </w:r>
      <w:r>
        <w:rPr>
          <w:rFonts w:ascii="Times New Roman" w:hAnsi="Times New Roman" w:cs="Times New Roman" w:eastAsia="Times New Roman" w:hint="default"/>
          <w:spacing w:val="40"/>
          <w:sz w:val="24"/>
          <w:szCs w:val="24"/>
        </w:rPr>
        <w:t> </w:t>
      </w:r>
      <w:r>
        <w:rPr>
          <w:rFonts w:ascii="Times New Roman" w:hAnsi="Times New Roman" w:cs="Times New Roman" w:eastAsia="Times New Roman" w:hint="default"/>
          <w:sz w:val="24"/>
          <w:szCs w:val="24"/>
        </w:rPr>
        <w:t>Друштво</w:t>
      </w:r>
      <w:r>
        <w:rPr>
          <w:rFonts w:ascii="Times New Roman" w:hAnsi="Times New Roman" w:cs="Times New Roman" w:eastAsia="Times New Roman" w:hint="default"/>
          <w:spacing w:val="40"/>
          <w:sz w:val="24"/>
          <w:szCs w:val="24"/>
        </w:rPr>
        <w:t> </w:t>
      </w:r>
      <w:r>
        <w:rPr>
          <w:rFonts w:ascii="Times New Roman" w:hAnsi="Times New Roman" w:cs="Times New Roman" w:eastAsia="Times New Roman" w:hint="default"/>
          <w:sz w:val="24"/>
          <w:szCs w:val="24"/>
        </w:rPr>
        <w:t>за</w:t>
      </w:r>
      <w:r>
        <w:rPr>
          <w:rFonts w:ascii="Times New Roman" w:hAnsi="Times New Roman" w:cs="Times New Roman" w:eastAsia="Times New Roman" w:hint="default"/>
          <w:spacing w:val="40"/>
          <w:sz w:val="24"/>
          <w:szCs w:val="24"/>
        </w:rPr>
        <w:t> </w:t>
      </w:r>
      <w:r>
        <w:rPr>
          <w:rFonts w:ascii="Times New Roman" w:hAnsi="Times New Roman" w:cs="Times New Roman" w:eastAsia="Times New Roman" w:hint="default"/>
          <w:sz w:val="24"/>
          <w:szCs w:val="24"/>
        </w:rPr>
        <w:t>рекреативни</w:t>
      </w:r>
    </w:p>
    <w:p>
      <w:pPr>
        <w:spacing w:after="0" w:line="237"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83"/>
        <w:jc w:val="both"/>
      </w:pPr>
      <w:r>
        <w:rPr/>
        <w:t>спорт (шифра 5151) са исказним салдом дуговања у износу од 198 хиљада динара, утврђено је да у пословним књигама нису евидентирана задужења за комуналне  трошкове за месеце јануар и фебруар 2014.</w:t>
      </w:r>
      <w:r>
        <w:rPr>
          <w:spacing w:val="-11"/>
        </w:rPr>
        <w:t> </w:t>
      </w:r>
      <w:r>
        <w:rPr/>
        <w:t>године.</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Префактурисање комуналних трошкова за месеце август, септембар, октобар  и новембар од стране Управе за имовину и инспекцијске послове извршено је крајем децембра 2014. године, а рачуни су предати Управи за финансије тек 06.01.2015. године (у пословним књигама евидентирани су налогом за књижење број 261 од 31.12.2014. године), што указује на неажурност у састављању и предаји рачуноводствених исправа и у вођењу пословних књига, што је супротно члану 16. Уредбе о буџетском рачуноводству.</w:t>
      </w:r>
    </w:p>
    <w:p>
      <w:pPr>
        <w:pStyle w:val="ListParagraph"/>
        <w:numPr>
          <w:ilvl w:val="0"/>
          <w:numId w:val="9"/>
        </w:numPr>
        <w:tabs>
          <w:tab w:pos="303" w:val="left" w:leader="none"/>
        </w:tabs>
        <w:spacing w:line="240" w:lineRule="auto" w:before="2" w:after="0"/>
        <w:ind w:left="160" w:right="18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пословним књигама Управе за имовину и инспекцијске послове града Ниша, које се води у Одсеку за буџетско рачуноводство при Управи за финансије, изворне приходе локалне самоуправе и јавне набавке нису евидентирана потраживања за закупнину по основу давања пословног простора, којим располаже и управља град Ниш, у закуп. Послови давања у закуп и фактурисања закупнине обављају се у Управи за имовину и инспекцијске послове и према подацима наведене Управе потраживања града Ниша по основу закупнине на дан 31.12.2014. године износе 248.489 хиљада динара од чега се потраживање у износу од 84.725 хиљада динара односи на потраживања од активних закупаца а износ од 163.764 хиљаде динара представљају потраживања под пасивних закупаца. Наведена потраживања нису евидентирана у пословним књигама Управе за имовину и инспекцијске послове нити су исказана у билансу стања, па је ова позиција мање исказана за износ од 248.489 хиљад</w:t>
      </w:r>
      <w:r>
        <w:rPr>
          <w:rFonts w:ascii="Times New Roman" w:hAnsi="Times New Roman" w:cs="Times New Roman" w:eastAsia="Times New Roman" w:hint="default"/>
          <w:sz w:val="24"/>
          <w:szCs w:val="24"/>
        </w:rPr>
        <w:t>a </w:t>
      </w:r>
      <w:r>
        <w:rPr>
          <w:rFonts w:ascii="Times New Roman" w:hAnsi="Times New Roman" w:cs="Times New Roman" w:eastAsia="Times New Roman" w:hint="default"/>
          <w:sz w:val="24"/>
          <w:szCs w:val="24"/>
        </w:rPr>
        <w:t>динара. Истовремено, мање је исказана вредност на позицији 291300 – обрачунати ненаплаћени приходи и</w:t>
      </w:r>
      <w:r>
        <w:rPr>
          <w:rFonts w:ascii="Times New Roman" w:hAnsi="Times New Roman" w:cs="Times New Roman" w:eastAsia="Times New Roman" w:hint="default"/>
          <w:spacing w:val="-30"/>
          <w:sz w:val="24"/>
          <w:szCs w:val="24"/>
        </w:rPr>
        <w:t> </w:t>
      </w:r>
      <w:r>
        <w:rPr>
          <w:rFonts w:ascii="Times New Roman" w:hAnsi="Times New Roman" w:cs="Times New Roman" w:eastAsia="Times New Roman" w:hint="default"/>
          <w:sz w:val="24"/>
          <w:szCs w:val="24"/>
        </w:rPr>
        <w:t>примања.</w:t>
      </w:r>
    </w:p>
    <w:p>
      <w:pPr>
        <w:pStyle w:val="ListParagraph"/>
        <w:numPr>
          <w:ilvl w:val="0"/>
          <w:numId w:val="9"/>
        </w:numPr>
        <w:tabs>
          <w:tab w:pos="303" w:val="left" w:leader="none"/>
        </w:tabs>
        <w:spacing w:line="240" w:lineRule="auto" w:before="2"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Управа за имовину и инспекцијске послове доставља рачуне за закуп пословног простора Управи за финансије, изворне приходе локалне самоуправе и јавне набавке  ради регулисања плаћања ПДВ по издатим рачунима, како је наведено у пропратним писмима а не ради евидентирања потраживања у пословним књигама. С друге стране, Управа за финансије не врши евидентирање рачуна за закуп пословног простора иако их добија по другом основу од Управе за имовину и инспекцијске</w:t>
      </w:r>
      <w:r>
        <w:rPr>
          <w:rFonts w:ascii="Times New Roman" w:hAnsi="Times New Roman"/>
          <w:spacing w:val="-25"/>
          <w:sz w:val="24"/>
        </w:rPr>
        <w:t> </w:t>
      </w:r>
      <w:r>
        <w:rPr>
          <w:rFonts w:ascii="Times New Roman" w:hAnsi="Times New Roman"/>
          <w:sz w:val="24"/>
        </w:rPr>
        <w:t>послове.</w:t>
      </w:r>
    </w:p>
    <w:p>
      <w:pPr>
        <w:pStyle w:val="ListParagraph"/>
        <w:numPr>
          <w:ilvl w:val="0"/>
          <w:numId w:val="9"/>
        </w:numPr>
        <w:tabs>
          <w:tab w:pos="303" w:val="left" w:leader="none"/>
        </w:tabs>
        <w:spacing w:line="232" w:lineRule="auto" w:before="9"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Рачуни за закуп пословног простора испостављају се на основу закључених Уговора о закупу пословног простора са закупцем а уговорена цена закупа по м</w:t>
      </w:r>
      <w:r>
        <w:rPr>
          <w:rFonts w:ascii="Times New Roman" w:hAnsi="Times New Roman"/>
          <w:position w:val="11"/>
          <w:sz w:val="16"/>
        </w:rPr>
        <w:t>2 </w:t>
      </w:r>
      <w:r>
        <w:rPr>
          <w:rFonts w:ascii="Times New Roman" w:hAnsi="Times New Roman"/>
          <w:sz w:val="24"/>
        </w:rPr>
        <w:t>усклађује се месечно за висину званично објављених индекса потрошачких цена. На рачуну није наведена уговорена цена и висина индекса потрошачких цена са којим се усклађује, већ се фактурисање врши са већ усклађеном</w:t>
      </w:r>
      <w:r>
        <w:rPr>
          <w:rFonts w:ascii="Times New Roman" w:hAnsi="Times New Roman"/>
          <w:spacing w:val="-15"/>
          <w:sz w:val="24"/>
        </w:rPr>
        <w:t> </w:t>
      </w:r>
      <w:r>
        <w:rPr>
          <w:rFonts w:ascii="Times New Roman" w:hAnsi="Times New Roman"/>
          <w:sz w:val="24"/>
        </w:rPr>
        <w:t>ценом.</w:t>
      </w:r>
    </w:p>
    <w:p>
      <w:pPr>
        <w:pStyle w:val="Heading2"/>
        <w:spacing w:line="240" w:lineRule="auto" w:before="6"/>
        <w:ind w:right="174"/>
        <w:jc w:val="both"/>
        <w:rPr>
          <w:b w:val="0"/>
          <w:bCs w:val="0"/>
          <w:i w:val="0"/>
        </w:rPr>
      </w:pPr>
      <w:r>
        <w:rPr>
          <w:i/>
        </w:rPr>
        <w:t>Препоручује се одговорним лицима да у својим пословним књигама евидентирају све пословне промене које настају у вези са пословањем и утичу на стање имовине града, редовно анализирају своја потраживања, предузму мере ради наплате својих потраживања, усаглашавају стања из своје евиденције са стањима из евиденције својих купаца, обезбеде правилну примену одредби Уредбе о буџетском  рачуноводству.</w:t>
      </w:r>
      <w:r>
        <w:rPr>
          <w:b w:val="0"/>
          <w:i w:val="0"/>
        </w:rPr>
      </w:r>
    </w:p>
    <w:p>
      <w:pPr>
        <w:pStyle w:val="ListParagraph"/>
        <w:numPr>
          <w:ilvl w:val="0"/>
          <w:numId w:val="76"/>
        </w:numPr>
        <w:tabs>
          <w:tab w:pos="303"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Службе за одржавање и информатичко комуникационе технологије </w:t>
      </w:r>
      <w:r>
        <w:rPr>
          <w:rFonts w:ascii="Times New Roman" w:hAnsi="Times New Roman"/>
          <w:sz w:val="24"/>
        </w:rPr>
        <w:t>у износу од 5.402 </w:t>
      </w:r>
      <w:r>
        <w:rPr>
          <w:rFonts w:ascii="Times New Roman" w:hAnsi="Times New Roman"/>
          <w:sz w:val="24"/>
        </w:rPr>
        <w:t>хиљаде</w:t>
      </w:r>
      <w:r>
        <w:rPr>
          <w:rFonts w:ascii="Times New Roman" w:hAnsi="Times New Roman"/>
          <w:spacing w:val="-3"/>
          <w:sz w:val="24"/>
        </w:rPr>
        <w:t> </w:t>
      </w:r>
      <w:r>
        <w:rPr>
          <w:rFonts w:ascii="Times New Roman" w:hAnsi="Times New Roman"/>
          <w:sz w:val="24"/>
        </w:rPr>
        <w:t>динара</w:t>
      </w:r>
      <w:r>
        <w:rPr>
          <w:rFonts w:ascii="Times New Roman" w:hAnsi="Times New Roman"/>
          <w:sz w:val="24"/>
        </w:rPr>
        <w:t>.</w:t>
      </w:r>
    </w:p>
    <w:p>
      <w:pPr>
        <w:pStyle w:val="Heading1"/>
        <w:spacing w:line="275" w:lineRule="exact"/>
        <w:ind w:left="738"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37" w:lineRule="auto" w:before="1"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Потраживања исказана код Службе за одржавање и информатичко комуникационе технологије у износу од 4.980 хиљада динара настала су на основу задужења за префактурисане     материјалне     трошкове     корисника</w:t>
      </w:r>
      <w:r>
        <w:rPr>
          <w:rFonts w:ascii="Times New Roman" w:hAnsi="Times New Roman"/>
          <w:sz w:val="24"/>
        </w:rPr>
        <w:t>-</w:t>
      </w:r>
      <w:r>
        <w:rPr>
          <w:rFonts w:ascii="Times New Roman" w:hAnsi="Times New Roman"/>
          <w:sz w:val="24"/>
        </w:rPr>
        <w:t>закупаца     простора     </w:t>
      </w:r>
      <w:r>
        <w:rPr>
          <w:rFonts w:ascii="Times New Roman" w:hAnsi="Times New Roman"/>
          <w:spacing w:val="39"/>
          <w:sz w:val="24"/>
        </w:rPr>
        <w:t> </w:t>
      </w:r>
      <w:r>
        <w:rPr>
          <w:rFonts w:ascii="Times New Roman" w:hAnsi="Times New Roman"/>
          <w:sz w:val="24"/>
        </w:rPr>
        <w:t>месних</w:t>
      </w:r>
    </w:p>
    <w:p>
      <w:pPr>
        <w:spacing w:after="0" w:line="237"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6"/>
        <w:jc w:val="both"/>
      </w:pPr>
      <w:r>
        <w:rPr/>
        <w:t>канцеларија. Од исказаних потраживања, износ од 223 хиљаде динара потиче из периода од пре 2010. године, износ од 215 хиљада динара потиче из 2011. године, тако да су застарела.</w:t>
      </w:r>
    </w:p>
    <w:p>
      <w:pPr>
        <w:pStyle w:val="ListParagraph"/>
        <w:numPr>
          <w:ilvl w:val="0"/>
          <w:numId w:val="9"/>
        </w:numPr>
        <w:tabs>
          <w:tab w:pos="303"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Задужења за закупце формирају се у Служби за одржавање и информатичко комуникационе технологије на основу рачуна добављача и достављају Управи за финансије, изворне приходе локалне самоуправе и јавне набавке ради евидентирања. Служба за одржавање и информатичко комуникационе технологије нема помоћну евиденцију за праћење дуговања купаца за комуналне трошкове а у Одсеку за буџетско рачуноводство при Управи за финансије, изворне приходе локалне самоуправе и јавне набавке не врши се редовно евидентирање уплата купаца (јер се уплате врше на рачун осталих јавних прихода у корист нивоа градова број 840</w:t>
      </w:r>
      <w:r>
        <w:rPr>
          <w:rFonts w:ascii="Times New Roman" w:hAnsi="Times New Roman"/>
          <w:sz w:val="24"/>
        </w:rPr>
        <w:t>-745141843-</w:t>
      </w:r>
      <w:r>
        <w:rPr>
          <w:rFonts w:ascii="Times New Roman" w:hAnsi="Times New Roman"/>
          <w:sz w:val="24"/>
        </w:rPr>
        <w:t>30), тако да се у поступку ревизије нисмо уверили у тачност и правилност исказаног износа</w:t>
      </w:r>
      <w:r>
        <w:rPr>
          <w:rFonts w:ascii="Times New Roman" w:hAnsi="Times New Roman"/>
          <w:spacing w:val="-31"/>
          <w:sz w:val="24"/>
        </w:rPr>
        <w:t> </w:t>
      </w:r>
      <w:r>
        <w:rPr>
          <w:rFonts w:ascii="Times New Roman" w:hAnsi="Times New Roman"/>
          <w:sz w:val="24"/>
        </w:rPr>
        <w:t>потраживања.</w:t>
      </w:r>
    </w:p>
    <w:p>
      <w:pPr>
        <w:pStyle w:val="ListParagraph"/>
        <w:numPr>
          <w:ilvl w:val="0"/>
          <w:numId w:val="9"/>
        </w:numPr>
        <w:tabs>
          <w:tab w:pos="303"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Потраживања од запослених по основу мањкова у износу од 48 хиљада динара су застарела и потичу од 31.12.2006. године. Према евиденцији запослених, запослени који се дужи за мањак на сталном је раду у граду Нишу и на дан вршења ревизије а нису предузете мере ради наплате</w:t>
      </w:r>
      <w:r>
        <w:rPr>
          <w:rFonts w:ascii="Times New Roman" w:hAnsi="Times New Roman"/>
          <w:spacing w:val="-10"/>
          <w:sz w:val="24"/>
        </w:rPr>
        <w:t> </w:t>
      </w:r>
      <w:r>
        <w:rPr>
          <w:rFonts w:ascii="Times New Roman" w:hAnsi="Times New Roman"/>
          <w:sz w:val="24"/>
        </w:rPr>
        <w:t>мањка.</w:t>
      </w:r>
    </w:p>
    <w:p>
      <w:pPr>
        <w:pStyle w:val="Heading2"/>
        <w:spacing w:line="240" w:lineRule="auto"/>
        <w:ind w:right="174"/>
        <w:jc w:val="both"/>
        <w:rPr>
          <w:rFonts w:ascii="Times New Roman" w:hAnsi="Times New Roman" w:cs="Times New Roman" w:eastAsia="Times New Roman" w:hint="default"/>
          <w:b w:val="0"/>
          <w:bCs w:val="0"/>
          <w:i w:val="0"/>
        </w:rPr>
      </w:pPr>
      <w:r>
        <w:rPr>
          <w:i/>
        </w:rPr>
        <w:t>Препоручује се одговорним лицима да у својим пословним књигама евидентирају све пословне промене које настају у вези са пословањем и утичу на стање имовине града, редовно анализирају своја потраживања, предузму мере ради наплате својих потраживања, усаглашавају стања из своје евиденције са стањима из евиденције својих купаца</w:t>
      </w:r>
      <w:r>
        <w:rPr>
          <w:rFonts w:ascii="Times New Roman" w:hAnsi="Times New Roman"/>
          <w:i/>
        </w:rPr>
        <w:t>.</w:t>
      </w:r>
      <w:r>
        <w:rPr>
          <w:rFonts w:ascii="Times New Roman" w:hAnsi="Times New Roman"/>
          <w:b w:val="0"/>
          <w:i w:val="0"/>
        </w:rPr>
      </w:r>
    </w:p>
    <w:p>
      <w:pPr>
        <w:pStyle w:val="ListParagraph"/>
        <w:numPr>
          <w:ilvl w:val="0"/>
          <w:numId w:val="76"/>
        </w:numPr>
        <w:tabs>
          <w:tab w:pos="303" w:val="left" w:leader="none"/>
        </w:tabs>
        <w:spacing w:line="272"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Заштитника грађана </w:t>
      </w:r>
      <w:r>
        <w:rPr>
          <w:rFonts w:ascii="Times New Roman" w:hAnsi="Times New Roman"/>
          <w:sz w:val="24"/>
        </w:rPr>
        <w:t>у износу од 42 хиљаде</w:t>
      </w:r>
      <w:r>
        <w:rPr>
          <w:rFonts w:ascii="Times New Roman" w:hAnsi="Times New Roman"/>
          <w:spacing w:val="-18"/>
          <w:sz w:val="24"/>
        </w:rPr>
        <w:t> </w:t>
      </w:r>
      <w:r>
        <w:rPr>
          <w:rFonts w:ascii="Times New Roman" w:hAnsi="Times New Roman"/>
          <w:sz w:val="24"/>
        </w:rPr>
        <w:t>динара.</w:t>
      </w:r>
    </w:p>
    <w:p>
      <w:pPr>
        <w:pStyle w:val="BodyText"/>
        <w:spacing w:line="240" w:lineRule="auto"/>
        <w:ind w:right="178" w:firstLine="566"/>
        <w:jc w:val="both"/>
      </w:pPr>
      <w:r>
        <w:rPr>
          <w:rFonts w:ascii="Times New Roman" w:hAnsi="Times New Roman"/>
          <w:b/>
        </w:rPr>
        <w:t>На основу ревизије узорковане документације утврђено је </w:t>
      </w:r>
      <w:r>
        <w:rPr/>
        <w:t>да је у билансу стања Заштитника грађана више исказан износ потраживања за накнаде у износу од 42 хиљаде динара (због неправилно евидентиране уплате на Управу за финансије, изворне приходе локалне самоуправе и јавне</w:t>
      </w:r>
      <w:r>
        <w:rPr>
          <w:spacing w:val="-13"/>
        </w:rPr>
        <w:t> </w:t>
      </w:r>
      <w:r>
        <w:rPr/>
        <w:t>набавке).</w:t>
      </w:r>
    </w:p>
    <w:p>
      <w:pPr>
        <w:pStyle w:val="Heading2"/>
        <w:spacing w:line="240" w:lineRule="auto"/>
        <w:ind w:right="184" w:firstLine="578"/>
        <w:jc w:val="both"/>
        <w:rPr>
          <w:b w:val="0"/>
          <w:bCs w:val="0"/>
          <w:i w:val="0"/>
        </w:rPr>
      </w:pPr>
      <w:r>
        <w:rPr>
          <w:i/>
        </w:rPr>
        <w:t>Препоручује се одговорним лицима да правилно и тачно исказују своја потраживања.</w:t>
      </w:r>
      <w:r>
        <w:rPr>
          <w:b w:val="0"/>
          <w:i w:val="0"/>
        </w:rPr>
      </w:r>
    </w:p>
    <w:p>
      <w:pPr>
        <w:pStyle w:val="ListParagraph"/>
        <w:numPr>
          <w:ilvl w:val="0"/>
          <w:numId w:val="76"/>
        </w:numPr>
        <w:tabs>
          <w:tab w:pos="303" w:val="left" w:leader="none"/>
        </w:tabs>
        <w:spacing w:line="271"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Градског јавног правобранилаштва </w:t>
      </w:r>
      <w:r>
        <w:rPr>
          <w:rFonts w:ascii="Times New Roman" w:hAnsi="Times New Roman"/>
          <w:sz w:val="24"/>
        </w:rPr>
        <w:t>у износу од 170 хиљада</w:t>
      </w:r>
      <w:r>
        <w:rPr>
          <w:rFonts w:ascii="Times New Roman" w:hAnsi="Times New Roman"/>
          <w:spacing w:val="-11"/>
          <w:sz w:val="24"/>
        </w:rPr>
        <w:t> </w:t>
      </w:r>
      <w:r>
        <w:rPr>
          <w:rFonts w:ascii="Times New Roman" w:hAnsi="Times New Roman"/>
          <w:sz w:val="24"/>
        </w:rPr>
        <w:t>динара</w:t>
      </w:r>
      <w:r>
        <w:rPr>
          <w:rFonts w:ascii="Times New Roman" w:hAnsi="Times New Roman"/>
          <w:sz w:val="24"/>
        </w:rPr>
        <w:t>.</w:t>
      </w:r>
    </w:p>
    <w:p>
      <w:pPr>
        <w:spacing w:before="0"/>
        <w:ind w:left="160" w:right="176" w:firstLine="578"/>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да је у </w:t>
      </w:r>
      <w:r>
        <w:rPr>
          <w:rFonts w:ascii="Times New Roman" w:hAnsi="Times New Roman"/>
          <w:sz w:val="24"/>
        </w:rPr>
        <w:t>билансу стања Градског јавног првобранилаштва више исказан износ потраживања за накнаде у износу од 170 хиљада динара (због неправилно евидентиране уплате на Управу за</w:t>
      </w:r>
      <w:r>
        <w:rPr>
          <w:rFonts w:ascii="Times New Roman" w:hAnsi="Times New Roman"/>
          <w:spacing w:val="-26"/>
          <w:sz w:val="24"/>
        </w:rPr>
        <w:t> </w:t>
      </w:r>
      <w:r>
        <w:rPr>
          <w:rFonts w:ascii="Times New Roman" w:hAnsi="Times New Roman"/>
          <w:sz w:val="24"/>
        </w:rPr>
        <w:t>финансије).</w:t>
      </w:r>
    </w:p>
    <w:p>
      <w:pPr>
        <w:pStyle w:val="Heading2"/>
        <w:spacing w:line="240" w:lineRule="auto"/>
        <w:ind w:right="184" w:firstLine="578"/>
        <w:jc w:val="both"/>
        <w:rPr>
          <w:b w:val="0"/>
          <w:bCs w:val="0"/>
          <w:i w:val="0"/>
        </w:rPr>
      </w:pPr>
      <w:r>
        <w:rPr>
          <w:i/>
        </w:rPr>
        <w:t>Препоручује се одговорним лицима да правилно и тачно исказују своја потраживања.</w:t>
      </w:r>
      <w:r>
        <w:rPr>
          <w:b w:val="0"/>
          <w:i w:val="0"/>
        </w:rPr>
      </w:r>
    </w:p>
    <w:p>
      <w:pPr>
        <w:pStyle w:val="ListParagraph"/>
        <w:numPr>
          <w:ilvl w:val="0"/>
          <w:numId w:val="76"/>
        </w:numPr>
        <w:tabs>
          <w:tab w:pos="444" w:val="left" w:leader="none"/>
        </w:tabs>
        <w:spacing w:line="240" w:lineRule="auto" w:before="0" w:after="0"/>
        <w:ind w:left="160" w:right="184"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 Буџету града Ниша </w:t>
      </w:r>
      <w:r>
        <w:rPr>
          <w:rFonts w:ascii="Times New Roman" w:hAnsi="Times New Roman"/>
          <w:sz w:val="24"/>
        </w:rPr>
        <w:t>исказана су потраживања у износу од 300.661 хиљаде динара, за </w:t>
      </w:r>
      <w:r>
        <w:rPr>
          <w:rFonts w:ascii="Times New Roman" w:hAnsi="Times New Roman"/>
          <w:sz w:val="24"/>
        </w:rPr>
        <w:t>потраживања од купаца у износу од 89 хиљада динара, потраживања за откупљене станове у износу од 776 хиљада динара и остала краткорочна потраживања у износу од 299.796 хиљада динара за позајмице из робних</w:t>
      </w:r>
      <w:r>
        <w:rPr>
          <w:rFonts w:ascii="Times New Roman" w:hAnsi="Times New Roman"/>
          <w:spacing w:val="-13"/>
          <w:sz w:val="24"/>
        </w:rPr>
        <w:t> </w:t>
      </w:r>
      <w:r>
        <w:rPr>
          <w:rFonts w:ascii="Times New Roman" w:hAnsi="Times New Roman"/>
          <w:sz w:val="24"/>
        </w:rPr>
        <w:t>резерви.</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Потраживања у износу од 300.661 хиљаде динара исказана су у билансу града Ниша који се не односи на конкретног корисника већ на град Ниш. Исказана потраживања се у износу од </w:t>
      </w:r>
      <w:r>
        <w:rPr>
          <w:rFonts w:ascii="Times New Roman" w:hAnsi="Times New Roman"/>
          <w:sz w:val="24"/>
        </w:rPr>
        <w:t>2</w:t>
      </w:r>
      <w:r>
        <w:rPr>
          <w:rFonts w:ascii="Times New Roman" w:hAnsi="Times New Roman"/>
          <w:sz w:val="24"/>
        </w:rPr>
        <w:t>99.796 хиљ</w:t>
      </w:r>
      <w:r>
        <w:rPr>
          <w:rFonts w:ascii="Times New Roman" w:hAnsi="Times New Roman"/>
          <w:sz w:val="24"/>
        </w:rPr>
        <w:t>a</w:t>
      </w:r>
      <w:r>
        <w:rPr>
          <w:rFonts w:ascii="Times New Roman" w:hAnsi="Times New Roman"/>
          <w:sz w:val="24"/>
        </w:rPr>
        <w:t>да динара односе на потраживања за позајмице из робних  резерви, док су робне резерве у надлежности Управе за привреду, одрживи развој и заштиту животне</w:t>
      </w:r>
      <w:r>
        <w:rPr>
          <w:rFonts w:ascii="Times New Roman" w:hAnsi="Times New Roman"/>
          <w:spacing w:val="-9"/>
          <w:sz w:val="24"/>
        </w:rPr>
        <w:t> </w:t>
      </w:r>
      <w:r>
        <w:rPr>
          <w:rFonts w:ascii="Times New Roman" w:hAnsi="Times New Roman"/>
          <w:sz w:val="24"/>
        </w:rPr>
        <w:t>средине.</w:t>
      </w:r>
    </w:p>
    <w:p>
      <w:pPr>
        <w:pStyle w:val="ListParagraph"/>
        <w:numPr>
          <w:ilvl w:val="0"/>
          <w:numId w:val="9"/>
        </w:numPr>
        <w:tabs>
          <w:tab w:pos="303" w:val="left" w:leader="none"/>
        </w:tabs>
        <w:spacing w:line="274" w:lineRule="exact" w:before="24" w:after="0"/>
        <w:ind w:left="160" w:right="179"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Потраживања за робне резерве од ЈКП „Медијана“ у износу од 4.690 хиљада динара потичу  из  ранијих  година,  на  име  позајмице:  за  дизел  гориво  и  индустријску  со  </w:t>
      </w:r>
      <w:r>
        <w:rPr>
          <w:rFonts w:ascii="Times New Roman" w:hAnsi="Times New Roman" w:cs="Times New Roman" w:eastAsia="Times New Roman" w:hint="default"/>
          <w:spacing w:val="48"/>
          <w:sz w:val="24"/>
          <w:szCs w:val="24"/>
        </w:rPr>
        <w:t> </w:t>
      </w:r>
      <w:r>
        <w:rPr>
          <w:rFonts w:ascii="Times New Roman" w:hAnsi="Times New Roman" w:cs="Times New Roman" w:eastAsia="Times New Roman" w:hint="default"/>
          <w:sz w:val="24"/>
          <w:szCs w:val="24"/>
        </w:rPr>
        <w:t>–</w:t>
      </w:r>
    </w:p>
    <w:p>
      <w:pPr>
        <w:spacing w:after="0" w:line="274" w:lineRule="exact"/>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3"/>
        <w:jc w:val="both"/>
      </w:pPr>
      <w:r>
        <w:rPr/>
        <w:t>позајмица од 8.000 литара дизел горива по Решењу Извршног одбора града Ниша број </w:t>
      </w:r>
      <w:r>
        <w:rPr>
          <w:rFonts w:ascii="Times New Roman" w:hAnsi="Times New Roman" w:cs="Times New Roman" w:eastAsia="Times New Roman" w:hint="default"/>
        </w:rPr>
        <w:t>06-6/2001-</w:t>
      </w:r>
      <w:r>
        <w:rPr/>
        <w:t>14/1 од 27.02.2001. године и Уговору о позајмици из 2001. године и позајмица од 20.000 литара по Решењу Извршног одбора града Ниша број 06</w:t>
      </w:r>
      <w:r>
        <w:rPr>
          <w:rFonts w:ascii="Times New Roman" w:hAnsi="Times New Roman" w:cs="Times New Roman" w:eastAsia="Times New Roman" w:hint="default"/>
        </w:rPr>
        <w:t>-32/2001-</w:t>
      </w:r>
      <w:r>
        <w:rPr/>
        <w:t>16 од 23.11.2001. године и Уговору број 2</w:t>
      </w:r>
      <w:r>
        <w:rPr>
          <w:rFonts w:ascii="Times New Roman" w:hAnsi="Times New Roman" w:cs="Times New Roman" w:eastAsia="Times New Roman" w:hint="default"/>
        </w:rPr>
        <w:t>-</w:t>
      </w:r>
      <w:r>
        <w:rPr/>
        <w:t>9831 од 27.11.2001. године за које је Решењем Градоначелника број 4143/2012</w:t>
      </w:r>
      <w:r>
        <w:rPr>
          <w:rFonts w:ascii="Times New Roman" w:hAnsi="Times New Roman" w:cs="Times New Roman" w:eastAsia="Times New Roman" w:hint="default"/>
        </w:rPr>
        <w:t>-</w:t>
      </w:r>
      <w:r>
        <w:rPr/>
        <w:t>01 од 07.12.2012. године одобрено да уместо 28.000 литара дизел горива ЈКП врати 27.400 литара евро дизела, што је анексирано већим бројем Анекса за продужење рока враћања позајмљеног горива. Последњим Анексима уговора о позајмици евро дизела, из 2014. године број 05</w:t>
      </w:r>
      <w:r>
        <w:rPr>
          <w:rFonts w:ascii="Times New Roman" w:hAnsi="Times New Roman" w:cs="Times New Roman" w:eastAsia="Times New Roman" w:hint="default"/>
        </w:rPr>
        <w:t>-30/01-</w:t>
      </w:r>
      <w:r>
        <w:rPr/>
        <w:t>45 и број 05</w:t>
      </w:r>
      <w:r>
        <w:rPr>
          <w:rFonts w:ascii="Times New Roman" w:hAnsi="Times New Roman" w:cs="Times New Roman" w:eastAsia="Times New Roman" w:hint="default"/>
        </w:rPr>
        <w:t>-194/01-</w:t>
      </w:r>
      <w:r>
        <w:rPr/>
        <w:t>43 од 08.09.2014. ЈКП „Медијана“ обавезана је да позајмљен евро дизел врати најкасније до 28.02.2015. године. Позајмица индустријске соли у износу од 200 тона одобрена је Решењем Градоначелника града Ниша број 54/2005</w:t>
      </w:r>
      <w:r>
        <w:rPr>
          <w:rFonts w:ascii="Times New Roman" w:hAnsi="Times New Roman" w:cs="Times New Roman" w:eastAsia="Times New Roman" w:hint="default"/>
        </w:rPr>
        <w:t>-</w:t>
      </w:r>
      <w:r>
        <w:rPr/>
        <w:t>01 од 01.02.2005. године, по Уговору о позајмици број 05</w:t>
      </w:r>
      <w:r>
        <w:rPr>
          <w:rFonts w:ascii="Times New Roman" w:hAnsi="Times New Roman" w:cs="Times New Roman" w:eastAsia="Times New Roman" w:hint="default"/>
        </w:rPr>
        <w:t>-</w:t>
      </w:r>
      <w:r>
        <w:rPr/>
        <w:t>23/05 од 04.02.2005. године који је анексиран више пута ради продужења рока враћања, а последњим анексом из 2014. године зајмопримац је обавезан да изврши повраћај соли најкасније до 28.02.2015.</w:t>
      </w:r>
      <w:r>
        <w:rPr>
          <w:spacing w:val="-9"/>
        </w:rPr>
        <w:t> </w:t>
      </w:r>
      <w:r>
        <w:rPr/>
        <w:t>године.</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Потраживања од ЈКП „Градска топлана“ у износу од 216.796 хиљада динара за мазут потичу из ранијих година и Решењима и Анексима уговора продужаван је рок враћања: Решењем Извршног одбора града Ниша број 06</w:t>
      </w:r>
      <w:r>
        <w:rPr>
          <w:rFonts w:ascii="Times New Roman" w:hAnsi="Times New Roman" w:cs="Times New Roman" w:eastAsia="Times New Roman" w:hint="default"/>
          <w:sz w:val="24"/>
          <w:szCs w:val="24"/>
        </w:rPr>
        <w:t>-10/2002-</w:t>
      </w:r>
      <w:r>
        <w:rPr>
          <w:rFonts w:ascii="Times New Roman" w:hAnsi="Times New Roman" w:cs="Times New Roman" w:eastAsia="Times New Roman" w:hint="default"/>
          <w:sz w:val="24"/>
          <w:szCs w:val="24"/>
        </w:rPr>
        <w:t>22 од 19.04.2002. године одобрена је позајмица 1.139.300 килограма мазута, Решењем број 06</w:t>
      </w:r>
      <w:r>
        <w:rPr>
          <w:rFonts w:ascii="Times New Roman" w:hAnsi="Times New Roman" w:cs="Times New Roman" w:eastAsia="Times New Roman" w:hint="default"/>
          <w:sz w:val="24"/>
          <w:szCs w:val="24"/>
        </w:rPr>
        <w:t>-4/2002-</w:t>
      </w:r>
      <w:r>
        <w:rPr>
          <w:rFonts w:ascii="Times New Roman" w:hAnsi="Times New Roman" w:cs="Times New Roman" w:eastAsia="Times New Roman" w:hint="default"/>
          <w:sz w:val="24"/>
          <w:szCs w:val="24"/>
        </w:rPr>
        <w:t>19 од 14.02.2002. године одобрена је позајмица у количини од 2.453.510 килгорама мазута, Решењем број 06</w:t>
      </w:r>
      <w:r>
        <w:rPr>
          <w:rFonts w:ascii="Times New Roman" w:hAnsi="Times New Roman" w:cs="Times New Roman" w:eastAsia="Times New Roman" w:hint="default"/>
          <w:sz w:val="24"/>
          <w:szCs w:val="24"/>
        </w:rPr>
        <w:t>-8/2002-</w:t>
      </w:r>
      <w:r>
        <w:rPr>
          <w:rFonts w:ascii="Times New Roman" w:hAnsi="Times New Roman" w:cs="Times New Roman" w:eastAsia="Times New Roman" w:hint="default"/>
          <w:sz w:val="24"/>
          <w:szCs w:val="24"/>
        </w:rPr>
        <w:t>13 од 28.03.2002. одобрена је позајмица у количини од 995.360 килограма мазута,од које је део од 383.300 килограма враћен, док је за остатак позајмице рок бројним анексима продужаван. Решењем градоначелника број 275/2006</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09.02.2006. године одобрена је позајмица природног гаса у количини од 1.696.870 м2 Последњим Решењима Градоначелника број из 2014. године број 3066/2014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број </w:t>
      </w:r>
      <w:r>
        <w:rPr>
          <w:rFonts w:ascii="Times New Roman" w:hAnsi="Times New Roman" w:cs="Times New Roman" w:eastAsia="Times New Roman" w:hint="default"/>
          <w:sz w:val="24"/>
          <w:szCs w:val="24"/>
        </w:rPr>
        <w:t>3067/2014-</w:t>
      </w:r>
      <w:r>
        <w:rPr>
          <w:rFonts w:ascii="Times New Roman" w:hAnsi="Times New Roman" w:cs="Times New Roman" w:eastAsia="Times New Roman" w:hint="default"/>
          <w:sz w:val="24"/>
          <w:szCs w:val="24"/>
        </w:rPr>
        <w:t>01 од 03.09.2014. године и Решењем број 4039/2014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04.12.2014. године одобрено је продужење рока враћања позајмица мазута и природног гаса до 28.02.2015. године, </w:t>
      </w:r>
      <w:r>
        <w:rPr>
          <w:rFonts w:ascii="Times New Roman" w:hAnsi="Times New Roman" w:cs="Times New Roman" w:eastAsia="Times New Roman" w:hint="default"/>
          <w:spacing w:val="-4"/>
          <w:sz w:val="24"/>
          <w:szCs w:val="24"/>
        </w:rPr>
        <w:t>уз </w:t>
      </w:r>
      <w:r>
        <w:rPr>
          <w:rFonts w:ascii="Times New Roman" w:hAnsi="Times New Roman" w:cs="Times New Roman" w:eastAsia="Times New Roman" w:hint="default"/>
          <w:sz w:val="24"/>
          <w:szCs w:val="24"/>
        </w:rPr>
        <w:t>закључене анеске уговора о</w:t>
      </w:r>
      <w:r>
        <w:rPr>
          <w:rFonts w:ascii="Times New Roman" w:hAnsi="Times New Roman" w:cs="Times New Roman" w:eastAsia="Times New Roman" w:hint="default"/>
          <w:spacing w:val="-1"/>
          <w:sz w:val="24"/>
          <w:szCs w:val="24"/>
        </w:rPr>
        <w:t> </w:t>
      </w:r>
      <w:r>
        <w:rPr>
          <w:rFonts w:ascii="Times New Roman" w:hAnsi="Times New Roman" w:cs="Times New Roman" w:eastAsia="Times New Roman" w:hint="default"/>
          <w:sz w:val="24"/>
          <w:szCs w:val="24"/>
        </w:rPr>
        <w:t>позајмици.</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Потраживања од ЈП „Аеродром Ниш“ у износу од 9.335 хиљада динара за дизел гориво потичу из 2010. године: Решењима Градоначелика број 1376/2010</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06.05.2010. године, број 1716/2010</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15.06.2010. године и број 2479/2010</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10.09.2010. године одобрена је позајмица евро дизела у количини од по 30.000 литара по сваком Решењу. Последњим Решењима Градоначелника из 2014. године број 3998/2014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број </w:t>
      </w:r>
      <w:r>
        <w:rPr>
          <w:rFonts w:ascii="Times New Roman" w:hAnsi="Times New Roman" w:cs="Times New Roman" w:eastAsia="Times New Roman" w:hint="default"/>
          <w:sz w:val="24"/>
          <w:szCs w:val="24"/>
        </w:rPr>
        <w:t>3999/2014-</w:t>
      </w:r>
      <w:r>
        <w:rPr>
          <w:rFonts w:ascii="Times New Roman" w:hAnsi="Times New Roman" w:cs="Times New Roman" w:eastAsia="Times New Roman" w:hint="default"/>
          <w:sz w:val="24"/>
          <w:szCs w:val="24"/>
        </w:rPr>
        <w:t>01 и број 4000/2014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25.11.2014. године продужен је рок враћања најкасније до 30.05.2015. године за 30.000 литара и до 10.06.2015. године за остатак позајмице. Анексима уговора обухваћене су измене</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Решења.</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Потраживања од Установе „Дечији центар“ у износу од 3.674 хиљаде динара за мазут потичу од раније </w:t>
      </w:r>
      <w:r>
        <w:rPr>
          <w:rFonts w:ascii="Times New Roman" w:hAnsi="Times New Roman" w:cs="Times New Roman" w:eastAsia="Times New Roman" w:hint="default"/>
          <w:spacing w:val="-4"/>
          <w:sz w:val="24"/>
          <w:szCs w:val="24"/>
        </w:rPr>
        <w:t>уз </w:t>
      </w:r>
      <w:r>
        <w:rPr>
          <w:rFonts w:ascii="Times New Roman" w:hAnsi="Times New Roman" w:cs="Times New Roman" w:eastAsia="Times New Roman" w:hint="default"/>
          <w:sz w:val="24"/>
          <w:szCs w:val="24"/>
        </w:rPr>
        <w:t>сталан продужетак рока враћања. Решењем Градоначелника број </w:t>
      </w:r>
      <w:r>
        <w:rPr>
          <w:rFonts w:ascii="Times New Roman" w:hAnsi="Times New Roman" w:cs="Times New Roman" w:eastAsia="Times New Roman" w:hint="default"/>
          <w:sz w:val="24"/>
          <w:szCs w:val="24"/>
        </w:rPr>
      </w:r>
      <w:r>
        <w:rPr>
          <w:rFonts w:ascii="Times New Roman" w:hAnsi="Times New Roman" w:cs="Times New Roman" w:eastAsia="Times New Roman" w:hint="default"/>
          <w:sz w:val="24"/>
          <w:szCs w:val="24"/>
        </w:rPr>
        <w:t>2301/2005-</w:t>
      </w:r>
      <w:r>
        <w:rPr>
          <w:rFonts w:ascii="Times New Roman" w:hAnsi="Times New Roman" w:cs="Times New Roman" w:eastAsia="Times New Roman" w:hint="default"/>
          <w:sz w:val="24"/>
          <w:szCs w:val="24"/>
        </w:rPr>
        <w:t>01 од 11.11.2005. године одобрена је позајмица 38.000 килограма мазута за одмаралиште у Дивљани, последњим Решењем Градоначелника из 2014. године број </w:t>
      </w:r>
      <w:r>
        <w:rPr>
          <w:rFonts w:ascii="Times New Roman" w:hAnsi="Times New Roman" w:cs="Times New Roman" w:eastAsia="Times New Roman" w:hint="default"/>
          <w:sz w:val="24"/>
          <w:szCs w:val="24"/>
        </w:rPr>
        <w:t>3161/2014-</w:t>
      </w:r>
      <w:r>
        <w:rPr>
          <w:rFonts w:ascii="Times New Roman" w:hAnsi="Times New Roman" w:cs="Times New Roman" w:eastAsia="Times New Roman" w:hint="default"/>
          <w:sz w:val="24"/>
          <w:szCs w:val="24"/>
        </w:rPr>
        <w:t>01 од 11.09.2014. године одобрено је продужење рока за повраћај дела позајмице у износу од 18.060 килограма мазута до 28.02.2015. године. Решењем Градоначелика број 4373</w:t>
      </w:r>
      <w:r>
        <w:rPr>
          <w:rFonts w:ascii="Times New Roman" w:hAnsi="Times New Roman" w:cs="Times New Roman" w:eastAsia="Times New Roman" w:hint="default"/>
          <w:sz w:val="24"/>
          <w:szCs w:val="24"/>
        </w:rPr>
        <w:t>-1/2006-</w:t>
      </w:r>
      <w:r>
        <w:rPr>
          <w:rFonts w:ascii="Times New Roman" w:hAnsi="Times New Roman" w:cs="Times New Roman" w:eastAsia="Times New Roman" w:hint="default"/>
          <w:sz w:val="24"/>
          <w:szCs w:val="24"/>
        </w:rPr>
        <w:t>01 од 29.12.2006. године одобрена је позајмица у количини од 50.000 килограма мазута, за коју је по последњем Решењу из 2014. године крјанњи рок за повраћај до 28.02.2015. године у количини од 48.760 килограма мазута. Решењем Градоначелника број 2595/2009</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12.10.2009. године одобрена је</w:t>
      </w:r>
      <w:r>
        <w:rPr>
          <w:rFonts w:ascii="Times New Roman" w:hAnsi="Times New Roman" w:cs="Times New Roman" w:eastAsia="Times New Roman" w:hint="default"/>
          <w:spacing w:val="38"/>
          <w:sz w:val="24"/>
          <w:szCs w:val="24"/>
        </w:rPr>
        <w:t> </w:t>
      </w:r>
      <w:r>
        <w:rPr>
          <w:rFonts w:ascii="Times New Roman" w:hAnsi="Times New Roman" w:cs="Times New Roman" w:eastAsia="Times New Roman" w:hint="default"/>
          <w:sz w:val="24"/>
          <w:szCs w:val="24"/>
        </w:rPr>
        <w:t>позајмица</w:t>
      </w:r>
    </w:p>
    <w:p>
      <w:pPr>
        <w:pStyle w:val="BodyText"/>
        <w:spacing w:line="240" w:lineRule="auto"/>
        <w:ind w:right="0"/>
        <w:jc w:val="both"/>
      </w:pPr>
      <w:r>
        <w:rPr/>
        <w:t>25.000 килограма мазута, рок врћања је по последњем Решењу из 2014. године,  </w:t>
      </w:r>
      <w:r>
        <w:rPr>
          <w:spacing w:val="46"/>
        </w:rPr>
        <w:t> </w:t>
      </w:r>
      <w:r>
        <w:rPr/>
        <w:t>донетом</w:t>
      </w:r>
    </w:p>
    <w:p>
      <w:pPr>
        <w:spacing w:after="0" w:line="240" w:lineRule="auto"/>
        <w:jc w:val="both"/>
        <w:sectPr>
          <w:pgSz w:w="12240" w:h="15840"/>
          <w:pgMar w:header="740" w:footer="1274" w:top="1280" w:bottom="1460" w:left="1400" w:right="1260"/>
        </w:sectPr>
      </w:pPr>
    </w:p>
    <w:p>
      <w:pPr>
        <w:pStyle w:val="BodyText"/>
        <w:spacing w:line="240" w:lineRule="auto" w:before="122"/>
        <w:ind w:right="179"/>
        <w:jc w:val="both"/>
      </w:pPr>
      <w:r>
        <w:rPr/>
        <w:t>од стране Градоначелика број 3160/2014</w:t>
      </w:r>
      <w:r>
        <w:rPr>
          <w:rFonts w:ascii="Times New Roman" w:hAnsi="Times New Roman"/>
        </w:rPr>
        <w:t>-</w:t>
      </w:r>
      <w:r>
        <w:rPr/>
        <w:t>01 од 11.09.2014. године продужен до 28.02.2015. године. Анексима уговора вршене су измене одобрених продужетака рокова враћања и враћених</w:t>
      </w:r>
      <w:r>
        <w:rPr>
          <w:spacing w:val="-10"/>
        </w:rPr>
        <w:t> </w:t>
      </w:r>
      <w:r>
        <w:rPr/>
        <w:t>количина.</w:t>
      </w:r>
    </w:p>
    <w:p>
      <w:pPr>
        <w:pStyle w:val="ListParagraph"/>
        <w:numPr>
          <w:ilvl w:val="0"/>
          <w:numId w:val="9"/>
        </w:numPr>
        <w:tabs>
          <w:tab w:pos="303" w:val="left" w:leader="none"/>
        </w:tabs>
        <w:spacing w:line="240" w:lineRule="auto" w:before="2" w:after="0"/>
        <w:ind w:left="160" w:right="17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Потраживања од Установе „Дивљана“ у износу од 3.752 хиљаде динара односе се на позајмљени мазут, по Решењима Грдоначелика број 2486/2010</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10.09.2010. године у количини од 25.000 килограма мазута за грејање, рок враћања је по последњем Решењу Градоначелника из 2014. године број 3001/2014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01.09.2014. године до 28.</w:t>
      </w:r>
      <w:r>
        <w:rPr>
          <w:rFonts w:ascii="Times New Roman" w:hAnsi="Times New Roman" w:cs="Times New Roman" w:eastAsia="Times New Roman" w:hint="default"/>
          <w:sz w:val="24"/>
          <w:szCs w:val="24"/>
        </w:rPr>
        <w:t>02.2015. </w:t>
      </w:r>
      <w:r>
        <w:rPr>
          <w:rFonts w:ascii="Times New Roman" w:hAnsi="Times New Roman" w:cs="Times New Roman" w:eastAsia="Times New Roman" w:hint="default"/>
          <w:sz w:val="24"/>
          <w:szCs w:val="24"/>
        </w:rPr>
        <w:t>године за остатак количине од 20.940 килограма мазута. Решењима из 2011. године и то број 448/2011</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23.02.2011. године и број 2880/2011</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29.09.2011. године одобрена је позајмица у количини од по 25.000 килограма мазута. За невраћени део позајмице последњим Решењима Градоначелника из 2014. године број 2413/2014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10.10.2014. године и број 3001/2014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01.09.2014. године одобрен је крајњи рок повраћаја и то до 28.02.2015. године за количину од укупно 41.1480 килограма мазута. У </w:t>
      </w:r>
      <w:r>
        <w:rPr>
          <w:rFonts w:ascii="Times New Roman" w:hAnsi="Times New Roman" w:cs="Times New Roman" w:eastAsia="Times New Roman" w:hint="default"/>
          <w:sz w:val="24"/>
          <w:szCs w:val="24"/>
        </w:rPr>
        <w:t>2012. </w:t>
      </w:r>
      <w:r>
        <w:rPr>
          <w:rFonts w:ascii="Times New Roman" w:hAnsi="Times New Roman" w:cs="Times New Roman" w:eastAsia="Times New Roman" w:hint="default"/>
          <w:sz w:val="24"/>
          <w:szCs w:val="24"/>
        </w:rPr>
        <w:t>години одобрена је позајмица у количини од 25.000 килограма мазута, Решењем број 2579/2012</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27.08.2012. године, чији је рок враћања по последњем Решењу из 2014. године број 3696/2014/01од 28.10.2014. године одређен за 28.02.2015. године у количини</w:t>
      </w:r>
      <w:r>
        <w:rPr>
          <w:rFonts w:ascii="Times New Roman" w:hAnsi="Times New Roman" w:cs="Times New Roman" w:eastAsia="Times New Roman" w:hint="default"/>
          <w:spacing w:val="45"/>
          <w:sz w:val="24"/>
          <w:szCs w:val="24"/>
        </w:rPr>
        <w:t> </w:t>
      </w:r>
      <w:r>
        <w:rPr>
          <w:rFonts w:ascii="Times New Roman" w:hAnsi="Times New Roman" w:cs="Times New Roman" w:eastAsia="Times New Roman" w:hint="default"/>
          <w:sz w:val="24"/>
          <w:szCs w:val="24"/>
        </w:rPr>
        <w:t>од</w:t>
      </w:r>
      <w:r>
        <w:rPr>
          <w:rFonts w:ascii="Times New Roman" w:hAnsi="Times New Roman" w:cs="Times New Roman" w:eastAsia="Times New Roman" w:hint="default"/>
          <w:spacing w:val="44"/>
          <w:sz w:val="24"/>
          <w:szCs w:val="24"/>
        </w:rPr>
        <w:t> </w:t>
      </w:r>
      <w:r>
        <w:rPr>
          <w:rFonts w:ascii="Times New Roman" w:hAnsi="Times New Roman" w:cs="Times New Roman" w:eastAsia="Times New Roman" w:hint="default"/>
          <w:sz w:val="24"/>
          <w:szCs w:val="24"/>
        </w:rPr>
        <w:t>26.320</w:t>
      </w:r>
      <w:r>
        <w:rPr>
          <w:rFonts w:ascii="Times New Roman" w:hAnsi="Times New Roman" w:cs="Times New Roman" w:eastAsia="Times New Roman" w:hint="default"/>
          <w:spacing w:val="44"/>
          <w:sz w:val="24"/>
          <w:szCs w:val="24"/>
        </w:rPr>
        <w:t> </w:t>
      </w:r>
      <w:r>
        <w:rPr>
          <w:rFonts w:ascii="Times New Roman" w:hAnsi="Times New Roman" w:cs="Times New Roman" w:eastAsia="Times New Roman" w:hint="default"/>
          <w:sz w:val="24"/>
          <w:szCs w:val="24"/>
        </w:rPr>
        <w:t>килограма.</w:t>
      </w:r>
      <w:r>
        <w:rPr>
          <w:rFonts w:ascii="Times New Roman" w:hAnsi="Times New Roman" w:cs="Times New Roman" w:eastAsia="Times New Roman" w:hint="default"/>
          <w:spacing w:val="44"/>
          <w:sz w:val="24"/>
          <w:szCs w:val="24"/>
        </w:rPr>
        <w:t> </w:t>
      </w:r>
      <w:r>
        <w:rPr>
          <w:rFonts w:ascii="Times New Roman" w:hAnsi="Times New Roman" w:cs="Times New Roman" w:eastAsia="Times New Roman" w:hint="default"/>
          <w:sz w:val="24"/>
          <w:szCs w:val="24"/>
        </w:rPr>
        <w:t>У</w:t>
      </w:r>
      <w:r>
        <w:rPr>
          <w:rFonts w:ascii="Times New Roman" w:hAnsi="Times New Roman" w:cs="Times New Roman" w:eastAsia="Times New Roman" w:hint="default"/>
          <w:spacing w:val="44"/>
          <w:sz w:val="24"/>
          <w:szCs w:val="24"/>
        </w:rPr>
        <w:t> </w:t>
      </w:r>
      <w:r>
        <w:rPr>
          <w:rFonts w:ascii="Times New Roman" w:hAnsi="Times New Roman" w:cs="Times New Roman" w:eastAsia="Times New Roman" w:hint="default"/>
          <w:sz w:val="24"/>
          <w:szCs w:val="24"/>
        </w:rPr>
        <w:t>2014.</w:t>
      </w:r>
      <w:r>
        <w:rPr>
          <w:rFonts w:ascii="Times New Roman" w:hAnsi="Times New Roman" w:cs="Times New Roman" w:eastAsia="Times New Roman" w:hint="default"/>
          <w:spacing w:val="46"/>
          <w:sz w:val="24"/>
          <w:szCs w:val="24"/>
        </w:rPr>
        <w:t> </w:t>
      </w:r>
      <w:r>
        <w:rPr>
          <w:rFonts w:ascii="Times New Roman" w:hAnsi="Times New Roman" w:cs="Times New Roman" w:eastAsia="Times New Roman" w:hint="default"/>
          <w:sz w:val="24"/>
          <w:szCs w:val="24"/>
        </w:rPr>
        <w:t>години</w:t>
      </w:r>
      <w:r>
        <w:rPr>
          <w:rFonts w:ascii="Times New Roman" w:hAnsi="Times New Roman" w:cs="Times New Roman" w:eastAsia="Times New Roman" w:hint="default"/>
          <w:spacing w:val="45"/>
          <w:sz w:val="24"/>
          <w:szCs w:val="24"/>
        </w:rPr>
        <w:t> </w:t>
      </w:r>
      <w:r>
        <w:rPr>
          <w:rFonts w:ascii="Times New Roman" w:hAnsi="Times New Roman" w:cs="Times New Roman" w:eastAsia="Times New Roman" w:hint="default"/>
          <w:sz w:val="24"/>
          <w:szCs w:val="24"/>
        </w:rPr>
        <w:t>одобрена</w:t>
      </w:r>
      <w:r>
        <w:rPr>
          <w:rFonts w:ascii="Times New Roman" w:hAnsi="Times New Roman" w:cs="Times New Roman" w:eastAsia="Times New Roman" w:hint="default"/>
          <w:spacing w:val="44"/>
          <w:sz w:val="24"/>
          <w:szCs w:val="24"/>
        </w:rPr>
        <w:t> </w:t>
      </w:r>
      <w:r>
        <w:rPr>
          <w:rFonts w:ascii="Times New Roman" w:hAnsi="Times New Roman" w:cs="Times New Roman" w:eastAsia="Times New Roman" w:hint="default"/>
          <w:sz w:val="24"/>
          <w:szCs w:val="24"/>
        </w:rPr>
        <w:t>је</w:t>
      </w:r>
      <w:r>
        <w:rPr>
          <w:rFonts w:ascii="Times New Roman" w:hAnsi="Times New Roman" w:cs="Times New Roman" w:eastAsia="Times New Roman" w:hint="default"/>
          <w:spacing w:val="43"/>
          <w:sz w:val="24"/>
          <w:szCs w:val="24"/>
        </w:rPr>
        <w:t> </w:t>
      </w:r>
      <w:r>
        <w:rPr>
          <w:rFonts w:ascii="Times New Roman" w:hAnsi="Times New Roman" w:cs="Times New Roman" w:eastAsia="Times New Roman" w:hint="default"/>
          <w:sz w:val="24"/>
          <w:szCs w:val="24"/>
        </w:rPr>
        <w:t>позајмица</w:t>
      </w:r>
      <w:r>
        <w:rPr>
          <w:rFonts w:ascii="Times New Roman" w:hAnsi="Times New Roman" w:cs="Times New Roman" w:eastAsia="Times New Roman" w:hint="default"/>
          <w:spacing w:val="45"/>
          <w:sz w:val="24"/>
          <w:szCs w:val="24"/>
        </w:rPr>
        <w:t> </w:t>
      </w:r>
      <w:r>
        <w:rPr>
          <w:rFonts w:ascii="Times New Roman" w:hAnsi="Times New Roman" w:cs="Times New Roman" w:eastAsia="Times New Roman" w:hint="default"/>
          <w:sz w:val="24"/>
          <w:szCs w:val="24"/>
        </w:rPr>
        <w:t>у</w:t>
      </w:r>
      <w:r>
        <w:rPr>
          <w:rFonts w:ascii="Times New Roman" w:hAnsi="Times New Roman" w:cs="Times New Roman" w:eastAsia="Times New Roman" w:hint="default"/>
          <w:spacing w:val="39"/>
          <w:sz w:val="24"/>
          <w:szCs w:val="24"/>
        </w:rPr>
        <w:t> </w:t>
      </w:r>
      <w:r>
        <w:rPr>
          <w:rFonts w:ascii="Times New Roman" w:hAnsi="Times New Roman" w:cs="Times New Roman" w:eastAsia="Times New Roman" w:hint="default"/>
          <w:sz w:val="24"/>
          <w:szCs w:val="24"/>
        </w:rPr>
        <w:t>количини</w:t>
      </w:r>
      <w:r>
        <w:rPr>
          <w:rFonts w:ascii="Times New Roman" w:hAnsi="Times New Roman" w:cs="Times New Roman" w:eastAsia="Times New Roman" w:hint="default"/>
          <w:spacing w:val="45"/>
          <w:sz w:val="24"/>
          <w:szCs w:val="24"/>
        </w:rPr>
        <w:t> </w:t>
      </w:r>
      <w:r>
        <w:rPr>
          <w:rFonts w:ascii="Times New Roman" w:hAnsi="Times New Roman" w:cs="Times New Roman" w:eastAsia="Times New Roman" w:hint="default"/>
          <w:sz w:val="24"/>
          <w:szCs w:val="24"/>
        </w:rPr>
        <w:t>од</w:t>
      </w:r>
    </w:p>
    <w:p>
      <w:pPr>
        <w:pStyle w:val="BodyText"/>
        <w:spacing w:line="240" w:lineRule="auto"/>
        <w:ind w:right="177"/>
        <w:jc w:val="both"/>
      </w:pPr>
      <w:r>
        <w:rPr/>
        <w:t>5.000 килограма мазута, по Решењу број 4013/2014</w:t>
      </w:r>
      <w:r>
        <w:rPr>
          <w:rFonts w:ascii="Times New Roman" w:hAnsi="Times New Roman"/>
        </w:rPr>
        <w:t>-</w:t>
      </w:r>
      <w:r>
        <w:rPr/>
        <w:t>01 од 25.11.2014. године са роком враћања најкасније до 30.05.2015. године. Свака измена количине и продужетка рока утврђена решењима Градоначелника праћена је анексирањем основних уговора о позајмици.</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Потраживања од ПУ „Пчелица“ у износу од 4.684 хиљаде динара потичу из  2001. године за позајмљено млеко у праху, одобрено Решењем Извршног одбора града Ниша број 06</w:t>
      </w:r>
      <w:r>
        <w:rPr>
          <w:rFonts w:ascii="Times New Roman" w:hAnsi="Times New Roman" w:cs="Times New Roman" w:eastAsia="Times New Roman" w:hint="default"/>
          <w:sz w:val="24"/>
          <w:szCs w:val="24"/>
        </w:rPr>
        <w:t>-15/2001-</w:t>
      </w:r>
      <w:r>
        <w:rPr>
          <w:rFonts w:ascii="Times New Roman" w:hAnsi="Times New Roman" w:cs="Times New Roman" w:eastAsia="Times New Roman" w:hint="default"/>
          <w:sz w:val="24"/>
          <w:szCs w:val="24"/>
        </w:rPr>
        <w:t>13/4 од 01.06.2001. године у количини од 9.333 килограма и решењем истог органа број 06</w:t>
      </w:r>
      <w:r>
        <w:rPr>
          <w:rFonts w:ascii="Times New Roman" w:hAnsi="Times New Roman" w:cs="Times New Roman" w:eastAsia="Times New Roman" w:hint="default"/>
          <w:sz w:val="24"/>
          <w:szCs w:val="24"/>
        </w:rPr>
        <w:t>-6/2001-</w:t>
      </w:r>
      <w:r>
        <w:rPr>
          <w:rFonts w:ascii="Times New Roman" w:hAnsi="Times New Roman" w:cs="Times New Roman" w:eastAsia="Times New Roman" w:hint="default"/>
          <w:sz w:val="24"/>
          <w:szCs w:val="24"/>
        </w:rPr>
        <w:t>18 од 27.02.2001. године у количини од 3.227 килограма. након већег пута анексирања уговора и продужетака рока враћања, по последњем Решењу Градоначелника из 2014. године број 2</w:t>
      </w:r>
      <w:r>
        <w:rPr>
          <w:rFonts w:ascii="Times New Roman" w:hAnsi="Times New Roman" w:cs="Times New Roman" w:eastAsia="Times New Roman" w:hint="default"/>
          <w:sz w:val="24"/>
          <w:szCs w:val="24"/>
        </w:rPr>
        <w:t>998/2014-</w:t>
      </w:r>
      <w:r>
        <w:rPr>
          <w:rFonts w:ascii="Times New Roman" w:hAnsi="Times New Roman" w:cs="Times New Roman" w:eastAsia="Times New Roman" w:hint="default"/>
          <w:sz w:val="24"/>
          <w:szCs w:val="24"/>
        </w:rPr>
        <w:t>01 од 01.09.2014. године као крајњи рок за повраћај одређен је датум 28.02.2015. године за количину од 9.560 килограма млека у праху, јер је део враћен. Анексима уговора регулисане су измене рока враћања по наведеном</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Решењу.</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Потраживања од ЈП „Дирекција за јавни градски превоз“ у износу од 6.909 хиљада динара односе се на позајмљено дизел гориво у количини од 66.615 литара одобрено Решењем Градоначелника број 4246/2014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26.12.2014. године, а рок враћања је 25.06.2015. године. На основу наведеног Решења закључен је Уговор о позајмици евро дизела број 2806/14 од 30.12.2014. године између ЈП и надлежне</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Управе.</w:t>
      </w:r>
    </w:p>
    <w:p>
      <w:pPr>
        <w:pStyle w:val="ListParagraph"/>
        <w:numPr>
          <w:ilvl w:val="0"/>
          <w:numId w:val="9"/>
        </w:numPr>
        <w:tabs>
          <w:tab w:pos="303" w:val="left" w:leader="none"/>
        </w:tabs>
        <w:spacing w:line="237" w:lineRule="auto" w:before="4" w:after="0"/>
        <w:ind w:left="160" w:right="17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Остатак потраживања у износу од </w:t>
      </w:r>
      <w:r>
        <w:rPr>
          <w:rFonts w:ascii="Times New Roman" w:hAnsi="Times New Roman" w:cs="Times New Roman" w:eastAsia="Times New Roman" w:hint="default"/>
          <w:sz w:val="24"/>
          <w:szCs w:val="24"/>
        </w:rPr>
        <w:t>49.956 </w:t>
      </w:r>
      <w:r>
        <w:rPr>
          <w:rFonts w:ascii="Times New Roman" w:hAnsi="Times New Roman" w:cs="Times New Roman" w:eastAsia="Times New Roman" w:hint="default"/>
          <w:sz w:val="24"/>
          <w:szCs w:val="24"/>
        </w:rPr>
        <w:t>хиљада динара односи се на потраживања по основу судских пресуда за невраћене робне резерве и то од: ЈКП „Тржница“ у износу од 2.962 хиљаде динара (за 65.098 килограма шећера), Установа „Пчелица“        </w:t>
      </w:r>
      <w:r>
        <w:rPr>
          <w:rFonts w:ascii="Times New Roman" w:hAnsi="Times New Roman" w:cs="Times New Roman" w:eastAsia="Times New Roman" w:hint="default"/>
          <w:spacing w:val="56"/>
          <w:sz w:val="24"/>
          <w:szCs w:val="24"/>
        </w:rPr>
        <w:t> </w:t>
      </w:r>
      <w:r>
        <w:rPr>
          <w:rFonts w:ascii="Times New Roman" w:hAnsi="Times New Roman" w:cs="Times New Roman" w:eastAsia="Times New Roman" w:hint="default"/>
          <w:sz w:val="24"/>
          <w:szCs w:val="24"/>
        </w:rPr>
        <w:t>у износу од</w:t>
      </w:r>
    </w:p>
    <w:p>
      <w:pPr>
        <w:pStyle w:val="BodyText"/>
        <w:spacing w:line="240" w:lineRule="auto"/>
        <w:ind w:right="180"/>
        <w:jc w:val="both"/>
      </w:pPr>
      <w:r>
        <w:rPr/>
        <w:t>1.403 хиљаде динара (за 22.450 килограма брашна, 1.485 килограма кухињске соли и 3.665 литара јестивог уља), Народно позориште у износу од 39 хиљада динара (за 850 килограма шећера), „Импекс трговина“ у износу од 12.834 хиљаде динара (за 86.325 килгорама  шећера,  84.595  литара  јестивог  уља,  16.085  килограма  кухињске     </w:t>
      </w:r>
      <w:r>
        <w:rPr>
          <w:spacing w:val="40"/>
        </w:rPr>
        <w:t> </w:t>
      </w:r>
      <w:r>
        <w:rPr/>
        <w:t>соли),</w:t>
      </w:r>
    </w:p>
    <w:p>
      <w:pPr>
        <w:pStyle w:val="BodyText"/>
        <w:spacing w:line="240" w:lineRule="auto"/>
        <w:ind w:right="0"/>
        <w:jc w:val="both"/>
      </w:pPr>
      <w:r>
        <w:rPr/>
        <w:t>„Житопек“   у   износу   од   12.975   хиљада   динара   (за   603.486   килограма</w:t>
      </w:r>
      <w:r>
        <w:rPr>
          <w:spacing w:val="35"/>
        </w:rPr>
        <w:t> </w:t>
      </w:r>
      <w:r>
        <w:rPr/>
        <w:t>пшенице),</w:t>
      </w:r>
    </w:p>
    <w:p>
      <w:pPr>
        <w:pStyle w:val="BodyText"/>
        <w:spacing w:line="240" w:lineRule="auto"/>
        <w:ind w:right="183"/>
        <w:jc w:val="both"/>
      </w:pPr>
      <w:r>
        <w:rPr/>
        <w:t>„Житопромет“ у износу од 19.743 хиљаде динара (за 647.869 килограма пшенице и 129.650 килограма</w:t>
      </w:r>
      <w:r>
        <w:rPr>
          <w:spacing w:val="-5"/>
        </w:rPr>
        <w:t> </w:t>
      </w:r>
      <w:r>
        <w:rPr/>
        <w:t>брашна).</w:t>
      </w:r>
    </w:p>
    <w:p>
      <w:pPr>
        <w:spacing w:after="0" w:line="240" w:lineRule="auto"/>
        <w:jc w:val="both"/>
        <w:sectPr>
          <w:pgSz w:w="12240" w:h="15840"/>
          <w:pgMar w:header="740" w:footer="1274" w:top="1280" w:bottom="1460" w:left="1400" w:right="1260"/>
        </w:sectPr>
      </w:pPr>
    </w:p>
    <w:p>
      <w:pPr>
        <w:pStyle w:val="ListParagraph"/>
        <w:numPr>
          <w:ilvl w:val="0"/>
          <w:numId w:val="9"/>
        </w:numPr>
        <w:tabs>
          <w:tab w:pos="303" w:val="left" w:leader="none"/>
        </w:tabs>
        <w:spacing w:line="240" w:lineRule="auto" w:before="124"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дуг по пресудама закључени су Споразуми о начину и динамици повраћаја остатка дуга и то Споразум број 05</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261/14 од 25.03.2014. године са ПУ „Пчелица“, број 05</w:t>
      </w:r>
      <w:r>
        <w:rPr>
          <w:rFonts w:ascii="Times New Roman" w:hAnsi="Times New Roman" w:cs="Times New Roman" w:eastAsia="Times New Roman" w:hint="default"/>
          <w:sz w:val="24"/>
          <w:szCs w:val="24"/>
        </w:rPr>
        <w:t>-203/14 </w:t>
      </w:r>
      <w:r>
        <w:rPr>
          <w:rFonts w:ascii="Times New Roman" w:hAnsi="Times New Roman" w:cs="Times New Roman" w:eastAsia="Times New Roman" w:hint="default"/>
          <w:sz w:val="24"/>
          <w:szCs w:val="24"/>
        </w:rPr>
        <w:t>од 12.03.2014. године са установом „Народно позориште“; Споразум број 05</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369/12 од 19.07.2012. године, Анекс </w:t>
      </w:r>
      <w:r>
        <w:rPr>
          <w:rFonts w:ascii="Times New Roman" w:hAnsi="Times New Roman" w:cs="Times New Roman" w:eastAsia="Times New Roman" w:hint="default"/>
          <w:sz w:val="24"/>
          <w:szCs w:val="24"/>
        </w:rPr>
        <w:t>I </w:t>
      </w:r>
      <w:r>
        <w:rPr>
          <w:rFonts w:ascii="Times New Roman" w:hAnsi="Times New Roman" w:cs="Times New Roman" w:eastAsia="Times New Roman" w:hint="default"/>
          <w:sz w:val="24"/>
          <w:szCs w:val="24"/>
        </w:rPr>
        <w:t>Споразума број 05</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539/13 од 27.06.2013. године и Анекс </w:t>
      </w:r>
      <w:r>
        <w:rPr>
          <w:rFonts w:ascii="Times New Roman" w:hAnsi="Times New Roman" w:cs="Times New Roman" w:eastAsia="Times New Roman" w:hint="default"/>
          <w:sz w:val="24"/>
          <w:szCs w:val="24"/>
        </w:rPr>
        <w:t>II </w:t>
      </w:r>
      <w:r>
        <w:rPr>
          <w:rFonts w:ascii="Times New Roman" w:hAnsi="Times New Roman" w:cs="Times New Roman" w:eastAsia="Times New Roman" w:hint="default"/>
          <w:sz w:val="24"/>
          <w:szCs w:val="24"/>
        </w:rPr>
        <w:t>споразума број 05</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126/14 од 06.02.2014. године са „Житопек“ ад Ниш; Споразум број 05</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718/11 од 12.12.2011. године, Анекс </w:t>
      </w:r>
      <w:r>
        <w:rPr>
          <w:rFonts w:ascii="Times New Roman" w:hAnsi="Times New Roman" w:cs="Times New Roman" w:eastAsia="Times New Roman" w:hint="default"/>
          <w:sz w:val="24"/>
          <w:szCs w:val="24"/>
        </w:rPr>
        <w:t>I </w:t>
      </w:r>
      <w:r>
        <w:rPr>
          <w:rFonts w:ascii="Times New Roman" w:hAnsi="Times New Roman" w:cs="Times New Roman" w:eastAsia="Times New Roman" w:hint="default"/>
          <w:sz w:val="24"/>
          <w:szCs w:val="24"/>
        </w:rPr>
        <w:t>споразума број 2248/2012 од 24.12.2012. године и Анекс </w:t>
      </w:r>
      <w:r>
        <w:rPr>
          <w:rFonts w:ascii="Times New Roman" w:hAnsi="Times New Roman" w:cs="Times New Roman" w:eastAsia="Times New Roman" w:hint="default"/>
          <w:sz w:val="24"/>
          <w:szCs w:val="24"/>
        </w:rPr>
        <w:t>II </w:t>
      </w:r>
      <w:r>
        <w:rPr>
          <w:rFonts w:ascii="Times New Roman" w:hAnsi="Times New Roman" w:cs="Times New Roman" w:eastAsia="Times New Roman" w:hint="default"/>
          <w:sz w:val="24"/>
          <w:szCs w:val="24"/>
        </w:rPr>
        <w:t>споразума број 05</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600/13 од 24.07.2013. године са ЈКП „Тржница“</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Ниш.</w:t>
      </w:r>
    </w:p>
    <w:p>
      <w:pPr>
        <w:pStyle w:val="ListParagraph"/>
        <w:numPr>
          <w:ilvl w:val="0"/>
          <w:numId w:val="9"/>
        </w:numPr>
        <w:tabs>
          <w:tab w:pos="303" w:val="left" w:leader="none"/>
        </w:tabs>
        <w:spacing w:line="237" w:lineRule="auto" w:before="4" w:after="0"/>
        <w:ind w:left="160" w:right="18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дуговања по пресудама за невраћене робне резерве од стране „Житопромет“ ад Ниш и „Импекс трговина“ доо Ниш нису закључени Споразуми о начину и динамици повраћаја остатка</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дуга.</w:t>
      </w:r>
    </w:p>
    <w:p>
      <w:pPr>
        <w:pStyle w:val="ListParagraph"/>
        <w:numPr>
          <w:ilvl w:val="0"/>
          <w:numId w:val="9"/>
        </w:numPr>
        <w:tabs>
          <w:tab w:pos="303" w:val="left" w:leader="none"/>
        </w:tabs>
        <w:spacing w:line="240" w:lineRule="auto" w:before="2"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Град Ниш није од свих корисника позајмица за робне резерве тражио средство обезбеђења како је то прописано чланом 8. Одлуке о образовању робних резерви града Ниша.</w:t>
      </w:r>
    </w:p>
    <w:p>
      <w:pPr>
        <w:pStyle w:val="ListParagraph"/>
        <w:numPr>
          <w:ilvl w:val="0"/>
          <w:numId w:val="9"/>
        </w:numPr>
        <w:tabs>
          <w:tab w:pos="303" w:val="left" w:leader="none"/>
        </w:tabs>
        <w:spacing w:line="237" w:lineRule="auto" w:before="4"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Потраживања од купаца исказана у билансу стања града Ниша у износу од 89 хиљада динара потичу од пре 2006. године, застарела су и за иста не постоји веродостојна рачуноводствена</w:t>
      </w:r>
      <w:r>
        <w:rPr>
          <w:rFonts w:ascii="Times New Roman" w:hAnsi="Times New Roman"/>
          <w:spacing w:val="-11"/>
          <w:sz w:val="24"/>
        </w:rPr>
        <w:t> </w:t>
      </w:r>
      <w:r>
        <w:rPr>
          <w:rFonts w:ascii="Times New Roman" w:hAnsi="Times New Roman"/>
          <w:sz w:val="24"/>
        </w:rPr>
        <w:t>исправа.</w:t>
      </w:r>
    </w:p>
    <w:p>
      <w:pPr>
        <w:pStyle w:val="ListParagraph"/>
        <w:numPr>
          <w:ilvl w:val="0"/>
          <w:numId w:val="9"/>
        </w:numPr>
        <w:tabs>
          <w:tab w:pos="303" w:val="left" w:leader="none"/>
        </w:tabs>
        <w:spacing w:line="240" w:lineRule="auto" w:before="2"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Потраживања у износу од 776 хиљада динара за откупљене станове потичу од пре 2006. године и до дана вршења ревизије није евидентирана ни једна пословна промена на наведеном конту, па се у поступку ревизије нисмо уверили у тачност исказаног износа потраживања.</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У поступку ревизије, на захтев ревизора, достављено је писано појашњење одговорних лица Управе за имовину и инспекцијске послове, да су потраживања у износу од 776 хиљада динара исказана по основу три Уговора о стицању својине на стану и то: Уговор ОВ број 1229/03 од 02.04.2003. године за стан у улици Триглавској број 10/6 који није исплаћен у целини; Уговор ОВ број 5310/03 од 20.08.2003. године за стан у улици Триглавској број 4/25 који није исплаћен у целини и Уговор ОВ број 9306/03 од 03.12.2003. године који је анексиран Анексом ОВ 1063/09 од 22.05.2009. године за стан у Горњој Топоници, улица Београдска број 4, за који је извршено плаћање у целини. Такође, у појашњењу је истакнуто да се као прилог појашњењу достављају уплатнице којим се потврђују уплате за стан који је откупљен у целини али исте нису приложене, тако да се нисмо уверили у тачност навода датог у</w:t>
      </w:r>
      <w:r>
        <w:rPr>
          <w:rFonts w:ascii="Times New Roman" w:hAnsi="Times New Roman"/>
          <w:spacing w:val="-20"/>
          <w:sz w:val="24"/>
        </w:rPr>
        <w:t> </w:t>
      </w:r>
      <w:r>
        <w:rPr>
          <w:rFonts w:ascii="Times New Roman" w:hAnsi="Times New Roman"/>
          <w:sz w:val="24"/>
        </w:rPr>
        <w:t>појашњењу.</w:t>
      </w:r>
    </w:p>
    <w:p>
      <w:pPr>
        <w:pStyle w:val="ListParagraph"/>
        <w:numPr>
          <w:ilvl w:val="0"/>
          <w:numId w:val="9"/>
        </w:numPr>
        <w:tabs>
          <w:tab w:pos="303" w:val="left" w:leader="none"/>
        </w:tabs>
        <w:spacing w:line="240" w:lineRule="auto" w:before="2"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Одсек за буџетско рачуноводство Управе за финансије, изворне приходе локалне самоуправе и јавне набавке града Ниша је на послате ИОС обрасце за потврду стања својих потраживања, примио потврдан одговор од десетак купаца, стање по исказаном ИОС обрасцу више њих је оспорило, већи број ИОС образаца враћен је Управи за финансије због немогућности уручења истог (услед промене адресе, непостојања купца)  а део њих није ни послат због недостатка адресе. Нису предузете мере ради анализе  стања потраживања и могућности њихове</w:t>
      </w:r>
      <w:r>
        <w:rPr>
          <w:rFonts w:ascii="Times New Roman" w:hAnsi="Times New Roman"/>
          <w:spacing w:val="-17"/>
          <w:sz w:val="24"/>
        </w:rPr>
        <w:t> </w:t>
      </w:r>
      <w:r>
        <w:rPr>
          <w:rFonts w:ascii="Times New Roman" w:hAnsi="Times New Roman"/>
          <w:sz w:val="24"/>
        </w:rPr>
        <w:t>наплате.</w:t>
      </w:r>
    </w:p>
    <w:p>
      <w:pPr>
        <w:pStyle w:val="ListParagraph"/>
        <w:numPr>
          <w:ilvl w:val="0"/>
          <w:numId w:val="9"/>
        </w:numPr>
        <w:tabs>
          <w:tab w:pos="303" w:val="left" w:leader="none"/>
        </w:tabs>
        <w:spacing w:line="240" w:lineRule="auto" w:before="2" w:after="0"/>
        <w:ind w:left="160" w:right="185" w:firstLine="0"/>
        <w:jc w:val="both"/>
        <w:rPr>
          <w:rFonts w:ascii="Times New Roman" w:hAnsi="Times New Roman" w:cs="Times New Roman" w:eastAsia="Times New Roman" w:hint="default"/>
          <w:sz w:val="24"/>
          <w:szCs w:val="24"/>
        </w:rPr>
      </w:pPr>
      <w:r>
        <w:rPr>
          <w:rFonts w:ascii="Times New Roman" w:hAnsi="Times New Roman"/>
          <w:sz w:val="24"/>
        </w:rPr>
        <w:t>Код одређеног броја враћених ИОС образаца од стране купаца који су оспорили исказано стање, исти су позивали на усаглашавање, или у прилогу достављали стање из своје евиденције (картице добављача) ради усаглашавања стања, на што се Управа за финансије није</w:t>
      </w:r>
      <w:r>
        <w:rPr>
          <w:rFonts w:ascii="Times New Roman" w:hAnsi="Times New Roman"/>
          <w:spacing w:val="-10"/>
          <w:sz w:val="24"/>
        </w:rPr>
        <w:t> </w:t>
      </w:r>
      <w:r>
        <w:rPr>
          <w:rFonts w:ascii="Times New Roman" w:hAnsi="Times New Roman"/>
          <w:sz w:val="24"/>
        </w:rPr>
        <w:t>одазвала.</w:t>
      </w:r>
    </w:p>
    <w:p>
      <w:pPr>
        <w:pStyle w:val="Heading2"/>
        <w:spacing w:line="240" w:lineRule="auto"/>
        <w:ind w:right="173"/>
        <w:jc w:val="both"/>
        <w:rPr>
          <w:b w:val="0"/>
          <w:bCs w:val="0"/>
          <w:i w:val="0"/>
        </w:rPr>
      </w:pPr>
      <w:r>
        <w:rPr>
          <w:i/>
        </w:rPr>
        <w:t>Препоручује се одговорним лицама да редовно анализирају стања својих потраживања, врше усаглашавање стања из својих пословних књига са стањима својих  купаца  и  предузму  мере  ради  објективног,  тачног  и  реалног     </w:t>
      </w:r>
      <w:r>
        <w:rPr>
          <w:i/>
          <w:spacing w:val="3"/>
        </w:rPr>
        <w:t> </w:t>
      </w:r>
      <w:r>
        <w:rPr>
          <w:i/>
        </w:rPr>
        <w:t>исказивања</w:t>
      </w:r>
      <w:r>
        <w:rPr>
          <w:b w:val="0"/>
          <w:i w:val="0"/>
        </w:rPr>
      </w:r>
    </w:p>
    <w:p>
      <w:pPr>
        <w:spacing w:after="0" w:line="240" w:lineRule="auto"/>
        <w:jc w:val="both"/>
        <w:sectPr>
          <w:pgSz w:w="12240" w:h="15840"/>
          <w:pgMar w:header="740" w:footer="1274" w:top="1280" w:bottom="1460" w:left="1400" w:right="1260"/>
        </w:sectPr>
      </w:pPr>
    </w:p>
    <w:p>
      <w:pPr>
        <w:spacing w:before="126"/>
        <w:ind w:left="160" w:right="178" w:firstLine="0"/>
        <w:jc w:val="both"/>
        <w:rPr>
          <w:rFonts w:ascii="Times New Roman" w:hAnsi="Times New Roman" w:cs="Times New Roman" w:eastAsia="Times New Roman" w:hint="default"/>
          <w:sz w:val="24"/>
          <w:szCs w:val="24"/>
        </w:rPr>
      </w:pPr>
      <w:r>
        <w:rPr>
          <w:rFonts w:ascii="Times New Roman" w:hAnsi="Times New Roman"/>
          <w:b/>
          <w:i/>
          <w:sz w:val="24"/>
        </w:rPr>
        <w:t>потраживања, приликом давања позајмица робних резерви  обезбеде  град  средствима</w:t>
      </w:r>
      <w:r>
        <w:rPr>
          <w:rFonts w:ascii="Times New Roman" w:hAnsi="Times New Roman"/>
          <w:b/>
          <w:i/>
          <w:spacing w:val="-6"/>
          <w:sz w:val="24"/>
        </w:rPr>
        <w:t> </w:t>
      </w:r>
      <w:r>
        <w:rPr>
          <w:rFonts w:ascii="Times New Roman" w:hAnsi="Times New Roman"/>
          <w:b/>
          <w:i/>
          <w:sz w:val="24"/>
        </w:rPr>
        <w:t>обезбеђења.</w:t>
      </w:r>
      <w:r>
        <w:rPr>
          <w:rFonts w:ascii="Times New Roman" w:hAnsi="Times New Roman"/>
          <w:sz w:val="24"/>
        </w:rPr>
      </w:r>
    </w:p>
    <w:p>
      <w:pPr>
        <w:spacing w:line="240" w:lineRule="auto" w:before="0"/>
        <w:ind w:left="160" w:right="182"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Краткорочни кредити, конто 123100 – </w:t>
      </w:r>
      <w:r>
        <w:rPr>
          <w:rFonts w:ascii="Times New Roman" w:hAnsi="Times New Roman" w:cs="Times New Roman" w:eastAsia="Times New Roman" w:hint="default"/>
          <w:sz w:val="24"/>
          <w:szCs w:val="24"/>
        </w:rPr>
        <w:t>Исказано је стање у износу од 285.239 хиљада динара код </w:t>
      </w:r>
      <w:r>
        <w:rPr>
          <w:rFonts w:ascii="Times New Roman" w:hAnsi="Times New Roman" w:cs="Times New Roman" w:eastAsia="Times New Roman" w:hint="default"/>
          <w:sz w:val="24"/>
          <w:szCs w:val="24"/>
        </w:rPr>
      </w:r>
      <w:r>
        <w:rPr>
          <w:rFonts w:ascii="Times New Roman" w:hAnsi="Times New Roman" w:cs="Times New Roman" w:eastAsia="Times New Roman" w:hint="default"/>
          <w:sz w:val="24"/>
          <w:szCs w:val="24"/>
          <w:u w:val="single" w:color="000000"/>
        </w:rPr>
      </w:r>
      <w:r>
        <w:rPr>
          <w:rFonts w:ascii="Times New Roman" w:hAnsi="Times New Roman" w:cs="Times New Roman" w:eastAsia="Times New Roman" w:hint="default"/>
          <w:sz w:val="24"/>
          <w:szCs w:val="24"/>
          <w:u w:val="single" w:color="000000"/>
        </w:rPr>
        <w:t>Управе за планирање и изградњу </w:t>
      </w:r>
      <w:r>
        <w:rPr>
          <w:rFonts w:ascii="Times New Roman" w:hAnsi="Times New Roman" w:cs="Times New Roman" w:eastAsia="Times New Roman" w:hint="default"/>
          <w:sz w:val="24"/>
          <w:szCs w:val="24"/>
        </w:rPr>
        <w:t>које је исказало ЈП</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ГСА</w:t>
      </w:r>
      <w:r>
        <w:rPr>
          <w:rFonts w:ascii="Times New Roman" w:hAnsi="Times New Roman" w:cs="Times New Roman" w:eastAsia="Times New Roman" w:hint="default"/>
          <w:sz w:val="24"/>
          <w:szCs w:val="24"/>
        </w:rPr>
        <w:t>.</w:t>
      </w:r>
    </w:p>
    <w:p>
      <w:pPr>
        <w:pStyle w:val="Heading1"/>
        <w:spacing w:line="275" w:lineRule="exact"/>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2"/>
        </w:rPr>
        <w:t> </w:t>
      </w:r>
      <w:r>
        <w:rPr/>
        <w:t>је</w:t>
      </w:r>
      <w:r>
        <w:rPr>
          <w:rFonts w:ascii="Times New Roman" w:hAnsi="Times New Roman"/>
        </w:rPr>
        <w:t>:</w:t>
      </w:r>
      <w:r>
        <w:rPr>
          <w:rFonts w:ascii="Times New Roman" w:hAnsi="Times New Roman"/>
          <w:b w:val="0"/>
        </w:rPr>
      </w:r>
    </w:p>
    <w:p>
      <w:pPr>
        <w:pStyle w:val="ListParagraph"/>
        <w:numPr>
          <w:ilvl w:val="0"/>
          <w:numId w:val="9"/>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Ова билансна позиција код ЈП ГСА исказана је у већем износу за 284.656 хиљада динара, због неправилног евидентирања,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spacing w:val="-8"/>
          <w:sz w:val="24"/>
        </w:rPr>
        <w:t> </w:t>
      </w:r>
      <w:r>
        <w:rPr>
          <w:rFonts w:ascii="Times New Roman" w:hAnsi="Times New Roman"/>
          <w:sz w:val="24"/>
        </w:rPr>
        <w:t>систем</w:t>
      </w:r>
      <w:r>
        <w:rPr>
          <w:rFonts w:ascii="Times New Roman" w:hAnsi="Times New Roman"/>
          <w:sz w:val="24"/>
        </w:rPr>
        <w:t>.</w:t>
      </w:r>
    </w:p>
    <w:p>
      <w:pPr>
        <w:pStyle w:val="ListParagraph"/>
        <w:numPr>
          <w:ilvl w:val="0"/>
          <w:numId w:val="9"/>
        </w:numPr>
        <w:tabs>
          <w:tab w:pos="303" w:val="left" w:leader="none"/>
        </w:tabs>
        <w:spacing w:line="240" w:lineRule="auto" w:before="11"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Ова билансна позиција код ЈП ГСА исказана је у у мањем износу за 39.316 хиљада динара, јер је ЈП „Градска стамбена агенција“ отписала потраживања која се односе на утужена потраживања за које још судски процес није завршен, без правног основа за умањење, што је супротно члану 1</w:t>
      </w:r>
      <w:r>
        <w:rPr>
          <w:rFonts w:ascii="Times New Roman" w:hAnsi="Times New Roman" w:cs="Times New Roman" w:eastAsia="Times New Roman" w:hint="default"/>
          <w:sz w:val="24"/>
          <w:szCs w:val="24"/>
        </w:rPr>
        <w:t>6</w:t>
      </w:r>
      <w:r>
        <w:rPr>
          <w:rFonts w:ascii="Times New Roman" w:hAnsi="Times New Roman" w:cs="Times New Roman" w:eastAsia="Times New Roman" w:hint="default"/>
          <w:sz w:val="24"/>
          <w:szCs w:val="24"/>
        </w:rPr>
        <w:t>. Уредбе о буџетском</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рачуноводству</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37" w:lineRule="auto" w:before="14"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Дати зајмови нису враћени у року утврђеном уговором. ЈП ГСА није активирала менице за невраћене зајамове, како је то прописано чланом 13. Уговора. Међу зајмопримцима који нису вратили кредите су и блиски рођаци појединих запослених у</w:t>
      </w:r>
      <w:r>
        <w:rPr>
          <w:rFonts w:ascii="Times New Roman" w:hAnsi="Times New Roman"/>
          <w:spacing w:val="-29"/>
          <w:sz w:val="24"/>
        </w:rPr>
        <w:t> </w:t>
      </w:r>
      <w:r>
        <w:rPr>
          <w:rFonts w:ascii="Times New Roman" w:hAnsi="Times New Roman"/>
          <w:sz w:val="24"/>
        </w:rPr>
        <w:t>ЈП.</w:t>
      </w:r>
    </w:p>
    <w:p>
      <w:pPr>
        <w:pStyle w:val="Heading2"/>
        <w:spacing w:line="240" w:lineRule="auto"/>
        <w:ind w:right="174"/>
        <w:jc w:val="both"/>
        <w:rPr>
          <w:b w:val="0"/>
          <w:bCs w:val="0"/>
          <w:i w:val="0"/>
        </w:rPr>
      </w:pPr>
      <w:r>
        <w:rPr>
          <w:i/>
        </w:rPr>
        <w:t>Препоручује се одговорним лицима да обезбеде адекватну примену одредби Уредбе о буџетском рачуноводству и Правилника о стандардном класификационом оквиру и контном плану за буџетски систем, обезбеде основ за отпис потраживања, интерним актом дефинишу услове и рокове отписа потраживања и предузму мере како би наплатили своја дугогодишња потраживања по основу датих</w:t>
      </w:r>
      <w:r>
        <w:rPr>
          <w:i/>
          <w:spacing w:val="-15"/>
        </w:rPr>
        <w:t> </w:t>
      </w:r>
      <w:r>
        <w:rPr>
          <w:i/>
        </w:rPr>
        <w:t>зајмова.</w:t>
      </w:r>
      <w:r>
        <w:rPr>
          <w:b w:val="0"/>
          <w:i w:val="0"/>
        </w:rPr>
      </w:r>
    </w:p>
    <w:p>
      <w:pPr>
        <w:spacing w:line="272" w:lineRule="exact" w:before="0"/>
        <w:ind w:left="726" w:right="141" w:firstLine="0"/>
        <w:jc w:val="left"/>
        <w:rPr>
          <w:rFonts w:ascii="Times New Roman" w:hAnsi="Times New Roman" w:cs="Times New Roman" w:eastAsia="Times New Roman" w:hint="default"/>
          <w:sz w:val="24"/>
          <w:szCs w:val="24"/>
        </w:rPr>
      </w:pPr>
      <w:r>
        <w:rPr>
          <w:rFonts w:ascii="Times New Roman" w:hAnsi="Times New Roman"/>
          <w:b/>
          <w:sz w:val="24"/>
        </w:rPr>
        <w:t>Дати</w:t>
      </w:r>
      <w:r>
        <w:rPr>
          <w:rFonts w:ascii="Times New Roman" w:hAnsi="Times New Roman"/>
          <w:b/>
          <w:spacing w:val="20"/>
          <w:sz w:val="24"/>
        </w:rPr>
        <w:t> </w:t>
      </w:r>
      <w:r>
        <w:rPr>
          <w:rFonts w:ascii="Times New Roman" w:hAnsi="Times New Roman"/>
          <w:b/>
          <w:sz w:val="24"/>
        </w:rPr>
        <w:t>аванси,</w:t>
      </w:r>
      <w:r>
        <w:rPr>
          <w:rFonts w:ascii="Times New Roman" w:hAnsi="Times New Roman"/>
          <w:b/>
          <w:spacing w:val="19"/>
          <w:sz w:val="24"/>
        </w:rPr>
        <w:t> </w:t>
      </w:r>
      <w:r>
        <w:rPr>
          <w:rFonts w:ascii="Times New Roman" w:hAnsi="Times New Roman"/>
          <w:b/>
          <w:sz w:val="24"/>
        </w:rPr>
        <w:t>депозити</w:t>
      </w:r>
      <w:r>
        <w:rPr>
          <w:rFonts w:ascii="Times New Roman" w:hAnsi="Times New Roman"/>
          <w:b/>
          <w:spacing w:val="25"/>
          <w:sz w:val="24"/>
        </w:rPr>
        <w:t> </w:t>
      </w:r>
      <w:r>
        <w:rPr>
          <w:rFonts w:ascii="Times New Roman" w:hAnsi="Times New Roman"/>
          <w:b/>
          <w:sz w:val="24"/>
        </w:rPr>
        <w:t>и</w:t>
      </w:r>
      <w:r>
        <w:rPr>
          <w:rFonts w:ascii="Times New Roman" w:hAnsi="Times New Roman"/>
          <w:b/>
          <w:spacing w:val="20"/>
          <w:sz w:val="24"/>
        </w:rPr>
        <w:t> </w:t>
      </w:r>
      <w:r>
        <w:rPr>
          <w:rFonts w:ascii="Times New Roman" w:hAnsi="Times New Roman"/>
          <w:b/>
          <w:sz w:val="24"/>
        </w:rPr>
        <w:t>кауције,</w:t>
      </w:r>
      <w:r>
        <w:rPr>
          <w:rFonts w:ascii="Times New Roman" w:hAnsi="Times New Roman"/>
          <w:b/>
          <w:spacing w:val="21"/>
          <w:sz w:val="24"/>
        </w:rPr>
        <w:t> </w:t>
      </w:r>
      <w:r>
        <w:rPr>
          <w:rFonts w:ascii="Times New Roman" w:hAnsi="Times New Roman"/>
          <w:b/>
          <w:sz w:val="24"/>
        </w:rPr>
        <w:t>конто</w:t>
      </w:r>
      <w:r>
        <w:rPr>
          <w:rFonts w:ascii="Times New Roman" w:hAnsi="Times New Roman"/>
          <w:b/>
          <w:spacing w:val="21"/>
          <w:sz w:val="24"/>
        </w:rPr>
        <w:t> </w:t>
      </w:r>
      <w:r>
        <w:rPr>
          <w:rFonts w:ascii="Times New Roman" w:hAnsi="Times New Roman"/>
          <w:b/>
          <w:sz w:val="24"/>
        </w:rPr>
        <w:t>123200</w:t>
      </w:r>
      <w:r>
        <w:rPr>
          <w:rFonts w:ascii="Times New Roman" w:hAnsi="Times New Roman"/>
          <w:b/>
          <w:spacing w:val="24"/>
          <w:sz w:val="24"/>
        </w:rPr>
        <w:t> </w:t>
      </w:r>
      <w:r>
        <w:rPr>
          <w:rFonts w:ascii="Times New Roman" w:hAnsi="Times New Roman"/>
          <w:b/>
          <w:sz w:val="24"/>
        </w:rPr>
        <w:t>-</w:t>
      </w:r>
      <w:r>
        <w:rPr>
          <w:rFonts w:ascii="Times New Roman" w:hAnsi="Times New Roman"/>
          <w:b/>
          <w:spacing w:val="21"/>
          <w:sz w:val="24"/>
        </w:rPr>
        <w:t> </w:t>
      </w:r>
      <w:r>
        <w:rPr>
          <w:rFonts w:ascii="Times New Roman" w:hAnsi="Times New Roman"/>
          <w:sz w:val="24"/>
        </w:rPr>
        <w:t>Исказано</w:t>
      </w:r>
      <w:r>
        <w:rPr>
          <w:rFonts w:ascii="Times New Roman" w:hAnsi="Times New Roman"/>
          <w:spacing w:val="21"/>
          <w:sz w:val="24"/>
        </w:rPr>
        <w:t> </w:t>
      </w:r>
      <w:r>
        <w:rPr>
          <w:rFonts w:ascii="Times New Roman" w:hAnsi="Times New Roman"/>
          <w:sz w:val="24"/>
        </w:rPr>
        <w:t>је</w:t>
      </w:r>
      <w:r>
        <w:rPr>
          <w:rFonts w:ascii="Times New Roman" w:hAnsi="Times New Roman"/>
          <w:spacing w:val="21"/>
          <w:sz w:val="24"/>
        </w:rPr>
        <w:t> </w:t>
      </w:r>
      <w:r>
        <w:rPr>
          <w:rFonts w:ascii="Times New Roman" w:hAnsi="Times New Roman"/>
          <w:sz w:val="24"/>
        </w:rPr>
        <w:t>стање</w:t>
      </w:r>
      <w:r>
        <w:rPr>
          <w:rFonts w:ascii="Times New Roman" w:hAnsi="Times New Roman"/>
          <w:spacing w:val="22"/>
          <w:sz w:val="24"/>
        </w:rPr>
        <w:t> </w:t>
      </w:r>
      <w:r>
        <w:rPr>
          <w:rFonts w:ascii="Times New Roman" w:hAnsi="Times New Roman"/>
          <w:sz w:val="24"/>
        </w:rPr>
        <w:t>у</w:t>
      </w:r>
      <w:r>
        <w:rPr>
          <w:rFonts w:ascii="Times New Roman" w:hAnsi="Times New Roman"/>
          <w:spacing w:val="16"/>
          <w:sz w:val="24"/>
        </w:rPr>
        <w:t> </w:t>
      </w:r>
      <w:r>
        <w:rPr>
          <w:rFonts w:ascii="Times New Roman" w:hAnsi="Times New Roman"/>
          <w:sz w:val="24"/>
        </w:rPr>
        <w:t>износу</w:t>
      </w:r>
      <w:r>
        <w:rPr>
          <w:rFonts w:ascii="Times New Roman" w:hAnsi="Times New Roman"/>
          <w:spacing w:val="16"/>
          <w:sz w:val="24"/>
        </w:rPr>
        <w:t> </w:t>
      </w:r>
      <w:r>
        <w:rPr>
          <w:rFonts w:ascii="Times New Roman" w:hAnsi="Times New Roman"/>
          <w:sz w:val="24"/>
        </w:rPr>
        <w:t>од</w:t>
      </w:r>
    </w:p>
    <w:p>
      <w:pPr>
        <w:pStyle w:val="BodyText"/>
        <w:spacing w:line="240" w:lineRule="auto"/>
        <w:ind w:right="0"/>
        <w:jc w:val="both"/>
      </w:pPr>
      <w:r>
        <w:rPr/>
        <w:t>36.224 хиљаде динара и то</w:t>
      </w:r>
      <w:r>
        <w:rPr>
          <w:spacing w:val="-5"/>
        </w:rPr>
        <w:t> </w:t>
      </w:r>
      <w:r>
        <w:rPr/>
        <w:t>код:</w:t>
      </w:r>
    </w:p>
    <w:p>
      <w:pPr>
        <w:pStyle w:val="ListParagraph"/>
        <w:numPr>
          <w:ilvl w:val="0"/>
          <w:numId w:val="76"/>
        </w:numPr>
        <w:tabs>
          <w:tab w:pos="303"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финансије, изворне приходе локалне самоуправе и јавне набавке </w:t>
      </w:r>
      <w:r>
        <w:rPr>
          <w:rFonts w:ascii="Times New Roman" w:hAnsi="Times New Roman"/>
          <w:sz w:val="24"/>
        </w:rPr>
        <w:t>у износу од </w:t>
      </w:r>
      <w:r>
        <w:rPr>
          <w:rFonts w:ascii="Times New Roman" w:hAnsi="Times New Roman"/>
          <w:sz w:val="24"/>
        </w:rPr>
        <w:t>16 хиљада</w:t>
      </w:r>
      <w:r>
        <w:rPr>
          <w:rFonts w:ascii="Times New Roman" w:hAnsi="Times New Roman"/>
          <w:spacing w:val="-3"/>
          <w:sz w:val="24"/>
        </w:rPr>
        <w:t> </w:t>
      </w:r>
      <w:r>
        <w:rPr>
          <w:rFonts w:ascii="Times New Roman" w:hAnsi="Times New Roman"/>
          <w:sz w:val="24"/>
        </w:rPr>
        <w:t>динара.</w:t>
      </w:r>
    </w:p>
    <w:p>
      <w:pPr>
        <w:spacing w:before="0"/>
        <w:ind w:left="160" w:right="173"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аванси исказани код Управе за финансије, изворне приходе локалне самоуправе и јавне набавке у износу од 16 хиљада динара потичу из периода од пре 2010. године и застарели</w:t>
      </w:r>
      <w:r>
        <w:rPr>
          <w:rFonts w:ascii="Times New Roman" w:hAnsi="Times New Roman"/>
          <w:spacing w:val="-22"/>
          <w:sz w:val="24"/>
        </w:rPr>
        <w:t> </w:t>
      </w:r>
      <w:r>
        <w:rPr>
          <w:rFonts w:ascii="Times New Roman" w:hAnsi="Times New Roman"/>
          <w:sz w:val="24"/>
        </w:rPr>
        <w:t>су.</w:t>
      </w:r>
    </w:p>
    <w:p>
      <w:pPr>
        <w:pStyle w:val="Heading2"/>
        <w:spacing w:line="240" w:lineRule="auto"/>
        <w:ind w:right="176" w:firstLine="578"/>
        <w:jc w:val="both"/>
        <w:rPr>
          <w:rFonts w:ascii="Times New Roman" w:hAnsi="Times New Roman" w:cs="Times New Roman" w:eastAsia="Times New Roman" w:hint="default"/>
          <w:b w:val="0"/>
          <w:bCs w:val="0"/>
          <w:i w:val="0"/>
        </w:rPr>
      </w:pPr>
      <w:r>
        <w:rPr>
          <w:i/>
        </w:rPr>
        <w:t>Препоручује се одговорним лицима да прате и анализирају дате авансе и предузму мере ради њиховог повраћаја или извршења</w:t>
      </w:r>
      <w:r>
        <w:rPr>
          <w:i/>
          <w:spacing w:val="-14"/>
        </w:rPr>
        <w:t> </w:t>
      </w:r>
      <w:r>
        <w:rPr>
          <w:i/>
        </w:rPr>
        <w:t>услуге</w:t>
      </w:r>
      <w:r>
        <w:rPr>
          <w:rFonts w:ascii="Times New Roman" w:hAnsi="Times New Roman"/>
          <w:i/>
        </w:rPr>
        <w:t>.</w:t>
      </w:r>
      <w:r>
        <w:rPr>
          <w:rFonts w:ascii="Times New Roman" w:hAnsi="Times New Roman"/>
          <w:b w:val="0"/>
          <w:i w:val="0"/>
        </w:rPr>
      </w:r>
    </w:p>
    <w:p>
      <w:pPr>
        <w:pStyle w:val="ListParagraph"/>
        <w:numPr>
          <w:ilvl w:val="0"/>
          <w:numId w:val="76"/>
        </w:numPr>
        <w:tabs>
          <w:tab w:pos="303" w:val="left" w:leader="none"/>
        </w:tabs>
        <w:spacing w:line="240" w:lineRule="auto" w:before="0"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У билансу стања </w:t>
      </w:r>
      <w:r>
        <w:rPr>
          <w:rFonts w:ascii="Times New Roman" w:hAnsi="Times New Roman"/>
          <w:sz w:val="24"/>
        </w:rPr>
      </w:r>
      <w:r>
        <w:rPr>
          <w:rFonts w:ascii="Times New Roman" w:hAnsi="Times New Roman"/>
          <w:sz w:val="24"/>
          <w:u w:val="single" w:color="000000"/>
        </w:rPr>
      </w:r>
      <w:r>
        <w:rPr>
          <w:rFonts w:ascii="Times New Roman" w:hAnsi="Times New Roman"/>
          <w:sz w:val="24"/>
          <w:u w:val="single" w:color="000000"/>
        </w:rPr>
        <w:t>Управе за дечију, социјалну и примарну здравствену заштиту</w:t>
      </w:r>
      <w:r>
        <w:rPr>
          <w:rFonts w:ascii="Times New Roman" w:hAnsi="Times New Roman"/>
          <w:sz w:val="24"/>
        </w:rPr>
        <w:t>, није </w:t>
      </w:r>
      <w:r>
        <w:rPr>
          <w:rFonts w:ascii="Times New Roman" w:hAnsi="Times New Roman"/>
          <w:sz w:val="24"/>
        </w:rPr>
        <w:t>исказан</w:t>
      </w:r>
      <w:r>
        <w:rPr>
          <w:rFonts w:ascii="Times New Roman" w:hAnsi="Times New Roman"/>
          <w:spacing w:val="-5"/>
          <w:sz w:val="24"/>
        </w:rPr>
        <w:t> </w:t>
      </w:r>
      <w:r>
        <w:rPr>
          <w:rFonts w:ascii="Times New Roman" w:hAnsi="Times New Roman"/>
          <w:sz w:val="24"/>
        </w:rPr>
        <w:t>податак.</w:t>
      </w:r>
    </w:p>
    <w:p>
      <w:pPr>
        <w:pStyle w:val="BodyText"/>
        <w:spacing w:line="240" w:lineRule="auto"/>
        <w:ind w:right="173" w:firstLine="578"/>
        <w:jc w:val="both"/>
      </w:pPr>
      <w:r>
        <w:rPr>
          <w:rFonts w:ascii="Times New Roman" w:hAnsi="Times New Roman" w:cs="Times New Roman" w:eastAsia="Times New Roman" w:hint="default"/>
          <w:b/>
          <w:bCs/>
        </w:rPr>
        <w:t>На основу ревизије узорковане документације утврђено је </w:t>
      </w:r>
      <w:r>
        <w:rPr/>
        <w:t>да је ова позиција исказана у мањем износу код Установе „Мара“ за 68 хиљада динара, на име неевидентираног аванса уплаћеног 2013. године НИС</w:t>
      </w:r>
      <w:r>
        <w:rPr>
          <w:rFonts w:ascii="Times New Roman" w:hAnsi="Times New Roman" w:cs="Times New Roman" w:eastAsia="Times New Roman" w:hint="default"/>
        </w:rPr>
        <w:t>-</w:t>
      </w:r>
      <w:r>
        <w:rPr/>
        <w:t>у за куповину горива путем  картице и неевидентирања испостављених рачуна за купљено</w:t>
      </w:r>
      <w:r>
        <w:rPr>
          <w:spacing w:val="-22"/>
        </w:rPr>
        <w:t> </w:t>
      </w:r>
      <w:r>
        <w:rPr/>
        <w:t>гориво.</w:t>
      </w:r>
    </w:p>
    <w:p>
      <w:pPr>
        <w:pStyle w:val="Heading2"/>
        <w:spacing w:line="240" w:lineRule="auto"/>
        <w:ind w:right="179"/>
        <w:jc w:val="both"/>
        <w:rPr>
          <w:b w:val="0"/>
          <w:bCs w:val="0"/>
          <w:i w:val="0"/>
        </w:rPr>
      </w:pPr>
      <w:r>
        <w:rPr>
          <w:i/>
        </w:rPr>
        <w:t>Препоручује се одговрним лицима да у својим пословним књигама евидентирају све пословне промене и дате</w:t>
      </w:r>
      <w:r>
        <w:rPr>
          <w:i/>
          <w:spacing w:val="-10"/>
        </w:rPr>
        <w:t> </w:t>
      </w:r>
      <w:r>
        <w:rPr>
          <w:i/>
        </w:rPr>
        <w:t>авансе.</w:t>
      </w:r>
      <w:r>
        <w:rPr>
          <w:b w:val="0"/>
          <w:i w:val="0"/>
        </w:rPr>
      </w:r>
    </w:p>
    <w:p>
      <w:pPr>
        <w:pStyle w:val="ListParagraph"/>
        <w:numPr>
          <w:ilvl w:val="0"/>
          <w:numId w:val="76"/>
        </w:numPr>
        <w:tabs>
          <w:tab w:pos="303" w:val="left" w:leader="none"/>
        </w:tabs>
        <w:spacing w:line="240" w:lineRule="auto" w:before="0" w:after="0"/>
        <w:ind w:left="160" w:right="185"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образовање </w:t>
      </w:r>
      <w:r>
        <w:rPr>
          <w:rFonts w:ascii="Times New Roman" w:hAnsi="Times New Roman"/>
          <w:sz w:val="24"/>
        </w:rPr>
        <w:t>у износу од једне хиљаде динара за исказан аванс код Дечијег </w:t>
      </w:r>
      <w:r>
        <w:rPr>
          <w:rFonts w:ascii="Times New Roman" w:hAnsi="Times New Roman"/>
          <w:sz w:val="24"/>
        </w:rPr>
        <w:t>центра</w:t>
      </w:r>
      <w:r>
        <w:rPr>
          <w:rFonts w:ascii="Times New Roman" w:hAnsi="Times New Roman"/>
          <w:sz w:val="24"/>
        </w:rPr>
        <w:t>.</w:t>
      </w:r>
    </w:p>
    <w:p>
      <w:pPr>
        <w:pStyle w:val="BodyText"/>
        <w:spacing w:line="240" w:lineRule="auto"/>
        <w:ind w:right="174"/>
        <w:jc w:val="both"/>
      </w:pPr>
      <w:r>
        <w:rPr>
          <w:rFonts w:ascii="Times New Roman" w:hAnsi="Times New Roman"/>
          <w:w w:val="99"/>
        </w:rPr>
      </w:r>
      <w:r>
        <w:rPr>
          <w:rFonts w:ascii="Times New Roman" w:hAnsi="Times New Roman"/>
          <w:u w:val="single" w:color="000000"/>
        </w:rPr>
        <w:t>-</w:t>
      </w:r>
      <w:r>
        <w:rPr>
          <w:u w:val="single" w:color="000000"/>
        </w:rPr>
        <w:t>Управе за културу </w:t>
      </w:r>
      <w:r>
        <w:rPr/>
        <w:t>у износу од 1.121 хиљаде динара за исказане авансе код: Народне </w:t>
      </w:r>
      <w:r>
        <w:rPr/>
        <w:t>библиотеке у износу од 193 хиљаде динара, Нишког симфонијског оркестра у износу од 19 хиљада динара, Историјског архива у износу од 10 хиљада динара, Народног музеја у износу од 350 хиљада динара и Завода за заштиту споменика у износу од 549 хиљада динара.</w:t>
      </w:r>
    </w:p>
    <w:p>
      <w:pPr>
        <w:spacing w:after="0" w:line="240" w:lineRule="auto"/>
        <w:jc w:val="both"/>
        <w:sectPr>
          <w:pgSz w:w="12240" w:h="15840"/>
          <w:pgMar w:header="740" w:footer="1274" w:top="1280" w:bottom="1460" w:left="1400" w:right="1260"/>
        </w:sectPr>
      </w:pPr>
    </w:p>
    <w:p>
      <w:pPr>
        <w:pStyle w:val="BodyText"/>
        <w:spacing w:line="240" w:lineRule="auto" w:before="122"/>
        <w:ind w:right="174" w:firstLine="566"/>
        <w:jc w:val="both"/>
      </w:pPr>
      <w:r>
        <w:rPr>
          <w:rFonts w:ascii="Times New Roman" w:hAnsi="Times New Roman" w:cs="Times New Roman" w:eastAsia="Times New Roman" w:hint="default"/>
          <w:b/>
          <w:bCs/>
        </w:rPr>
        <w:t>На основу ревизије узорковане документације утврђено је </w:t>
      </w:r>
      <w:r>
        <w:rPr/>
        <w:t>да је Нишки симфонијски оркестар на овој буџетској позицији евидентирао авансну уплату  добављачу „Тriacom“ након чега је издат авансни рачун у износу од 10 хиљада динара по коме је и извршена уплата дана 10.09.2013. године. Добављач није до дана вршења ревизије издао</w:t>
      </w:r>
      <w:r>
        <w:rPr>
          <w:spacing w:val="-9"/>
        </w:rPr>
        <w:t> </w:t>
      </w:r>
      <w:r>
        <w:rPr/>
        <w:t>рачун.</w:t>
      </w:r>
    </w:p>
    <w:p>
      <w:pPr>
        <w:pStyle w:val="Heading2"/>
        <w:spacing w:line="240" w:lineRule="auto"/>
        <w:ind w:right="180"/>
        <w:jc w:val="both"/>
        <w:rPr>
          <w:b w:val="0"/>
          <w:bCs w:val="0"/>
          <w:i w:val="0"/>
        </w:rPr>
      </w:pPr>
      <w:r>
        <w:rPr>
          <w:i/>
        </w:rPr>
        <w:t>Препоручује се одговорним лицима да предузму све мере како би оправдали потраживања за дате авансе и обезбеде средствима обезбеђења дате</w:t>
      </w:r>
      <w:r>
        <w:rPr>
          <w:i/>
          <w:spacing w:val="-16"/>
        </w:rPr>
        <w:t> </w:t>
      </w:r>
      <w:r>
        <w:rPr>
          <w:i/>
        </w:rPr>
        <w:t>авансе.</w:t>
      </w:r>
      <w:r>
        <w:rPr>
          <w:b w:val="0"/>
          <w:i w:val="0"/>
        </w:rPr>
      </w:r>
    </w:p>
    <w:p>
      <w:pPr>
        <w:pStyle w:val="ListParagraph"/>
        <w:numPr>
          <w:ilvl w:val="0"/>
          <w:numId w:val="77"/>
        </w:numPr>
        <w:tabs>
          <w:tab w:pos="303"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омладину и спорт </w:t>
      </w:r>
      <w:r>
        <w:rPr>
          <w:rFonts w:ascii="Times New Roman" w:hAnsi="Times New Roman"/>
          <w:sz w:val="24"/>
        </w:rPr>
        <w:t>у износу од 69 хиљада динара за исказан аванс код СЦ </w:t>
      </w:r>
      <w:r>
        <w:rPr>
          <w:rFonts w:ascii="Times New Roman" w:hAnsi="Times New Roman"/>
          <w:sz w:val="24"/>
        </w:rPr>
        <w:t>Чаир.</w:t>
      </w:r>
    </w:p>
    <w:p>
      <w:pPr>
        <w:pStyle w:val="ListParagraph"/>
        <w:numPr>
          <w:ilvl w:val="0"/>
          <w:numId w:val="77"/>
        </w:numPr>
        <w:tabs>
          <w:tab w:pos="303"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комуналне делатности, енергетику и саобраћај </w:t>
      </w:r>
      <w:r>
        <w:rPr>
          <w:rFonts w:ascii="Times New Roman" w:hAnsi="Times New Roman"/>
          <w:sz w:val="24"/>
        </w:rPr>
        <w:t>у износу од 47 хиљада динара </w:t>
      </w:r>
      <w:r>
        <w:rPr>
          <w:rFonts w:ascii="Times New Roman" w:hAnsi="Times New Roman"/>
          <w:sz w:val="24"/>
        </w:rPr>
        <w:t>код ЈП</w:t>
      </w:r>
      <w:r>
        <w:rPr>
          <w:rFonts w:ascii="Times New Roman" w:hAnsi="Times New Roman"/>
          <w:spacing w:val="-5"/>
          <w:sz w:val="24"/>
        </w:rPr>
        <w:t> </w:t>
      </w:r>
      <w:r>
        <w:rPr>
          <w:rFonts w:ascii="Times New Roman" w:hAnsi="Times New Roman"/>
          <w:sz w:val="24"/>
        </w:rPr>
        <w:t>Дирекција</w:t>
      </w:r>
      <w:r>
        <w:rPr>
          <w:rFonts w:ascii="Times New Roman" w:hAnsi="Times New Roman"/>
          <w:sz w:val="24"/>
        </w:rPr>
        <w:t>.</w:t>
      </w:r>
    </w:p>
    <w:p>
      <w:pPr>
        <w:pStyle w:val="ListParagraph"/>
        <w:numPr>
          <w:ilvl w:val="0"/>
          <w:numId w:val="77"/>
        </w:numPr>
        <w:tabs>
          <w:tab w:pos="303"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планирање и изградњу </w:t>
      </w:r>
      <w:r>
        <w:rPr>
          <w:rFonts w:ascii="Times New Roman" w:hAnsi="Times New Roman"/>
          <w:sz w:val="24"/>
        </w:rPr>
        <w:t>у износу од 34.893 хиљаде динара за исказане авансе </w:t>
      </w:r>
      <w:r>
        <w:rPr>
          <w:rFonts w:ascii="Times New Roman" w:hAnsi="Times New Roman"/>
          <w:sz w:val="24"/>
        </w:rPr>
        <w:t>код ЈП</w:t>
      </w:r>
      <w:r>
        <w:rPr>
          <w:rFonts w:ascii="Times New Roman" w:hAnsi="Times New Roman"/>
          <w:spacing w:val="-2"/>
          <w:sz w:val="24"/>
        </w:rPr>
        <w:t> </w:t>
      </w:r>
      <w:r>
        <w:rPr>
          <w:rFonts w:ascii="Times New Roman" w:hAnsi="Times New Roman"/>
          <w:sz w:val="24"/>
        </w:rPr>
        <w:t>ГСА.</w:t>
      </w:r>
    </w:p>
    <w:p>
      <w:pPr>
        <w:spacing w:before="0"/>
        <w:ind w:left="160" w:right="173"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је ова билансна позиција исказана у већем износу за 1.345 хиљада динара,</w:t>
      </w:r>
      <w:r>
        <w:rPr>
          <w:rFonts w:ascii="Times New Roman" w:hAnsi="Times New Roman"/>
          <w:spacing w:val="-22"/>
          <w:sz w:val="24"/>
        </w:rPr>
        <w:t> </w:t>
      </w:r>
      <w:r>
        <w:rPr>
          <w:rFonts w:ascii="Times New Roman" w:hAnsi="Times New Roman"/>
          <w:sz w:val="24"/>
        </w:rPr>
        <w:t>јер:</w:t>
      </w:r>
    </w:p>
    <w:p>
      <w:pPr>
        <w:pStyle w:val="ListParagraph"/>
        <w:numPr>
          <w:ilvl w:val="0"/>
          <w:numId w:val="78"/>
        </w:numPr>
        <w:tabs>
          <w:tab w:pos="303" w:val="left" w:leader="none"/>
        </w:tabs>
        <w:spacing w:line="240" w:lineRule="auto" w:before="0" w:after="0"/>
        <w:ind w:left="160" w:right="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извођачу  радова  ГП  „Тончев  градња“  доо  Сурдулица  уплаћен  је  аванс  у  износу</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од</w:t>
      </w:r>
    </w:p>
    <w:p>
      <w:pPr>
        <w:pStyle w:val="BodyText"/>
        <w:spacing w:line="240" w:lineRule="auto"/>
        <w:ind w:right="177"/>
        <w:jc w:val="both"/>
      </w:pPr>
      <w:r>
        <w:rPr/>
        <w:t>38.328 хиљада динара. По испостављању привремених ситуација, део изведених радова је одбијан за затварање аванса, што на дан 31.12.2014. године износи 11.787 хиљада динара, тако да остаје незатворени аванс у износу од 26.541 хиљад</w:t>
      </w:r>
      <w:r>
        <w:rPr>
          <w:rFonts w:ascii="Times New Roman" w:hAnsi="Times New Roman"/>
        </w:rPr>
        <w:t>e </w:t>
      </w:r>
      <w:r>
        <w:rPr/>
        <w:t>динара, што значи да је ова билансна позиција исказана у већем износу за 1.242 хиљаде</w:t>
      </w:r>
      <w:r>
        <w:rPr>
          <w:spacing w:val="-21"/>
        </w:rPr>
        <w:t> </w:t>
      </w:r>
      <w:r>
        <w:rPr/>
        <w:t>динара.</w:t>
      </w:r>
    </w:p>
    <w:p>
      <w:pPr>
        <w:pStyle w:val="ListParagraph"/>
        <w:numPr>
          <w:ilvl w:val="0"/>
          <w:numId w:val="78"/>
        </w:numPr>
        <w:tabs>
          <w:tab w:pos="303" w:val="left" w:leader="none"/>
        </w:tabs>
        <w:spacing w:line="240" w:lineRule="auto" w:before="0" w:after="0"/>
        <w:ind w:left="160" w:right="179"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остали су незатворени аванси из ранијих година, дати правним лицима која су у међувремену угашена, те је стога немогућа наплата ових потраживања у износу од 103 хиљаде динара. ЈП „Градска стамбена агенција“ није предузела никакве мере како би регулисала дате</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авансе</w:t>
      </w:r>
      <w:r>
        <w:rPr>
          <w:rFonts w:ascii="Times New Roman" w:hAnsi="Times New Roman" w:cs="Times New Roman" w:eastAsia="Times New Roman" w:hint="default"/>
          <w:sz w:val="24"/>
          <w:szCs w:val="24"/>
        </w:rPr>
        <w:t>.</w:t>
      </w:r>
    </w:p>
    <w:p>
      <w:pPr>
        <w:pStyle w:val="Heading2"/>
        <w:spacing w:line="240" w:lineRule="auto"/>
        <w:ind w:right="176"/>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 систем и предузму све мере како би оправдали потраживања за дате</w:t>
      </w:r>
      <w:r>
        <w:rPr>
          <w:i/>
          <w:spacing w:val="-9"/>
        </w:rPr>
        <w:t> </w:t>
      </w:r>
      <w:r>
        <w:rPr>
          <w:i/>
        </w:rPr>
        <w:t>авансе.</w:t>
      </w:r>
      <w:r>
        <w:rPr>
          <w:b w:val="0"/>
          <w:i w:val="0"/>
        </w:rPr>
      </w:r>
    </w:p>
    <w:p>
      <w:pPr>
        <w:pStyle w:val="ListParagraph"/>
        <w:numPr>
          <w:ilvl w:val="0"/>
          <w:numId w:val="79"/>
        </w:numPr>
        <w:tabs>
          <w:tab w:pos="303"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Службе за одржавање и информатичко комуникационе технологије </w:t>
      </w:r>
      <w:r>
        <w:rPr>
          <w:rFonts w:ascii="Times New Roman" w:hAnsi="Times New Roman"/>
          <w:sz w:val="24"/>
        </w:rPr>
        <w:t>у износу од 71 </w:t>
      </w:r>
      <w:r>
        <w:rPr>
          <w:rFonts w:ascii="Times New Roman" w:hAnsi="Times New Roman"/>
          <w:sz w:val="24"/>
        </w:rPr>
        <w:t>хиљаде</w:t>
      </w:r>
      <w:r>
        <w:rPr>
          <w:rFonts w:ascii="Times New Roman" w:hAnsi="Times New Roman"/>
          <w:spacing w:val="-3"/>
          <w:sz w:val="24"/>
        </w:rPr>
        <w:t> </w:t>
      </w:r>
      <w:r>
        <w:rPr>
          <w:rFonts w:ascii="Times New Roman" w:hAnsi="Times New Roman"/>
          <w:sz w:val="24"/>
        </w:rPr>
        <w:t>динара</w:t>
      </w:r>
      <w:r>
        <w:rPr>
          <w:rFonts w:ascii="Times New Roman" w:hAnsi="Times New Roman"/>
          <w:sz w:val="24"/>
        </w:rPr>
        <w:t>.</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74" w:lineRule="exact" w:before="20"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Аванс код Службе за одржавање и информатичко комуникационе технологије за услуге у износу од седам хиљада динара потиче од пре 2010. године и застарео</w:t>
      </w:r>
      <w:r>
        <w:rPr>
          <w:rFonts w:ascii="Times New Roman" w:hAnsi="Times New Roman"/>
          <w:spacing w:val="-13"/>
          <w:sz w:val="24"/>
        </w:rPr>
        <w:t> </w:t>
      </w:r>
      <w:r>
        <w:rPr>
          <w:rFonts w:ascii="Times New Roman" w:hAnsi="Times New Roman"/>
          <w:sz w:val="24"/>
        </w:rPr>
        <w:t>је.</w:t>
      </w:r>
    </w:p>
    <w:p>
      <w:pPr>
        <w:pStyle w:val="ListParagraph"/>
        <w:numPr>
          <w:ilvl w:val="0"/>
          <w:numId w:val="9"/>
        </w:numPr>
        <w:tabs>
          <w:tab w:pos="303" w:val="left" w:leader="none"/>
        </w:tabs>
        <w:spacing w:line="293"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Нису послати ИОС обрасци ради потврде стања датих аванса</w:t>
      </w:r>
      <w:r>
        <w:rPr>
          <w:rFonts w:ascii="Times New Roman" w:hAnsi="Times New Roman"/>
          <w:spacing w:val="-19"/>
          <w:sz w:val="24"/>
        </w:rPr>
        <w:t> </w:t>
      </w:r>
      <w:r>
        <w:rPr>
          <w:rFonts w:ascii="Times New Roman" w:hAnsi="Times New Roman"/>
          <w:sz w:val="24"/>
        </w:rPr>
        <w:t>добављачима.</w:t>
      </w:r>
    </w:p>
    <w:p>
      <w:pPr>
        <w:pStyle w:val="Heading2"/>
        <w:spacing w:line="240" w:lineRule="auto" w:before="1"/>
        <w:ind w:right="176" w:firstLine="578"/>
        <w:jc w:val="both"/>
        <w:rPr>
          <w:b w:val="0"/>
          <w:bCs w:val="0"/>
          <w:i w:val="0"/>
        </w:rPr>
      </w:pPr>
      <w:r>
        <w:rPr>
          <w:i/>
        </w:rPr>
        <w:t>Препоручује се одговорним лицима да прате и анализирају дате авансе и предузму мере ради њиховог повраћаја или извршења</w:t>
      </w:r>
      <w:r>
        <w:rPr>
          <w:i/>
          <w:spacing w:val="-15"/>
        </w:rPr>
        <w:t> </w:t>
      </w:r>
      <w:r>
        <w:rPr>
          <w:i/>
        </w:rPr>
        <w:t>услуге.</w:t>
      </w:r>
      <w:r>
        <w:rPr>
          <w:b w:val="0"/>
          <w:i w:val="0"/>
        </w:rPr>
      </w:r>
    </w:p>
    <w:p>
      <w:pPr>
        <w:spacing w:line="271" w:lineRule="exact" w:before="0"/>
        <w:ind w:left="726" w:right="141"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Остали</w:t>
      </w:r>
      <w:r>
        <w:rPr>
          <w:rFonts w:ascii="Times New Roman" w:hAnsi="Times New Roman" w:cs="Times New Roman" w:eastAsia="Times New Roman" w:hint="default"/>
          <w:b/>
          <w:bCs/>
          <w:spacing w:val="34"/>
          <w:sz w:val="24"/>
          <w:szCs w:val="24"/>
        </w:rPr>
        <w:t> </w:t>
      </w:r>
      <w:r>
        <w:rPr>
          <w:rFonts w:ascii="Times New Roman" w:hAnsi="Times New Roman" w:cs="Times New Roman" w:eastAsia="Times New Roman" w:hint="default"/>
          <w:b/>
          <w:bCs/>
          <w:sz w:val="24"/>
          <w:szCs w:val="24"/>
        </w:rPr>
        <w:t>краткорочни</w:t>
      </w:r>
      <w:r>
        <w:rPr>
          <w:rFonts w:ascii="Times New Roman" w:hAnsi="Times New Roman" w:cs="Times New Roman" w:eastAsia="Times New Roman" w:hint="default"/>
          <w:b/>
          <w:bCs/>
          <w:spacing w:val="32"/>
          <w:sz w:val="24"/>
          <w:szCs w:val="24"/>
        </w:rPr>
        <w:t> </w:t>
      </w:r>
      <w:r>
        <w:rPr>
          <w:rFonts w:ascii="Times New Roman" w:hAnsi="Times New Roman" w:cs="Times New Roman" w:eastAsia="Times New Roman" w:hint="default"/>
          <w:b/>
          <w:bCs/>
          <w:sz w:val="24"/>
          <w:szCs w:val="24"/>
        </w:rPr>
        <w:t>пласмани,</w:t>
      </w:r>
      <w:r>
        <w:rPr>
          <w:rFonts w:ascii="Times New Roman" w:hAnsi="Times New Roman" w:cs="Times New Roman" w:eastAsia="Times New Roman" w:hint="default"/>
          <w:b/>
          <w:bCs/>
          <w:spacing w:val="37"/>
          <w:sz w:val="24"/>
          <w:szCs w:val="24"/>
        </w:rPr>
        <w:t> </w:t>
      </w:r>
      <w:r>
        <w:rPr>
          <w:rFonts w:ascii="Times New Roman" w:hAnsi="Times New Roman" w:cs="Times New Roman" w:eastAsia="Times New Roman" w:hint="default"/>
          <w:b/>
          <w:bCs/>
          <w:sz w:val="24"/>
          <w:szCs w:val="24"/>
        </w:rPr>
        <w:t>конто</w:t>
      </w:r>
      <w:r>
        <w:rPr>
          <w:rFonts w:ascii="Times New Roman" w:hAnsi="Times New Roman" w:cs="Times New Roman" w:eastAsia="Times New Roman" w:hint="default"/>
          <w:b/>
          <w:bCs/>
          <w:spacing w:val="34"/>
          <w:sz w:val="24"/>
          <w:szCs w:val="24"/>
        </w:rPr>
        <w:t> </w:t>
      </w:r>
      <w:r>
        <w:rPr>
          <w:rFonts w:ascii="Times New Roman" w:hAnsi="Times New Roman" w:cs="Times New Roman" w:eastAsia="Times New Roman" w:hint="default"/>
          <w:b/>
          <w:bCs/>
          <w:sz w:val="24"/>
          <w:szCs w:val="24"/>
        </w:rPr>
        <w:t>123900</w:t>
      </w:r>
      <w:r>
        <w:rPr>
          <w:rFonts w:ascii="Times New Roman" w:hAnsi="Times New Roman" w:cs="Times New Roman" w:eastAsia="Times New Roman" w:hint="default"/>
          <w:b/>
          <w:bCs/>
          <w:spacing w:val="34"/>
          <w:sz w:val="24"/>
          <w:szCs w:val="24"/>
        </w:rPr>
        <w:t> </w:t>
      </w:r>
      <w:r>
        <w:rPr>
          <w:rFonts w:ascii="Times New Roman" w:hAnsi="Times New Roman" w:cs="Times New Roman" w:eastAsia="Times New Roman" w:hint="default"/>
          <w:sz w:val="24"/>
          <w:szCs w:val="24"/>
        </w:rPr>
        <w:t>–</w:t>
      </w:r>
      <w:r>
        <w:rPr>
          <w:rFonts w:ascii="Times New Roman" w:hAnsi="Times New Roman" w:cs="Times New Roman" w:eastAsia="Times New Roman" w:hint="default"/>
          <w:spacing w:val="34"/>
          <w:sz w:val="24"/>
          <w:szCs w:val="24"/>
        </w:rPr>
        <w:t> </w:t>
      </w:r>
      <w:r>
        <w:rPr>
          <w:rFonts w:ascii="Times New Roman" w:hAnsi="Times New Roman" w:cs="Times New Roman" w:eastAsia="Times New Roman" w:hint="default"/>
          <w:sz w:val="24"/>
          <w:szCs w:val="24"/>
        </w:rPr>
        <w:t>Исказано</w:t>
      </w:r>
      <w:r>
        <w:rPr>
          <w:rFonts w:ascii="Times New Roman" w:hAnsi="Times New Roman" w:cs="Times New Roman" w:eastAsia="Times New Roman" w:hint="default"/>
          <w:spacing w:val="33"/>
          <w:sz w:val="24"/>
          <w:szCs w:val="24"/>
        </w:rPr>
        <w:t> </w:t>
      </w:r>
      <w:r>
        <w:rPr>
          <w:rFonts w:ascii="Times New Roman" w:hAnsi="Times New Roman" w:cs="Times New Roman" w:eastAsia="Times New Roman" w:hint="default"/>
          <w:sz w:val="24"/>
          <w:szCs w:val="24"/>
        </w:rPr>
        <w:t>је</w:t>
      </w:r>
      <w:r>
        <w:rPr>
          <w:rFonts w:ascii="Times New Roman" w:hAnsi="Times New Roman" w:cs="Times New Roman" w:eastAsia="Times New Roman" w:hint="default"/>
          <w:spacing w:val="33"/>
          <w:sz w:val="24"/>
          <w:szCs w:val="24"/>
        </w:rPr>
        <w:t> </w:t>
      </w:r>
      <w:r>
        <w:rPr>
          <w:rFonts w:ascii="Times New Roman" w:hAnsi="Times New Roman" w:cs="Times New Roman" w:eastAsia="Times New Roman" w:hint="default"/>
          <w:sz w:val="24"/>
          <w:szCs w:val="24"/>
        </w:rPr>
        <w:t>стање</w:t>
      </w:r>
      <w:r>
        <w:rPr>
          <w:rFonts w:ascii="Times New Roman" w:hAnsi="Times New Roman" w:cs="Times New Roman" w:eastAsia="Times New Roman" w:hint="default"/>
          <w:spacing w:val="35"/>
          <w:sz w:val="24"/>
          <w:szCs w:val="24"/>
        </w:rPr>
        <w:t> </w:t>
      </w:r>
      <w:r>
        <w:rPr>
          <w:rFonts w:ascii="Times New Roman" w:hAnsi="Times New Roman" w:cs="Times New Roman" w:eastAsia="Times New Roman" w:hint="default"/>
          <w:sz w:val="24"/>
          <w:szCs w:val="24"/>
        </w:rPr>
        <w:t>у</w:t>
      </w:r>
      <w:r>
        <w:rPr>
          <w:rFonts w:ascii="Times New Roman" w:hAnsi="Times New Roman" w:cs="Times New Roman" w:eastAsia="Times New Roman" w:hint="default"/>
          <w:spacing w:val="28"/>
          <w:sz w:val="24"/>
          <w:szCs w:val="24"/>
        </w:rPr>
        <w:t> </w:t>
      </w:r>
      <w:r>
        <w:rPr>
          <w:rFonts w:ascii="Times New Roman" w:hAnsi="Times New Roman" w:cs="Times New Roman" w:eastAsia="Times New Roman" w:hint="default"/>
          <w:sz w:val="24"/>
          <w:szCs w:val="24"/>
        </w:rPr>
        <w:t>износу</w:t>
      </w:r>
      <w:r>
        <w:rPr>
          <w:rFonts w:ascii="Times New Roman" w:hAnsi="Times New Roman" w:cs="Times New Roman" w:eastAsia="Times New Roman" w:hint="default"/>
          <w:spacing w:val="31"/>
          <w:sz w:val="24"/>
          <w:szCs w:val="24"/>
        </w:rPr>
        <w:t> </w:t>
      </w:r>
      <w:r>
        <w:rPr>
          <w:rFonts w:ascii="Times New Roman" w:hAnsi="Times New Roman" w:cs="Times New Roman" w:eastAsia="Times New Roman" w:hint="default"/>
          <w:sz w:val="24"/>
          <w:szCs w:val="24"/>
        </w:rPr>
        <w:t>од</w:t>
      </w:r>
    </w:p>
    <w:p>
      <w:pPr>
        <w:pStyle w:val="BodyText"/>
        <w:spacing w:line="240" w:lineRule="auto"/>
        <w:ind w:right="0"/>
        <w:jc w:val="both"/>
      </w:pPr>
      <w:r>
        <w:rPr/>
        <w:t>27.456 хиљада динара</w:t>
      </w:r>
      <w:r>
        <w:rPr>
          <w:spacing w:val="-5"/>
        </w:rPr>
        <w:t> </w:t>
      </w:r>
      <w:r>
        <w:rPr/>
        <w:t>код:</w:t>
      </w:r>
    </w:p>
    <w:p>
      <w:pPr>
        <w:pStyle w:val="ListParagraph"/>
        <w:numPr>
          <w:ilvl w:val="0"/>
          <w:numId w:val="79"/>
        </w:numPr>
        <w:tabs>
          <w:tab w:pos="303" w:val="left" w:leader="none"/>
        </w:tabs>
        <w:spacing w:line="240" w:lineRule="auto" w:before="0" w:after="0"/>
        <w:ind w:left="160" w:right="183"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образовање </w:t>
      </w:r>
      <w:r>
        <w:rPr>
          <w:rFonts w:ascii="Times New Roman" w:hAnsi="Times New Roman"/>
          <w:sz w:val="24"/>
        </w:rPr>
        <w:t>у износу од шест хиљада динара, за исказане остале краткорочне </w:t>
      </w:r>
      <w:r>
        <w:rPr>
          <w:rFonts w:ascii="Times New Roman" w:hAnsi="Times New Roman"/>
          <w:sz w:val="24"/>
        </w:rPr>
        <w:t>пласмане код Дечијег</w:t>
      </w:r>
      <w:r>
        <w:rPr>
          <w:rFonts w:ascii="Times New Roman" w:hAnsi="Times New Roman"/>
          <w:spacing w:val="-9"/>
          <w:sz w:val="24"/>
        </w:rPr>
        <w:t> </w:t>
      </w:r>
      <w:r>
        <w:rPr>
          <w:rFonts w:ascii="Times New Roman" w:hAnsi="Times New Roman"/>
          <w:sz w:val="24"/>
        </w:rPr>
        <w:t>центра.</w:t>
      </w:r>
    </w:p>
    <w:p>
      <w:pPr>
        <w:pStyle w:val="ListParagraph"/>
        <w:numPr>
          <w:ilvl w:val="0"/>
          <w:numId w:val="79"/>
        </w:numPr>
        <w:tabs>
          <w:tab w:pos="303" w:val="left" w:leader="none"/>
        </w:tabs>
        <w:spacing w:line="240" w:lineRule="auto" w:before="0" w:after="0"/>
        <w:ind w:left="160" w:right="183"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омладину и спорт </w:t>
      </w:r>
      <w:r>
        <w:rPr>
          <w:rFonts w:ascii="Times New Roman" w:hAnsi="Times New Roman"/>
          <w:sz w:val="24"/>
        </w:rPr>
        <w:t>у износу од 8.475 хиљада динара за исказано стање код СЦ </w:t>
      </w:r>
      <w:r>
        <w:rPr>
          <w:rFonts w:ascii="Times New Roman" w:hAnsi="Times New Roman"/>
          <w:sz w:val="24"/>
        </w:rPr>
        <w:t>Чаир</w:t>
      </w:r>
      <w:r>
        <w:rPr>
          <w:rFonts w:ascii="Times New Roman" w:hAnsi="Times New Roman"/>
          <w:sz w:val="24"/>
        </w:rPr>
        <w:t>.</w:t>
      </w:r>
    </w:p>
    <w:p>
      <w:pPr>
        <w:pStyle w:val="ListParagraph"/>
        <w:numPr>
          <w:ilvl w:val="0"/>
          <w:numId w:val="79"/>
        </w:numPr>
        <w:tabs>
          <w:tab w:pos="303" w:val="left" w:leader="none"/>
        </w:tabs>
        <w:spacing w:line="240" w:lineRule="auto" w:before="0" w:after="0"/>
        <w:ind w:left="160" w:right="178"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планирање и изградњу </w:t>
      </w:r>
      <w:r>
        <w:rPr>
          <w:rFonts w:ascii="Times New Roman" w:hAnsi="Times New Roman"/>
          <w:sz w:val="24"/>
        </w:rPr>
        <w:t>у износу од 18.975 хиљада динара за исказано стање </w:t>
      </w:r>
      <w:r>
        <w:rPr>
          <w:rFonts w:ascii="Times New Roman" w:hAnsi="Times New Roman"/>
          <w:sz w:val="24"/>
        </w:rPr>
        <w:t>код ЈП</w:t>
      </w:r>
      <w:r>
        <w:rPr>
          <w:rFonts w:ascii="Times New Roman" w:hAnsi="Times New Roman"/>
          <w:spacing w:val="-2"/>
          <w:sz w:val="24"/>
        </w:rPr>
        <w:t> </w:t>
      </w:r>
      <w:r>
        <w:rPr>
          <w:rFonts w:ascii="Times New Roman" w:hAnsi="Times New Roman"/>
          <w:sz w:val="24"/>
        </w:rPr>
        <w:t>ГСА.</w:t>
      </w:r>
    </w:p>
    <w:p>
      <w:pPr>
        <w:spacing w:before="0"/>
        <w:ind w:left="160" w:right="172"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Разграничени расходи до једне године, конто 131100 – </w:t>
      </w:r>
      <w:r>
        <w:rPr>
          <w:rFonts w:ascii="Times New Roman" w:hAnsi="Times New Roman" w:cs="Times New Roman" w:eastAsia="Times New Roman" w:hint="default"/>
          <w:sz w:val="24"/>
          <w:szCs w:val="24"/>
        </w:rPr>
        <w:t>Исказано је стање у износу од 2.581 хиљаде динара и то</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код:</w:t>
      </w:r>
    </w:p>
    <w:p>
      <w:pPr>
        <w:spacing w:after="0"/>
        <w:jc w:val="both"/>
        <w:rPr>
          <w:rFonts w:ascii="Times New Roman" w:hAnsi="Times New Roman" w:cs="Times New Roman" w:eastAsia="Times New Roman" w:hint="default"/>
          <w:sz w:val="24"/>
          <w:szCs w:val="24"/>
        </w:rPr>
        <w:sectPr>
          <w:footerReference w:type="default" r:id="rId91"/>
          <w:pgSz w:w="12240" w:h="15840"/>
          <w:pgMar w:footer="1274" w:header="740" w:top="1280" w:bottom="1460" w:left="1400" w:right="1260"/>
          <w:pgNumType w:start="290"/>
        </w:sectPr>
      </w:pPr>
    </w:p>
    <w:p>
      <w:pPr>
        <w:pStyle w:val="ListParagraph"/>
        <w:numPr>
          <w:ilvl w:val="0"/>
          <w:numId w:val="79"/>
        </w:numPr>
        <w:tabs>
          <w:tab w:pos="303" w:val="left" w:leader="none"/>
        </w:tabs>
        <w:spacing w:line="240" w:lineRule="auto" w:before="122" w:after="0"/>
        <w:ind w:left="302" w:right="0" w:hanging="142"/>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Скупштине града </w:t>
      </w:r>
      <w:r>
        <w:rPr>
          <w:rFonts w:ascii="Times New Roman" w:hAnsi="Times New Roman"/>
          <w:sz w:val="24"/>
        </w:rPr>
        <w:t>у износу од 32 хиљаде</w:t>
      </w:r>
      <w:r>
        <w:rPr>
          <w:rFonts w:ascii="Times New Roman" w:hAnsi="Times New Roman"/>
          <w:spacing w:val="-13"/>
          <w:sz w:val="24"/>
        </w:rPr>
        <w:t> </w:t>
      </w:r>
      <w:r>
        <w:rPr>
          <w:rFonts w:ascii="Times New Roman" w:hAnsi="Times New Roman"/>
          <w:sz w:val="24"/>
        </w:rPr>
        <w:t>динара</w:t>
      </w:r>
      <w:r>
        <w:rPr>
          <w:rFonts w:ascii="Times New Roman" w:hAnsi="Times New Roman"/>
          <w:sz w:val="24"/>
        </w:rPr>
        <w:t>.</w:t>
      </w:r>
    </w:p>
    <w:p>
      <w:pPr>
        <w:spacing w:before="0"/>
        <w:ind w:left="160" w:right="174" w:firstLine="578"/>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је код Скупштине града ова позиција више исказана за износ од 32 хиљаде динара због неправилног евидентирања.</w:t>
      </w:r>
    </w:p>
    <w:p>
      <w:pPr>
        <w:pStyle w:val="Heading2"/>
        <w:spacing w:line="240" w:lineRule="auto"/>
        <w:ind w:right="172"/>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i/>
        </w:rPr>
        <w:t>.</w:t>
      </w:r>
      <w:r>
        <w:rPr>
          <w:rFonts w:ascii="Times New Roman" w:hAnsi="Times New Roman"/>
          <w:b w:val="0"/>
          <w:i w:val="0"/>
        </w:rPr>
      </w:r>
    </w:p>
    <w:p>
      <w:pPr>
        <w:pStyle w:val="ListParagraph"/>
        <w:numPr>
          <w:ilvl w:val="0"/>
          <w:numId w:val="79"/>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културу </w:t>
      </w:r>
      <w:r>
        <w:rPr>
          <w:rFonts w:ascii="Times New Roman" w:hAnsi="Times New Roman"/>
          <w:sz w:val="24"/>
        </w:rPr>
        <w:t>у износу од 2.549 хиљада динара за разграничене расходе до једне </w:t>
      </w:r>
      <w:r>
        <w:rPr>
          <w:rFonts w:ascii="Times New Roman" w:hAnsi="Times New Roman"/>
          <w:sz w:val="24"/>
        </w:rPr>
        <w:t>године исказане код: Народне библиотеке у износу од од 14 хиљада динара и Народног музеја у износу од 2.535 хиљада</w:t>
      </w:r>
      <w:r>
        <w:rPr>
          <w:rFonts w:ascii="Times New Roman" w:hAnsi="Times New Roman"/>
          <w:spacing w:val="-8"/>
          <w:sz w:val="24"/>
        </w:rPr>
        <w:t> </w:t>
      </w:r>
      <w:r>
        <w:rPr>
          <w:rFonts w:ascii="Times New Roman" w:hAnsi="Times New Roman"/>
          <w:sz w:val="24"/>
        </w:rPr>
        <w:t>динара</w:t>
      </w:r>
      <w:r>
        <w:rPr>
          <w:rFonts w:ascii="Times New Roman" w:hAnsi="Times New Roman"/>
          <w:sz w:val="24"/>
        </w:rPr>
        <w:t>.</w:t>
      </w:r>
    </w:p>
    <w:p>
      <w:pPr>
        <w:spacing w:before="0"/>
        <w:ind w:left="160" w:right="175"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су код Народне библиотеке разграничени расходи до једне године више исказани у износу од 14 хиљада динара због  неправилног евидентирања у ранијим</w:t>
      </w:r>
      <w:r>
        <w:rPr>
          <w:rFonts w:ascii="Times New Roman" w:hAnsi="Times New Roman"/>
          <w:spacing w:val="-14"/>
          <w:sz w:val="24"/>
        </w:rPr>
        <w:t> </w:t>
      </w:r>
      <w:r>
        <w:rPr>
          <w:rFonts w:ascii="Times New Roman" w:hAnsi="Times New Roman"/>
          <w:sz w:val="24"/>
        </w:rPr>
        <w:t>годинама.</w:t>
      </w:r>
    </w:p>
    <w:p>
      <w:pPr>
        <w:pStyle w:val="Heading2"/>
        <w:spacing w:line="240" w:lineRule="auto"/>
        <w:ind w:right="181"/>
        <w:jc w:val="both"/>
        <w:rPr>
          <w:rFonts w:ascii="Times New Roman" w:hAnsi="Times New Roman" w:cs="Times New Roman" w:eastAsia="Times New Roman" w:hint="default"/>
          <w:b w:val="0"/>
          <w:bCs w:val="0"/>
          <w:i w:val="0"/>
        </w:rPr>
      </w:pPr>
      <w:r>
        <w:rPr>
          <w:i/>
        </w:rPr>
        <w:t>Препоручује се одговорним лицима да примењују одредбе Правилника о стандардном класификационом оквиру и контном плану за буџетски</w:t>
      </w:r>
      <w:r>
        <w:rPr>
          <w:i/>
          <w:spacing w:val="-20"/>
        </w:rPr>
        <w:t> </w:t>
      </w:r>
      <w:r>
        <w:rPr>
          <w:i/>
        </w:rPr>
        <w:t>систем</w:t>
      </w:r>
      <w:r>
        <w:rPr>
          <w:rFonts w:ascii="Times New Roman" w:hAnsi="Times New Roman"/>
          <w:i/>
        </w:rPr>
        <w:t>.</w:t>
      </w:r>
      <w:r>
        <w:rPr>
          <w:rFonts w:ascii="Times New Roman" w:hAnsi="Times New Roman"/>
          <w:b w:val="0"/>
          <w:i w:val="0"/>
        </w:rPr>
      </w:r>
    </w:p>
    <w:p>
      <w:pPr>
        <w:pStyle w:val="BodyText"/>
        <w:spacing w:line="240" w:lineRule="auto"/>
        <w:ind w:right="175" w:firstLine="566"/>
        <w:jc w:val="both"/>
      </w:pPr>
      <w:r>
        <w:rPr>
          <w:rFonts w:ascii="Times New Roman" w:hAnsi="Times New Roman"/>
          <w:b/>
        </w:rPr>
        <w:t>Обрачунати неплаћени расходи и издаци, конто 131200 </w:t>
      </w:r>
      <w:r>
        <w:rPr>
          <w:rFonts w:ascii="Times New Roman" w:hAnsi="Times New Roman"/>
          <w:b/>
        </w:rPr>
        <w:t>- </w:t>
      </w:r>
      <w:r>
        <w:rPr/>
        <w:t>Исказано је стање у износу од </w:t>
      </w:r>
      <w:r>
        <w:rPr>
          <w:rFonts w:ascii="Times New Roman" w:hAnsi="Times New Roman"/>
        </w:rPr>
        <w:t>2.148.042 </w:t>
      </w:r>
      <w:r>
        <w:rPr/>
        <w:t>хиљаде динара и није усаглашено са исказаним стањем обавеза у пасиви биланса стања услед неправилног евидентирања код директних и индиректних корисника, што је супротно члану 9. Уредбе о буџетском рачуноводству и Правилнику о стандардном класификационом оквиру и контном плану за буџетски систем. Исказано је стање и то</w:t>
      </w:r>
      <w:r>
        <w:rPr>
          <w:spacing w:val="-4"/>
        </w:rPr>
        <w:t> </w:t>
      </w:r>
      <w:r>
        <w:rPr/>
        <w:t>код:</w:t>
      </w:r>
    </w:p>
    <w:p>
      <w:pPr>
        <w:pStyle w:val="ListParagraph"/>
        <w:numPr>
          <w:ilvl w:val="0"/>
          <w:numId w:val="80"/>
        </w:numPr>
        <w:tabs>
          <w:tab w:pos="303" w:val="left" w:leader="none"/>
        </w:tabs>
        <w:spacing w:line="240" w:lineRule="auto" w:before="0" w:after="0"/>
        <w:ind w:left="302" w:right="0" w:hanging="142"/>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Скупштине града </w:t>
      </w:r>
      <w:r>
        <w:rPr>
          <w:rFonts w:ascii="Times New Roman" w:hAnsi="Times New Roman"/>
          <w:sz w:val="24"/>
        </w:rPr>
        <w:t>у износу од 1.924 хиљаде</w:t>
      </w:r>
      <w:r>
        <w:rPr>
          <w:rFonts w:ascii="Times New Roman" w:hAnsi="Times New Roman"/>
          <w:spacing w:val="-15"/>
          <w:sz w:val="24"/>
        </w:rPr>
        <w:t> </w:t>
      </w:r>
      <w:r>
        <w:rPr>
          <w:rFonts w:ascii="Times New Roman" w:hAnsi="Times New Roman"/>
          <w:sz w:val="24"/>
        </w:rPr>
        <w:t>динара.</w:t>
      </w:r>
    </w:p>
    <w:p>
      <w:pPr>
        <w:spacing w:before="0"/>
        <w:ind w:left="160" w:right="177"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је ова позиција код Скупштине мање исказана за износ од најмање 6.186 хиљада динара на име неевидентираних</w:t>
      </w:r>
      <w:r>
        <w:rPr>
          <w:rFonts w:ascii="Times New Roman" w:hAnsi="Times New Roman"/>
          <w:spacing w:val="-10"/>
          <w:sz w:val="24"/>
        </w:rPr>
        <w:t> </w:t>
      </w:r>
      <w:r>
        <w:rPr>
          <w:rFonts w:ascii="Times New Roman" w:hAnsi="Times New Roman"/>
          <w:sz w:val="24"/>
        </w:rPr>
        <w:t>обавеза.</w:t>
      </w:r>
    </w:p>
    <w:p>
      <w:pPr>
        <w:pStyle w:val="Heading2"/>
        <w:spacing w:line="240" w:lineRule="auto"/>
        <w:ind w:right="176"/>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стандатдном класификационом оквиру  и контном плану за буџетски</w:t>
      </w:r>
      <w:r>
        <w:rPr>
          <w:i/>
          <w:spacing w:val="-7"/>
        </w:rPr>
        <w:t> </w:t>
      </w:r>
      <w:r>
        <w:rPr>
          <w:i/>
        </w:rPr>
        <w:t>систем.</w:t>
      </w:r>
      <w:r>
        <w:rPr>
          <w:b w:val="0"/>
          <w:i w:val="0"/>
        </w:rPr>
      </w:r>
    </w:p>
    <w:p>
      <w:pPr>
        <w:pStyle w:val="ListParagraph"/>
        <w:numPr>
          <w:ilvl w:val="0"/>
          <w:numId w:val="80"/>
        </w:numPr>
        <w:tabs>
          <w:tab w:pos="303" w:val="left" w:leader="none"/>
        </w:tabs>
        <w:spacing w:line="271"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Градоначелника </w:t>
      </w:r>
      <w:r>
        <w:rPr>
          <w:rFonts w:ascii="Times New Roman" w:hAnsi="Times New Roman"/>
          <w:sz w:val="24"/>
        </w:rPr>
        <w:t>у износу од 799 хиљада</w:t>
      </w:r>
      <w:r>
        <w:rPr>
          <w:rFonts w:ascii="Times New Roman" w:hAnsi="Times New Roman"/>
          <w:spacing w:val="-13"/>
          <w:sz w:val="24"/>
        </w:rPr>
        <w:t> </w:t>
      </w:r>
      <w:r>
        <w:rPr>
          <w:rFonts w:ascii="Times New Roman" w:hAnsi="Times New Roman"/>
          <w:sz w:val="24"/>
        </w:rPr>
        <w:t>динара.</w:t>
      </w:r>
    </w:p>
    <w:p>
      <w:pPr>
        <w:spacing w:before="0"/>
        <w:ind w:left="160" w:right="175" w:firstLine="578"/>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је ова позиција код Градоначелника мање исказана за износ од најмање </w:t>
      </w:r>
      <w:r>
        <w:rPr>
          <w:rFonts w:ascii="Times New Roman" w:hAnsi="Times New Roman"/>
          <w:sz w:val="24"/>
        </w:rPr>
        <w:t>590 </w:t>
      </w:r>
      <w:r>
        <w:rPr>
          <w:rFonts w:ascii="Times New Roman" w:hAnsi="Times New Roman"/>
          <w:sz w:val="24"/>
        </w:rPr>
        <w:t>хиљада динара на име неевидентираних</w:t>
      </w:r>
      <w:r>
        <w:rPr>
          <w:rFonts w:ascii="Times New Roman" w:hAnsi="Times New Roman"/>
          <w:spacing w:val="-10"/>
          <w:sz w:val="24"/>
        </w:rPr>
        <w:t> </w:t>
      </w:r>
      <w:r>
        <w:rPr>
          <w:rFonts w:ascii="Times New Roman" w:hAnsi="Times New Roman"/>
          <w:sz w:val="24"/>
        </w:rPr>
        <w:t>обавеза.</w:t>
      </w:r>
    </w:p>
    <w:p>
      <w:pPr>
        <w:pStyle w:val="Heading2"/>
        <w:spacing w:line="240" w:lineRule="auto"/>
        <w:ind w:right="178" w:firstLine="578"/>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стандатдном класификационом оквиру и контном плану за буџетски</w:t>
      </w:r>
      <w:r>
        <w:rPr>
          <w:i/>
          <w:spacing w:val="-17"/>
        </w:rPr>
        <w:t> </w:t>
      </w:r>
      <w:r>
        <w:rPr>
          <w:i/>
        </w:rPr>
        <w:t>систем.</w:t>
      </w:r>
      <w:r>
        <w:rPr>
          <w:b w:val="0"/>
          <w:i w:val="0"/>
        </w:rPr>
      </w:r>
    </w:p>
    <w:p>
      <w:pPr>
        <w:pStyle w:val="ListParagraph"/>
        <w:numPr>
          <w:ilvl w:val="0"/>
          <w:numId w:val="80"/>
        </w:numPr>
        <w:tabs>
          <w:tab w:pos="303" w:val="left" w:leader="none"/>
        </w:tabs>
        <w:spacing w:line="269"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Градског већа </w:t>
      </w:r>
      <w:r>
        <w:rPr>
          <w:rFonts w:ascii="Times New Roman" w:hAnsi="Times New Roman"/>
          <w:sz w:val="24"/>
        </w:rPr>
        <w:t>у износу од 823 хиљаде</w:t>
      </w:r>
      <w:r>
        <w:rPr>
          <w:rFonts w:ascii="Times New Roman" w:hAnsi="Times New Roman"/>
          <w:spacing w:val="-9"/>
          <w:sz w:val="24"/>
        </w:rPr>
        <w:t> </w:t>
      </w:r>
      <w:r>
        <w:rPr>
          <w:rFonts w:ascii="Times New Roman" w:hAnsi="Times New Roman"/>
          <w:sz w:val="24"/>
        </w:rPr>
        <w:t>динара.</w:t>
      </w:r>
    </w:p>
    <w:p>
      <w:pPr>
        <w:spacing w:before="0"/>
        <w:ind w:left="160" w:right="177"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је ова позиција код Градског већа мање исказана за износ од најмање </w:t>
      </w:r>
      <w:r>
        <w:rPr>
          <w:rFonts w:ascii="Times New Roman" w:hAnsi="Times New Roman"/>
          <w:sz w:val="24"/>
        </w:rPr>
        <w:t>1.733 </w:t>
      </w:r>
      <w:r>
        <w:rPr>
          <w:rFonts w:ascii="Times New Roman" w:hAnsi="Times New Roman"/>
          <w:sz w:val="24"/>
        </w:rPr>
        <w:t>хиљаде динара на име неевидентираних</w:t>
      </w:r>
      <w:r>
        <w:rPr>
          <w:rFonts w:ascii="Times New Roman" w:hAnsi="Times New Roman"/>
          <w:spacing w:val="-10"/>
          <w:sz w:val="24"/>
        </w:rPr>
        <w:t> </w:t>
      </w:r>
      <w:r>
        <w:rPr>
          <w:rFonts w:ascii="Times New Roman" w:hAnsi="Times New Roman"/>
          <w:sz w:val="24"/>
        </w:rPr>
        <w:t>обавеза.</w:t>
      </w:r>
    </w:p>
    <w:p>
      <w:pPr>
        <w:pStyle w:val="Heading2"/>
        <w:spacing w:line="240" w:lineRule="auto"/>
        <w:ind w:right="183" w:firstLine="578"/>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стандатдном класификационом оквиру и контном плану за буџетски</w:t>
      </w:r>
      <w:r>
        <w:rPr>
          <w:i/>
          <w:spacing w:val="-17"/>
        </w:rPr>
        <w:t> </w:t>
      </w:r>
      <w:r>
        <w:rPr>
          <w:i/>
        </w:rPr>
        <w:t>систем.</w:t>
      </w:r>
      <w:r>
        <w:rPr>
          <w:b w:val="0"/>
          <w:i w:val="0"/>
        </w:rPr>
      </w:r>
    </w:p>
    <w:p>
      <w:pPr>
        <w:pStyle w:val="ListParagraph"/>
        <w:numPr>
          <w:ilvl w:val="0"/>
          <w:numId w:val="80"/>
        </w:numPr>
        <w:tabs>
          <w:tab w:pos="303" w:val="left" w:leader="none"/>
        </w:tabs>
        <w:spacing w:line="271"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грађанска стања и опште послове </w:t>
      </w:r>
      <w:r>
        <w:rPr>
          <w:rFonts w:ascii="Times New Roman" w:hAnsi="Times New Roman"/>
          <w:sz w:val="24"/>
        </w:rPr>
        <w:t>у износу од 619 хиљада</w:t>
      </w:r>
      <w:r>
        <w:rPr>
          <w:rFonts w:ascii="Times New Roman" w:hAnsi="Times New Roman"/>
          <w:spacing w:val="-18"/>
          <w:sz w:val="24"/>
        </w:rPr>
        <w:t> </w:t>
      </w:r>
      <w:r>
        <w:rPr>
          <w:rFonts w:ascii="Times New Roman" w:hAnsi="Times New Roman"/>
          <w:sz w:val="24"/>
        </w:rPr>
        <w:t>динара.</w:t>
      </w:r>
    </w:p>
    <w:p>
      <w:pPr>
        <w:spacing w:before="0"/>
        <w:ind w:left="160" w:right="175" w:firstLine="578"/>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је ова позиција код Управе за грађанска стања и опште послове мање исказана за износ од најмање 189 хиљада динара на име неевидентираних</w:t>
      </w:r>
      <w:r>
        <w:rPr>
          <w:rFonts w:ascii="Times New Roman" w:hAnsi="Times New Roman"/>
          <w:spacing w:val="-16"/>
          <w:sz w:val="24"/>
        </w:rPr>
        <w:t> </w:t>
      </w:r>
      <w:r>
        <w:rPr>
          <w:rFonts w:ascii="Times New Roman" w:hAnsi="Times New Roman"/>
          <w:sz w:val="24"/>
        </w:rPr>
        <w:t>обавеза.</w:t>
      </w:r>
    </w:p>
    <w:p>
      <w:pPr>
        <w:spacing w:after="0"/>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Heading2"/>
        <w:spacing w:line="240" w:lineRule="auto" w:before="126"/>
        <w:ind w:right="178" w:firstLine="578"/>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стандатдном класификационом оквиру и контном плану за буџетски</w:t>
      </w:r>
      <w:r>
        <w:rPr>
          <w:i/>
          <w:spacing w:val="-17"/>
        </w:rPr>
        <w:t> </w:t>
      </w:r>
      <w:r>
        <w:rPr>
          <w:i/>
        </w:rPr>
        <w:t>систем.</w:t>
      </w:r>
      <w:r>
        <w:rPr>
          <w:b w:val="0"/>
          <w:i w:val="0"/>
        </w:rPr>
      </w:r>
    </w:p>
    <w:p>
      <w:pPr>
        <w:pStyle w:val="ListParagraph"/>
        <w:numPr>
          <w:ilvl w:val="0"/>
          <w:numId w:val="80"/>
        </w:numPr>
        <w:tabs>
          <w:tab w:pos="303" w:val="left" w:leader="none"/>
        </w:tabs>
        <w:spacing w:line="271"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финансије, изворне приходе локалне самоуправе и јавне набавке </w:t>
      </w:r>
      <w:r>
        <w:rPr>
          <w:rFonts w:ascii="Times New Roman" w:hAnsi="Times New Roman"/>
          <w:sz w:val="24"/>
        </w:rPr>
        <w:t>у износу </w:t>
      </w:r>
      <w:r>
        <w:rPr>
          <w:rFonts w:ascii="Times New Roman" w:hAnsi="Times New Roman"/>
          <w:spacing w:val="56"/>
          <w:sz w:val="24"/>
        </w:rPr>
        <w:t> </w:t>
      </w:r>
      <w:r>
        <w:rPr>
          <w:rFonts w:ascii="Times New Roman" w:hAnsi="Times New Roman"/>
          <w:sz w:val="24"/>
        </w:rPr>
        <w:t>од</w:t>
      </w:r>
    </w:p>
    <w:p>
      <w:pPr>
        <w:pStyle w:val="BodyText"/>
        <w:spacing w:line="240" w:lineRule="auto"/>
        <w:ind w:right="0"/>
        <w:jc w:val="both"/>
        <w:rPr>
          <w:rFonts w:ascii="Times New Roman" w:hAnsi="Times New Roman" w:cs="Times New Roman" w:eastAsia="Times New Roman" w:hint="default"/>
        </w:rPr>
      </w:pPr>
      <w:r>
        <w:rPr/>
        <w:t>18.478 хиљада</w:t>
      </w:r>
      <w:r>
        <w:rPr>
          <w:spacing w:val="-2"/>
        </w:rPr>
        <w:t> </w:t>
      </w:r>
      <w:r>
        <w:rPr/>
        <w:t>динара</w:t>
      </w:r>
      <w:r>
        <w:rPr>
          <w:rFonts w:ascii="Times New Roman" w:hAnsi="Times New Roman"/>
        </w:rPr>
        <w:t>.</w:t>
      </w:r>
    </w:p>
    <w:p>
      <w:pPr>
        <w:pStyle w:val="Heading1"/>
        <w:spacing w:line="275" w:lineRule="exact"/>
        <w:ind w:left="738"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37" w:lineRule="auto" w:before="1"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Ова позиција код Управе за финансије, изворне приходе локалне самоуправе и јавне набавке мање је исказана за износ од најмање 71.314 хиљада динара за неевидентиране обавезе.</w:t>
      </w:r>
    </w:p>
    <w:p>
      <w:pPr>
        <w:pStyle w:val="ListParagraph"/>
        <w:numPr>
          <w:ilvl w:val="0"/>
          <w:numId w:val="9"/>
        </w:numPr>
        <w:tabs>
          <w:tab w:pos="303" w:val="left" w:leader="none"/>
        </w:tabs>
        <w:spacing w:line="240" w:lineRule="auto" w:before="2"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Ова позиција код Управе за финансије, изворне приходе локалне самоуправе и јавне набавке више је исказана у односу на исказане обавезе у пасиви биланса стања за износ од 227 хиљада динара, услед неправилног</w:t>
      </w:r>
      <w:r>
        <w:rPr>
          <w:rFonts w:ascii="Times New Roman" w:hAnsi="Times New Roman"/>
          <w:spacing w:val="-10"/>
          <w:sz w:val="24"/>
        </w:rPr>
        <w:t> </w:t>
      </w:r>
      <w:r>
        <w:rPr>
          <w:rFonts w:ascii="Times New Roman" w:hAnsi="Times New Roman"/>
          <w:sz w:val="24"/>
        </w:rPr>
        <w:t>евидентирања.</w:t>
      </w:r>
    </w:p>
    <w:p>
      <w:pPr>
        <w:pStyle w:val="Heading2"/>
        <w:spacing w:line="240" w:lineRule="auto"/>
        <w:ind w:right="178" w:firstLine="578"/>
        <w:jc w:val="both"/>
        <w:rPr>
          <w:b w:val="0"/>
          <w:bCs w:val="0"/>
          <w:i w:val="0"/>
        </w:rPr>
      </w:pPr>
      <w:r>
        <w:rPr>
          <w:i/>
        </w:rPr>
        <w:t>Препоручује се одговорним лиицма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7"/>
        </w:rPr>
        <w:t> </w:t>
      </w:r>
      <w:r>
        <w:rPr>
          <w:i/>
        </w:rPr>
        <w:t>систем.</w:t>
      </w:r>
      <w:r>
        <w:rPr>
          <w:b w:val="0"/>
          <w:i w:val="0"/>
        </w:rPr>
      </w:r>
    </w:p>
    <w:p>
      <w:pPr>
        <w:pStyle w:val="ListParagraph"/>
        <w:numPr>
          <w:ilvl w:val="0"/>
          <w:numId w:val="81"/>
        </w:numPr>
        <w:tabs>
          <w:tab w:pos="303"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Управе за дечију, социјалну и примарну здравствену заштиту </w:t>
      </w:r>
      <w:r>
        <w:rPr>
          <w:rFonts w:ascii="Times New Roman" w:hAnsi="Times New Roman" w:cs="Times New Roman" w:eastAsia="Times New Roman" w:hint="default"/>
          <w:sz w:val="24"/>
          <w:szCs w:val="24"/>
        </w:rPr>
        <w:t>у износу од 74.233  </w:t>
      </w:r>
      <w:r>
        <w:rPr>
          <w:rFonts w:ascii="Times New Roman" w:hAnsi="Times New Roman" w:cs="Times New Roman" w:eastAsia="Times New Roman" w:hint="default"/>
          <w:sz w:val="24"/>
          <w:szCs w:val="24"/>
        </w:rPr>
        <w:t>хиљаде динара, код Управе у износу од 71.518 хиљада динара и Установе „Сигурна кућа“ у износу од 2.715 хиљада</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Ова позиција више је исказана код Управе за дечију, социјалну и примарну здравствену заштиту за износ од </w:t>
      </w:r>
      <w:r>
        <w:rPr>
          <w:rFonts w:ascii="Times New Roman" w:hAnsi="Times New Roman"/>
          <w:sz w:val="24"/>
        </w:rPr>
        <w:t>2.027 </w:t>
      </w:r>
      <w:r>
        <w:rPr>
          <w:rFonts w:ascii="Times New Roman" w:hAnsi="Times New Roman"/>
          <w:sz w:val="24"/>
        </w:rPr>
        <w:t>хиљада динара услед неправилне консолидације исказаних обавеза.</w:t>
      </w:r>
    </w:p>
    <w:p>
      <w:pPr>
        <w:pStyle w:val="ListParagraph"/>
        <w:numPr>
          <w:ilvl w:val="0"/>
          <w:numId w:val="9"/>
        </w:numPr>
        <w:tabs>
          <w:tab w:pos="303" w:val="left" w:leader="none"/>
        </w:tabs>
        <w:spacing w:line="274" w:lineRule="exact" w:before="24"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Ова позиција мање је исказана код Управе за дечију, социјалну и примарну здравствену заштиту за износ од </w:t>
      </w:r>
      <w:r>
        <w:rPr>
          <w:rFonts w:ascii="Times New Roman" w:hAnsi="Times New Roman"/>
          <w:sz w:val="24"/>
        </w:rPr>
        <w:t>198.790 </w:t>
      </w:r>
      <w:r>
        <w:rPr>
          <w:rFonts w:ascii="Times New Roman" w:hAnsi="Times New Roman"/>
          <w:sz w:val="24"/>
        </w:rPr>
        <w:t>хиљада динара за неевидентиране</w:t>
      </w:r>
      <w:r>
        <w:rPr>
          <w:rFonts w:ascii="Times New Roman" w:hAnsi="Times New Roman"/>
          <w:spacing w:val="-19"/>
          <w:sz w:val="24"/>
        </w:rPr>
        <w:t> </w:t>
      </w:r>
      <w:r>
        <w:rPr>
          <w:rFonts w:ascii="Times New Roman" w:hAnsi="Times New Roman"/>
          <w:sz w:val="24"/>
        </w:rPr>
        <w:t>обавезе.</w:t>
      </w:r>
    </w:p>
    <w:p>
      <w:pPr>
        <w:pStyle w:val="ListParagraph"/>
        <w:numPr>
          <w:ilvl w:val="0"/>
          <w:numId w:val="9"/>
        </w:numPr>
        <w:tabs>
          <w:tab w:pos="303" w:val="left" w:leader="none"/>
        </w:tabs>
        <w:spacing w:line="237" w:lineRule="auto" w:before="1" w:after="0"/>
        <w:ind w:left="160" w:right="18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Ова позиција исказана је мање код Установе „Мара“ у износу од најмање 6.026 хиљада динара, на име неевидентираних обавеза за плате, отпремнине за одлазак у пензију, обавеза према добављачима и обавезе на име уплате разлике у</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плати.</w:t>
      </w:r>
    </w:p>
    <w:p>
      <w:pPr>
        <w:pStyle w:val="ListParagraph"/>
        <w:numPr>
          <w:ilvl w:val="0"/>
          <w:numId w:val="9"/>
        </w:numPr>
        <w:tabs>
          <w:tab w:pos="303" w:val="left" w:leader="none"/>
        </w:tabs>
        <w:spacing w:line="294" w:lineRule="exact" w:before="2"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Ова позиција исказана је мање у износу од најмање </w:t>
      </w:r>
      <w:r>
        <w:rPr>
          <w:rFonts w:ascii="Times New Roman" w:hAnsi="Times New Roman"/>
          <w:sz w:val="24"/>
        </w:rPr>
        <w:t>1.772 </w:t>
      </w:r>
      <w:r>
        <w:rPr>
          <w:rFonts w:ascii="Times New Roman" w:hAnsi="Times New Roman"/>
          <w:sz w:val="24"/>
        </w:rPr>
        <w:t>хиљаде динара код  </w:t>
      </w:r>
      <w:r>
        <w:rPr>
          <w:rFonts w:ascii="Times New Roman" w:hAnsi="Times New Roman"/>
          <w:spacing w:val="50"/>
          <w:sz w:val="24"/>
        </w:rPr>
        <w:t> </w:t>
      </w:r>
      <w:r>
        <w:rPr>
          <w:rFonts w:ascii="Times New Roman" w:hAnsi="Times New Roman"/>
          <w:sz w:val="24"/>
        </w:rPr>
        <w:t>Установе</w:t>
      </w:r>
    </w:p>
    <w:p>
      <w:pPr>
        <w:pStyle w:val="BodyText"/>
        <w:spacing w:line="240" w:lineRule="auto"/>
        <w:ind w:right="183"/>
        <w:jc w:val="both"/>
      </w:pPr>
      <w:r>
        <w:rPr/>
        <w:t>„Сигурна кућа“, и то у износу од укупно 714 хиљада динара на име неевидентираних обавеза за плате, накнаде боловања, обавеза према добављачима и обавезе на име уплате разлике у плати и у износу од 1.058 хиљада динара неслагања из ранијих</w:t>
      </w:r>
      <w:r>
        <w:rPr>
          <w:spacing w:val="-25"/>
        </w:rPr>
        <w:t> </w:t>
      </w:r>
      <w:r>
        <w:rPr/>
        <w:t>година.</w:t>
      </w:r>
    </w:p>
    <w:p>
      <w:pPr>
        <w:pStyle w:val="Heading2"/>
        <w:spacing w:line="240" w:lineRule="auto"/>
        <w:ind w:right="173"/>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консолидацију података, примену одредби Уредбе о буџетском рачуноводству и Правилника о стандардном класификационом оквиру и контном плану за буџетски</w:t>
      </w:r>
      <w:r>
        <w:rPr>
          <w:i/>
          <w:spacing w:val="-20"/>
        </w:rPr>
        <w:t> </w:t>
      </w:r>
      <w:r>
        <w:rPr>
          <w:i/>
        </w:rPr>
        <w:t>систем</w:t>
      </w:r>
      <w:r>
        <w:rPr>
          <w:rFonts w:ascii="Times New Roman" w:hAnsi="Times New Roman"/>
          <w:i/>
        </w:rPr>
        <w:t>.</w:t>
      </w:r>
      <w:r>
        <w:rPr>
          <w:rFonts w:ascii="Times New Roman" w:hAnsi="Times New Roman"/>
          <w:b w:val="0"/>
          <w:i w:val="0"/>
        </w:rPr>
      </w:r>
    </w:p>
    <w:p>
      <w:pPr>
        <w:pStyle w:val="ListParagraph"/>
        <w:numPr>
          <w:ilvl w:val="0"/>
          <w:numId w:val="81"/>
        </w:numPr>
        <w:tabs>
          <w:tab w:pos="303"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Управе за образовање </w:t>
      </w:r>
      <w:r>
        <w:rPr>
          <w:rFonts w:ascii="Times New Roman" w:hAnsi="Times New Roman" w:cs="Times New Roman" w:eastAsia="Times New Roman" w:hint="default"/>
          <w:sz w:val="24"/>
          <w:szCs w:val="24"/>
        </w:rPr>
        <w:t>у износу од 565.483 хиљаде динара код: Управе у износу од </w:t>
      </w:r>
      <w:r>
        <w:rPr>
          <w:rFonts w:ascii="Times New Roman" w:hAnsi="Times New Roman" w:cs="Times New Roman" w:eastAsia="Times New Roman" w:hint="default"/>
          <w:sz w:val="24"/>
          <w:szCs w:val="24"/>
        </w:rPr>
        <w:t>322.791 хиљаде динара, ПУ „Пчелица“ у износу од 232.953 хиљаде динара, Дечијег центра у износу од 8.675 хиљада динара и Регионалног центра у износу од 1.064 хиљаде 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37" w:lineRule="auto" w:before="1"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Ова позиција више је исказана код Управе за образовање за износ од 70.</w:t>
      </w:r>
      <w:r>
        <w:rPr>
          <w:rFonts w:ascii="Times New Roman" w:hAnsi="Times New Roman"/>
          <w:sz w:val="24"/>
        </w:rPr>
        <w:t>430 </w:t>
      </w:r>
      <w:r>
        <w:rPr>
          <w:rFonts w:ascii="Times New Roman" w:hAnsi="Times New Roman"/>
          <w:sz w:val="24"/>
        </w:rPr>
        <w:t>хиљад</w:t>
      </w:r>
      <w:r>
        <w:rPr>
          <w:rFonts w:ascii="Times New Roman" w:hAnsi="Times New Roman"/>
          <w:sz w:val="24"/>
        </w:rPr>
        <w:t>a </w:t>
      </w:r>
      <w:r>
        <w:rPr>
          <w:rFonts w:ascii="Times New Roman" w:hAnsi="Times New Roman"/>
          <w:sz w:val="24"/>
        </w:rPr>
        <w:t>динара услед неправилне консолидације података из завршних рачуна корисника на дан 31.12.2014. године.</w:t>
      </w:r>
    </w:p>
    <w:p>
      <w:pPr>
        <w:pStyle w:val="ListParagraph"/>
        <w:numPr>
          <w:ilvl w:val="0"/>
          <w:numId w:val="9"/>
        </w:numPr>
        <w:tabs>
          <w:tab w:pos="303" w:val="left" w:leader="none"/>
        </w:tabs>
        <w:spacing w:line="274" w:lineRule="exact" w:before="25" w:after="0"/>
        <w:ind w:left="160" w:right="187" w:firstLine="0"/>
        <w:jc w:val="both"/>
        <w:rPr>
          <w:rFonts w:ascii="Times New Roman" w:hAnsi="Times New Roman" w:cs="Times New Roman" w:eastAsia="Times New Roman" w:hint="default"/>
          <w:sz w:val="24"/>
          <w:szCs w:val="24"/>
        </w:rPr>
      </w:pPr>
      <w:r>
        <w:rPr>
          <w:rFonts w:ascii="Times New Roman" w:hAnsi="Times New Roman"/>
          <w:sz w:val="24"/>
        </w:rPr>
        <w:t>Ова позиција мање је исказана код Управе за образовање за износ од најмање 216.517 хиљад</w:t>
      </w:r>
      <w:r>
        <w:rPr>
          <w:rFonts w:ascii="Times New Roman" w:hAnsi="Times New Roman"/>
          <w:sz w:val="24"/>
        </w:rPr>
        <w:t>a </w:t>
      </w:r>
      <w:r>
        <w:rPr>
          <w:rFonts w:ascii="Times New Roman" w:hAnsi="Times New Roman"/>
          <w:sz w:val="24"/>
        </w:rPr>
        <w:t>динара за неевидентиране</w:t>
      </w:r>
      <w:r>
        <w:rPr>
          <w:rFonts w:ascii="Times New Roman" w:hAnsi="Times New Roman"/>
          <w:spacing w:val="-13"/>
          <w:sz w:val="24"/>
        </w:rPr>
        <w:t> </w:t>
      </w:r>
      <w:r>
        <w:rPr>
          <w:rFonts w:ascii="Times New Roman" w:hAnsi="Times New Roman"/>
          <w:sz w:val="24"/>
        </w:rPr>
        <w:t>обавезе.</w:t>
      </w:r>
    </w:p>
    <w:p>
      <w:pPr>
        <w:pStyle w:val="ListParagraph"/>
        <w:numPr>
          <w:ilvl w:val="0"/>
          <w:numId w:val="9"/>
        </w:numPr>
        <w:tabs>
          <w:tab w:pos="303" w:val="left" w:leader="none"/>
        </w:tabs>
        <w:spacing w:line="274" w:lineRule="exact" w:before="21"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Износ исказан на овој билансној позицији код ПУ „Пчелица“ није усаглашен са износима обавеза исказаних у пасиви биланса стања установе на дан 31.12.2014.  </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године,</w:t>
      </w:r>
    </w:p>
    <w:p>
      <w:pPr>
        <w:spacing w:after="0" w:line="274" w:lineRule="exact"/>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5"/>
        <w:jc w:val="both"/>
      </w:pPr>
      <w:r>
        <w:rPr/>
        <w:t>који у поступку ревизије нисмо могли да утврдимо. У поступку ревизије достављен је преглед из чега се састоји салдо конта 131200 и то: обавезе према добављачима у износу од 173.710 хиљада динара, обавеза по основу расхода за запослене у износу од 55.059 хиљада динара и осталих обавеза у износу од 4.184 хиљаде динара, без објашњења разлога неслагања и исказивања мањег износа који се односи на обавезе према добављачима у односу на обавезе према добављачима исказане у пасиви биланса стања, па се нисмо уверили у тачност и правилност исказаног износа и</w:t>
      </w:r>
      <w:r>
        <w:rPr>
          <w:spacing w:val="-28"/>
        </w:rPr>
        <w:t> </w:t>
      </w:r>
      <w:r>
        <w:rPr/>
        <w:t>прегледа.</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Ова позиција исказана је у мањем износу код ПУ „Пчелица“ за укупно 3.833 хиљаде динара и то за износ од 3.599 хиљада динара на име неевидентиране обавезе по основу уплате разлике у заради за плату за децембар 2014. године, услед привременог умањења основице за 10% и за износ од 234 хиљаде динара због компензовања обавеза и потраживања.</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Ова билансна позиција исказана је у мањем износу код ПУ „Пчелица“ који у поступку ревизије нисмо могли да утврдимо на име неевидентираних обавеза по основу камата на неисплаћене јубиларне награде, отпремнине приликом одласка у пензију, судских трошкова по изреченим а неизвршеним</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пресудама.</w:t>
      </w:r>
    </w:p>
    <w:p>
      <w:pPr>
        <w:pStyle w:val="ListParagraph"/>
        <w:numPr>
          <w:ilvl w:val="0"/>
          <w:numId w:val="9"/>
        </w:numPr>
        <w:tabs>
          <w:tab w:pos="303" w:val="left" w:leader="none"/>
        </w:tabs>
        <w:spacing w:line="274" w:lineRule="exact" w:before="24"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Код Дечијег центра обрачунати неплаћени расходи и издаци су више исказани у износу од 154 хиљаде</w:t>
      </w:r>
      <w:r>
        <w:rPr>
          <w:rFonts w:ascii="Times New Roman" w:hAnsi="Times New Roman"/>
          <w:spacing w:val="-1"/>
          <w:sz w:val="24"/>
        </w:rPr>
        <w:t> </w:t>
      </w:r>
      <w:r>
        <w:rPr>
          <w:rFonts w:ascii="Times New Roman" w:hAnsi="Times New Roman"/>
          <w:sz w:val="24"/>
        </w:rPr>
        <w:t>динара</w:t>
      </w:r>
      <w:r>
        <w:rPr>
          <w:rFonts w:ascii="Times New Roman" w:hAnsi="Times New Roman"/>
          <w:sz w:val="24"/>
        </w:rPr>
        <w:t>.</w:t>
      </w:r>
    </w:p>
    <w:p>
      <w:pPr>
        <w:pStyle w:val="ListParagraph"/>
        <w:numPr>
          <w:ilvl w:val="0"/>
          <w:numId w:val="9"/>
        </w:numPr>
        <w:tabs>
          <w:tab w:pos="303" w:val="left" w:leader="none"/>
        </w:tabs>
        <w:spacing w:line="274" w:lineRule="exact" w:before="21"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Код Дечијег центра мање су исказани обрачунати неплаћени расходи и издаци у износу од најмање 2.743 хиљаде динара за неевидентиране</w:t>
      </w:r>
      <w:r>
        <w:rPr>
          <w:rFonts w:ascii="Times New Roman" w:hAnsi="Times New Roman"/>
          <w:spacing w:val="-20"/>
          <w:sz w:val="24"/>
        </w:rPr>
        <w:t> </w:t>
      </w:r>
      <w:r>
        <w:rPr>
          <w:rFonts w:ascii="Times New Roman" w:hAnsi="Times New Roman"/>
          <w:sz w:val="24"/>
        </w:rPr>
        <w:t>обавезе.</w:t>
      </w:r>
    </w:p>
    <w:p>
      <w:pPr>
        <w:pStyle w:val="ListParagraph"/>
        <w:numPr>
          <w:ilvl w:val="0"/>
          <w:numId w:val="9"/>
        </w:numPr>
        <w:tabs>
          <w:tab w:pos="303" w:val="left" w:leader="none"/>
        </w:tabs>
        <w:spacing w:line="240" w:lineRule="auto" w:before="0" w:after="0"/>
        <w:ind w:left="160" w:right="170" w:firstLine="0"/>
        <w:jc w:val="both"/>
        <w:rPr>
          <w:rFonts w:ascii="Times New Roman" w:hAnsi="Times New Roman" w:cs="Times New Roman" w:eastAsia="Times New Roman" w:hint="default"/>
          <w:sz w:val="24"/>
          <w:szCs w:val="24"/>
        </w:rPr>
      </w:pPr>
      <w:r>
        <w:rPr>
          <w:rFonts w:ascii="Times New Roman" w:hAnsi="Times New Roman"/>
          <w:sz w:val="24"/>
        </w:rPr>
        <w:t>Код Регионалног центра мање су исказани обрачунати неплаћени расходи и издаци у износу од </w:t>
      </w:r>
      <w:r>
        <w:rPr>
          <w:rFonts w:ascii="Times New Roman" w:hAnsi="Times New Roman"/>
          <w:sz w:val="24"/>
        </w:rPr>
        <w:t>1.782 </w:t>
      </w:r>
      <w:r>
        <w:rPr>
          <w:rFonts w:ascii="Times New Roman" w:hAnsi="Times New Roman"/>
          <w:sz w:val="24"/>
        </w:rPr>
        <w:t>хиљаде динара, по основу неевидентираних обавеза из 2014. године и неевидентираних неизмирених обавеза из ранијих година, што је супротно члану 9. Уредбе о буџетском рачуноводству и Правилнику о стандардном касификационом оквиру и контном плану за буџетски</w:t>
      </w:r>
      <w:r>
        <w:rPr>
          <w:rFonts w:ascii="Times New Roman" w:hAnsi="Times New Roman"/>
          <w:spacing w:val="-21"/>
          <w:sz w:val="24"/>
        </w:rPr>
        <w:t> </w:t>
      </w:r>
      <w:r>
        <w:rPr>
          <w:rFonts w:ascii="Times New Roman" w:hAnsi="Times New Roman"/>
          <w:sz w:val="24"/>
        </w:rPr>
        <w:t>систем.</w:t>
      </w:r>
    </w:p>
    <w:p>
      <w:pPr>
        <w:pStyle w:val="Heading2"/>
        <w:spacing w:line="240" w:lineRule="auto"/>
        <w:ind w:right="175"/>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консолидацију података, примену одредби Уредбе о буџетском рачуноводству и Правилника о стандардном класификационом оквиру и контном плану за буџетски</w:t>
      </w:r>
      <w:r>
        <w:rPr>
          <w:i/>
          <w:spacing w:val="-20"/>
        </w:rPr>
        <w:t> </w:t>
      </w:r>
      <w:r>
        <w:rPr>
          <w:i/>
        </w:rPr>
        <w:t>систем</w:t>
      </w:r>
      <w:r>
        <w:rPr>
          <w:rFonts w:ascii="Times New Roman" w:hAnsi="Times New Roman"/>
          <w:i/>
        </w:rPr>
        <w:t>.</w:t>
      </w:r>
      <w:r>
        <w:rPr>
          <w:rFonts w:ascii="Times New Roman" w:hAnsi="Times New Roman"/>
          <w:b w:val="0"/>
          <w:i w:val="0"/>
        </w:rPr>
      </w:r>
    </w:p>
    <w:p>
      <w:pPr>
        <w:pStyle w:val="BodyText"/>
        <w:spacing w:line="240" w:lineRule="auto"/>
        <w:ind w:right="175"/>
        <w:jc w:val="both"/>
      </w:pPr>
      <w:r>
        <w:rPr>
          <w:rFonts w:ascii="Times New Roman" w:hAnsi="Times New Roman"/>
          <w:w w:val="99"/>
        </w:rPr>
      </w:r>
      <w:r>
        <w:rPr>
          <w:rFonts w:ascii="Times New Roman" w:hAnsi="Times New Roman"/>
          <w:u w:val="single" w:color="000000"/>
        </w:rPr>
        <w:t>-</w:t>
      </w:r>
      <w:r>
        <w:rPr>
          <w:u w:val="single" w:color="000000"/>
        </w:rPr>
        <w:t>Управе за културу </w:t>
      </w:r>
      <w:r>
        <w:rPr/>
        <w:t>у износу од 131.509 хиљада динара код: Управе у износу од 59.222 </w:t>
      </w:r>
      <w:r>
        <w:rPr/>
        <w:t>хиљаде динара, Галерије савремене ликовне уметности у износу од 2.469 хиљада динара, Народне библиотеке у износу од 9.583 хиљаде динара, Народног позоришта у износу од од 18.127 хиљаде динара</w:t>
      </w:r>
      <w:r>
        <w:rPr>
          <w:rFonts w:ascii="Times New Roman" w:hAnsi="Times New Roman"/>
        </w:rPr>
        <w:t>, </w:t>
      </w:r>
      <w:r>
        <w:rPr/>
        <w:t>Нишког симфонијског оркестра у износу од од 9.586 хиљада динара, Позоришта лутака у износу од 9.871 хиљаде динара, Историјског архива у износу од 2.999 хиљада динара, Народног музеја у износу од 4.550 хиљада динара, Нишког културног центра у износу од 12.817 хиљада динара и Завода за заштиту споменика у износу од 2.285 хиљада</w:t>
      </w:r>
      <w:r>
        <w:rPr>
          <w:spacing w:val="-8"/>
        </w:rPr>
        <w:t> </w:t>
      </w:r>
      <w:r>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3"/>
        </w:rPr>
        <w:t> </w:t>
      </w:r>
      <w:r>
        <w:rPr/>
        <w:t>је:</w:t>
      </w:r>
      <w:r>
        <w:rPr>
          <w:b w:val="0"/>
        </w:rPr>
      </w:r>
    </w:p>
    <w:p>
      <w:pPr>
        <w:pStyle w:val="ListParagraph"/>
        <w:numPr>
          <w:ilvl w:val="0"/>
          <w:numId w:val="9"/>
        </w:numPr>
        <w:tabs>
          <w:tab w:pos="348"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Ова позиција код Управе за културу више је исказана за износ од 57.882 хиљаде динара услед неправилне консолидације исказаних обавеза на дан 31.12.2014. године. Истовремено, више је исказан износ на конту 131200 – обрачунати неплаћени расходи и издаци за исти</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износ.</w:t>
      </w:r>
    </w:p>
    <w:p>
      <w:pPr>
        <w:pStyle w:val="ListParagraph"/>
        <w:numPr>
          <w:ilvl w:val="0"/>
          <w:numId w:val="9"/>
        </w:numPr>
        <w:tabs>
          <w:tab w:pos="348" w:val="left" w:leader="none"/>
        </w:tabs>
        <w:spacing w:line="240" w:lineRule="auto" w:before="0" w:after="0"/>
        <w:ind w:left="160" w:right="183" w:firstLine="0"/>
        <w:jc w:val="both"/>
        <w:rPr>
          <w:rFonts w:ascii="Times New Roman" w:hAnsi="Times New Roman" w:cs="Times New Roman" w:eastAsia="Times New Roman" w:hint="default"/>
          <w:sz w:val="24"/>
          <w:szCs w:val="24"/>
        </w:rPr>
      </w:pPr>
      <w:r>
        <w:rPr>
          <w:rFonts w:ascii="Times New Roman" w:hAnsi="Times New Roman"/>
          <w:sz w:val="24"/>
        </w:rPr>
        <w:t>Ова позиција код Управе за културу мање је исказана за износ од најмање 2.230 хиљада динара за неевидентиране обавезе. Истовремено, мање је исказан износ на конту  </w:t>
      </w:r>
      <w:r>
        <w:rPr>
          <w:rFonts w:ascii="Times New Roman" w:hAnsi="Times New Roman"/>
          <w:spacing w:val="10"/>
          <w:sz w:val="24"/>
        </w:rPr>
        <w:t> </w:t>
      </w:r>
      <w:r>
        <w:rPr>
          <w:rFonts w:ascii="Times New Roman" w:hAnsi="Times New Roman"/>
          <w:sz w:val="24"/>
        </w:rPr>
        <w:t>131200</w:t>
      </w:r>
    </w:p>
    <w:p>
      <w:pPr>
        <w:pStyle w:val="ListParagraph"/>
        <w:numPr>
          <w:ilvl w:val="0"/>
          <w:numId w:val="48"/>
        </w:numPr>
        <w:tabs>
          <w:tab w:pos="341" w:val="left" w:leader="none"/>
        </w:tabs>
        <w:spacing w:line="240" w:lineRule="auto" w:before="0" w:after="0"/>
        <w:ind w:left="340" w:right="0" w:hanging="180"/>
        <w:jc w:val="both"/>
        <w:rPr>
          <w:rFonts w:ascii="Times New Roman" w:hAnsi="Times New Roman" w:cs="Times New Roman" w:eastAsia="Times New Roman" w:hint="default"/>
          <w:sz w:val="24"/>
          <w:szCs w:val="24"/>
        </w:rPr>
      </w:pPr>
      <w:r>
        <w:rPr>
          <w:rFonts w:ascii="Times New Roman" w:hAnsi="Times New Roman"/>
          <w:sz w:val="24"/>
        </w:rPr>
        <w:t>обрачунати неплаћени расходи и издаци за исти</w:t>
      </w:r>
      <w:r>
        <w:rPr>
          <w:rFonts w:ascii="Times New Roman" w:hAnsi="Times New Roman"/>
          <w:spacing w:val="-24"/>
          <w:sz w:val="24"/>
        </w:rPr>
        <w:t> </w:t>
      </w:r>
      <w:r>
        <w:rPr>
          <w:rFonts w:ascii="Times New Roman" w:hAnsi="Times New Roman"/>
          <w:sz w:val="24"/>
        </w:rPr>
        <w:t>износ.</w:t>
      </w:r>
    </w:p>
    <w:p>
      <w:pPr>
        <w:pStyle w:val="ListParagraph"/>
        <w:numPr>
          <w:ilvl w:val="0"/>
          <w:numId w:val="9"/>
        </w:numPr>
        <w:tabs>
          <w:tab w:pos="348" w:val="left" w:leader="none"/>
        </w:tabs>
        <w:spacing w:line="274" w:lineRule="exact" w:before="24"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Код Народне библиотеке обрачунати неплаћени расходи и издаци мање су исказани за износу</w:t>
      </w:r>
      <w:r>
        <w:rPr>
          <w:rFonts w:ascii="Times New Roman" w:hAnsi="Times New Roman"/>
          <w:spacing w:val="39"/>
          <w:sz w:val="24"/>
        </w:rPr>
        <w:t> </w:t>
      </w:r>
      <w:r>
        <w:rPr>
          <w:rFonts w:ascii="Times New Roman" w:hAnsi="Times New Roman"/>
          <w:sz w:val="24"/>
        </w:rPr>
        <w:t>од</w:t>
      </w:r>
      <w:r>
        <w:rPr>
          <w:rFonts w:ascii="Times New Roman" w:hAnsi="Times New Roman"/>
          <w:spacing w:val="49"/>
          <w:sz w:val="24"/>
        </w:rPr>
        <w:t> </w:t>
      </w:r>
      <w:r>
        <w:rPr>
          <w:rFonts w:ascii="Times New Roman" w:hAnsi="Times New Roman"/>
          <w:sz w:val="24"/>
        </w:rPr>
        <w:t>867</w:t>
      </w:r>
      <w:r>
        <w:rPr>
          <w:rFonts w:ascii="Times New Roman" w:hAnsi="Times New Roman"/>
          <w:spacing w:val="46"/>
          <w:sz w:val="24"/>
        </w:rPr>
        <w:t> </w:t>
      </w:r>
      <w:r>
        <w:rPr>
          <w:rFonts w:ascii="Times New Roman" w:hAnsi="Times New Roman"/>
          <w:sz w:val="24"/>
        </w:rPr>
        <w:t>хиљада</w:t>
      </w:r>
      <w:r>
        <w:rPr>
          <w:rFonts w:ascii="Times New Roman" w:hAnsi="Times New Roman"/>
          <w:spacing w:val="46"/>
          <w:sz w:val="24"/>
        </w:rPr>
        <w:t> </w:t>
      </w:r>
      <w:r>
        <w:rPr>
          <w:rFonts w:ascii="Times New Roman" w:hAnsi="Times New Roman"/>
          <w:sz w:val="24"/>
        </w:rPr>
        <w:t>динара</w:t>
      </w:r>
      <w:r>
        <w:rPr>
          <w:rFonts w:ascii="Times New Roman" w:hAnsi="Times New Roman"/>
          <w:spacing w:val="45"/>
          <w:sz w:val="24"/>
        </w:rPr>
        <w:t> </w:t>
      </w:r>
      <w:r>
        <w:rPr>
          <w:rFonts w:ascii="Times New Roman" w:hAnsi="Times New Roman"/>
          <w:sz w:val="24"/>
        </w:rPr>
        <w:t>за</w:t>
      </w:r>
      <w:r>
        <w:rPr>
          <w:rFonts w:ascii="Times New Roman" w:hAnsi="Times New Roman"/>
          <w:spacing w:val="50"/>
          <w:sz w:val="24"/>
        </w:rPr>
        <w:t> </w:t>
      </w:r>
      <w:r>
        <w:rPr>
          <w:rFonts w:ascii="Times New Roman" w:hAnsi="Times New Roman"/>
          <w:sz w:val="24"/>
        </w:rPr>
        <w:t>неевидентиране</w:t>
      </w:r>
      <w:r>
        <w:rPr>
          <w:rFonts w:ascii="Times New Roman" w:hAnsi="Times New Roman"/>
          <w:spacing w:val="45"/>
          <w:sz w:val="24"/>
        </w:rPr>
        <w:t> </w:t>
      </w:r>
      <w:r>
        <w:rPr>
          <w:rFonts w:ascii="Times New Roman" w:hAnsi="Times New Roman"/>
          <w:sz w:val="24"/>
        </w:rPr>
        <w:t>обавезе</w:t>
      </w:r>
      <w:r>
        <w:rPr>
          <w:rFonts w:ascii="Times New Roman" w:hAnsi="Times New Roman"/>
          <w:spacing w:val="45"/>
          <w:sz w:val="24"/>
        </w:rPr>
        <w:t> </w:t>
      </w:r>
      <w:r>
        <w:rPr>
          <w:rFonts w:ascii="Times New Roman" w:hAnsi="Times New Roman"/>
          <w:sz w:val="24"/>
        </w:rPr>
        <w:t>по</w:t>
      </w:r>
      <w:r>
        <w:rPr>
          <w:rFonts w:ascii="Times New Roman" w:hAnsi="Times New Roman"/>
          <w:spacing w:val="46"/>
          <w:sz w:val="24"/>
        </w:rPr>
        <w:t> </w:t>
      </w:r>
      <w:r>
        <w:rPr>
          <w:rFonts w:ascii="Times New Roman" w:hAnsi="Times New Roman"/>
          <w:sz w:val="24"/>
        </w:rPr>
        <w:t>основу</w:t>
      </w:r>
      <w:r>
        <w:rPr>
          <w:rFonts w:ascii="Times New Roman" w:hAnsi="Times New Roman"/>
          <w:spacing w:val="46"/>
          <w:sz w:val="24"/>
        </w:rPr>
        <w:t> </w:t>
      </w:r>
      <w:r>
        <w:rPr>
          <w:rFonts w:ascii="Times New Roman" w:hAnsi="Times New Roman"/>
          <w:sz w:val="24"/>
        </w:rPr>
        <w:t>уплате</w:t>
      </w:r>
      <w:r>
        <w:rPr>
          <w:rFonts w:ascii="Times New Roman" w:hAnsi="Times New Roman"/>
          <w:spacing w:val="47"/>
          <w:sz w:val="24"/>
        </w:rPr>
        <w:t> </w:t>
      </w:r>
      <w:r>
        <w:rPr>
          <w:rFonts w:ascii="Times New Roman" w:hAnsi="Times New Roman"/>
          <w:sz w:val="24"/>
        </w:rPr>
        <w:t>разлике</w:t>
      </w:r>
      <w:r>
        <w:rPr>
          <w:rFonts w:ascii="Times New Roman" w:hAnsi="Times New Roman"/>
          <w:spacing w:val="48"/>
          <w:sz w:val="24"/>
        </w:rPr>
        <w:t> </w:t>
      </w:r>
      <w:r>
        <w:rPr>
          <w:rFonts w:ascii="Times New Roman" w:hAnsi="Times New Roman"/>
          <w:sz w:val="24"/>
        </w:rPr>
        <w:t>у</w:t>
      </w:r>
    </w:p>
    <w:p>
      <w:pPr>
        <w:spacing w:after="0" w:line="274" w:lineRule="exact"/>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left="260" w:right="174"/>
        <w:jc w:val="both"/>
      </w:pPr>
      <w:r>
        <w:rPr/>
        <w:t>заради, док су више исказани у износу од шест хиљада динара због неправилног евидентирања у ранијим</w:t>
      </w:r>
      <w:r>
        <w:rPr>
          <w:spacing w:val="-10"/>
        </w:rPr>
        <w:t> </w:t>
      </w:r>
      <w:r>
        <w:rPr/>
        <w:t>годинама.</w:t>
      </w:r>
    </w:p>
    <w:p>
      <w:pPr>
        <w:pStyle w:val="ListParagraph"/>
        <w:numPr>
          <w:ilvl w:val="0"/>
          <w:numId w:val="82"/>
        </w:numPr>
        <w:tabs>
          <w:tab w:pos="448" w:val="left" w:leader="none"/>
        </w:tabs>
        <w:spacing w:line="240" w:lineRule="auto" w:before="2" w:after="0"/>
        <w:ind w:left="260" w:right="175" w:firstLine="0"/>
        <w:jc w:val="both"/>
        <w:rPr>
          <w:rFonts w:ascii="Times New Roman" w:hAnsi="Times New Roman" w:cs="Times New Roman" w:eastAsia="Times New Roman" w:hint="default"/>
          <w:sz w:val="24"/>
          <w:szCs w:val="24"/>
        </w:rPr>
      </w:pPr>
      <w:r>
        <w:rPr>
          <w:rFonts w:ascii="Times New Roman" w:hAnsi="Times New Roman"/>
          <w:sz w:val="24"/>
        </w:rPr>
        <w:t>Код Галерије савремене ликовне уметности мање је исказан износ због неправилно евидентираних обрачунатих неплаћених расхода за путне трошкове и ауторске хонораре на конту 122100 у износу од 231 хиљаде динара, док је више исказан за 772 хиљада динара и то</w:t>
      </w:r>
      <w:r>
        <w:rPr>
          <w:rFonts w:ascii="Times New Roman" w:hAnsi="Times New Roman"/>
          <w:sz w:val="24"/>
        </w:rPr>
        <w:t>: </w:t>
      </w:r>
      <w:r>
        <w:rPr>
          <w:rFonts w:ascii="Times New Roman" w:hAnsi="Times New Roman"/>
          <w:sz w:val="24"/>
        </w:rPr>
        <w:t>по основу обрачунате дневнице за службени пут у земљи у већем износу од одређене Колективним уговором за четири хиљаде динара, по основу више обрачунатих путних трошкова од уговорених по уговору о ауторском хонорару за осам хиљада динара и по основу дупло евидентиране обавезе према добављачу ЕПС снабдевање у износу од 760 хиљада динара, што је супротно члану 9. Уредбе о буџетском рачуноводству и Правилнику о стандардном класификационом оквиру и контном плану за буџетски систем.</w:t>
      </w:r>
    </w:p>
    <w:p>
      <w:pPr>
        <w:pStyle w:val="ListParagraph"/>
        <w:numPr>
          <w:ilvl w:val="0"/>
          <w:numId w:val="82"/>
        </w:numPr>
        <w:tabs>
          <w:tab w:pos="448" w:val="left" w:leader="none"/>
        </w:tabs>
        <w:spacing w:line="274" w:lineRule="exact" w:before="24" w:after="0"/>
        <w:ind w:left="260" w:right="179" w:firstLine="0"/>
        <w:jc w:val="both"/>
        <w:rPr>
          <w:rFonts w:ascii="Times New Roman" w:hAnsi="Times New Roman" w:cs="Times New Roman" w:eastAsia="Times New Roman" w:hint="default"/>
          <w:sz w:val="24"/>
          <w:szCs w:val="24"/>
        </w:rPr>
      </w:pPr>
      <w:r>
        <w:rPr>
          <w:rFonts w:ascii="Times New Roman" w:hAnsi="Times New Roman"/>
          <w:sz w:val="24"/>
        </w:rPr>
        <w:t>Код Галерије савремене ликовне уметности нису исказани обрачунати неплаћени расходи у износу од 7.419 хиљада динара за неевидентиране</w:t>
      </w:r>
      <w:r>
        <w:rPr>
          <w:rFonts w:ascii="Times New Roman" w:hAnsi="Times New Roman"/>
          <w:spacing w:val="-21"/>
          <w:sz w:val="24"/>
        </w:rPr>
        <w:t> </w:t>
      </w:r>
      <w:r>
        <w:rPr>
          <w:rFonts w:ascii="Times New Roman" w:hAnsi="Times New Roman"/>
          <w:sz w:val="24"/>
        </w:rPr>
        <w:t>обавезе.</w:t>
      </w:r>
    </w:p>
    <w:p>
      <w:pPr>
        <w:pStyle w:val="ListParagraph"/>
        <w:numPr>
          <w:ilvl w:val="0"/>
          <w:numId w:val="82"/>
        </w:numPr>
        <w:tabs>
          <w:tab w:pos="448" w:val="left" w:leader="none"/>
        </w:tabs>
        <w:spacing w:line="240" w:lineRule="auto" w:before="0" w:after="0"/>
        <w:ind w:left="260" w:right="179" w:firstLine="0"/>
        <w:jc w:val="both"/>
        <w:rPr>
          <w:rFonts w:ascii="Times New Roman" w:hAnsi="Times New Roman" w:cs="Times New Roman" w:eastAsia="Times New Roman" w:hint="default"/>
          <w:sz w:val="24"/>
          <w:szCs w:val="24"/>
        </w:rPr>
      </w:pPr>
      <w:r>
        <w:rPr>
          <w:rFonts w:ascii="Times New Roman" w:hAnsi="Times New Roman"/>
          <w:sz w:val="24"/>
        </w:rPr>
        <w:t>Код Народног позоришта износ обрачунатих неплаћених расхода и издатака не слаже се за износ од 78 хиљада динара са износима обавеза исказаних у пасиви биланса стања. Ова биласна позиција исказана је у већем износу за 78 хиљада динара,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spacing w:val="-25"/>
          <w:sz w:val="24"/>
        </w:rPr>
        <w:t> </w:t>
      </w:r>
      <w:r>
        <w:rPr>
          <w:rFonts w:ascii="Times New Roman" w:hAnsi="Times New Roman"/>
          <w:sz w:val="24"/>
        </w:rPr>
        <w:t>систем.</w:t>
      </w:r>
    </w:p>
    <w:p>
      <w:pPr>
        <w:pStyle w:val="ListParagraph"/>
        <w:numPr>
          <w:ilvl w:val="0"/>
          <w:numId w:val="82"/>
        </w:numPr>
        <w:tabs>
          <w:tab w:pos="448" w:val="left" w:leader="none"/>
        </w:tabs>
        <w:spacing w:line="274" w:lineRule="exact" w:before="24" w:after="0"/>
        <w:ind w:left="260" w:right="184" w:firstLine="0"/>
        <w:jc w:val="both"/>
        <w:rPr>
          <w:rFonts w:ascii="Times New Roman" w:hAnsi="Times New Roman" w:cs="Times New Roman" w:eastAsia="Times New Roman" w:hint="default"/>
          <w:sz w:val="24"/>
          <w:szCs w:val="24"/>
        </w:rPr>
      </w:pPr>
      <w:r>
        <w:rPr>
          <w:rFonts w:ascii="Times New Roman" w:hAnsi="Times New Roman"/>
          <w:sz w:val="24"/>
        </w:rPr>
        <w:t>Код Нишког културног центра мање су исказани обрачунати неплаћени расходи и издаци у износу од 551 хиљаде</w:t>
      </w:r>
      <w:r>
        <w:rPr>
          <w:rFonts w:ascii="Times New Roman" w:hAnsi="Times New Roman"/>
          <w:spacing w:val="-13"/>
          <w:sz w:val="24"/>
        </w:rPr>
        <w:t> </w:t>
      </w:r>
      <w:r>
        <w:rPr>
          <w:rFonts w:ascii="Times New Roman" w:hAnsi="Times New Roman"/>
          <w:sz w:val="24"/>
        </w:rPr>
        <w:t>динара.</w:t>
      </w:r>
    </w:p>
    <w:p>
      <w:pPr>
        <w:pStyle w:val="ListParagraph"/>
        <w:numPr>
          <w:ilvl w:val="0"/>
          <w:numId w:val="82"/>
        </w:numPr>
        <w:tabs>
          <w:tab w:pos="448" w:val="left" w:leader="none"/>
        </w:tabs>
        <w:spacing w:line="240" w:lineRule="auto" w:before="0" w:after="0"/>
        <w:ind w:left="260" w:right="185" w:firstLine="0"/>
        <w:jc w:val="both"/>
        <w:rPr>
          <w:rFonts w:ascii="Times New Roman" w:hAnsi="Times New Roman" w:cs="Times New Roman" w:eastAsia="Times New Roman" w:hint="default"/>
          <w:sz w:val="24"/>
          <w:szCs w:val="24"/>
        </w:rPr>
      </w:pPr>
      <w:r>
        <w:rPr>
          <w:rFonts w:ascii="Times New Roman" w:hAnsi="Times New Roman"/>
          <w:sz w:val="24"/>
        </w:rPr>
        <w:t>Код Народног музеја мање је исказана позиција у износу од 195 хиљада динара за неевидентирану обавеза за</w:t>
      </w:r>
      <w:r>
        <w:rPr>
          <w:rFonts w:ascii="Times New Roman" w:hAnsi="Times New Roman"/>
          <w:spacing w:val="-19"/>
          <w:sz w:val="24"/>
        </w:rPr>
        <w:t> </w:t>
      </w:r>
      <w:r>
        <w:rPr>
          <w:rFonts w:ascii="Times New Roman" w:hAnsi="Times New Roman"/>
          <w:sz w:val="24"/>
        </w:rPr>
        <w:t>отпремнину.</w:t>
      </w:r>
    </w:p>
    <w:p>
      <w:pPr>
        <w:pStyle w:val="Heading2"/>
        <w:spacing w:line="240" w:lineRule="auto" w:before="2"/>
        <w:ind w:left="260" w:right="173"/>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консолидацију података, примену одредби Уредбе о буџетском рачуноводству и Правилника о стандардном класификационом оквиру и контном плану за буџетски</w:t>
      </w:r>
      <w:r>
        <w:rPr>
          <w:i/>
          <w:spacing w:val="-20"/>
        </w:rPr>
        <w:t> </w:t>
      </w:r>
      <w:r>
        <w:rPr>
          <w:i/>
        </w:rPr>
        <w:t>систем</w:t>
      </w:r>
      <w:r>
        <w:rPr>
          <w:rFonts w:ascii="Times New Roman" w:hAnsi="Times New Roman"/>
          <w:i/>
        </w:rPr>
        <w:t>.</w:t>
      </w:r>
      <w:r>
        <w:rPr>
          <w:rFonts w:ascii="Times New Roman" w:hAnsi="Times New Roman"/>
          <w:b w:val="0"/>
          <w:i w:val="0"/>
        </w:rPr>
      </w:r>
    </w:p>
    <w:p>
      <w:pPr>
        <w:pStyle w:val="ListParagraph"/>
        <w:numPr>
          <w:ilvl w:val="1"/>
          <w:numId w:val="9"/>
        </w:numPr>
        <w:tabs>
          <w:tab w:pos="403" w:val="left" w:leader="none"/>
        </w:tabs>
        <w:spacing w:line="240" w:lineRule="auto" w:before="0" w:after="0"/>
        <w:ind w:left="260" w:right="182"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омладину и спорт </w:t>
      </w:r>
      <w:r>
        <w:rPr>
          <w:rFonts w:ascii="Times New Roman" w:hAnsi="Times New Roman"/>
          <w:sz w:val="24"/>
        </w:rPr>
        <w:t>у износу од 108.213 хиљада динара за исказане обрачунате </w:t>
      </w:r>
      <w:r>
        <w:rPr>
          <w:rFonts w:ascii="Times New Roman" w:hAnsi="Times New Roman"/>
          <w:sz w:val="24"/>
        </w:rPr>
        <w:t>неплаћене расходе и издатке код: Управе у износу од 36.633 хиљаде динара и СЦ Чаир у износу од 71.580 хиљада</w:t>
      </w:r>
      <w:r>
        <w:rPr>
          <w:rFonts w:ascii="Times New Roman" w:hAnsi="Times New Roman"/>
          <w:spacing w:val="-11"/>
          <w:sz w:val="24"/>
        </w:rPr>
        <w:t> </w:t>
      </w:r>
      <w:r>
        <w:rPr>
          <w:rFonts w:ascii="Times New Roman" w:hAnsi="Times New Roman"/>
          <w:sz w:val="24"/>
        </w:rPr>
        <w:t>динара.</w:t>
      </w:r>
    </w:p>
    <w:p>
      <w:pPr>
        <w:pStyle w:val="Heading1"/>
        <w:spacing w:line="275" w:lineRule="exact"/>
        <w:ind w:left="826" w:right="0"/>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82"/>
        </w:numPr>
        <w:tabs>
          <w:tab w:pos="403" w:val="left" w:leader="none"/>
        </w:tabs>
        <w:spacing w:line="240" w:lineRule="auto" w:before="0" w:after="0"/>
        <w:ind w:left="260" w:right="180" w:firstLine="0"/>
        <w:jc w:val="both"/>
        <w:rPr>
          <w:rFonts w:ascii="Times New Roman" w:hAnsi="Times New Roman" w:cs="Times New Roman" w:eastAsia="Times New Roman" w:hint="default"/>
          <w:sz w:val="24"/>
          <w:szCs w:val="24"/>
        </w:rPr>
      </w:pPr>
      <w:r>
        <w:rPr>
          <w:rFonts w:ascii="Times New Roman" w:hAnsi="Times New Roman"/>
          <w:sz w:val="24"/>
        </w:rPr>
        <w:t>Ова позиција више је исказана код Управе за омладину и спорт за износ од 34.933 хиљаде динара услед неправилне консолидације обавеза исказаних на дан 31.12.2014. године.</w:t>
      </w:r>
    </w:p>
    <w:p>
      <w:pPr>
        <w:pStyle w:val="ListParagraph"/>
        <w:numPr>
          <w:ilvl w:val="0"/>
          <w:numId w:val="82"/>
        </w:numPr>
        <w:tabs>
          <w:tab w:pos="403" w:val="left" w:leader="none"/>
        </w:tabs>
        <w:spacing w:line="274" w:lineRule="exact" w:before="24" w:after="0"/>
        <w:ind w:left="260" w:right="187" w:firstLine="0"/>
        <w:jc w:val="both"/>
        <w:rPr>
          <w:rFonts w:ascii="Times New Roman" w:hAnsi="Times New Roman" w:cs="Times New Roman" w:eastAsia="Times New Roman" w:hint="default"/>
          <w:sz w:val="24"/>
          <w:szCs w:val="24"/>
        </w:rPr>
      </w:pPr>
      <w:r>
        <w:rPr>
          <w:rFonts w:ascii="Times New Roman" w:hAnsi="Times New Roman"/>
          <w:sz w:val="24"/>
        </w:rPr>
        <w:t>Ова позиција мање је исказана код Управе за омладину и спорт за износ од најмање 4.709 хиљада динара за неевидентиране</w:t>
      </w:r>
      <w:r>
        <w:rPr>
          <w:rFonts w:ascii="Times New Roman" w:hAnsi="Times New Roman"/>
          <w:spacing w:val="-11"/>
          <w:sz w:val="24"/>
        </w:rPr>
        <w:t> </w:t>
      </w:r>
      <w:r>
        <w:rPr>
          <w:rFonts w:ascii="Times New Roman" w:hAnsi="Times New Roman"/>
          <w:sz w:val="24"/>
        </w:rPr>
        <w:t>обавезе.</w:t>
      </w:r>
    </w:p>
    <w:p>
      <w:pPr>
        <w:pStyle w:val="ListParagraph"/>
        <w:numPr>
          <w:ilvl w:val="0"/>
          <w:numId w:val="82"/>
        </w:numPr>
        <w:tabs>
          <w:tab w:pos="403" w:val="left" w:leader="none"/>
        </w:tabs>
        <w:spacing w:line="274" w:lineRule="exact" w:before="21" w:after="0"/>
        <w:ind w:left="260" w:right="174" w:firstLine="0"/>
        <w:jc w:val="both"/>
        <w:rPr>
          <w:rFonts w:ascii="Times New Roman" w:hAnsi="Times New Roman" w:cs="Times New Roman" w:eastAsia="Times New Roman" w:hint="default"/>
          <w:sz w:val="24"/>
          <w:szCs w:val="24"/>
        </w:rPr>
      </w:pPr>
      <w:r>
        <w:rPr>
          <w:rFonts w:ascii="Times New Roman" w:hAnsi="Times New Roman"/>
          <w:sz w:val="24"/>
        </w:rPr>
        <w:t>Код СЦ Чаир обрачунати и неплаћени расходи и издаци исказани су мање за износ од 1.900 хиљада</w:t>
      </w:r>
      <w:r>
        <w:rPr>
          <w:rFonts w:ascii="Times New Roman" w:hAnsi="Times New Roman"/>
          <w:spacing w:val="-3"/>
          <w:sz w:val="24"/>
        </w:rPr>
        <w:t> </w:t>
      </w:r>
      <w:r>
        <w:rPr>
          <w:rFonts w:ascii="Times New Roman" w:hAnsi="Times New Roman"/>
          <w:sz w:val="24"/>
        </w:rPr>
        <w:t>динара.</w:t>
      </w:r>
    </w:p>
    <w:p>
      <w:pPr>
        <w:pStyle w:val="Heading2"/>
        <w:spacing w:line="240" w:lineRule="auto" w:before="2"/>
        <w:ind w:left="260" w:right="173"/>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консолидацију података, примену одредби Уредбе о буџетском рачуноводству и Правилника о стандардном класификационом оквиру и контном плану за буџетски</w:t>
      </w:r>
      <w:r>
        <w:rPr>
          <w:i/>
          <w:spacing w:val="-20"/>
        </w:rPr>
        <w:t> </w:t>
      </w:r>
      <w:r>
        <w:rPr>
          <w:i/>
        </w:rPr>
        <w:t>систем</w:t>
      </w:r>
      <w:r>
        <w:rPr>
          <w:rFonts w:ascii="Times New Roman" w:hAnsi="Times New Roman"/>
          <w:i/>
        </w:rPr>
        <w:t>.</w:t>
      </w:r>
      <w:r>
        <w:rPr>
          <w:rFonts w:ascii="Times New Roman" w:hAnsi="Times New Roman"/>
          <w:b w:val="0"/>
          <w:i w:val="0"/>
        </w:rPr>
      </w:r>
    </w:p>
    <w:p>
      <w:pPr>
        <w:pStyle w:val="BodyText"/>
        <w:spacing w:line="240" w:lineRule="auto"/>
        <w:ind w:left="118" w:right="175"/>
        <w:jc w:val="both"/>
      </w:pPr>
      <w:r>
        <w:rPr>
          <w:rFonts w:ascii="Times New Roman" w:hAnsi="Times New Roman"/>
          <w:w w:val="99"/>
        </w:rPr>
      </w:r>
      <w:r>
        <w:rPr>
          <w:rFonts w:ascii="Times New Roman" w:hAnsi="Times New Roman"/>
          <w:u w:val="single" w:color="000000"/>
        </w:rPr>
        <w:t>-</w:t>
      </w:r>
      <w:r>
        <w:rPr>
          <w:u w:val="single" w:color="000000"/>
        </w:rPr>
        <w:t>Управе за комуналне делатности, енергетику и саобраћај </w:t>
      </w:r>
      <w:r>
        <w:rPr/>
        <w:t>у износу од 898.214 хиљада </w:t>
      </w:r>
      <w:r>
        <w:rPr/>
        <w:t>динара за исказане обрачунате неплаћене расходе и издатке код: Управе у износу од </w:t>
      </w:r>
      <w:r>
        <w:rPr>
          <w:rFonts w:ascii="Times New Roman" w:hAnsi="Times New Roman"/>
        </w:rPr>
        <w:t>41</w:t>
      </w:r>
      <w:r>
        <w:rPr/>
        <w:t>9.732 хиљаде динара и ЈП Дирекција у износу од 478.482 хиљаде</w:t>
      </w:r>
      <w:r>
        <w:rPr>
          <w:spacing w:val="-14"/>
        </w:rPr>
        <w:t> </w:t>
      </w:r>
      <w:r>
        <w:rPr/>
        <w:t>динара.</w:t>
      </w:r>
    </w:p>
    <w:p>
      <w:pPr>
        <w:pStyle w:val="Heading1"/>
        <w:spacing w:line="240" w:lineRule="auto"/>
        <w:ind w:left="826" w:right="0"/>
        <w:jc w:val="left"/>
        <w:rPr>
          <w:b w:val="0"/>
          <w:bCs w:val="0"/>
        </w:rPr>
      </w:pPr>
      <w:r>
        <w:rPr/>
        <w:t>На основу ревизје узорковане документације утврђено</w:t>
      </w:r>
      <w:r>
        <w:rPr>
          <w:spacing w:val="-18"/>
        </w:rPr>
        <w:t> </w:t>
      </w:r>
      <w:r>
        <w:rPr/>
        <w:t>је:</w:t>
      </w:r>
      <w:r>
        <w:rPr>
          <w:b w:val="0"/>
        </w:rPr>
      </w:r>
    </w:p>
    <w:p>
      <w:pPr>
        <w:spacing w:after="0" w:line="240" w:lineRule="auto"/>
        <w:jc w:val="left"/>
        <w:sectPr>
          <w:pgSz w:w="12240" w:h="15840"/>
          <w:pgMar w:header="740" w:footer="1274" w:top="1280" w:bottom="1460" w:left="1300" w:right="1260"/>
        </w:sectPr>
      </w:pPr>
    </w:p>
    <w:p>
      <w:pPr>
        <w:pStyle w:val="ListParagraph"/>
        <w:numPr>
          <w:ilvl w:val="0"/>
          <w:numId w:val="9"/>
        </w:numPr>
        <w:tabs>
          <w:tab w:pos="303" w:val="left" w:leader="none"/>
        </w:tabs>
        <w:spacing w:line="237" w:lineRule="auto" w:before="126"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Ова позиција више је исказана код Управе за комуналне делатности, енергетику и саобраћај за износ од 157.156 хиљада динара услед неправилне консолидације исказаних обавеза на дан 31.12.2014.</w:t>
      </w:r>
      <w:r>
        <w:rPr>
          <w:rFonts w:ascii="Times New Roman" w:hAnsi="Times New Roman"/>
          <w:spacing w:val="-4"/>
          <w:sz w:val="24"/>
        </w:rPr>
        <w:t> </w:t>
      </w:r>
      <w:r>
        <w:rPr>
          <w:rFonts w:ascii="Times New Roman" w:hAnsi="Times New Roman"/>
          <w:sz w:val="24"/>
        </w:rPr>
        <w:t>године.</w:t>
      </w:r>
    </w:p>
    <w:p>
      <w:pPr>
        <w:pStyle w:val="ListParagraph"/>
        <w:numPr>
          <w:ilvl w:val="0"/>
          <w:numId w:val="9"/>
        </w:numPr>
        <w:tabs>
          <w:tab w:pos="303" w:val="left" w:leader="none"/>
        </w:tabs>
        <w:spacing w:line="274" w:lineRule="exact" w:before="24" w:after="0"/>
        <w:ind w:left="160" w:right="185" w:firstLine="0"/>
        <w:jc w:val="both"/>
        <w:rPr>
          <w:rFonts w:ascii="Times New Roman" w:hAnsi="Times New Roman" w:cs="Times New Roman" w:eastAsia="Times New Roman" w:hint="default"/>
          <w:sz w:val="24"/>
          <w:szCs w:val="24"/>
        </w:rPr>
      </w:pPr>
      <w:r>
        <w:rPr>
          <w:rFonts w:ascii="Times New Roman" w:hAnsi="Times New Roman"/>
          <w:sz w:val="24"/>
        </w:rPr>
        <w:t>Код Управе за комуналне делатности мање су исказани обрачунати неплаћени расходи  и издаци за износ од најмање 204.933 хиљаде динара за неевидентиране</w:t>
      </w:r>
      <w:r>
        <w:rPr>
          <w:rFonts w:ascii="Times New Roman" w:hAnsi="Times New Roman"/>
          <w:spacing w:val="-29"/>
          <w:sz w:val="24"/>
        </w:rPr>
        <w:t> </w:t>
      </w:r>
      <w:r>
        <w:rPr>
          <w:rFonts w:ascii="Times New Roman" w:hAnsi="Times New Roman"/>
          <w:sz w:val="24"/>
        </w:rPr>
        <w:t>обавезе.</w:t>
      </w:r>
    </w:p>
    <w:p>
      <w:pPr>
        <w:pStyle w:val="ListParagraph"/>
        <w:numPr>
          <w:ilvl w:val="0"/>
          <w:numId w:val="9"/>
        </w:numPr>
        <w:tabs>
          <w:tab w:pos="303" w:val="left" w:leader="none"/>
        </w:tabs>
        <w:spacing w:line="240" w:lineRule="auto" w:before="0"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Обрачунати неплаћени расходи и издаци мање су исказани код ЈП Дирекција у износу од 2.202 хиљаде динара, што је супротно члану 9. Уредбе о буџетском рачуноводству и Правилнику о стандардном класификационом оквиру и контном плану за буџетски систем</w:t>
      </w:r>
      <w:r>
        <w:rPr>
          <w:rFonts w:ascii="Times New Roman" w:hAnsi="Times New Roman"/>
          <w:sz w:val="24"/>
        </w:rPr>
        <w:t>.</w:t>
      </w:r>
    </w:p>
    <w:p>
      <w:pPr>
        <w:pStyle w:val="Heading2"/>
        <w:spacing w:line="240" w:lineRule="auto"/>
        <w:ind w:right="173" w:firstLine="578"/>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консолидацију података, примену одредби Уредбе о буџетском рачуноводству и Правилника о стандардном класификационом оквиру и контном плану за буџетски</w:t>
      </w:r>
      <w:r>
        <w:rPr>
          <w:i/>
          <w:spacing w:val="-20"/>
        </w:rPr>
        <w:t> </w:t>
      </w:r>
      <w:r>
        <w:rPr>
          <w:i/>
        </w:rPr>
        <w:t>систем</w:t>
      </w:r>
      <w:r>
        <w:rPr>
          <w:rFonts w:ascii="Times New Roman" w:hAnsi="Times New Roman"/>
          <w:i/>
        </w:rPr>
        <w:t>.</w:t>
      </w:r>
      <w:r>
        <w:rPr>
          <w:rFonts w:ascii="Times New Roman" w:hAnsi="Times New Roman"/>
          <w:b w:val="0"/>
          <w:i w:val="0"/>
        </w:rPr>
      </w:r>
    </w:p>
    <w:p>
      <w:pPr>
        <w:pStyle w:val="BodyText"/>
        <w:spacing w:line="240" w:lineRule="auto"/>
        <w:ind w:right="176"/>
        <w:jc w:val="both"/>
      </w:pPr>
      <w:r>
        <w:rPr>
          <w:rFonts w:ascii="Times New Roman" w:hAnsi="Times New Roman"/>
          <w:w w:val="99"/>
        </w:rPr>
      </w:r>
      <w:r>
        <w:rPr>
          <w:rFonts w:ascii="Times New Roman" w:hAnsi="Times New Roman"/>
          <w:u w:val="single" w:color="000000"/>
        </w:rPr>
        <w:t>-</w:t>
      </w:r>
      <w:r>
        <w:rPr>
          <w:u w:val="single" w:color="000000"/>
        </w:rPr>
        <w:t>Управе за привреду, одрживи развој и заштиту животне средине </w:t>
      </w:r>
      <w:r>
        <w:rPr/>
        <w:t>у износу од 80.610 </w:t>
      </w:r>
      <w:r>
        <w:rPr/>
        <w:t>хиљада динара за исказане обрачунате неплаћене расходе и издатке код: Управе у износу од 79.567 хиљада динара и Туристичке организације у износу од 1.043 хиљаде</w:t>
      </w:r>
      <w:r>
        <w:rPr>
          <w:spacing w:val="-25"/>
        </w:rPr>
        <w:t> </w:t>
      </w:r>
      <w:r>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37" w:lineRule="auto" w:before="1"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Ова позиција више је исказана код Управе за привреду, одрживи развој и заштиту животне средине за износ од 71 хиљаде динара услед неправилне консолидације исказаних</w:t>
      </w:r>
      <w:r>
        <w:rPr>
          <w:rFonts w:ascii="Times New Roman" w:hAnsi="Times New Roman"/>
          <w:spacing w:val="-7"/>
          <w:sz w:val="24"/>
        </w:rPr>
        <w:t> </w:t>
      </w:r>
      <w:r>
        <w:rPr>
          <w:rFonts w:ascii="Times New Roman" w:hAnsi="Times New Roman"/>
          <w:sz w:val="24"/>
        </w:rPr>
        <w:t>обавеза.</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Ова позиција мање је исказана код Управе за привреду, одрживи развој и заштиту животне средине за износ од најмање 146.547 хиљада динара за неевидентиране</w:t>
      </w:r>
      <w:r>
        <w:rPr>
          <w:rFonts w:ascii="Times New Roman" w:hAnsi="Times New Roman"/>
          <w:spacing w:val="-26"/>
          <w:sz w:val="24"/>
        </w:rPr>
        <w:t> </w:t>
      </w:r>
      <w:r>
        <w:rPr>
          <w:rFonts w:ascii="Times New Roman" w:hAnsi="Times New Roman"/>
          <w:sz w:val="24"/>
        </w:rPr>
        <w:t>обавезе.</w:t>
      </w:r>
    </w:p>
    <w:p>
      <w:pPr>
        <w:pStyle w:val="ListParagraph"/>
        <w:numPr>
          <w:ilvl w:val="0"/>
          <w:numId w:val="9"/>
        </w:numPr>
        <w:tabs>
          <w:tab w:pos="303" w:val="left" w:leader="none"/>
        </w:tabs>
        <w:spacing w:line="274" w:lineRule="exact" w:before="24" w:after="0"/>
        <w:ind w:left="160" w:right="185" w:firstLine="0"/>
        <w:jc w:val="both"/>
        <w:rPr>
          <w:rFonts w:ascii="Times New Roman" w:hAnsi="Times New Roman" w:cs="Times New Roman" w:eastAsia="Times New Roman" w:hint="default"/>
          <w:sz w:val="24"/>
          <w:szCs w:val="24"/>
        </w:rPr>
      </w:pPr>
      <w:r>
        <w:rPr>
          <w:rFonts w:ascii="Times New Roman" w:hAnsi="Times New Roman"/>
          <w:sz w:val="24"/>
        </w:rPr>
        <w:t>Ова позиција мање је исказана код Туристичке организације за износ од две хиљаде динара за неевидентиране неисплаћене путне</w:t>
      </w:r>
      <w:r>
        <w:rPr>
          <w:rFonts w:ascii="Times New Roman" w:hAnsi="Times New Roman"/>
          <w:spacing w:val="-20"/>
          <w:sz w:val="24"/>
        </w:rPr>
        <w:t> </w:t>
      </w:r>
      <w:r>
        <w:rPr>
          <w:rFonts w:ascii="Times New Roman" w:hAnsi="Times New Roman"/>
          <w:sz w:val="24"/>
        </w:rPr>
        <w:t>налоге.</w:t>
      </w:r>
    </w:p>
    <w:p>
      <w:pPr>
        <w:pStyle w:val="ListParagraph"/>
        <w:numPr>
          <w:ilvl w:val="0"/>
          <w:numId w:val="9"/>
        </w:numPr>
        <w:tabs>
          <w:tab w:pos="303" w:val="left" w:leader="none"/>
        </w:tabs>
        <w:spacing w:line="274" w:lineRule="exact" w:before="21"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Код Управе за привреду, одрживи развој и заштиту животне средине мање су исказани обрачунати ненаплаћени приходи и примања у износу од 6.283 хиљаде</w:t>
      </w:r>
      <w:r>
        <w:rPr>
          <w:rFonts w:ascii="Times New Roman" w:hAnsi="Times New Roman"/>
          <w:spacing w:val="-32"/>
          <w:sz w:val="24"/>
        </w:rPr>
        <w:t> </w:t>
      </w:r>
      <w:r>
        <w:rPr>
          <w:rFonts w:ascii="Times New Roman" w:hAnsi="Times New Roman"/>
          <w:sz w:val="24"/>
        </w:rPr>
        <w:t>динара.</w:t>
      </w:r>
    </w:p>
    <w:p>
      <w:pPr>
        <w:pStyle w:val="Heading2"/>
        <w:spacing w:line="240" w:lineRule="auto" w:before="2"/>
        <w:ind w:right="172" w:firstLine="578"/>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консолидацију, примену одредби Уредбе о буџетском рачуноводству и Правилника о стандардном класификационом оквиру и контном плану за буџетски</w:t>
      </w:r>
      <w:r>
        <w:rPr>
          <w:i/>
          <w:spacing w:val="-11"/>
        </w:rPr>
        <w:t> </w:t>
      </w:r>
      <w:r>
        <w:rPr>
          <w:i/>
        </w:rPr>
        <w:t>систем</w:t>
      </w:r>
      <w:r>
        <w:rPr>
          <w:rFonts w:ascii="Times New Roman" w:hAnsi="Times New Roman"/>
          <w:i/>
        </w:rPr>
        <w:t>.</w:t>
      </w:r>
      <w:r>
        <w:rPr>
          <w:rFonts w:ascii="Times New Roman" w:hAnsi="Times New Roman"/>
          <w:b w:val="0"/>
          <w:i w:val="0"/>
        </w:rPr>
      </w:r>
    </w:p>
    <w:p>
      <w:pPr>
        <w:pStyle w:val="ListParagraph"/>
        <w:numPr>
          <w:ilvl w:val="0"/>
          <w:numId w:val="83"/>
        </w:numPr>
        <w:tabs>
          <w:tab w:pos="303" w:val="left" w:leader="none"/>
        </w:tabs>
        <w:spacing w:line="240" w:lineRule="auto" w:before="0" w:after="0"/>
        <w:ind w:left="160" w:right="181"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пољопривреду и развој села </w:t>
      </w:r>
      <w:r>
        <w:rPr>
          <w:rFonts w:ascii="Times New Roman" w:hAnsi="Times New Roman"/>
          <w:sz w:val="24"/>
        </w:rPr>
        <w:t>у износу од 49.042 хиљаде динара, за исказано </w:t>
      </w:r>
      <w:r>
        <w:rPr>
          <w:rFonts w:ascii="Times New Roman" w:hAnsi="Times New Roman"/>
          <w:sz w:val="24"/>
        </w:rPr>
        <w:t>стање код</w:t>
      </w:r>
      <w:r>
        <w:rPr>
          <w:rFonts w:ascii="Times New Roman" w:hAnsi="Times New Roman"/>
          <w:spacing w:val="-7"/>
          <w:sz w:val="24"/>
        </w:rPr>
        <w:t> </w:t>
      </w:r>
      <w:r>
        <w:rPr>
          <w:rFonts w:ascii="Times New Roman" w:hAnsi="Times New Roman"/>
          <w:sz w:val="24"/>
        </w:rPr>
        <w:t>Управе.</w:t>
      </w:r>
    </w:p>
    <w:p>
      <w:pPr>
        <w:pStyle w:val="Heading1"/>
        <w:spacing w:line="275" w:lineRule="exact"/>
        <w:ind w:left="738"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83" w:firstLine="0"/>
        <w:jc w:val="both"/>
        <w:rPr>
          <w:rFonts w:ascii="Times New Roman" w:hAnsi="Times New Roman" w:cs="Times New Roman" w:eastAsia="Times New Roman" w:hint="default"/>
          <w:sz w:val="24"/>
          <w:szCs w:val="24"/>
        </w:rPr>
      </w:pPr>
      <w:r>
        <w:rPr>
          <w:rFonts w:ascii="Times New Roman" w:hAnsi="Times New Roman"/>
          <w:sz w:val="24"/>
        </w:rPr>
        <w:t>Ова позиција више је исказана код Управе за пољопривреду и развој села у износу од 101 хиљаде динара услед неправилне консолидације исказаних обавеза на дан 31.12.2014. године.</w:t>
      </w:r>
    </w:p>
    <w:p>
      <w:pPr>
        <w:pStyle w:val="ListParagraph"/>
        <w:numPr>
          <w:ilvl w:val="0"/>
          <w:numId w:val="9"/>
        </w:numPr>
        <w:tabs>
          <w:tab w:pos="303" w:val="left" w:leader="none"/>
        </w:tabs>
        <w:spacing w:line="274" w:lineRule="exact" w:before="24" w:after="0"/>
        <w:ind w:left="160" w:right="188" w:firstLine="0"/>
        <w:jc w:val="both"/>
        <w:rPr>
          <w:rFonts w:ascii="Times New Roman" w:hAnsi="Times New Roman" w:cs="Times New Roman" w:eastAsia="Times New Roman" w:hint="default"/>
          <w:sz w:val="24"/>
          <w:szCs w:val="24"/>
        </w:rPr>
      </w:pPr>
      <w:r>
        <w:rPr>
          <w:rFonts w:ascii="Times New Roman" w:hAnsi="Times New Roman"/>
          <w:sz w:val="24"/>
        </w:rPr>
        <w:t>Ова позиција мање је исказана код Управе за пољопривреду и развој села у износу од најмање 25.040 хиљада динара за неевидентиране</w:t>
      </w:r>
      <w:r>
        <w:rPr>
          <w:rFonts w:ascii="Times New Roman" w:hAnsi="Times New Roman"/>
          <w:spacing w:val="-17"/>
          <w:sz w:val="24"/>
        </w:rPr>
        <w:t> </w:t>
      </w:r>
      <w:r>
        <w:rPr>
          <w:rFonts w:ascii="Times New Roman" w:hAnsi="Times New Roman"/>
          <w:sz w:val="24"/>
        </w:rPr>
        <w:t>обавезе.</w:t>
      </w:r>
    </w:p>
    <w:p>
      <w:pPr>
        <w:pStyle w:val="ListParagraph"/>
        <w:numPr>
          <w:ilvl w:val="0"/>
          <w:numId w:val="9"/>
        </w:numPr>
        <w:tabs>
          <w:tab w:pos="303" w:val="left" w:leader="none"/>
        </w:tabs>
        <w:spacing w:line="237" w:lineRule="auto" w:before="1" w:after="0"/>
        <w:ind w:left="160" w:right="184" w:firstLine="0"/>
        <w:jc w:val="both"/>
        <w:rPr>
          <w:rFonts w:ascii="Times New Roman" w:hAnsi="Times New Roman" w:cs="Times New Roman" w:eastAsia="Times New Roman" w:hint="default"/>
          <w:sz w:val="24"/>
          <w:szCs w:val="24"/>
        </w:rPr>
      </w:pPr>
      <w:r>
        <w:rPr>
          <w:rFonts w:ascii="Times New Roman" w:hAnsi="Times New Roman"/>
          <w:sz w:val="24"/>
        </w:rPr>
        <w:t>Ова позиција исказана је у мањем износу од 268 хиљада динара код Фонда за развој и самофинансирање на име обавезе за плату и социјалне доприносе за децембар 2014. године.</w:t>
      </w:r>
    </w:p>
    <w:p>
      <w:pPr>
        <w:pStyle w:val="Heading2"/>
        <w:spacing w:line="240" w:lineRule="auto"/>
        <w:ind w:right="173"/>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консолидацију података, примену одредби Уредбе о буџетском рачуноводству и Правилника о стандардном класификационом оквиру и контном плану за буџетски</w:t>
      </w:r>
      <w:r>
        <w:rPr>
          <w:i/>
          <w:spacing w:val="-20"/>
        </w:rPr>
        <w:t> </w:t>
      </w:r>
      <w:r>
        <w:rPr>
          <w:i/>
        </w:rPr>
        <w:t>систем</w:t>
      </w:r>
      <w:r>
        <w:rPr>
          <w:rFonts w:ascii="Times New Roman" w:hAnsi="Times New Roman"/>
          <w:i/>
        </w:rPr>
        <w:t>.</w:t>
      </w:r>
      <w:r>
        <w:rPr>
          <w:rFonts w:ascii="Times New Roman" w:hAnsi="Times New Roman"/>
          <w:b w:val="0"/>
          <w:i w:val="0"/>
        </w:rPr>
      </w:r>
    </w:p>
    <w:p>
      <w:pPr>
        <w:pStyle w:val="BodyText"/>
        <w:spacing w:line="240" w:lineRule="auto"/>
        <w:ind w:right="177"/>
        <w:jc w:val="both"/>
        <w:rPr>
          <w:rFonts w:ascii="Times New Roman" w:hAnsi="Times New Roman" w:cs="Times New Roman" w:eastAsia="Times New Roman" w:hint="default"/>
        </w:rPr>
      </w:pPr>
      <w:r>
        <w:rPr>
          <w:rFonts w:ascii="Times New Roman" w:hAnsi="Times New Roman"/>
          <w:w w:val="99"/>
        </w:rPr>
      </w:r>
      <w:r>
        <w:rPr>
          <w:rFonts w:ascii="Times New Roman" w:hAnsi="Times New Roman"/>
          <w:u w:val="single" w:color="000000"/>
        </w:rPr>
        <w:t>-</w:t>
      </w:r>
      <w:r>
        <w:rPr>
          <w:u w:val="single" w:color="000000"/>
        </w:rPr>
        <w:t>Управе за планирање и изградњу </w:t>
      </w:r>
      <w:r>
        <w:rPr/>
        <w:t>у износу од 32.716 хиљада динара за исказане </w:t>
      </w:r>
      <w:r>
        <w:rPr/>
        <w:t>обрачунате неплаћене расходе и издатке код: Управе за планирање и изградњу у износу од 19.298 хиљада динара и ЈП ГСА у износу од 13.418 хиљада</w:t>
      </w:r>
      <w:r>
        <w:rPr>
          <w:spacing w:val="-10"/>
        </w:rPr>
        <w:t> </w:t>
      </w:r>
      <w:r>
        <w:rPr/>
        <w:t>динара</w:t>
      </w:r>
      <w:r>
        <w:rPr>
          <w:rFonts w:ascii="Times New Roman" w:hAnsi="Times New Roman"/>
        </w:rPr>
        <w:t>.</w:t>
      </w:r>
    </w:p>
    <w:p>
      <w:pPr>
        <w:pStyle w:val="Heading1"/>
        <w:spacing w:line="240" w:lineRule="auto"/>
        <w:ind w:right="141"/>
        <w:jc w:val="left"/>
        <w:rPr>
          <w:rFonts w:ascii="Times New Roman" w:hAnsi="Times New Roman" w:cs="Times New Roman" w:eastAsia="Times New Roman" w:hint="default"/>
          <w:b w:val="0"/>
          <w:bCs w:val="0"/>
        </w:rPr>
      </w:pPr>
      <w:r>
        <w:rPr>
          <w:sz w:val="22"/>
        </w:rPr>
        <w:t>На </w:t>
      </w:r>
      <w:r>
        <w:rPr/>
        <w:t>основу ревизије узорковане документације утврђено</w:t>
      </w:r>
      <w:r>
        <w:rPr>
          <w:spacing w:val="-18"/>
        </w:rPr>
        <w:t> </w:t>
      </w:r>
      <w:r>
        <w:rPr/>
        <w:t>је</w:t>
      </w:r>
      <w:r>
        <w:rPr>
          <w:rFonts w:ascii="Times New Roman" w:hAnsi="Times New Roman"/>
        </w:rPr>
        <w:t>:</w:t>
      </w:r>
      <w:r>
        <w:rPr>
          <w:rFonts w:ascii="Times New Roman" w:hAnsi="Times New Roman"/>
          <w:b w:val="0"/>
        </w:rPr>
      </w:r>
    </w:p>
    <w:p>
      <w:pPr>
        <w:spacing w:after="0" w:line="240" w:lineRule="auto"/>
        <w:jc w:val="left"/>
        <w:rPr>
          <w:rFonts w:ascii="Times New Roman" w:hAnsi="Times New Roman" w:cs="Times New Roman" w:eastAsia="Times New Roman" w:hint="default"/>
        </w:rPr>
        <w:sectPr>
          <w:pgSz w:w="12240" w:h="15840"/>
          <w:pgMar w:header="740" w:footer="1274" w:top="1280" w:bottom="1460" w:left="1400" w:right="1260"/>
        </w:sectPr>
      </w:pPr>
    </w:p>
    <w:p>
      <w:pPr>
        <w:pStyle w:val="ListParagraph"/>
        <w:numPr>
          <w:ilvl w:val="0"/>
          <w:numId w:val="9"/>
        </w:numPr>
        <w:tabs>
          <w:tab w:pos="303" w:val="left" w:leader="none"/>
        </w:tabs>
        <w:spacing w:line="237" w:lineRule="auto" w:before="126"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Ова позиција више је исказана код Управе за планирање и изградњу у износу од 5.216 хиљада динара услед неправилне консолидације исказаних обавеза на дан 31.12.2014. године.</w:t>
      </w:r>
    </w:p>
    <w:p>
      <w:pPr>
        <w:pStyle w:val="ListParagraph"/>
        <w:numPr>
          <w:ilvl w:val="0"/>
          <w:numId w:val="9"/>
        </w:numPr>
        <w:tabs>
          <w:tab w:pos="303"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Износ исказан на овој билансној позицији код ЈП ГСА није усаглашен са обавезама исказаним у пасиви биланса стања на дан 31.12.2014. године, који у поступку ревизије нисмо могли да утврдимо, што је супротно члану 9. Уредбе о буџетском рачуноводству и Правилнику о стандардном класификационом оквиру и контном плану за буџетски систем.</w:t>
      </w:r>
    </w:p>
    <w:p>
      <w:pPr>
        <w:pStyle w:val="ListParagraph"/>
        <w:numPr>
          <w:ilvl w:val="0"/>
          <w:numId w:val="9"/>
        </w:numPr>
        <w:tabs>
          <w:tab w:pos="303" w:val="left" w:leader="none"/>
        </w:tabs>
        <w:spacing w:line="274" w:lineRule="exact" w:before="24"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Ова позиција мање је исказана код ЈП ГСА за износ од најмање 1.370 хиљада динара за неевидентиране</w:t>
      </w:r>
      <w:r>
        <w:rPr>
          <w:rFonts w:ascii="Times New Roman" w:hAnsi="Times New Roman"/>
          <w:spacing w:val="-9"/>
          <w:sz w:val="24"/>
        </w:rPr>
        <w:t> </w:t>
      </w:r>
      <w:r>
        <w:rPr>
          <w:rFonts w:ascii="Times New Roman" w:hAnsi="Times New Roman"/>
          <w:sz w:val="24"/>
        </w:rPr>
        <w:t>обавезе.</w:t>
      </w:r>
    </w:p>
    <w:p>
      <w:pPr>
        <w:pStyle w:val="Heading2"/>
        <w:spacing w:line="240" w:lineRule="auto" w:before="2"/>
        <w:ind w:right="173"/>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консолидацију података, примену одредби Уредбе о буџетском рачуноводсву и Правилника о стандардном класификационом оквиру и контном плану за буџетски</w:t>
      </w:r>
      <w:r>
        <w:rPr>
          <w:i/>
          <w:spacing w:val="-20"/>
        </w:rPr>
        <w:t> </w:t>
      </w:r>
      <w:r>
        <w:rPr>
          <w:i/>
        </w:rPr>
        <w:t>систем</w:t>
      </w:r>
      <w:r>
        <w:rPr>
          <w:rFonts w:ascii="Times New Roman" w:hAnsi="Times New Roman"/>
          <w:i/>
        </w:rPr>
        <w:t>.</w:t>
      </w:r>
      <w:r>
        <w:rPr>
          <w:rFonts w:ascii="Times New Roman" w:hAnsi="Times New Roman"/>
          <w:b w:val="0"/>
          <w:i w:val="0"/>
        </w:rPr>
      </w:r>
    </w:p>
    <w:p>
      <w:pPr>
        <w:pStyle w:val="ListParagraph"/>
        <w:numPr>
          <w:ilvl w:val="0"/>
          <w:numId w:val="83"/>
        </w:numPr>
        <w:tabs>
          <w:tab w:pos="303"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имовину и инспекцијске послове </w:t>
      </w:r>
      <w:r>
        <w:rPr>
          <w:rFonts w:ascii="Times New Roman" w:hAnsi="Times New Roman"/>
          <w:sz w:val="24"/>
        </w:rPr>
        <w:t>у износу од 87.420 хиљада динара за </w:t>
      </w:r>
      <w:r>
        <w:rPr>
          <w:rFonts w:ascii="Times New Roman" w:hAnsi="Times New Roman"/>
          <w:sz w:val="24"/>
        </w:rPr>
        <w:t>неплаћене обавезе према добављачима и накнаде за изузето</w:t>
      </w:r>
      <w:r>
        <w:rPr>
          <w:rFonts w:ascii="Times New Roman" w:hAnsi="Times New Roman"/>
          <w:spacing w:val="-27"/>
          <w:sz w:val="24"/>
        </w:rPr>
        <w:t> </w:t>
      </w:r>
      <w:r>
        <w:rPr>
          <w:rFonts w:ascii="Times New Roman" w:hAnsi="Times New Roman"/>
          <w:sz w:val="24"/>
        </w:rPr>
        <w:t>земљиште.</w:t>
      </w:r>
    </w:p>
    <w:p>
      <w:pPr>
        <w:spacing w:before="0"/>
        <w:ind w:left="160" w:right="173"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је ова позиција мање исказана код Управе за имовину и инспекцијске послове у износу од најмање 364.622 хиљаде динара за неевидентиране</w:t>
      </w:r>
      <w:r>
        <w:rPr>
          <w:rFonts w:ascii="Times New Roman" w:hAnsi="Times New Roman"/>
          <w:spacing w:val="-13"/>
          <w:sz w:val="24"/>
        </w:rPr>
        <w:t> </w:t>
      </w:r>
      <w:r>
        <w:rPr>
          <w:rFonts w:ascii="Times New Roman" w:hAnsi="Times New Roman"/>
          <w:sz w:val="24"/>
        </w:rPr>
        <w:t>обавезе.</w:t>
      </w:r>
    </w:p>
    <w:p>
      <w:pPr>
        <w:pStyle w:val="Heading2"/>
        <w:spacing w:line="240" w:lineRule="auto"/>
        <w:ind w:right="173"/>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ListParagraph"/>
        <w:numPr>
          <w:ilvl w:val="0"/>
          <w:numId w:val="83"/>
        </w:numPr>
        <w:tabs>
          <w:tab w:pos="303"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Службе за одржавање и информатичко комуникационе технологије </w:t>
      </w:r>
      <w:r>
        <w:rPr>
          <w:rFonts w:ascii="Times New Roman" w:hAnsi="Times New Roman"/>
          <w:sz w:val="24"/>
        </w:rPr>
        <w:t>у износу од 53.592 </w:t>
      </w:r>
      <w:r>
        <w:rPr>
          <w:rFonts w:ascii="Times New Roman" w:hAnsi="Times New Roman"/>
          <w:sz w:val="24"/>
        </w:rPr>
        <w:t>хиљаде</w:t>
      </w:r>
      <w:r>
        <w:rPr>
          <w:rFonts w:ascii="Times New Roman" w:hAnsi="Times New Roman"/>
          <w:spacing w:val="-3"/>
          <w:sz w:val="24"/>
        </w:rPr>
        <w:t> </w:t>
      </w:r>
      <w:r>
        <w:rPr>
          <w:rFonts w:ascii="Times New Roman" w:hAnsi="Times New Roman"/>
          <w:sz w:val="24"/>
        </w:rPr>
        <w:t>динара.</w:t>
      </w:r>
    </w:p>
    <w:p>
      <w:pPr>
        <w:spacing w:before="0"/>
        <w:ind w:left="160" w:right="173" w:firstLine="566"/>
        <w:jc w:val="both"/>
        <w:rPr>
          <w:rFonts w:ascii="Times New Roman" w:hAnsi="Times New Roman" w:cs="Times New Roman" w:eastAsia="Times New Roman" w:hint="default"/>
          <w:sz w:val="24"/>
          <w:szCs w:val="24"/>
        </w:rPr>
      </w:pPr>
      <w:r>
        <w:rPr>
          <w:rFonts w:ascii="Times New Roman" w:hAnsi="Times New Roman"/>
          <w:b/>
          <w:sz w:val="22"/>
        </w:rPr>
        <w:t>На </w:t>
      </w:r>
      <w:r>
        <w:rPr>
          <w:rFonts w:ascii="Times New Roman" w:hAnsi="Times New Roman"/>
          <w:b/>
          <w:sz w:val="24"/>
        </w:rPr>
        <w:t>основу ревизије узорковане документације утврђено је </w:t>
      </w:r>
      <w:r>
        <w:rPr>
          <w:rFonts w:ascii="Times New Roman" w:hAnsi="Times New Roman"/>
          <w:sz w:val="24"/>
        </w:rPr>
        <w:t>да је ова позиција мање исказана код Службе за одржавање и ИКТ у износу од најмање 10.644 хиљаде динара за неевидентиране</w:t>
      </w:r>
      <w:r>
        <w:rPr>
          <w:rFonts w:ascii="Times New Roman" w:hAnsi="Times New Roman"/>
          <w:spacing w:val="-14"/>
          <w:sz w:val="24"/>
        </w:rPr>
        <w:t> </w:t>
      </w:r>
      <w:r>
        <w:rPr>
          <w:rFonts w:ascii="Times New Roman" w:hAnsi="Times New Roman"/>
          <w:sz w:val="24"/>
        </w:rPr>
        <w:t>обавезе.</w:t>
      </w:r>
    </w:p>
    <w:p>
      <w:pPr>
        <w:pStyle w:val="Heading2"/>
        <w:spacing w:line="240" w:lineRule="auto"/>
        <w:ind w:right="172"/>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i/>
        </w:rPr>
        <w:t>.</w:t>
      </w:r>
      <w:r>
        <w:rPr>
          <w:rFonts w:ascii="Times New Roman" w:hAnsi="Times New Roman"/>
          <w:b w:val="0"/>
          <w:i w:val="0"/>
        </w:rPr>
      </w:r>
    </w:p>
    <w:p>
      <w:pPr>
        <w:pStyle w:val="ListParagraph"/>
        <w:numPr>
          <w:ilvl w:val="0"/>
          <w:numId w:val="83"/>
        </w:numPr>
        <w:tabs>
          <w:tab w:pos="303" w:val="left" w:leader="none"/>
        </w:tabs>
        <w:spacing w:line="271"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Заштитника грађана </w:t>
      </w:r>
      <w:r>
        <w:rPr>
          <w:rFonts w:ascii="Times New Roman" w:hAnsi="Times New Roman"/>
          <w:sz w:val="24"/>
        </w:rPr>
        <w:t>у износу од 77 хиљада</w:t>
      </w:r>
      <w:r>
        <w:rPr>
          <w:rFonts w:ascii="Times New Roman" w:hAnsi="Times New Roman"/>
          <w:spacing w:val="-18"/>
          <w:sz w:val="24"/>
        </w:rPr>
        <w:t> </w:t>
      </w:r>
      <w:r>
        <w:rPr>
          <w:rFonts w:ascii="Times New Roman" w:hAnsi="Times New Roman"/>
          <w:sz w:val="24"/>
        </w:rPr>
        <w:t>динара.</w:t>
      </w:r>
    </w:p>
    <w:p>
      <w:pPr>
        <w:spacing w:before="0"/>
        <w:ind w:left="160" w:right="173" w:firstLine="578"/>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је ова позиција мање исказана у билансу стања Заштитника грађана у износу од најмање 326 хиљада динара за неевидентиране</w:t>
      </w:r>
      <w:r>
        <w:rPr>
          <w:rFonts w:ascii="Times New Roman" w:hAnsi="Times New Roman"/>
          <w:spacing w:val="-14"/>
          <w:sz w:val="24"/>
        </w:rPr>
        <w:t> </w:t>
      </w:r>
      <w:r>
        <w:rPr>
          <w:rFonts w:ascii="Times New Roman" w:hAnsi="Times New Roman"/>
          <w:sz w:val="24"/>
        </w:rPr>
        <w:t>обавезе.</w:t>
      </w:r>
    </w:p>
    <w:p>
      <w:pPr>
        <w:pStyle w:val="Heading2"/>
        <w:spacing w:line="240" w:lineRule="auto"/>
        <w:ind w:right="174"/>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Правилнику о стандатдном класификационом оквиру  и контном плану за буџетски</w:t>
      </w:r>
      <w:r>
        <w:rPr>
          <w:i/>
          <w:spacing w:val="-9"/>
        </w:rPr>
        <w:t> </w:t>
      </w:r>
      <w:r>
        <w:rPr>
          <w:i/>
        </w:rPr>
        <w:t>систем.</w:t>
      </w:r>
      <w:r>
        <w:rPr>
          <w:b w:val="0"/>
          <w:i w:val="0"/>
        </w:rPr>
      </w:r>
    </w:p>
    <w:p>
      <w:pPr>
        <w:pStyle w:val="ListParagraph"/>
        <w:numPr>
          <w:ilvl w:val="0"/>
          <w:numId w:val="83"/>
        </w:numPr>
        <w:tabs>
          <w:tab w:pos="303" w:val="left" w:leader="none"/>
        </w:tabs>
        <w:spacing w:line="271"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Градског јавног правобранилаштва </w:t>
      </w:r>
      <w:r>
        <w:rPr>
          <w:rFonts w:ascii="Times New Roman" w:hAnsi="Times New Roman"/>
          <w:sz w:val="24"/>
        </w:rPr>
        <w:t>у износу од 312 хиљада</w:t>
      </w:r>
      <w:r>
        <w:rPr>
          <w:rFonts w:ascii="Times New Roman" w:hAnsi="Times New Roman"/>
          <w:spacing w:val="-14"/>
          <w:sz w:val="24"/>
        </w:rPr>
        <w:t> </w:t>
      </w:r>
      <w:r>
        <w:rPr>
          <w:rFonts w:ascii="Times New Roman" w:hAnsi="Times New Roman"/>
          <w:sz w:val="24"/>
        </w:rPr>
        <w:t>динара.</w:t>
      </w:r>
    </w:p>
    <w:p>
      <w:pPr>
        <w:spacing w:before="0"/>
        <w:ind w:left="160" w:right="173"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је ова позиција мање исказана у износу од најмање 1.505 хиљада динара за неевидентиране</w:t>
      </w:r>
      <w:r>
        <w:rPr>
          <w:rFonts w:ascii="Times New Roman" w:hAnsi="Times New Roman"/>
          <w:spacing w:val="-23"/>
          <w:sz w:val="24"/>
        </w:rPr>
        <w:t> </w:t>
      </w:r>
      <w:r>
        <w:rPr>
          <w:rFonts w:ascii="Times New Roman" w:hAnsi="Times New Roman"/>
          <w:sz w:val="24"/>
        </w:rPr>
        <w:t>обавезе.</w:t>
      </w:r>
    </w:p>
    <w:p>
      <w:pPr>
        <w:pStyle w:val="Heading2"/>
        <w:spacing w:line="240" w:lineRule="auto"/>
        <w:ind w:right="181"/>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Правилнику о стандатдном класификационом оквиру  и контном плану за буџетски</w:t>
      </w:r>
      <w:r>
        <w:rPr>
          <w:i/>
          <w:spacing w:val="-5"/>
        </w:rPr>
        <w:t> </w:t>
      </w:r>
      <w:r>
        <w:rPr>
          <w:i/>
        </w:rPr>
        <w:t>систем</w:t>
      </w:r>
      <w:r>
        <w:rPr>
          <w:rFonts w:ascii="Times New Roman" w:hAnsi="Times New Roman"/>
          <w:i/>
        </w:rPr>
        <w:t>.</w:t>
      </w:r>
      <w:r>
        <w:rPr>
          <w:rFonts w:ascii="Times New Roman" w:hAnsi="Times New Roman"/>
          <w:b w:val="0"/>
          <w:i w:val="0"/>
        </w:rPr>
      </w:r>
    </w:p>
    <w:p>
      <w:pPr>
        <w:pStyle w:val="ListParagraph"/>
        <w:numPr>
          <w:ilvl w:val="0"/>
          <w:numId w:val="83"/>
        </w:numPr>
        <w:tabs>
          <w:tab w:pos="303" w:val="left" w:leader="none"/>
        </w:tabs>
        <w:spacing w:line="271"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у </w:t>
      </w:r>
      <w:r>
        <w:rPr>
          <w:rFonts w:ascii="Times New Roman" w:hAnsi="Times New Roman"/>
          <w:sz w:val="24"/>
        </w:rPr>
      </w:r>
      <w:r>
        <w:rPr>
          <w:rFonts w:ascii="Times New Roman" w:hAnsi="Times New Roman"/>
          <w:sz w:val="24"/>
          <w:u w:val="single" w:color="000000"/>
        </w:rPr>
      </w:r>
      <w:r>
        <w:rPr>
          <w:rFonts w:ascii="Times New Roman" w:hAnsi="Times New Roman"/>
          <w:sz w:val="24"/>
          <w:u w:val="single" w:color="000000"/>
        </w:rPr>
        <w:t>Буџету града Ниша </w:t>
      </w:r>
      <w:r>
        <w:rPr>
          <w:rFonts w:ascii="Times New Roman" w:hAnsi="Times New Roman"/>
          <w:sz w:val="24"/>
        </w:rPr>
        <w:t>исказан је износ од 43.978 хиљада</w:t>
      </w:r>
      <w:r>
        <w:rPr>
          <w:rFonts w:ascii="Times New Roman" w:hAnsi="Times New Roman"/>
          <w:spacing w:val="-14"/>
          <w:sz w:val="24"/>
        </w:rPr>
        <w:t> </w:t>
      </w:r>
      <w:r>
        <w:rPr>
          <w:rFonts w:ascii="Times New Roman" w:hAnsi="Times New Roman"/>
          <w:sz w:val="24"/>
        </w:rPr>
        <w:t>динара.</w:t>
      </w:r>
    </w:p>
    <w:p>
      <w:pPr>
        <w:spacing w:before="0"/>
        <w:ind w:left="160" w:right="176"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је неправилно исказан  износ  од  43.978  хиљада  динара  у биланс  стања  који  није везан  ни  за</w:t>
      </w:r>
      <w:r>
        <w:rPr>
          <w:rFonts w:ascii="Times New Roman" w:hAnsi="Times New Roman"/>
          <w:spacing w:val="25"/>
          <w:sz w:val="24"/>
        </w:rPr>
        <w:t> </w:t>
      </w:r>
      <w:r>
        <w:rPr>
          <w:rFonts w:ascii="Times New Roman" w:hAnsi="Times New Roman"/>
          <w:sz w:val="24"/>
        </w:rPr>
        <w:t>једног</w:t>
      </w:r>
    </w:p>
    <w:p>
      <w:pPr>
        <w:spacing w:after="0"/>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86"/>
        <w:jc w:val="both"/>
      </w:pPr>
      <w:r>
        <w:rPr/>
        <w:t>корисника буџета уместо у биланс стања Управе за финансије, изворне приходе локалне самоуправе и јавне</w:t>
      </w:r>
      <w:r>
        <w:rPr>
          <w:spacing w:val="-9"/>
        </w:rPr>
        <w:t> </w:t>
      </w:r>
      <w:r>
        <w:rPr/>
        <w:t>набавке.</w:t>
      </w:r>
    </w:p>
    <w:p>
      <w:pPr>
        <w:pStyle w:val="Heading2"/>
        <w:spacing w:line="240" w:lineRule="auto"/>
        <w:ind w:right="181"/>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spacing w:line="240" w:lineRule="auto" w:before="0"/>
        <w:ind w:left="160" w:right="175" w:firstLine="566"/>
        <w:jc w:val="both"/>
        <w:rPr>
          <w:rFonts w:ascii="Times New Roman" w:hAnsi="Times New Roman" w:cs="Times New Roman" w:eastAsia="Times New Roman" w:hint="default"/>
          <w:sz w:val="24"/>
          <w:szCs w:val="24"/>
        </w:rPr>
      </w:pPr>
      <w:r>
        <w:rPr>
          <w:rFonts w:ascii="Times New Roman" w:hAnsi="Times New Roman"/>
          <w:b/>
          <w:sz w:val="24"/>
        </w:rPr>
        <w:t>Остала активна временска разграничења, конто 131300 </w:t>
      </w:r>
      <w:r>
        <w:rPr>
          <w:rFonts w:ascii="Times New Roman" w:hAnsi="Times New Roman"/>
          <w:sz w:val="24"/>
        </w:rPr>
        <w:t>- </w:t>
      </w:r>
      <w:r>
        <w:rPr>
          <w:rFonts w:ascii="Times New Roman" w:hAnsi="Times New Roman"/>
          <w:sz w:val="24"/>
        </w:rPr>
        <w:t>Исказано је стање у износу од 8.974 хиљаде динара и то</w:t>
      </w:r>
      <w:r>
        <w:rPr>
          <w:rFonts w:ascii="Times New Roman" w:hAnsi="Times New Roman"/>
          <w:spacing w:val="-9"/>
          <w:sz w:val="24"/>
        </w:rPr>
        <w:t> </w:t>
      </w:r>
      <w:r>
        <w:rPr>
          <w:rFonts w:ascii="Times New Roman" w:hAnsi="Times New Roman"/>
          <w:sz w:val="24"/>
        </w:rPr>
        <w:t>код:</w:t>
      </w:r>
    </w:p>
    <w:p>
      <w:pPr>
        <w:pStyle w:val="ListParagraph"/>
        <w:numPr>
          <w:ilvl w:val="0"/>
          <w:numId w:val="84"/>
        </w:numPr>
        <w:tabs>
          <w:tab w:pos="444" w:val="left" w:leader="none"/>
        </w:tabs>
        <w:spacing w:line="240" w:lineRule="auto" w:before="0" w:after="0"/>
        <w:ind w:left="160" w:right="178"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културу </w:t>
      </w:r>
      <w:r>
        <w:rPr>
          <w:rFonts w:ascii="Times New Roman" w:hAnsi="Times New Roman"/>
          <w:sz w:val="24"/>
        </w:rPr>
        <w:t>у износу од 210 хиљада динара за исказана остала активна </w:t>
      </w:r>
      <w:r>
        <w:rPr>
          <w:rFonts w:ascii="Times New Roman" w:hAnsi="Times New Roman"/>
          <w:sz w:val="24"/>
        </w:rPr>
        <w:t>временска разграничења код: Народног музеја у износу од 58 хиљада динара, Завода за заштиту споменика у износу од 152 хиљаде</w:t>
      </w:r>
      <w:r>
        <w:rPr>
          <w:rFonts w:ascii="Times New Roman" w:hAnsi="Times New Roman"/>
          <w:spacing w:val="-14"/>
          <w:sz w:val="24"/>
        </w:rPr>
        <w:t> </w:t>
      </w:r>
      <w:r>
        <w:rPr>
          <w:rFonts w:ascii="Times New Roman" w:hAnsi="Times New Roman"/>
          <w:sz w:val="24"/>
        </w:rPr>
        <w:t>динара.</w:t>
      </w:r>
    </w:p>
    <w:p>
      <w:pPr>
        <w:pStyle w:val="ListParagraph"/>
        <w:numPr>
          <w:ilvl w:val="0"/>
          <w:numId w:val="84"/>
        </w:numPr>
        <w:tabs>
          <w:tab w:pos="444" w:val="left" w:leader="none"/>
        </w:tabs>
        <w:spacing w:line="240" w:lineRule="auto" w:before="0" w:after="0"/>
        <w:ind w:left="443" w:right="0" w:hanging="283"/>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омладину и спорт </w:t>
      </w:r>
      <w:r>
        <w:rPr>
          <w:rFonts w:ascii="Times New Roman" w:hAnsi="Times New Roman"/>
          <w:sz w:val="24"/>
        </w:rPr>
        <w:t>у износу од 1.010 хиљада динара код СЦ</w:t>
      </w:r>
      <w:r>
        <w:rPr>
          <w:rFonts w:ascii="Times New Roman" w:hAnsi="Times New Roman"/>
          <w:spacing w:val="-18"/>
          <w:sz w:val="24"/>
        </w:rPr>
        <w:t> </w:t>
      </w:r>
      <w:r>
        <w:rPr>
          <w:rFonts w:ascii="Times New Roman" w:hAnsi="Times New Roman"/>
          <w:sz w:val="24"/>
        </w:rPr>
        <w:t>Чаир</w:t>
      </w:r>
      <w:r>
        <w:rPr>
          <w:rFonts w:ascii="Times New Roman" w:hAnsi="Times New Roman"/>
          <w:sz w:val="24"/>
        </w:rPr>
        <w:t>.</w:t>
      </w:r>
    </w:p>
    <w:p>
      <w:pPr>
        <w:pStyle w:val="ListParagraph"/>
        <w:numPr>
          <w:ilvl w:val="0"/>
          <w:numId w:val="84"/>
        </w:numPr>
        <w:tabs>
          <w:tab w:pos="444"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комуналне делатности, енергетику и саобраћај </w:t>
      </w:r>
      <w:r>
        <w:rPr>
          <w:rFonts w:ascii="Times New Roman" w:hAnsi="Times New Roman"/>
          <w:sz w:val="24"/>
        </w:rPr>
        <w:t>у износу од 934 хиљаде </w:t>
      </w:r>
      <w:r>
        <w:rPr>
          <w:rFonts w:ascii="Times New Roman" w:hAnsi="Times New Roman"/>
          <w:sz w:val="24"/>
        </w:rPr>
        <w:t>динара код ЈП</w:t>
      </w:r>
      <w:r>
        <w:rPr>
          <w:rFonts w:ascii="Times New Roman" w:hAnsi="Times New Roman"/>
          <w:spacing w:val="-8"/>
          <w:sz w:val="24"/>
        </w:rPr>
        <w:t> </w:t>
      </w:r>
      <w:r>
        <w:rPr>
          <w:rFonts w:ascii="Times New Roman" w:hAnsi="Times New Roman"/>
          <w:sz w:val="24"/>
        </w:rPr>
        <w:t>Дирекција</w:t>
      </w:r>
    </w:p>
    <w:p>
      <w:pPr>
        <w:pStyle w:val="ListParagraph"/>
        <w:numPr>
          <w:ilvl w:val="0"/>
          <w:numId w:val="84"/>
        </w:numPr>
        <w:tabs>
          <w:tab w:pos="444" w:val="left" w:leader="none"/>
        </w:tabs>
        <w:spacing w:line="240" w:lineRule="auto" w:before="0" w:after="0"/>
        <w:ind w:left="160" w:right="178"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привреду, одрживи развој и заштиту животне средине </w:t>
      </w:r>
      <w:r>
        <w:rPr>
          <w:rFonts w:ascii="Times New Roman" w:hAnsi="Times New Roman"/>
          <w:sz w:val="24"/>
        </w:rPr>
        <w:t>у износу од 6.820 </w:t>
      </w:r>
      <w:r>
        <w:rPr>
          <w:rFonts w:ascii="Times New Roman" w:hAnsi="Times New Roman"/>
          <w:sz w:val="24"/>
        </w:rPr>
        <w:t>хиљада динара код Туристичке</w:t>
      </w:r>
      <w:r>
        <w:rPr>
          <w:rFonts w:ascii="Times New Roman" w:hAnsi="Times New Roman"/>
          <w:spacing w:val="-14"/>
          <w:sz w:val="24"/>
        </w:rPr>
        <w:t> </w:t>
      </w:r>
      <w:r>
        <w:rPr>
          <w:rFonts w:ascii="Times New Roman" w:hAnsi="Times New Roman"/>
          <w:sz w:val="24"/>
        </w:rPr>
        <w:t>организације.</w:t>
      </w:r>
    </w:p>
    <w:p>
      <w:pPr>
        <w:spacing w:before="0"/>
        <w:ind w:left="160" w:right="175"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су остала активна временска разграничења код Туристичке организације више исказана у износу од 14 хиљада</w:t>
      </w:r>
      <w:r>
        <w:rPr>
          <w:rFonts w:ascii="Times New Roman" w:hAnsi="Times New Roman"/>
          <w:spacing w:val="-3"/>
          <w:sz w:val="24"/>
        </w:rPr>
        <w:t> </w:t>
      </w:r>
      <w:r>
        <w:rPr>
          <w:rFonts w:ascii="Times New Roman" w:hAnsi="Times New Roman"/>
          <w:sz w:val="24"/>
        </w:rPr>
        <w:t>динара</w:t>
      </w:r>
      <w:r>
        <w:rPr>
          <w:rFonts w:ascii="Times New Roman" w:hAnsi="Times New Roman"/>
          <w:sz w:val="24"/>
        </w:rPr>
        <w:t>.</w:t>
      </w:r>
    </w:p>
    <w:p>
      <w:pPr>
        <w:pStyle w:val="Heading2"/>
        <w:spacing w:line="240" w:lineRule="auto"/>
        <w:ind w:right="179"/>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Правилнику о стандатдном класификационом оквиру  и контном плану за буџетски</w:t>
      </w:r>
      <w:r>
        <w:rPr>
          <w:i/>
          <w:spacing w:val="-5"/>
        </w:rPr>
        <w:t> </w:t>
      </w:r>
      <w:r>
        <w:rPr>
          <w:i/>
        </w:rPr>
        <w:t>систем</w:t>
      </w:r>
      <w:r>
        <w:rPr>
          <w:rFonts w:ascii="Times New Roman" w:hAnsi="Times New Roman"/>
          <w:i/>
        </w:rPr>
        <w:t>.</w:t>
      </w:r>
      <w:r>
        <w:rPr>
          <w:rFonts w:ascii="Times New Roman" w:hAnsi="Times New Roman"/>
          <w:b w:val="0"/>
          <w:i w:val="0"/>
        </w:rPr>
      </w:r>
    </w:p>
    <w:p>
      <w:pPr>
        <w:spacing w:line="240" w:lineRule="auto" w:before="0"/>
        <w:ind w:left="160" w:right="175" w:firstLine="566"/>
        <w:jc w:val="both"/>
        <w:rPr>
          <w:rFonts w:ascii="Times New Roman" w:hAnsi="Times New Roman" w:cs="Times New Roman" w:eastAsia="Times New Roman" w:hint="default"/>
          <w:sz w:val="24"/>
          <w:szCs w:val="24"/>
        </w:rPr>
      </w:pPr>
      <w:r>
        <w:rPr>
          <w:rFonts w:ascii="Times New Roman" w:hAnsi="Times New Roman"/>
          <w:b/>
          <w:sz w:val="24"/>
        </w:rPr>
        <w:t>Ванбилансна актива, конто група 3510</w:t>
      </w:r>
      <w:r>
        <w:rPr>
          <w:rFonts w:ascii="Times New Roman" w:hAnsi="Times New Roman"/>
          <w:b/>
          <w:sz w:val="24"/>
        </w:rPr>
        <w:t>00 </w:t>
      </w:r>
      <w:r>
        <w:rPr>
          <w:rFonts w:ascii="Times New Roman" w:hAnsi="Times New Roman"/>
          <w:sz w:val="24"/>
        </w:rPr>
        <w:t>- </w:t>
      </w:r>
      <w:r>
        <w:rPr>
          <w:rFonts w:ascii="Times New Roman" w:hAnsi="Times New Roman"/>
          <w:sz w:val="24"/>
        </w:rPr>
        <w:t>Исказано је стање у износу од </w:t>
      </w:r>
      <w:r>
        <w:rPr>
          <w:rFonts w:ascii="Times New Roman" w:hAnsi="Times New Roman"/>
          <w:sz w:val="24"/>
        </w:rPr>
        <w:t>82.795 </w:t>
      </w:r>
      <w:r>
        <w:rPr>
          <w:rFonts w:ascii="Times New Roman" w:hAnsi="Times New Roman"/>
          <w:sz w:val="24"/>
        </w:rPr>
        <w:t>хиљада динара</w:t>
      </w:r>
      <w:r>
        <w:rPr>
          <w:rFonts w:ascii="Times New Roman" w:hAnsi="Times New Roman"/>
          <w:spacing w:val="-3"/>
          <w:sz w:val="24"/>
        </w:rPr>
        <w:t> </w:t>
      </w:r>
      <w:r>
        <w:rPr>
          <w:rFonts w:ascii="Times New Roman" w:hAnsi="Times New Roman"/>
          <w:sz w:val="24"/>
        </w:rPr>
        <w:t>код:</w:t>
      </w:r>
    </w:p>
    <w:p>
      <w:pPr>
        <w:pStyle w:val="ListParagraph"/>
        <w:numPr>
          <w:ilvl w:val="0"/>
          <w:numId w:val="85"/>
        </w:numPr>
        <w:tabs>
          <w:tab w:pos="303"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културу </w:t>
      </w:r>
      <w:r>
        <w:rPr>
          <w:rFonts w:ascii="Times New Roman" w:hAnsi="Times New Roman"/>
          <w:sz w:val="24"/>
        </w:rPr>
        <w:t>у износу од 1.210 хиљада динара за исказану вредност ванбилансне </w:t>
      </w:r>
      <w:r>
        <w:rPr>
          <w:rFonts w:ascii="Times New Roman" w:hAnsi="Times New Roman"/>
          <w:sz w:val="24"/>
        </w:rPr>
        <w:t>активе код: Народне библиотеке у износу од 21 хиљаде динара и Нишког културног центра у износу од 1.189 хиљада</w:t>
      </w:r>
      <w:r>
        <w:rPr>
          <w:rFonts w:ascii="Times New Roman" w:hAnsi="Times New Roman"/>
          <w:spacing w:val="-10"/>
          <w:sz w:val="24"/>
        </w:rPr>
        <w:t> </w:t>
      </w:r>
      <w:r>
        <w:rPr>
          <w:rFonts w:ascii="Times New Roman" w:hAnsi="Times New Roman"/>
          <w:sz w:val="24"/>
        </w:rPr>
        <w:t>динара.</w:t>
      </w:r>
    </w:p>
    <w:p>
      <w:pPr>
        <w:pStyle w:val="BodyText"/>
        <w:spacing w:line="240" w:lineRule="auto"/>
        <w:ind w:right="173" w:firstLine="566"/>
        <w:jc w:val="both"/>
      </w:pPr>
      <w:r>
        <w:rPr>
          <w:rFonts w:ascii="Times New Roman" w:hAnsi="Times New Roman" w:cs="Times New Roman" w:eastAsia="Times New Roman" w:hint="default"/>
          <w:b/>
          <w:bCs/>
        </w:rPr>
        <w:t>На основу ревизије узорковане документације утврђено је </w:t>
      </w:r>
      <w:r>
        <w:rPr/>
        <w:t>да је ова позиција мање исказана за износ од најмање 13.347 хиљада динара за вредност примљених меница за добро извршење посла по уговорима и то код Народног музеја за износ од 1.288 хиљада динара и код Завода за заштиту споменика у износу од 12.059 хиљада динара јер нису евидентиране. Истовремено, за исти износ мање је исказана вредност на позицији </w:t>
      </w:r>
      <w:r>
        <w:rPr>
          <w:rFonts w:ascii="Times New Roman" w:hAnsi="Times New Roman" w:cs="Times New Roman" w:eastAsia="Times New Roman" w:hint="default"/>
        </w:rPr>
        <w:t>352000 </w:t>
      </w:r>
      <w:r>
        <w:rPr/>
        <w:t>– ванбилансна</w:t>
      </w:r>
      <w:r>
        <w:rPr>
          <w:spacing w:val="-11"/>
        </w:rPr>
        <w:t> </w:t>
      </w:r>
      <w:r>
        <w:rPr/>
        <w:t>пасива.</w:t>
      </w:r>
    </w:p>
    <w:p>
      <w:pPr>
        <w:pStyle w:val="Heading2"/>
        <w:spacing w:line="240" w:lineRule="auto"/>
        <w:ind w:right="172"/>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ListParagraph"/>
        <w:numPr>
          <w:ilvl w:val="0"/>
          <w:numId w:val="85"/>
        </w:numPr>
        <w:tabs>
          <w:tab w:pos="303" w:val="left" w:leader="none"/>
        </w:tabs>
        <w:spacing w:line="240" w:lineRule="auto" w:before="0" w:after="0"/>
        <w:ind w:left="160" w:right="183"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омладину и спорт </w:t>
      </w:r>
      <w:r>
        <w:rPr>
          <w:rFonts w:ascii="Times New Roman" w:hAnsi="Times New Roman"/>
          <w:sz w:val="24"/>
        </w:rPr>
        <w:t>у износу од 5.200 хиљада динара за исказану вредност </w:t>
      </w:r>
      <w:r>
        <w:rPr>
          <w:rFonts w:ascii="Times New Roman" w:hAnsi="Times New Roman"/>
          <w:sz w:val="24"/>
        </w:rPr>
        <w:t>ванбилансне активе код СЦ</w:t>
      </w:r>
      <w:r>
        <w:rPr>
          <w:rFonts w:ascii="Times New Roman" w:hAnsi="Times New Roman"/>
          <w:spacing w:val="-12"/>
          <w:sz w:val="24"/>
        </w:rPr>
        <w:t> </w:t>
      </w:r>
      <w:r>
        <w:rPr>
          <w:rFonts w:ascii="Times New Roman" w:hAnsi="Times New Roman"/>
          <w:sz w:val="24"/>
        </w:rPr>
        <w:t>Чаир.</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8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Ванбиланса актива мање је исказана у износу од 720 хиљада динара по основу примљених меница за добро извршење посла. Истовремено, за исти износ мање је исказана вредност на позицији 352000 – ванбилансна</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пасива.</w:t>
      </w:r>
    </w:p>
    <w:p>
      <w:pPr>
        <w:pStyle w:val="ListParagraph"/>
        <w:numPr>
          <w:ilvl w:val="0"/>
          <w:numId w:val="9"/>
        </w:numPr>
        <w:tabs>
          <w:tab w:pos="303" w:val="left" w:leader="none"/>
        </w:tabs>
        <w:spacing w:line="240" w:lineRule="auto" w:before="2" w:after="0"/>
        <w:ind w:left="160" w:right="18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Ванбилансна актива код СЦ Чаир  је мање исказана у износу од 2.208 хиљада динара,  по основу меница. Истовремено, за исти износ мање је исказана вредност на позицији </w:t>
      </w:r>
      <w:r>
        <w:rPr>
          <w:rFonts w:ascii="Times New Roman" w:hAnsi="Times New Roman" w:cs="Times New Roman" w:eastAsia="Times New Roman" w:hint="default"/>
          <w:sz w:val="24"/>
          <w:szCs w:val="24"/>
        </w:rPr>
        <w:t>352000 </w:t>
      </w:r>
      <w:r>
        <w:rPr>
          <w:rFonts w:ascii="Times New Roman" w:hAnsi="Times New Roman" w:cs="Times New Roman" w:eastAsia="Times New Roman" w:hint="default"/>
          <w:sz w:val="24"/>
          <w:szCs w:val="24"/>
        </w:rPr>
        <w:t>– ванбилансна</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пасива.</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Heading2"/>
        <w:spacing w:line="240" w:lineRule="auto" w:before="126"/>
        <w:ind w:right="172"/>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9"/>
        </w:rPr>
        <w:t> </w:t>
      </w:r>
      <w:r>
        <w:rPr>
          <w:i/>
        </w:rPr>
        <w:t>систем.</w:t>
      </w:r>
      <w:r>
        <w:rPr>
          <w:rFonts w:ascii="Times New Roman" w:hAnsi="Times New Roman"/>
          <w:i/>
        </w:rPr>
        <w:t>.</w:t>
      </w:r>
      <w:r>
        <w:rPr>
          <w:rFonts w:ascii="Times New Roman" w:hAnsi="Times New Roman"/>
          <w:b w:val="0"/>
          <w:i w:val="0"/>
        </w:rPr>
      </w:r>
    </w:p>
    <w:p>
      <w:pPr>
        <w:pStyle w:val="ListParagraph"/>
        <w:numPr>
          <w:ilvl w:val="0"/>
          <w:numId w:val="85"/>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комуналне делатности, енергетику и саобраћај </w:t>
      </w:r>
      <w:r>
        <w:rPr>
          <w:rFonts w:ascii="Times New Roman" w:hAnsi="Times New Roman"/>
          <w:sz w:val="24"/>
        </w:rPr>
        <w:t>у износу од 41.210 хиљада </w:t>
      </w:r>
      <w:r>
        <w:rPr>
          <w:rFonts w:ascii="Times New Roman" w:hAnsi="Times New Roman"/>
          <w:sz w:val="24"/>
        </w:rPr>
        <w:t>динара за исказану вредност ванбилансне активе код ЈП</w:t>
      </w:r>
      <w:r>
        <w:rPr>
          <w:rFonts w:ascii="Times New Roman" w:hAnsi="Times New Roman"/>
          <w:spacing w:val="-15"/>
          <w:sz w:val="24"/>
        </w:rPr>
        <w:t> </w:t>
      </w:r>
      <w:r>
        <w:rPr>
          <w:rFonts w:ascii="Times New Roman" w:hAnsi="Times New Roman"/>
          <w:sz w:val="24"/>
        </w:rPr>
        <w:t>Дирекција</w:t>
      </w:r>
      <w:r>
        <w:rPr>
          <w:rFonts w:ascii="Times New Roman" w:hAnsi="Times New Roman"/>
          <w:sz w:val="24"/>
        </w:rPr>
        <w:t>.</w:t>
      </w:r>
    </w:p>
    <w:p>
      <w:pPr>
        <w:pStyle w:val="Heading1"/>
        <w:spacing w:line="275" w:lineRule="exact"/>
        <w:ind w:right="141"/>
        <w:jc w:val="left"/>
        <w:rPr>
          <w:b w:val="0"/>
          <w:bCs w:val="0"/>
        </w:rPr>
      </w:pPr>
      <w:r>
        <w:rPr/>
        <w:t>На основу ревизије узорковане документације утврђено</w:t>
      </w:r>
      <w:r>
        <w:rPr>
          <w:spacing w:val="-15"/>
        </w:rPr>
        <w:t> </w:t>
      </w:r>
      <w:r>
        <w:rPr/>
        <w:t>је:</w:t>
      </w:r>
      <w:r>
        <w:rPr>
          <w:b w:val="0"/>
        </w:rPr>
      </w:r>
    </w:p>
    <w:p>
      <w:pPr>
        <w:pStyle w:val="ListParagraph"/>
        <w:numPr>
          <w:ilvl w:val="0"/>
          <w:numId w:val="9"/>
        </w:numPr>
        <w:tabs>
          <w:tab w:pos="303"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Ова билансна позиција мање је исказана код Управе за комуналне делатности, енергетику и саобраћај у износу од 402 хиљаде динара за вредност примљених меница за добро извршење посла. Истовремено, за исти износ мање је исказана вредност на позицији 352000 – ванбилансна</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пасива.</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Код ЈП Дирекција ова билансна позиција исказана је у мањем износу од </w:t>
      </w:r>
      <w:r>
        <w:rPr>
          <w:rFonts w:ascii="Times New Roman" w:hAnsi="Times New Roman" w:cs="Times New Roman" w:eastAsia="Times New Roman" w:hint="default"/>
          <w:sz w:val="24"/>
          <w:szCs w:val="24"/>
        </w:rPr>
        <w:t>37.914 </w:t>
      </w:r>
      <w:r>
        <w:rPr>
          <w:rFonts w:ascii="Times New Roman" w:hAnsi="Times New Roman" w:cs="Times New Roman" w:eastAsia="Times New Roman" w:hint="default"/>
          <w:sz w:val="24"/>
          <w:szCs w:val="24"/>
        </w:rPr>
        <w:t>хиљада динара, јер нису евидентиране менице које су дате од стране извођача радова за добро извршење посла и банкарске гаранције за закључене уговоре, што је супротно члану 9. Уредбе о буџетском рачуноводству и Правилнику о стандардном класификационом оквиру и контном плану за буџетски систем. Истовремено, за исти износ мање је  исказана вредност на позицији 352000 – ванбилансна</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пасива.</w:t>
      </w:r>
    </w:p>
    <w:p>
      <w:pPr>
        <w:pStyle w:val="Heading2"/>
        <w:spacing w:line="240" w:lineRule="auto"/>
        <w:ind w:right="185"/>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i/>
        </w:rPr>
        <w:t>.</w:t>
      </w:r>
      <w:r>
        <w:rPr>
          <w:rFonts w:ascii="Times New Roman" w:hAnsi="Times New Roman"/>
          <w:b w:val="0"/>
          <w:i w:val="0"/>
        </w:rPr>
      </w:r>
    </w:p>
    <w:p>
      <w:pPr>
        <w:pStyle w:val="ListParagraph"/>
        <w:numPr>
          <w:ilvl w:val="0"/>
          <w:numId w:val="85"/>
        </w:numPr>
        <w:tabs>
          <w:tab w:pos="303"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привреду, одрживи развој и заштиту животне средине </w:t>
      </w:r>
      <w:r>
        <w:rPr>
          <w:rFonts w:ascii="Times New Roman" w:hAnsi="Times New Roman"/>
          <w:sz w:val="24"/>
        </w:rPr>
        <w:t>у износу од 262  </w:t>
      </w:r>
      <w:r>
        <w:rPr>
          <w:rFonts w:ascii="Times New Roman" w:hAnsi="Times New Roman"/>
          <w:sz w:val="24"/>
        </w:rPr>
        <w:t>хиљаде динара за исказану вредност ванбилансне активе код Туристичке</w:t>
      </w:r>
      <w:r>
        <w:rPr>
          <w:rFonts w:ascii="Times New Roman" w:hAnsi="Times New Roman"/>
          <w:spacing w:val="-30"/>
          <w:sz w:val="24"/>
        </w:rPr>
        <w:t> </w:t>
      </w:r>
      <w:r>
        <w:rPr>
          <w:rFonts w:ascii="Times New Roman" w:hAnsi="Times New Roman"/>
          <w:sz w:val="24"/>
        </w:rPr>
        <w:t>организације.</w:t>
      </w:r>
    </w:p>
    <w:p>
      <w:pPr>
        <w:pStyle w:val="BodyText"/>
        <w:spacing w:line="240" w:lineRule="auto"/>
        <w:ind w:right="173" w:firstLine="566"/>
        <w:jc w:val="both"/>
      </w:pPr>
      <w:r>
        <w:rPr>
          <w:rFonts w:ascii="Times New Roman" w:hAnsi="Times New Roman" w:cs="Times New Roman" w:eastAsia="Times New Roman" w:hint="default"/>
          <w:b/>
          <w:bCs/>
        </w:rPr>
        <w:t>На основу ревизије узорковане документације утврђено је </w:t>
      </w:r>
      <w:r>
        <w:rPr/>
        <w:t>да је ова билансна позиција мање исказана код Управе за привреду, одрживи развој и заштиту животне средине у износу од 8.362 хиљаде динара, јер нису евидентиране менице, примљене као гаранција за добро извршење посла. Истовремено, за исти износ мање је исказана вредност на позицији 352000 – ванбилансна</w:t>
      </w:r>
      <w:r>
        <w:rPr>
          <w:spacing w:val="-16"/>
        </w:rPr>
        <w:t> </w:t>
      </w:r>
      <w:r>
        <w:rPr/>
        <w:t>пасива.</w:t>
      </w:r>
    </w:p>
    <w:p>
      <w:pPr>
        <w:pStyle w:val="Heading2"/>
        <w:spacing w:line="240" w:lineRule="auto"/>
        <w:ind w:right="172"/>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ListParagraph"/>
        <w:numPr>
          <w:ilvl w:val="0"/>
          <w:numId w:val="85"/>
        </w:numPr>
        <w:tabs>
          <w:tab w:pos="303"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планирање и изградњу </w:t>
      </w:r>
      <w:r>
        <w:rPr>
          <w:rFonts w:ascii="Times New Roman" w:hAnsi="Times New Roman"/>
          <w:sz w:val="24"/>
        </w:rPr>
        <w:t>у износу од 31.621 хиљаде динара за исказану  </w:t>
      </w:r>
      <w:r>
        <w:rPr>
          <w:rFonts w:ascii="Times New Roman" w:hAnsi="Times New Roman"/>
          <w:sz w:val="24"/>
        </w:rPr>
        <w:t>вредност ванбилансне активе код ЈП</w:t>
      </w:r>
      <w:r>
        <w:rPr>
          <w:rFonts w:ascii="Times New Roman" w:hAnsi="Times New Roman"/>
          <w:spacing w:val="-7"/>
          <w:sz w:val="24"/>
        </w:rPr>
        <w:t> </w:t>
      </w:r>
      <w:r>
        <w:rPr>
          <w:rFonts w:ascii="Times New Roman" w:hAnsi="Times New Roman"/>
          <w:sz w:val="24"/>
        </w:rPr>
        <w:t>ГСА.</w:t>
      </w:r>
    </w:p>
    <w:p>
      <w:pPr>
        <w:pStyle w:val="Heading1"/>
        <w:spacing w:line="275" w:lineRule="exact"/>
        <w:ind w:right="141"/>
        <w:jc w:val="left"/>
        <w:rPr>
          <w:rFonts w:ascii="Times New Roman" w:hAnsi="Times New Roman" w:cs="Times New Roman" w:eastAsia="Times New Roman" w:hint="default"/>
          <w:b w:val="0"/>
          <w:bCs w:val="0"/>
        </w:rPr>
      </w:pPr>
      <w:r>
        <w:rPr>
          <w:sz w:val="22"/>
        </w:rPr>
        <w:t>На </w:t>
      </w:r>
      <w:r>
        <w:rPr/>
        <w:t>основу ревизије узорковане документације утврђено</w:t>
      </w:r>
      <w:r>
        <w:rPr>
          <w:spacing w:val="-18"/>
        </w:rPr>
        <w:t> </w:t>
      </w:r>
      <w:r>
        <w:rPr/>
        <w:t>је</w:t>
      </w:r>
      <w:r>
        <w:rPr>
          <w:rFonts w:ascii="Times New Roman" w:hAnsi="Times New Roman"/>
        </w:rPr>
        <w:t>:</w:t>
      </w:r>
      <w:r>
        <w:rPr>
          <w:rFonts w:ascii="Times New Roman" w:hAnsi="Times New Roman"/>
          <w:b w:val="0"/>
        </w:rPr>
      </w:r>
    </w:p>
    <w:p>
      <w:pPr>
        <w:pStyle w:val="ListParagraph"/>
        <w:numPr>
          <w:ilvl w:val="0"/>
          <w:numId w:val="9"/>
        </w:numPr>
        <w:tabs>
          <w:tab w:pos="303" w:val="left" w:leader="none"/>
        </w:tabs>
        <w:spacing w:line="274" w:lineRule="exact" w:before="21" w:after="0"/>
        <w:ind w:left="160" w:right="188" w:firstLine="0"/>
        <w:jc w:val="both"/>
        <w:rPr>
          <w:rFonts w:ascii="Times New Roman" w:hAnsi="Times New Roman" w:cs="Times New Roman" w:eastAsia="Times New Roman" w:hint="default"/>
          <w:sz w:val="24"/>
          <w:szCs w:val="24"/>
        </w:rPr>
      </w:pPr>
      <w:r>
        <w:rPr>
          <w:rFonts w:ascii="Times New Roman" w:hAnsi="Times New Roman"/>
          <w:sz w:val="24"/>
        </w:rPr>
        <w:t>Ова билансна позиција је више исказана у износу од 31.621 хиљаде динара, јер је евидентирала банкарске гаранције којима је рок важности</w:t>
      </w:r>
      <w:r>
        <w:rPr>
          <w:rFonts w:ascii="Times New Roman" w:hAnsi="Times New Roman"/>
          <w:spacing w:val="-17"/>
          <w:sz w:val="24"/>
        </w:rPr>
        <w:t> </w:t>
      </w:r>
      <w:r>
        <w:rPr>
          <w:rFonts w:ascii="Times New Roman" w:hAnsi="Times New Roman"/>
          <w:sz w:val="24"/>
        </w:rPr>
        <w:t>истекао.</w:t>
      </w:r>
    </w:p>
    <w:p>
      <w:pPr>
        <w:pStyle w:val="ListParagraph"/>
        <w:numPr>
          <w:ilvl w:val="0"/>
          <w:numId w:val="9"/>
        </w:numPr>
        <w:tabs>
          <w:tab w:pos="303" w:val="left" w:leader="none"/>
        </w:tabs>
        <w:spacing w:line="237" w:lineRule="auto" w:before="1" w:after="0"/>
        <w:ind w:left="160" w:right="17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Ова билансна позиција је мање исказана у износу од 57.492 хиљаде динара, јер нису евидентиране банкарске гаранције, дате од стране извођача радова „Тончев градња“ доо Сурдулица.</w:t>
      </w:r>
    </w:p>
    <w:p>
      <w:pPr>
        <w:pStyle w:val="Heading2"/>
        <w:spacing w:line="240" w:lineRule="auto"/>
        <w:ind w:right="172"/>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ListParagraph"/>
        <w:numPr>
          <w:ilvl w:val="0"/>
          <w:numId w:val="85"/>
        </w:numPr>
        <w:tabs>
          <w:tab w:pos="303" w:val="left" w:leader="none"/>
        </w:tabs>
        <w:spacing w:line="271"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У билансу стања </w:t>
      </w:r>
      <w:r>
        <w:rPr>
          <w:rFonts w:ascii="Times New Roman" w:hAnsi="Times New Roman"/>
          <w:sz w:val="24"/>
        </w:rPr>
      </w:r>
      <w:r>
        <w:rPr>
          <w:rFonts w:ascii="Times New Roman" w:hAnsi="Times New Roman"/>
          <w:sz w:val="24"/>
          <w:u w:val="single" w:color="000000"/>
        </w:rPr>
      </w:r>
      <w:r>
        <w:rPr>
          <w:rFonts w:ascii="Times New Roman" w:hAnsi="Times New Roman"/>
          <w:sz w:val="24"/>
          <w:u w:val="single" w:color="000000"/>
        </w:rPr>
        <w:t>Управе за образовање </w:t>
      </w:r>
      <w:r>
        <w:rPr>
          <w:rFonts w:ascii="Times New Roman" w:hAnsi="Times New Roman"/>
          <w:sz w:val="24"/>
        </w:rPr>
        <w:t>није исказан</w:t>
      </w:r>
      <w:r>
        <w:rPr>
          <w:rFonts w:ascii="Times New Roman" w:hAnsi="Times New Roman"/>
          <w:spacing w:val="-14"/>
          <w:sz w:val="24"/>
        </w:rPr>
        <w:t> </w:t>
      </w:r>
      <w:r>
        <w:rPr>
          <w:rFonts w:ascii="Times New Roman" w:hAnsi="Times New Roman"/>
          <w:sz w:val="24"/>
        </w:rPr>
        <w:t>износ.</w:t>
      </w:r>
    </w:p>
    <w:p>
      <w:pPr>
        <w:pStyle w:val="Heading1"/>
        <w:spacing w:line="275" w:lineRule="exact"/>
        <w:ind w:left="738" w:right="141"/>
        <w:jc w:val="left"/>
        <w:rPr>
          <w:b w:val="0"/>
          <w:bCs w:val="0"/>
        </w:rPr>
      </w:pPr>
      <w:r>
        <w:rPr/>
        <w:t>На основу ревизије узорковане документације утврђено је</w:t>
      </w:r>
      <w:r>
        <w:rPr>
          <w:spacing w:val="-16"/>
        </w:rPr>
        <w:t> </w:t>
      </w:r>
      <w:r>
        <w:rPr/>
        <w:t>да:</w:t>
      </w:r>
      <w:r>
        <w:rPr>
          <w:b w:val="0"/>
        </w:rPr>
      </w:r>
    </w:p>
    <w:p>
      <w:pPr>
        <w:pStyle w:val="ListParagraph"/>
        <w:numPr>
          <w:ilvl w:val="0"/>
          <w:numId w:val="9"/>
        </w:numPr>
        <w:tabs>
          <w:tab w:pos="303"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Ова позиција мање је исказана код ПУ Пчелица у износу од најмање 11.766 хиљада динара јер нису евидентиране менице примљене од добављача по основу закључених Уговора за добро извршење посла, што је супротно члану 9. Уредбе о буџетском рачуноводству  и  члану  13.  Правилника  о  стандардном  класификационом  оквиру    </w:t>
      </w:r>
      <w:r>
        <w:rPr>
          <w:rFonts w:ascii="Times New Roman" w:hAnsi="Times New Roman"/>
          <w:spacing w:val="29"/>
          <w:sz w:val="24"/>
        </w:rPr>
        <w:t> </w:t>
      </w:r>
      <w:r>
        <w:rPr>
          <w:rFonts w:ascii="Times New Roman" w:hAnsi="Times New Roman"/>
          <w:sz w:val="24"/>
        </w:rPr>
        <w:t>и</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85"/>
        <w:jc w:val="both"/>
      </w:pPr>
      <w:r>
        <w:rPr/>
        <w:t>контном плану за буџетски систем. Истовремено, за исти износ мање је исказана  вредност на позицији 352000 – ванбилансна</w:t>
      </w:r>
      <w:r>
        <w:rPr>
          <w:spacing w:val="-16"/>
        </w:rPr>
        <w:t> </w:t>
      </w:r>
      <w:r>
        <w:rPr/>
        <w:t>пасива.</w:t>
      </w:r>
    </w:p>
    <w:p>
      <w:pPr>
        <w:pStyle w:val="ListParagraph"/>
        <w:numPr>
          <w:ilvl w:val="0"/>
          <w:numId w:val="9"/>
        </w:numPr>
        <w:tabs>
          <w:tab w:pos="303" w:val="left" w:leader="none"/>
        </w:tabs>
        <w:spacing w:line="292" w:lineRule="exact" w:before="2"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ПУ</w:t>
      </w:r>
      <w:r>
        <w:rPr>
          <w:rFonts w:ascii="Times New Roman" w:hAnsi="Times New Roman"/>
          <w:spacing w:val="29"/>
          <w:sz w:val="24"/>
        </w:rPr>
        <w:t> </w:t>
      </w:r>
      <w:r>
        <w:rPr>
          <w:rFonts w:ascii="Times New Roman" w:hAnsi="Times New Roman"/>
          <w:sz w:val="24"/>
        </w:rPr>
        <w:t>Пчелица</w:t>
      </w:r>
      <w:r>
        <w:rPr>
          <w:rFonts w:ascii="Times New Roman" w:hAnsi="Times New Roman"/>
          <w:spacing w:val="28"/>
          <w:sz w:val="24"/>
        </w:rPr>
        <w:t> </w:t>
      </w:r>
      <w:r>
        <w:rPr>
          <w:rFonts w:ascii="Times New Roman" w:hAnsi="Times New Roman"/>
          <w:sz w:val="24"/>
        </w:rPr>
        <w:t>не</w:t>
      </w:r>
      <w:r>
        <w:rPr>
          <w:rFonts w:ascii="Times New Roman" w:hAnsi="Times New Roman"/>
          <w:spacing w:val="28"/>
          <w:sz w:val="24"/>
        </w:rPr>
        <w:t> </w:t>
      </w:r>
      <w:r>
        <w:rPr>
          <w:rFonts w:ascii="Times New Roman" w:hAnsi="Times New Roman"/>
          <w:sz w:val="24"/>
        </w:rPr>
        <w:t>води</w:t>
      </w:r>
      <w:r>
        <w:rPr>
          <w:rFonts w:ascii="Times New Roman" w:hAnsi="Times New Roman"/>
          <w:spacing w:val="29"/>
          <w:sz w:val="24"/>
        </w:rPr>
        <w:t> </w:t>
      </w:r>
      <w:r>
        <w:rPr>
          <w:rFonts w:ascii="Times New Roman" w:hAnsi="Times New Roman"/>
          <w:sz w:val="24"/>
        </w:rPr>
        <w:t>помоћну</w:t>
      </w:r>
      <w:r>
        <w:rPr>
          <w:rFonts w:ascii="Times New Roman" w:hAnsi="Times New Roman"/>
          <w:spacing w:val="24"/>
          <w:sz w:val="24"/>
        </w:rPr>
        <w:t> </w:t>
      </w:r>
      <w:r>
        <w:rPr>
          <w:rFonts w:ascii="Times New Roman" w:hAnsi="Times New Roman"/>
          <w:sz w:val="24"/>
        </w:rPr>
        <w:t>евиденцију</w:t>
      </w:r>
      <w:r>
        <w:rPr>
          <w:rFonts w:ascii="Times New Roman" w:hAnsi="Times New Roman"/>
          <w:spacing w:val="21"/>
          <w:sz w:val="24"/>
        </w:rPr>
        <w:t> </w:t>
      </w:r>
      <w:r>
        <w:rPr>
          <w:rFonts w:ascii="Times New Roman" w:hAnsi="Times New Roman"/>
          <w:sz w:val="24"/>
        </w:rPr>
        <w:t>примљених</w:t>
      </w:r>
      <w:r>
        <w:rPr>
          <w:rFonts w:ascii="Times New Roman" w:hAnsi="Times New Roman"/>
          <w:spacing w:val="28"/>
          <w:sz w:val="24"/>
        </w:rPr>
        <w:t> </w:t>
      </w:r>
      <w:r>
        <w:rPr>
          <w:rFonts w:ascii="Times New Roman" w:hAnsi="Times New Roman"/>
          <w:sz w:val="24"/>
        </w:rPr>
        <w:t>меница,</w:t>
      </w:r>
      <w:r>
        <w:rPr>
          <w:rFonts w:ascii="Times New Roman" w:hAnsi="Times New Roman"/>
          <w:spacing w:val="28"/>
          <w:sz w:val="24"/>
        </w:rPr>
        <w:t> </w:t>
      </w:r>
      <w:r>
        <w:rPr>
          <w:rFonts w:ascii="Times New Roman" w:hAnsi="Times New Roman"/>
          <w:sz w:val="24"/>
        </w:rPr>
        <w:t>што</w:t>
      </w:r>
      <w:r>
        <w:rPr>
          <w:rFonts w:ascii="Times New Roman" w:hAnsi="Times New Roman"/>
          <w:spacing w:val="26"/>
          <w:sz w:val="24"/>
        </w:rPr>
        <w:t> </w:t>
      </w:r>
      <w:r>
        <w:rPr>
          <w:rFonts w:ascii="Times New Roman" w:hAnsi="Times New Roman"/>
          <w:sz w:val="24"/>
        </w:rPr>
        <w:t>је</w:t>
      </w:r>
      <w:r>
        <w:rPr>
          <w:rFonts w:ascii="Times New Roman" w:hAnsi="Times New Roman"/>
          <w:spacing w:val="28"/>
          <w:sz w:val="24"/>
        </w:rPr>
        <w:t> </w:t>
      </w:r>
      <w:r>
        <w:rPr>
          <w:rFonts w:ascii="Times New Roman" w:hAnsi="Times New Roman"/>
          <w:sz w:val="24"/>
        </w:rPr>
        <w:t>супротно</w:t>
      </w:r>
      <w:r>
        <w:rPr>
          <w:rFonts w:ascii="Times New Roman" w:hAnsi="Times New Roman"/>
          <w:spacing w:val="28"/>
          <w:sz w:val="24"/>
        </w:rPr>
        <w:t> </w:t>
      </w:r>
      <w:r>
        <w:rPr>
          <w:rFonts w:ascii="Times New Roman" w:hAnsi="Times New Roman"/>
          <w:sz w:val="24"/>
        </w:rPr>
        <w:t>члану</w:t>
      </w:r>
    </w:p>
    <w:p>
      <w:pPr>
        <w:pStyle w:val="BodyText"/>
        <w:spacing w:line="274" w:lineRule="exact"/>
        <w:ind w:right="0"/>
        <w:jc w:val="both"/>
      </w:pPr>
      <w:r>
        <w:rPr>
          <w:rFonts w:ascii="Times New Roman" w:hAnsi="Times New Roman"/>
        </w:rPr>
        <w:t>14</w:t>
      </w:r>
      <w:r>
        <w:rPr/>
        <w:t>. Уредбе о буџетском</w:t>
      </w:r>
      <w:r>
        <w:rPr>
          <w:spacing w:val="-12"/>
        </w:rPr>
        <w:t> </w:t>
      </w:r>
      <w:r>
        <w:rPr/>
        <w:t>рачуноводству.</w:t>
      </w:r>
    </w:p>
    <w:p>
      <w:pPr>
        <w:pStyle w:val="ListParagraph"/>
        <w:numPr>
          <w:ilvl w:val="0"/>
          <w:numId w:val="9"/>
        </w:numPr>
        <w:tabs>
          <w:tab w:pos="303" w:val="left" w:leader="none"/>
        </w:tabs>
        <w:spacing w:line="237" w:lineRule="auto" w:before="4" w:after="0"/>
        <w:ind w:left="160" w:right="183" w:firstLine="0"/>
        <w:jc w:val="both"/>
        <w:rPr>
          <w:rFonts w:ascii="Times New Roman" w:hAnsi="Times New Roman" w:cs="Times New Roman" w:eastAsia="Times New Roman" w:hint="default"/>
          <w:sz w:val="24"/>
          <w:szCs w:val="24"/>
        </w:rPr>
      </w:pPr>
      <w:r>
        <w:rPr>
          <w:rFonts w:ascii="Times New Roman" w:hAnsi="Times New Roman"/>
          <w:sz w:val="24"/>
        </w:rPr>
        <w:t>У консолидованом билансу стања Управе за образовање није исказан износ од 3.292 хиљаде динара који је индиректни корисник Дечији центар исказао у свом билансу на  име позајмице мазута из робних резерви града Ниша за одмаралиште у</w:t>
      </w:r>
      <w:r>
        <w:rPr>
          <w:rFonts w:ascii="Times New Roman" w:hAnsi="Times New Roman"/>
          <w:spacing w:val="-19"/>
          <w:sz w:val="24"/>
        </w:rPr>
        <w:t> </w:t>
      </w:r>
      <w:r>
        <w:rPr>
          <w:rFonts w:ascii="Times New Roman" w:hAnsi="Times New Roman"/>
          <w:sz w:val="24"/>
        </w:rPr>
        <w:t>Дивљани.</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Мазут није враћен из разлога што из града нису пренета средства Дечијем центру за набавку мазута, иако је планиран расход за мазут у финансијском плану. Одлуком о измени Одлуке о буџету града Ниша за 2015. годину, од 18.11.2015. године предвиђена  су средства за набавку</w:t>
      </w:r>
      <w:r>
        <w:rPr>
          <w:rFonts w:ascii="Times New Roman" w:hAnsi="Times New Roman"/>
          <w:spacing w:val="-8"/>
          <w:sz w:val="24"/>
        </w:rPr>
        <w:t> </w:t>
      </w:r>
      <w:r>
        <w:rPr>
          <w:rFonts w:ascii="Times New Roman" w:hAnsi="Times New Roman"/>
          <w:sz w:val="24"/>
        </w:rPr>
        <w:t>мазута.</w:t>
      </w:r>
    </w:p>
    <w:p>
      <w:pPr>
        <w:pStyle w:val="Heading2"/>
        <w:spacing w:line="240" w:lineRule="auto"/>
        <w:ind w:right="182"/>
        <w:jc w:val="both"/>
        <w:rPr>
          <w:rFonts w:ascii="Times New Roman" w:hAnsi="Times New Roman" w:cs="Times New Roman" w:eastAsia="Times New Roman" w:hint="default"/>
          <w:b w:val="0"/>
          <w:bCs w:val="0"/>
          <w:i w:val="0"/>
        </w:rPr>
      </w:pPr>
      <w:r>
        <w:rPr>
          <w:i/>
        </w:rPr>
        <w:t>Препоручује се одговорним лицима да у пословне књиге унесу вредност ванбилансне активе, предузму мере ради објективног, тачног и правилног исказивања ванбилансне евиденције, успоставе помоћну евиденцију датих и примљених</w:t>
      </w:r>
      <w:r>
        <w:rPr>
          <w:i/>
          <w:spacing w:val="-24"/>
        </w:rPr>
        <w:t> </w:t>
      </w:r>
      <w:r>
        <w:rPr>
          <w:i/>
        </w:rPr>
        <w:t>меница</w:t>
      </w:r>
      <w:r>
        <w:rPr>
          <w:rFonts w:ascii="Times New Roman" w:hAnsi="Times New Roman"/>
          <w:i/>
        </w:rPr>
        <w:t>.</w:t>
      </w:r>
      <w:r>
        <w:rPr>
          <w:rFonts w:ascii="Times New Roman" w:hAnsi="Times New Roman"/>
          <w:b w:val="0"/>
          <w:i w:val="0"/>
        </w:rPr>
      </w:r>
    </w:p>
    <w:p>
      <w:pPr>
        <w:pStyle w:val="ListParagraph"/>
        <w:numPr>
          <w:ilvl w:val="0"/>
          <w:numId w:val="86"/>
        </w:numPr>
        <w:tabs>
          <w:tab w:pos="303" w:val="left" w:leader="none"/>
        </w:tabs>
        <w:spacing w:line="271" w:lineRule="exact" w:before="0" w:after="0"/>
        <w:ind w:left="160" w:right="0" w:firstLine="0"/>
        <w:jc w:val="both"/>
        <w:rPr>
          <w:rFonts w:ascii="Times New Roman" w:hAnsi="Times New Roman" w:cs="Times New Roman" w:eastAsia="Times New Roman" w:hint="default"/>
          <w:sz w:val="24"/>
          <w:szCs w:val="24"/>
        </w:rPr>
      </w:pPr>
      <w:r>
        <w:rPr>
          <w:rFonts w:ascii="Times New Roman" w:hAnsi="Times New Roman"/>
          <w:sz w:val="24"/>
        </w:rPr>
        <w:t>У билансу стања </w:t>
      </w:r>
      <w:r>
        <w:rPr>
          <w:rFonts w:ascii="Times New Roman" w:hAnsi="Times New Roman"/>
          <w:sz w:val="24"/>
        </w:rPr>
      </w:r>
      <w:r>
        <w:rPr>
          <w:rFonts w:ascii="Times New Roman" w:hAnsi="Times New Roman"/>
          <w:sz w:val="24"/>
          <w:u w:val="single" w:color="000000"/>
        </w:rPr>
      </w:r>
      <w:r>
        <w:rPr>
          <w:rFonts w:ascii="Times New Roman" w:hAnsi="Times New Roman"/>
          <w:sz w:val="24"/>
          <w:u w:val="single" w:color="000000"/>
        </w:rPr>
        <w:t>Управе за пољопривреду и развој села </w:t>
      </w:r>
      <w:r>
        <w:rPr>
          <w:rFonts w:ascii="Times New Roman" w:hAnsi="Times New Roman"/>
          <w:sz w:val="24"/>
        </w:rPr>
        <w:t>није исказан</w:t>
      </w:r>
      <w:r>
        <w:rPr>
          <w:rFonts w:ascii="Times New Roman" w:hAnsi="Times New Roman"/>
          <w:spacing w:val="-22"/>
          <w:sz w:val="24"/>
        </w:rPr>
        <w:t> </w:t>
      </w:r>
      <w:r>
        <w:rPr>
          <w:rFonts w:ascii="Times New Roman" w:hAnsi="Times New Roman"/>
          <w:sz w:val="24"/>
        </w:rPr>
        <w:t>износ.</w:t>
      </w:r>
    </w:p>
    <w:p>
      <w:pPr>
        <w:pStyle w:val="BodyText"/>
        <w:spacing w:line="240" w:lineRule="auto"/>
        <w:ind w:right="173" w:firstLine="578"/>
        <w:jc w:val="both"/>
      </w:pPr>
      <w:r>
        <w:rPr>
          <w:rFonts w:ascii="Times New Roman" w:hAnsi="Times New Roman" w:cs="Times New Roman" w:eastAsia="Times New Roman" w:hint="default"/>
          <w:b/>
          <w:bCs/>
        </w:rPr>
        <w:t>На основу ревизије узорковане документације утврђено је </w:t>
      </w:r>
      <w:r>
        <w:rPr/>
        <w:t>да код Управе за пољопривреду и развој села није исказана вредност примљених меница у износу од најмање 11.698 хиљада динара по основу гаранције за добро извршење посла и гарантни рок као ни вредност дате менице Националној агенцији за регионални развој у износу од 187 хиљада динара, јер исте нису евидентиране. Истовремено, за исти износ мање је исказана вредност на позицији 35</w:t>
      </w:r>
      <w:r>
        <w:rPr>
          <w:rFonts w:ascii="Times New Roman" w:hAnsi="Times New Roman" w:cs="Times New Roman" w:eastAsia="Times New Roman" w:hint="default"/>
        </w:rPr>
        <w:t>2000 </w:t>
      </w:r>
      <w:r>
        <w:rPr/>
        <w:t>– ванбилансна</w:t>
      </w:r>
      <w:r>
        <w:rPr>
          <w:spacing w:val="-20"/>
        </w:rPr>
        <w:t> </w:t>
      </w:r>
      <w:r>
        <w:rPr/>
        <w:t>пасива.</w:t>
      </w:r>
    </w:p>
    <w:p>
      <w:pPr>
        <w:pStyle w:val="Heading2"/>
        <w:spacing w:line="240" w:lineRule="auto"/>
        <w:ind w:right="172"/>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ListParagraph"/>
        <w:numPr>
          <w:ilvl w:val="0"/>
          <w:numId w:val="86"/>
        </w:numPr>
        <w:tabs>
          <w:tab w:pos="341"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У билансу стања </w:t>
      </w:r>
      <w:r>
        <w:rPr>
          <w:rFonts w:ascii="Times New Roman" w:hAnsi="Times New Roman"/>
          <w:sz w:val="24"/>
        </w:rPr>
      </w:r>
      <w:r>
        <w:rPr>
          <w:rFonts w:ascii="Times New Roman" w:hAnsi="Times New Roman"/>
          <w:sz w:val="24"/>
          <w:u w:val="single" w:color="000000"/>
        </w:rPr>
      </w:r>
      <w:r>
        <w:rPr>
          <w:rFonts w:ascii="Times New Roman" w:hAnsi="Times New Roman"/>
          <w:sz w:val="24"/>
          <w:u w:val="single" w:color="000000"/>
        </w:rPr>
        <w:t>Управе за дечију, социјалну и примарну здравствену заштиту </w:t>
      </w:r>
      <w:r>
        <w:rPr>
          <w:rFonts w:ascii="Times New Roman" w:hAnsi="Times New Roman"/>
          <w:sz w:val="24"/>
        </w:rPr>
        <w:t>није </w:t>
      </w:r>
      <w:r>
        <w:rPr>
          <w:rFonts w:ascii="Times New Roman" w:hAnsi="Times New Roman"/>
          <w:sz w:val="24"/>
        </w:rPr>
        <w:t>исказан</w:t>
      </w:r>
      <w:r>
        <w:rPr>
          <w:rFonts w:ascii="Times New Roman" w:hAnsi="Times New Roman"/>
          <w:spacing w:val="-6"/>
          <w:sz w:val="24"/>
        </w:rPr>
        <w:t> </w:t>
      </w:r>
      <w:r>
        <w:rPr>
          <w:rFonts w:ascii="Times New Roman" w:hAnsi="Times New Roman"/>
          <w:sz w:val="24"/>
        </w:rPr>
        <w:t>износ.</w:t>
      </w:r>
    </w:p>
    <w:p>
      <w:pPr>
        <w:pStyle w:val="BodyText"/>
        <w:spacing w:line="240" w:lineRule="auto"/>
        <w:ind w:right="173" w:firstLine="578"/>
        <w:jc w:val="both"/>
      </w:pPr>
      <w:r>
        <w:rPr>
          <w:rFonts w:ascii="Times New Roman" w:hAnsi="Times New Roman" w:cs="Times New Roman" w:eastAsia="Times New Roman" w:hint="default"/>
          <w:b/>
          <w:bCs/>
        </w:rPr>
        <w:t>На основу ревизије узорковане документације утврђено је </w:t>
      </w:r>
      <w:r>
        <w:rPr/>
        <w:t>да код Управе за дечију, социјалну и примарну здравствену заштиту није исказана вредност примљене менице у износу од 689 хиљада динара по основу гаранције за добро извршење посла, јер иста није евидентирана. Истовремено, за исти износ мање је исказана вредност на позицији 352000 – ванбилансна</w:t>
      </w:r>
      <w:r>
        <w:rPr>
          <w:spacing w:val="-15"/>
        </w:rPr>
        <w:t> </w:t>
      </w:r>
      <w:r>
        <w:rPr/>
        <w:t>пасива.</w:t>
      </w:r>
    </w:p>
    <w:p>
      <w:pPr>
        <w:pStyle w:val="Heading2"/>
        <w:spacing w:line="274" w:lineRule="exact"/>
        <w:ind w:left="738" w:right="141" w:firstLine="0"/>
        <w:jc w:val="left"/>
        <w:rPr>
          <w:b w:val="0"/>
          <w:bCs w:val="0"/>
          <w:i w:val="0"/>
        </w:rPr>
      </w:pPr>
      <w:r>
        <w:rPr>
          <w:i/>
        </w:rPr>
        <w:t>Препоручује се одговорним лицима да евидентирају примљене</w:t>
      </w:r>
      <w:r>
        <w:rPr>
          <w:i/>
          <w:spacing w:val="-20"/>
        </w:rPr>
        <w:t> </w:t>
      </w:r>
      <w:r>
        <w:rPr>
          <w:i/>
        </w:rPr>
        <w:t>менице.</w:t>
      </w:r>
      <w:r>
        <w:rPr>
          <w:b w:val="0"/>
          <w:i w:val="0"/>
        </w:rPr>
      </w:r>
    </w:p>
    <w:p>
      <w:pPr>
        <w:pStyle w:val="ListParagraph"/>
        <w:numPr>
          <w:ilvl w:val="0"/>
          <w:numId w:val="86"/>
        </w:numPr>
        <w:tabs>
          <w:tab w:pos="300" w:val="left" w:leader="none"/>
        </w:tabs>
        <w:spacing w:line="274" w:lineRule="exact" w:before="0" w:after="0"/>
        <w:ind w:left="299" w:right="0" w:hanging="139"/>
        <w:jc w:val="both"/>
        <w:rPr>
          <w:rFonts w:ascii="Times New Roman" w:hAnsi="Times New Roman" w:cs="Times New Roman" w:eastAsia="Times New Roman" w:hint="default"/>
          <w:sz w:val="24"/>
          <w:szCs w:val="24"/>
        </w:rPr>
      </w:pPr>
      <w:r>
        <w:rPr>
          <w:rFonts w:ascii="Times New Roman" w:hAnsi="Times New Roman"/>
          <w:sz w:val="24"/>
        </w:rPr>
        <w:t>У билансу стања </w:t>
      </w:r>
      <w:r>
        <w:rPr>
          <w:rFonts w:ascii="Times New Roman" w:hAnsi="Times New Roman"/>
          <w:sz w:val="24"/>
        </w:rPr>
      </w:r>
      <w:r>
        <w:rPr>
          <w:rFonts w:ascii="Times New Roman" w:hAnsi="Times New Roman"/>
          <w:sz w:val="24"/>
          <w:u w:val="single" w:color="000000"/>
        </w:rPr>
      </w:r>
      <w:r>
        <w:rPr>
          <w:rFonts w:ascii="Times New Roman" w:hAnsi="Times New Roman"/>
          <w:sz w:val="24"/>
          <w:u w:val="single" w:color="000000"/>
        </w:rPr>
        <w:t>Управе за имовину и инспекцијске послове </w:t>
      </w:r>
      <w:r>
        <w:rPr>
          <w:rFonts w:ascii="Times New Roman" w:hAnsi="Times New Roman"/>
          <w:sz w:val="24"/>
        </w:rPr>
        <w:t>није исказан</w:t>
      </w:r>
      <w:r>
        <w:rPr>
          <w:rFonts w:ascii="Times New Roman" w:hAnsi="Times New Roman"/>
          <w:spacing w:val="-23"/>
          <w:sz w:val="24"/>
        </w:rPr>
        <w:t> </w:t>
      </w:r>
      <w:r>
        <w:rPr>
          <w:rFonts w:ascii="Times New Roman" w:hAnsi="Times New Roman"/>
          <w:sz w:val="24"/>
        </w:rPr>
        <w:t>износ.</w:t>
      </w:r>
    </w:p>
    <w:p>
      <w:pPr>
        <w:pStyle w:val="BodyText"/>
        <w:spacing w:line="240" w:lineRule="auto"/>
        <w:ind w:right="171" w:firstLine="578"/>
        <w:jc w:val="both"/>
      </w:pPr>
      <w:r>
        <w:rPr>
          <w:rFonts w:ascii="Times New Roman" w:hAnsi="Times New Roman" w:cs="Times New Roman" w:eastAsia="Times New Roman" w:hint="default"/>
          <w:b/>
          <w:bCs/>
        </w:rPr>
        <w:t>На основу ревизије узорковане документације утврђено је </w:t>
      </w:r>
      <w:r>
        <w:rPr/>
        <w:t>да код Управе за имовину и инспекцијске послове није исказана вредност примљених меница у износу од </w:t>
      </w:r>
      <w:r>
        <w:rPr>
          <w:rFonts w:ascii="Times New Roman" w:hAnsi="Times New Roman" w:cs="Times New Roman" w:eastAsia="Times New Roman" w:hint="default"/>
        </w:rPr>
        <w:t>926 </w:t>
      </w:r>
      <w:r>
        <w:rPr/>
        <w:t>хиљада динара по основу гаранција за добро извршење посла, јер исте нису евидентиране, као и вредност примљених меница закупаца на име гаранције чији износ у поступку ревизије нисмо могли да утврдимо</w:t>
      </w:r>
      <w:r>
        <w:rPr>
          <w:rFonts w:ascii="Times New Roman" w:hAnsi="Times New Roman" w:cs="Times New Roman" w:eastAsia="Times New Roman" w:hint="default"/>
        </w:rPr>
        <w:t>. </w:t>
      </w:r>
      <w:r>
        <w:rPr/>
        <w:t>Истовремено, за исти износ мање је исказана вредност на позицији 352000 – ванбилансна</w:t>
      </w:r>
      <w:r>
        <w:rPr>
          <w:spacing w:val="-20"/>
        </w:rPr>
        <w:t> </w:t>
      </w:r>
      <w:r>
        <w:rPr/>
        <w:t>пасива.</w:t>
      </w:r>
    </w:p>
    <w:p>
      <w:pPr>
        <w:pStyle w:val="Heading2"/>
        <w:spacing w:line="274" w:lineRule="exact"/>
        <w:ind w:left="738" w:right="141" w:firstLine="0"/>
        <w:jc w:val="left"/>
        <w:rPr>
          <w:b w:val="0"/>
          <w:bCs w:val="0"/>
          <w:i w:val="0"/>
        </w:rPr>
      </w:pPr>
      <w:r>
        <w:rPr>
          <w:i/>
        </w:rPr>
        <w:t>Препоручује се одговорним лицима да евидентирају примљене</w:t>
      </w:r>
      <w:r>
        <w:rPr>
          <w:i/>
          <w:spacing w:val="-21"/>
        </w:rPr>
        <w:t> </w:t>
      </w:r>
      <w:r>
        <w:rPr>
          <w:i/>
        </w:rPr>
        <w:t>менице.</w:t>
      </w:r>
      <w:r>
        <w:rPr>
          <w:b w:val="0"/>
          <w:i w:val="0"/>
        </w:rPr>
      </w:r>
    </w:p>
    <w:p>
      <w:pPr>
        <w:pStyle w:val="ListParagraph"/>
        <w:numPr>
          <w:ilvl w:val="0"/>
          <w:numId w:val="86"/>
        </w:numPr>
        <w:tabs>
          <w:tab w:pos="339" w:val="left" w:leader="none"/>
        </w:tabs>
        <w:spacing w:line="274" w:lineRule="exact" w:before="0" w:after="0"/>
        <w:ind w:left="338" w:right="0" w:hanging="178"/>
        <w:jc w:val="both"/>
        <w:rPr>
          <w:rFonts w:ascii="Times New Roman" w:hAnsi="Times New Roman" w:cs="Times New Roman" w:eastAsia="Times New Roman" w:hint="default"/>
          <w:sz w:val="24"/>
          <w:szCs w:val="24"/>
        </w:rPr>
      </w:pPr>
      <w:r>
        <w:rPr>
          <w:rFonts w:ascii="Times New Roman" w:hAnsi="Times New Roman"/>
          <w:sz w:val="24"/>
        </w:rPr>
        <w:t>У</w:t>
      </w:r>
      <w:r>
        <w:rPr>
          <w:rFonts w:ascii="Times New Roman" w:hAnsi="Times New Roman"/>
          <w:spacing w:val="37"/>
          <w:sz w:val="24"/>
        </w:rPr>
        <w:t> </w:t>
      </w:r>
      <w:r>
        <w:rPr>
          <w:rFonts w:ascii="Times New Roman" w:hAnsi="Times New Roman"/>
          <w:sz w:val="24"/>
        </w:rPr>
        <w:t>билансу</w:t>
      </w:r>
      <w:r>
        <w:rPr>
          <w:rFonts w:ascii="Times New Roman" w:hAnsi="Times New Roman"/>
          <w:spacing w:val="34"/>
          <w:sz w:val="24"/>
        </w:rPr>
        <w:t> </w:t>
      </w:r>
      <w:r>
        <w:rPr>
          <w:rFonts w:ascii="Times New Roman" w:hAnsi="Times New Roman"/>
          <w:sz w:val="24"/>
        </w:rPr>
        <w:t>стања</w:t>
      </w:r>
      <w:r>
        <w:rPr>
          <w:rFonts w:ascii="Times New Roman" w:hAnsi="Times New Roman"/>
          <w:spacing w:val="39"/>
          <w:sz w:val="24"/>
        </w:rPr>
        <w:t> </w:t>
      </w:r>
      <w:r>
        <w:rPr>
          <w:rFonts w:ascii="Times New Roman" w:hAnsi="Times New Roman"/>
          <w:spacing w:val="39"/>
          <w:sz w:val="24"/>
        </w:rPr>
      </w:r>
      <w:r>
        <w:rPr>
          <w:rFonts w:ascii="Times New Roman" w:hAnsi="Times New Roman"/>
          <w:spacing w:val="39"/>
          <w:sz w:val="24"/>
          <w:u w:val="single" w:color="000000"/>
        </w:rPr>
      </w:r>
      <w:r>
        <w:rPr>
          <w:rFonts w:ascii="Times New Roman" w:hAnsi="Times New Roman"/>
          <w:sz w:val="24"/>
          <w:u w:val="single" w:color="000000"/>
        </w:rPr>
        <w:t>Управе</w:t>
      </w:r>
      <w:r>
        <w:rPr>
          <w:rFonts w:ascii="Times New Roman" w:hAnsi="Times New Roman"/>
          <w:spacing w:val="35"/>
          <w:sz w:val="24"/>
          <w:u w:val="single" w:color="000000"/>
        </w:rPr>
        <w:t> </w:t>
      </w:r>
      <w:r>
        <w:rPr>
          <w:rFonts w:ascii="Times New Roman" w:hAnsi="Times New Roman"/>
          <w:sz w:val="24"/>
          <w:u w:val="single" w:color="000000"/>
        </w:rPr>
        <w:t>за</w:t>
      </w:r>
      <w:r>
        <w:rPr>
          <w:rFonts w:ascii="Times New Roman" w:hAnsi="Times New Roman"/>
          <w:spacing w:val="38"/>
          <w:sz w:val="24"/>
          <w:u w:val="single" w:color="000000"/>
        </w:rPr>
        <w:t> </w:t>
      </w:r>
      <w:r>
        <w:rPr>
          <w:rFonts w:ascii="Times New Roman" w:hAnsi="Times New Roman"/>
          <w:sz w:val="24"/>
          <w:u w:val="single" w:color="000000"/>
        </w:rPr>
        <w:t>финансије,</w:t>
      </w:r>
      <w:r>
        <w:rPr>
          <w:rFonts w:ascii="Times New Roman" w:hAnsi="Times New Roman"/>
          <w:spacing w:val="36"/>
          <w:sz w:val="24"/>
          <w:u w:val="single" w:color="000000"/>
        </w:rPr>
        <w:t> </w:t>
      </w:r>
      <w:r>
        <w:rPr>
          <w:rFonts w:ascii="Times New Roman" w:hAnsi="Times New Roman"/>
          <w:sz w:val="24"/>
          <w:u w:val="single" w:color="000000"/>
        </w:rPr>
        <w:t>изворне</w:t>
      </w:r>
      <w:r>
        <w:rPr>
          <w:rFonts w:ascii="Times New Roman" w:hAnsi="Times New Roman"/>
          <w:spacing w:val="36"/>
          <w:sz w:val="24"/>
          <w:u w:val="single" w:color="000000"/>
        </w:rPr>
        <w:t> </w:t>
      </w:r>
      <w:r>
        <w:rPr>
          <w:rFonts w:ascii="Times New Roman" w:hAnsi="Times New Roman"/>
          <w:sz w:val="24"/>
          <w:u w:val="single" w:color="000000"/>
        </w:rPr>
        <w:t>приходе</w:t>
      </w:r>
      <w:r>
        <w:rPr>
          <w:rFonts w:ascii="Times New Roman" w:hAnsi="Times New Roman"/>
          <w:spacing w:val="36"/>
          <w:sz w:val="24"/>
          <w:u w:val="single" w:color="000000"/>
        </w:rPr>
        <w:t> </w:t>
      </w:r>
      <w:r>
        <w:rPr>
          <w:rFonts w:ascii="Times New Roman" w:hAnsi="Times New Roman"/>
          <w:sz w:val="24"/>
          <w:u w:val="single" w:color="000000"/>
        </w:rPr>
        <w:t>локалне</w:t>
      </w:r>
      <w:r>
        <w:rPr>
          <w:rFonts w:ascii="Times New Roman" w:hAnsi="Times New Roman"/>
          <w:spacing w:val="36"/>
          <w:sz w:val="24"/>
          <w:u w:val="single" w:color="000000"/>
        </w:rPr>
        <w:t> </w:t>
      </w:r>
      <w:r>
        <w:rPr>
          <w:rFonts w:ascii="Times New Roman" w:hAnsi="Times New Roman"/>
          <w:sz w:val="24"/>
          <w:u w:val="single" w:color="000000"/>
        </w:rPr>
        <w:t>самоуправе</w:t>
      </w:r>
      <w:r>
        <w:rPr>
          <w:rFonts w:ascii="Times New Roman" w:hAnsi="Times New Roman"/>
          <w:spacing w:val="36"/>
          <w:sz w:val="24"/>
          <w:u w:val="single" w:color="000000"/>
        </w:rPr>
        <w:t> </w:t>
      </w:r>
      <w:r>
        <w:rPr>
          <w:rFonts w:ascii="Times New Roman" w:hAnsi="Times New Roman"/>
          <w:sz w:val="24"/>
          <w:u w:val="single" w:color="000000"/>
        </w:rPr>
        <w:t>и</w:t>
      </w:r>
      <w:r>
        <w:rPr>
          <w:rFonts w:ascii="Times New Roman" w:hAnsi="Times New Roman"/>
          <w:spacing w:val="38"/>
          <w:sz w:val="24"/>
          <w:u w:val="single" w:color="000000"/>
        </w:rPr>
        <w:t> </w:t>
      </w:r>
      <w:r>
        <w:rPr>
          <w:rFonts w:ascii="Times New Roman" w:hAnsi="Times New Roman"/>
          <w:spacing w:val="2"/>
          <w:sz w:val="24"/>
          <w:u w:val="single" w:color="000000"/>
        </w:rPr>
        <w:t>јавне</w:t>
      </w:r>
      <w:r>
        <w:rPr>
          <w:rFonts w:ascii="Times New Roman" w:hAnsi="Times New Roman"/>
          <w:spacing w:val="2"/>
          <w:sz w:val="24"/>
        </w:rPr>
      </w:r>
      <w:r>
        <w:rPr>
          <w:rFonts w:ascii="Times New Roman" w:hAnsi="Times New Roman"/>
          <w:sz w:val="24"/>
        </w:rPr>
      </w:r>
    </w:p>
    <w:p>
      <w:pPr>
        <w:pStyle w:val="BodyText"/>
        <w:spacing w:line="240" w:lineRule="auto"/>
        <w:ind w:right="0"/>
        <w:jc w:val="both"/>
      </w:pPr>
      <w:r>
        <w:rPr>
          <w:rFonts w:ascii="Times New Roman" w:hAnsi="Times New Roman"/>
        </w:rPr>
      </w:r>
      <w:r>
        <w:rPr>
          <w:rFonts w:ascii="Times New Roman" w:hAnsi="Times New Roman"/>
          <w:spacing w:val="-60"/>
          <w:u w:val="single" w:color="000000"/>
        </w:rPr>
        <w:t> </w:t>
      </w:r>
      <w:r>
        <w:rPr>
          <w:u w:val="single" w:color="000000"/>
        </w:rPr>
        <w:t>набавке </w:t>
      </w:r>
      <w:r>
        <w:rPr/>
        <w:t>није исказан</w:t>
      </w:r>
      <w:r>
        <w:rPr>
          <w:spacing w:val="-11"/>
        </w:rPr>
        <w:t> </w:t>
      </w:r>
      <w:r>
        <w:rPr/>
        <w:t>износ.</w:t>
      </w:r>
    </w:p>
    <w:p>
      <w:pPr>
        <w:spacing w:before="0"/>
        <w:ind w:left="160" w:right="173" w:firstLine="578"/>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код Управе за финансије, изворне приходе локалне самоуправе и јавне набавке није исказана вредност датих меница у износу од 73.951 хиљаде динара по основу обезбеђења плаћања  </w:t>
      </w:r>
      <w:r>
        <w:rPr>
          <w:rFonts w:ascii="Times New Roman" w:hAnsi="Times New Roman"/>
          <w:spacing w:val="49"/>
          <w:sz w:val="24"/>
        </w:rPr>
        <w:t> </w:t>
      </w:r>
      <w:r>
        <w:rPr>
          <w:rFonts w:ascii="Times New Roman" w:hAnsi="Times New Roman"/>
          <w:sz w:val="24"/>
        </w:rPr>
        <w:t>кредита</w:t>
      </w:r>
    </w:p>
    <w:p>
      <w:pPr>
        <w:spacing w:after="0"/>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237"/>
        <w:jc w:val="both"/>
      </w:pPr>
      <w:r>
        <w:rPr/>
        <w:t>узетог од Фонда за развој Републике Србије. Истовремено, за исти износ мање </w:t>
      </w:r>
      <w:r>
        <w:rPr>
          <w:spacing w:val="2"/>
        </w:rPr>
        <w:t>је </w:t>
      </w:r>
      <w:r>
        <w:rPr>
          <w:spacing w:val="2"/>
        </w:rPr>
      </w:r>
      <w:r>
        <w:rPr/>
        <w:t>исказана вредност на позицији 352000 – ванбилансна</w:t>
      </w:r>
      <w:r>
        <w:rPr>
          <w:spacing w:val="-20"/>
        </w:rPr>
        <w:t> </w:t>
      </w:r>
      <w:r>
        <w:rPr/>
        <w:t>пасива.</w:t>
      </w:r>
    </w:p>
    <w:p>
      <w:pPr>
        <w:pStyle w:val="Heading2"/>
        <w:spacing w:line="274" w:lineRule="exact"/>
        <w:ind w:left="786" w:right="0" w:firstLine="0"/>
        <w:jc w:val="left"/>
        <w:rPr>
          <w:b w:val="0"/>
          <w:bCs w:val="0"/>
          <w:i w:val="0"/>
        </w:rPr>
      </w:pPr>
      <w:r>
        <w:rPr>
          <w:i/>
        </w:rPr>
        <w:t>Препоручује се одговорним лицима да евидентирају дате</w:t>
      </w:r>
      <w:r>
        <w:rPr>
          <w:i/>
          <w:spacing w:val="-15"/>
        </w:rPr>
        <w:t> </w:t>
      </w:r>
      <w:r>
        <w:rPr>
          <w:i/>
        </w:rPr>
        <w:t>менице.</w:t>
      </w:r>
      <w:r>
        <w:rPr>
          <w:b w:val="0"/>
          <w:i w:val="0"/>
        </w:rPr>
      </w:r>
    </w:p>
    <w:p>
      <w:pPr>
        <w:pStyle w:val="BodyText"/>
        <w:spacing w:line="240" w:lineRule="auto"/>
        <w:ind w:right="235"/>
        <w:jc w:val="both"/>
      </w:pPr>
      <w:r>
        <w:rPr>
          <w:rFonts w:ascii="Times New Roman" w:hAnsi="Times New Roman"/>
        </w:rPr>
        <w:t>- </w:t>
      </w:r>
      <w:r>
        <w:rPr/>
        <w:t>У билансу стања </w:t>
      </w:r>
      <w:r>
        <w:rPr>
          <w:rFonts w:ascii="Times New Roman" w:hAnsi="Times New Roman"/>
        </w:rPr>
      </w:r>
      <w:r>
        <w:rPr>
          <w:rFonts w:ascii="Times New Roman" w:hAnsi="Times New Roman"/>
          <w:u w:val="single" w:color="000000"/>
        </w:rPr>
      </w:r>
      <w:r>
        <w:rPr>
          <w:u w:val="single" w:color="000000"/>
        </w:rPr>
        <w:t>Службе за одржавање и информатичко</w:t>
      </w:r>
      <w:r>
        <w:rPr>
          <w:rFonts w:ascii="Times New Roman" w:hAnsi="Times New Roman"/>
          <w:u w:val="single" w:color="000000"/>
        </w:rPr>
        <w:t>-</w:t>
      </w:r>
      <w:r>
        <w:rPr>
          <w:u w:val="single" w:color="000000"/>
        </w:rPr>
        <w:t>комуникационе технологије </w:t>
      </w:r>
      <w:r>
        <w:rPr/>
      </w:r>
      <w:r>
        <w:rPr/>
        <w:t>није исказан</w:t>
      </w:r>
      <w:r>
        <w:rPr>
          <w:spacing w:val="-8"/>
        </w:rPr>
        <w:t> </w:t>
      </w:r>
      <w:r>
        <w:rPr/>
        <w:t>износ.</w:t>
      </w:r>
    </w:p>
    <w:p>
      <w:pPr>
        <w:pStyle w:val="BodyText"/>
        <w:spacing w:line="240" w:lineRule="auto"/>
        <w:ind w:right="233" w:firstLine="578"/>
        <w:jc w:val="both"/>
      </w:pPr>
      <w:r>
        <w:rPr>
          <w:rFonts w:ascii="Times New Roman" w:hAnsi="Times New Roman" w:cs="Times New Roman" w:eastAsia="Times New Roman" w:hint="default"/>
          <w:b/>
          <w:bCs/>
        </w:rPr>
        <w:t>На основу ревизије узорковане документације утврђено је </w:t>
      </w:r>
      <w:r>
        <w:rPr/>
        <w:t>да код Службе за одржавање и информатичко</w:t>
      </w:r>
      <w:r>
        <w:rPr>
          <w:rFonts w:ascii="Times New Roman" w:hAnsi="Times New Roman" w:cs="Times New Roman" w:eastAsia="Times New Roman" w:hint="default"/>
        </w:rPr>
        <w:t>-</w:t>
      </w:r>
      <w:r>
        <w:rPr/>
        <w:t>комуникационе технологије није исказана вредност примљених меница у износу од </w:t>
      </w:r>
      <w:r>
        <w:rPr>
          <w:rFonts w:ascii="Times New Roman" w:hAnsi="Times New Roman" w:cs="Times New Roman" w:eastAsia="Times New Roman" w:hint="default"/>
        </w:rPr>
        <w:t>4.727 </w:t>
      </w:r>
      <w:r>
        <w:rPr/>
        <w:t>хиљада динара по основу гаранција за добро извршење посла, јер исте нису евидентиране</w:t>
      </w:r>
      <w:r>
        <w:rPr>
          <w:rFonts w:ascii="Times New Roman" w:hAnsi="Times New Roman" w:cs="Times New Roman" w:eastAsia="Times New Roman" w:hint="default"/>
        </w:rPr>
        <w:t>. </w:t>
      </w:r>
      <w:r>
        <w:rPr/>
        <w:t>Истовремено, за исти износ мање је исказана вредност на позицији 352000 – ванбилансна</w:t>
      </w:r>
      <w:r>
        <w:rPr>
          <w:spacing w:val="-20"/>
        </w:rPr>
        <w:t> </w:t>
      </w:r>
      <w:r>
        <w:rPr/>
        <w:t>пасива.</w:t>
      </w:r>
    </w:p>
    <w:p>
      <w:pPr>
        <w:pStyle w:val="Heading2"/>
        <w:spacing w:line="240" w:lineRule="auto"/>
        <w:ind w:left="738" w:right="0" w:firstLine="0"/>
        <w:jc w:val="left"/>
        <w:rPr>
          <w:b w:val="0"/>
          <w:bCs w:val="0"/>
          <w:i w:val="0"/>
        </w:rPr>
      </w:pPr>
      <w:r>
        <w:rPr>
          <w:i/>
        </w:rPr>
        <w:t>Препоручује се одговорним лицима да евидентирају примљене</w:t>
      </w:r>
      <w:r>
        <w:rPr>
          <w:i/>
          <w:spacing w:val="-20"/>
        </w:rPr>
        <w:t> </w:t>
      </w:r>
      <w:r>
        <w:rPr>
          <w:i/>
        </w:rPr>
        <w:t>менице.</w:t>
      </w:r>
      <w:r>
        <w:rPr>
          <w:b w:val="0"/>
          <w:i w:val="0"/>
        </w:rPr>
      </w:r>
    </w:p>
    <w:p>
      <w:pPr>
        <w:pStyle w:val="Heading1"/>
        <w:numPr>
          <w:ilvl w:val="2"/>
          <w:numId w:val="87"/>
        </w:numPr>
        <w:tabs>
          <w:tab w:pos="761" w:val="left" w:leader="none"/>
        </w:tabs>
        <w:spacing w:line="274" w:lineRule="exact" w:before="161" w:after="0"/>
        <w:ind w:left="760" w:right="0" w:hanging="600"/>
        <w:jc w:val="both"/>
        <w:rPr>
          <w:b w:val="0"/>
          <w:bCs w:val="0"/>
        </w:rPr>
      </w:pPr>
      <w:bookmarkStart w:name="_bookmark55" w:id="95"/>
      <w:bookmarkEnd w:id="95"/>
      <w:r>
        <w:rPr>
          <w:b w:val="0"/>
        </w:rPr>
      </w:r>
      <w:bookmarkStart w:name="_bookmark55" w:id="96"/>
      <w:bookmarkEnd w:id="96"/>
      <w:r>
        <w:rPr/>
        <w:t>Пасива</w:t>
      </w:r>
      <w:r>
        <w:rPr>
          <w:b w:val="0"/>
        </w:rPr>
      </w:r>
    </w:p>
    <w:p>
      <w:pPr>
        <w:pStyle w:val="BodyText"/>
        <w:spacing w:line="240" w:lineRule="auto"/>
        <w:ind w:right="235" w:firstLine="566"/>
        <w:jc w:val="both"/>
      </w:pPr>
      <w:r>
        <w:rPr/>
        <w:t>Укупна пасива исказана у Консолидованом Билансу стања града Ниша за 201</w:t>
      </w:r>
      <w:r>
        <w:rPr>
          <w:rFonts w:ascii="Times New Roman" w:hAnsi="Times New Roman"/>
        </w:rPr>
        <w:t>4. </w:t>
      </w:r>
      <w:r>
        <w:rPr/>
        <w:t>годину износи </w:t>
      </w:r>
      <w:r>
        <w:rPr>
          <w:rFonts w:ascii="Times New Roman" w:hAnsi="Times New Roman"/>
        </w:rPr>
        <w:t>25.812.437 </w:t>
      </w:r>
      <w:r>
        <w:rPr/>
        <w:t>хиљада</w:t>
      </w:r>
      <w:r>
        <w:rPr>
          <w:spacing w:val="-9"/>
        </w:rPr>
        <w:t> </w:t>
      </w:r>
      <w:r>
        <w:rPr/>
        <w:t>динара.</w:t>
      </w:r>
    </w:p>
    <w:p>
      <w:pPr>
        <w:pStyle w:val="Heading1"/>
        <w:numPr>
          <w:ilvl w:val="3"/>
          <w:numId w:val="87"/>
        </w:numPr>
        <w:tabs>
          <w:tab w:pos="986" w:val="left" w:leader="none"/>
        </w:tabs>
        <w:spacing w:line="274" w:lineRule="exact" w:before="5" w:after="0"/>
        <w:ind w:left="986" w:right="0" w:hanging="260"/>
        <w:jc w:val="left"/>
        <w:rPr>
          <w:b w:val="0"/>
          <w:bCs w:val="0"/>
        </w:rPr>
      </w:pPr>
      <w:r>
        <w:rPr/>
        <w:t>Обавезе</w:t>
      </w:r>
      <w:r>
        <w:rPr>
          <w:b w:val="0"/>
        </w:rPr>
      </w:r>
    </w:p>
    <w:p>
      <w:pPr>
        <w:pStyle w:val="BodyText"/>
        <w:spacing w:line="240" w:lineRule="auto"/>
        <w:ind w:right="237" w:firstLine="566"/>
        <w:jc w:val="both"/>
      </w:pPr>
      <w:r>
        <w:rPr/>
        <w:t>Обавезе су исказане у износу од 4.147.009 хиљада динара, од чега се 1.335.112 хиљада динара односи на дугорочне обавезе, 4.171 хиљада динара на краткорочне обавезе, 113.756 хиљада динара на обавезе по основу расхода за запослене, </w:t>
      </w:r>
      <w:r>
        <w:rPr>
          <w:rFonts w:ascii="Times New Roman" w:hAnsi="Times New Roman"/>
        </w:rPr>
        <w:t>1.006.780 </w:t>
      </w:r>
      <w:r>
        <w:rPr/>
        <w:t>хиљада  динара  на  обавезе  по  основу  осталих  расхода,  изузев  расхода  за </w:t>
      </w:r>
      <w:r>
        <w:rPr>
          <w:spacing w:val="53"/>
        </w:rPr>
        <w:t> </w:t>
      </w:r>
      <w:r>
        <w:rPr/>
        <w:t>запослене,</w:t>
      </w:r>
    </w:p>
    <w:p>
      <w:pPr>
        <w:pStyle w:val="BodyText"/>
        <w:spacing w:line="240" w:lineRule="auto"/>
        <w:ind w:right="240"/>
        <w:jc w:val="both"/>
      </w:pPr>
      <w:r>
        <w:rPr/>
        <w:t>1.215.064 хиљаде динара на обавезе из пословања и 472.126 хиљада динара на пасивна временска</w:t>
      </w:r>
      <w:r>
        <w:rPr>
          <w:spacing w:val="-8"/>
        </w:rPr>
        <w:t> </w:t>
      </w:r>
      <w:r>
        <w:rPr/>
        <w:t>разграничења.</w:t>
      </w:r>
    </w:p>
    <w:p>
      <w:pPr>
        <w:pStyle w:val="BodyText"/>
        <w:spacing w:line="240" w:lineRule="auto"/>
        <w:ind w:right="237" w:firstLine="566"/>
        <w:jc w:val="both"/>
      </w:pPr>
      <w:r>
        <w:rPr/>
        <w:t>Исказане су обавезе у билансима стања код следећих директних и индиректних буџетских корисника и</w:t>
      </w:r>
      <w:r>
        <w:rPr>
          <w:spacing w:val="-12"/>
        </w:rPr>
        <w:t> </w:t>
      </w:r>
      <w:r>
        <w:rPr/>
        <w:t>то:</w:t>
      </w:r>
    </w:p>
    <w:p>
      <w:pPr>
        <w:pStyle w:val="ListParagraph"/>
        <w:numPr>
          <w:ilvl w:val="0"/>
          <w:numId w:val="88"/>
        </w:numPr>
        <w:tabs>
          <w:tab w:pos="444" w:val="left" w:leader="none"/>
        </w:tabs>
        <w:spacing w:line="240" w:lineRule="auto" w:before="0" w:after="0"/>
        <w:ind w:left="160" w:right="0" w:firstLine="0"/>
        <w:jc w:val="both"/>
        <w:rPr>
          <w:rFonts w:ascii="Times New Roman" w:hAnsi="Times New Roman" w:cs="Times New Roman" w:eastAsia="Times New Roman" w:hint="default"/>
          <w:sz w:val="24"/>
          <w:szCs w:val="24"/>
        </w:rPr>
      </w:pPr>
      <w:r>
        <w:rPr>
          <w:rFonts w:ascii="Times New Roman" w:hAnsi="Times New Roman"/>
          <w:spacing w:val="-60"/>
          <w:sz w:val="24"/>
          <w:u w:val="single" w:color="000000"/>
        </w:rPr>
        <w:t> </w:t>
      </w:r>
      <w:r>
        <w:rPr>
          <w:rFonts w:ascii="Times New Roman" w:hAnsi="Times New Roman"/>
          <w:sz w:val="24"/>
          <w:u w:val="single" w:color="000000"/>
        </w:rPr>
        <w:t>Скупштина града </w:t>
      </w:r>
      <w:r>
        <w:rPr>
          <w:rFonts w:ascii="Times New Roman" w:hAnsi="Times New Roman"/>
          <w:sz w:val="24"/>
        </w:rPr>
        <w:t>у износу од 5.746 хиљада</w:t>
      </w:r>
      <w:r>
        <w:rPr>
          <w:rFonts w:ascii="Times New Roman" w:hAnsi="Times New Roman"/>
          <w:spacing w:val="-13"/>
          <w:sz w:val="24"/>
        </w:rPr>
        <w:t> </w:t>
      </w:r>
      <w:r>
        <w:rPr>
          <w:rFonts w:ascii="Times New Roman" w:hAnsi="Times New Roman"/>
          <w:sz w:val="24"/>
        </w:rPr>
        <w:t>динара</w:t>
      </w:r>
      <w:r>
        <w:rPr>
          <w:rFonts w:ascii="Times New Roman" w:hAnsi="Times New Roman"/>
          <w:sz w:val="24"/>
        </w:rPr>
        <w:t>.</w:t>
      </w:r>
    </w:p>
    <w:p>
      <w:pPr>
        <w:pStyle w:val="Heading1"/>
        <w:spacing w:line="275" w:lineRule="exact"/>
        <w:ind w:right="0"/>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23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Мање су исказане обавезе у износу од најмање 6.186 хиљада динара јер нису евидентиране обавезе и то за: део плате за децембар 2014. године, социјалне доприносе на терет послодавца, обавеза за умањење основице зараде од 10% за децембар 2014. године, обавеза за паушал, превоз и дневнице одборника, накнаде изабраних лица која нису на сталном раду, дотације политичким партијама. Истовремено, за исти износ мање је исказан износ на конту </w:t>
      </w:r>
      <w:r>
        <w:rPr>
          <w:rFonts w:ascii="Times New Roman" w:hAnsi="Times New Roman" w:cs="Times New Roman" w:eastAsia="Times New Roman" w:hint="default"/>
          <w:sz w:val="24"/>
          <w:szCs w:val="24"/>
        </w:rPr>
        <w:t>131200 </w:t>
      </w:r>
      <w:r>
        <w:rPr>
          <w:rFonts w:ascii="Times New Roman" w:hAnsi="Times New Roman" w:cs="Times New Roman" w:eastAsia="Times New Roman" w:hint="default"/>
          <w:sz w:val="24"/>
          <w:szCs w:val="24"/>
        </w:rPr>
        <w:t>– обрачунати неплаћени расходи и</w:t>
      </w:r>
      <w:r>
        <w:rPr>
          <w:rFonts w:ascii="Times New Roman" w:hAnsi="Times New Roman" w:cs="Times New Roman" w:eastAsia="Times New Roman" w:hint="default"/>
          <w:spacing w:val="-28"/>
          <w:sz w:val="24"/>
          <w:szCs w:val="24"/>
        </w:rPr>
        <w:t> </w:t>
      </w:r>
      <w:r>
        <w:rPr>
          <w:rFonts w:ascii="Times New Roman" w:hAnsi="Times New Roman" w:cs="Times New Roman" w:eastAsia="Times New Roman" w:hint="default"/>
          <w:sz w:val="24"/>
          <w:szCs w:val="24"/>
        </w:rPr>
        <w:t>издаци.</w:t>
      </w:r>
    </w:p>
    <w:p>
      <w:pPr>
        <w:pStyle w:val="ListParagraph"/>
        <w:numPr>
          <w:ilvl w:val="0"/>
          <w:numId w:val="9"/>
        </w:numPr>
        <w:tabs>
          <w:tab w:pos="303" w:val="left" w:leader="none"/>
        </w:tabs>
        <w:spacing w:line="274" w:lineRule="exact" w:before="24" w:after="0"/>
        <w:ind w:left="160" w:right="233" w:firstLine="0"/>
        <w:jc w:val="both"/>
        <w:rPr>
          <w:rFonts w:ascii="Times New Roman" w:hAnsi="Times New Roman" w:cs="Times New Roman" w:eastAsia="Times New Roman" w:hint="default"/>
          <w:sz w:val="24"/>
          <w:szCs w:val="24"/>
        </w:rPr>
      </w:pPr>
      <w:r>
        <w:rPr>
          <w:rFonts w:ascii="Times New Roman" w:hAnsi="Times New Roman"/>
          <w:sz w:val="24"/>
        </w:rPr>
        <w:t>Скупштина града је преузела обавезе преко одобрених апропријација у укупном износу од 4.214 хиљада динара</w:t>
      </w:r>
      <w:r>
        <w:rPr>
          <w:rFonts w:ascii="Times New Roman" w:hAnsi="Times New Roman"/>
          <w:sz w:val="24"/>
        </w:rPr>
        <w:t>, </w:t>
      </w:r>
      <w:r>
        <w:rPr>
          <w:rFonts w:ascii="Times New Roman" w:hAnsi="Times New Roman"/>
          <w:sz w:val="24"/>
        </w:rPr>
        <w:t>што је супротно члану 54. Закона о буџетском систему и</w:t>
      </w:r>
      <w:r>
        <w:rPr>
          <w:rFonts w:ascii="Times New Roman" w:hAnsi="Times New Roman"/>
          <w:spacing w:val="-20"/>
          <w:sz w:val="24"/>
        </w:rPr>
        <w:t> </w:t>
      </w:r>
      <w:r>
        <w:rPr>
          <w:rFonts w:ascii="Times New Roman" w:hAnsi="Times New Roman"/>
          <w:sz w:val="24"/>
        </w:rPr>
        <w:t>то:</w:t>
      </w:r>
    </w:p>
    <w:p>
      <w:pPr>
        <w:spacing w:before="0" w:after="4"/>
        <w:ind w:left="0" w:right="238" w:firstLine="0"/>
        <w:jc w:val="right"/>
        <w:rPr>
          <w:rFonts w:ascii="Times New Roman" w:hAnsi="Times New Roman" w:cs="Times New Roman" w:eastAsia="Times New Roman" w:hint="default"/>
          <w:sz w:val="18"/>
          <w:szCs w:val="18"/>
        </w:rPr>
      </w:pPr>
      <w:r>
        <w:rPr>
          <w:rFonts w:ascii="Times New Roman" w:hAnsi="Times New Roman"/>
          <w:sz w:val="18"/>
        </w:rPr>
        <w:t>(</w:t>
      </w:r>
      <w:r>
        <w:rPr>
          <w:rFonts w:ascii="Times New Roman" w:hAnsi="Times New Roman"/>
          <w:sz w:val="18"/>
        </w:rPr>
        <w:t>у хиљадама</w:t>
      </w:r>
      <w:r>
        <w:rPr>
          <w:rFonts w:ascii="Times New Roman" w:hAnsi="Times New Roman"/>
          <w:spacing w:val="-8"/>
          <w:sz w:val="18"/>
        </w:rPr>
        <w:t> </w:t>
      </w:r>
      <w:r>
        <w:rPr>
          <w:rFonts w:ascii="Times New Roman" w:hAnsi="Times New Roman"/>
          <w:sz w:val="18"/>
        </w:rPr>
        <w:t>динара</w:t>
      </w:r>
      <w:r>
        <w:rPr>
          <w:rFonts w:ascii="Times New Roman" w:hAnsi="Times New Roman"/>
          <w:sz w:val="18"/>
        </w:rPr>
        <w:t>)</w:t>
      </w:r>
    </w:p>
    <w:tbl>
      <w:tblPr>
        <w:tblW w:w="0" w:type="auto"/>
        <w:jc w:val="left"/>
        <w:tblInd w:w="155" w:type="dxa"/>
        <w:tblLayout w:type="fixed"/>
        <w:tblCellMar>
          <w:top w:w="0" w:type="dxa"/>
          <w:left w:w="0" w:type="dxa"/>
          <w:bottom w:w="0" w:type="dxa"/>
          <w:right w:w="0" w:type="dxa"/>
        </w:tblCellMar>
        <w:tblLook w:val="01E0"/>
      </w:tblPr>
      <w:tblGrid>
        <w:gridCol w:w="3262"/>
        <w:gridCol w:w="1275"/>
        <w:gridCol w:w="1418"/>
        <w:gridCol w:w="1133"/>
        <w:gridCol w:w="1277"/>
        <w:gridCol w:w="991"/>
      </w:tblGrid>
      <w:tr>
        <w:trPr>
          <w:trHeight w:val="218" w:hRule="exact"/>
        </w:trPr>
        <w:tc>
          <w:tcPr>
            <w:tcW w:w="3262" w:type="dxa"/>
            <w:vMerge w:val="restart"/>
            <w:tcBorders>
              <w:top w:val="single" w:sz="4" w:space="0" w:color="000000"/>
              <w:left w:val="single" w:sz="4" w:space="0" w:color="000000"/>
              <w:right w:val="single" w:sz="4" w:space="0" w:color="000000"/>
            </w:tcBorders>
          </w:tcPr>
          <w:p>
            <w:pPr>
              <w:pStyle w:val="TableParagraph"/>
              <w:spacing w:line="202" w:lineRule="exact"/>
              <w:ind w:left="952" w:right="0"/>
              <w:jc w:val="left"/>
              <w:rPr>
                <w:rFonts w:ascii="Times New Roman" w:hAnsi="Times New Roman" w:cs="Times New Roman" w:eastAsia="Times New Roman" w:hint="default"/>
                <w:sz w:val="18"/>
                <w:szCs w:val="18"/>
              </w:rPr>
            </w:pPr>
            <w:r>
              <w:rPr>
                <w:rFonts w:ascii="Times New Roman" w:hAnsi="Times New Roman"/>
                <w:sz w:val="18"/>
              </w:rPr>
              <w:t>Скупштина</w:t>
            </w:r>
            <w:r>
              <w:rPr>
                <w:rFonts w:ascii="Times New Roman" w:hAnsi="Times New Roman"/>
                <w:spacing w:val="-5"/>
                <w:sz w:val="18"/>
              </w:rPr>
              <w:t> </w:t>
            </w:r>
            <w:r>
              <w:rPr>
                <w:rFonts w:ascii="Times New Roman" w:hAnsi="Times New Roman"/>
                <w:sz w:val="18"/>
              </w:rPr>
              <w:t>града</w:t>
            </w:r>
          </w:p>
        </w:tc>
        <w:tc>
          <w:tcPr>
            <w:tcW w:w="6095" w:type="dxa"/>
            <w:gridSpan w:val="5"/>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2083" w:right="0"/>
              <w:jc w:val="left"/>
              <w:rPr>
                <w:rFonts w:ascii="Times New Roman" w:hAnsi="Times New Roman" w:cs="Times New Roman" w:eastAsia="Times New Roman" w:hint="default"/>
                <w:sz w:val="18"/>
                <w:szCs w:val="18"/>
              </w:rPr>
            </w:pPr>
            <w:r>
              <w:rPr>
                <w:rFonts w:ascii="Times New Roman" w:hAnsi="Times New Roman"/>
                <w:sz w:val="18"/>
              </w:rPr>
              <w:t>Функционална класификација</w:t>
            </w:r>
            <w:r>
              <w:rPr>
                <w:rFonts w:ascii="Times New Roman" w:hAnsi="Times New Roman"/>
                <w:spacing w:val="-12"/>
                <w:sz w:val="18"/>
              </w:rPr>
              <w:t> </w:t>
            </w:r>
            <w:r>
              <w:rPr>
                <w:rFonts w:ascii="Times New Roman" w:hAnsi="Times New Roman"/>
                <w:sz w:val="18"/>
              </w:rPr>
              <w:t>111</w:t>
            </w:r>
          </w:p>
        </w:tc>
      </w:tr>
      <w:tr>
        <w:trPr>
          <w:trHeight w:val="422" w:hRule="exact"/>
        </w:trPr>
        <w:tc>
          <w:tcPr>
            <w:tcW w:w="3262" w:type="dxa"/>
            <w:vMerge/>
            <w:tcBorders>
              <w:left w:val="single" w:sz="4" w:space="0" w:color="000000"/>
              <w:bottom w:val="single" w:sz="4" w:space="0" w:color="000000"/>
              <w:right w:val="single" w:sz="4" w:space="0" w:color="000000"/>
            </w:tcBorders>
          </w:tcPr>
          <w:p>
            <w:pPr/>
          </w:p>
        </w:tc>
        <w:tc>
          <w:tcPr>
            <w:tcW w:w="127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59" w:right="250" w:firstLine="230"/>
              <w:jc w:val="left"/>
              <w:rPr>
                <w:rFonts w:ascii="Times New Roman" w:hAnsi="Times New Roman" w:cs="Times New Roman" w:eastAsia="Times New Roman" w:hint="default"/>
                <w:sz w:val="18"/>
                <w:szCs w:val="18"/>
              </w:rPr>
            </w:pPr>
            <w:r>
              <w:rPr>
                <w:rFonts w:ascii="Times New Roman" w:hAnsi="Times New Roman"/>
                <w:sz w:val="18"/>
              </w:rPr>
              <w:t>Група конта</w:t>
            </w:r>
            <w:r>
              <w:rPr>
                <w:rFonts w:ascii="Times New Roman" w:hAnsi="Times New Roman"/>
                <w:spacing w:val="-2"/>
                <w:sz w:val="18"/>
              </w:rPr>
              <w:t> </w:t>
            </w:r>
            <w:r>
              <w:rPr>
                <w:rFonts w:ascii="Times New Roman" w:hAnsi="Times New Roman"/>
                <w:sz w:val="18"/>
              </w:rPr>
              <w:t>413</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417" w:right="237" w:firstLine="144"/>
              <w:jc w:val="left"/>
              <w:rPr>
                <w:rFonts w:ascii="Times New Roman" w:hAnsi="Times New Roman" w:cs="Times New Roman" w:eastAsia="Times New Roman" w:hint="default"/>
                <w:sz w:val="18"/>
                <w:szCs w:val="18"/>
              </w:rPr>
            </w:pPr>
            <w:r>
              <w:rPr>
                <w:rFonts w:ascii="Times New Roman" w:hAnsi="Times New Roman"/>
                <w:sz w:val="18"/>
              </w:rPr>
              <w:t>Група конта</w:t>
            </w:r>
            <w:r>
              <w:rPr>
                <w:rFonts w:ascii="Times New Roman" w:hAnsi="Times New Roman"/>
                <w:spacing w:val="-3"/>
                <w:sz w:val="18"/>
              </w:rPr>
              <w:t> </w:t>
            </w:r>
            <w:r>
              <w:rPr>
                <w:rFonts w:ascii="Times New Roman" w:hAnsi="Times New Roman"/>
                <w:sz w:val="18"/>
              </w:rPr>
              <w:t>416</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87" w:right="182" w:firstLine="232"/>
              <w:jc w:val="left"/>
              <w:rPr>
                <w:rFonts w:ascii="Times New Roman" w:hAnsi="Times New Roman" w:cs="Times New Roman" w:eastAsia="Times New Roman" w:hint="default"/>
                <w:sz w:val="18"/>
                <w:szCs w:val="18"/>
              </w:rPr>
            </w:pPr>
            <w:r>
              <w:rPr>
                <w:rFonts w:ascii="Times New Roman" w:hAnsi="Times New Roman"/>
                <w:sz w:val="18"/>
              </w:rPr>
              <w:t>Група конта</w:t>
            </w:r>
            <w:r>
              <w:rPr>
                <w:rFonts w:ascii="Times New Roman" w:hAnsi="Times New Roman"/>
                <w:spacing w:val="-3"/>
                <w:sz w:val="18"/>
              </w:rPr>
              <w:t> </w:t>
            </w:r>
            <w:r>
              <w:rPr>
                <w:rFonts w:ascii="Times New Roman" w:hAnsi="Times New Roman"/>
                <w:sz w:val="18"/>
              </w:rPr>
              <w:t>417</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59" w:right="253" w:firstLine="232"/>
              <w:jc w:val="left"/>
              <w:rPr>
                <w:rFonts w:ascii="Times New Roman" w:hAnsi="Times New Roman" w:cs="Times New Roman" w:eastAsia="Times New Roman" w:hint="default"/>
                <w:sz w:val="18"/>
                <w:szCs w:val="18"/>
              </w:rPr>
            </w:pPr>
            <w:r>
              <w:rPr>
                <w:rFonts w:ascii="Times New Roman" w:hAnsi="Times New Roman"/>
                <w:sz w:val="18"/>
              </w:rPr>
              <w:t>Група конта</w:t>
            </w:r>
            <w:r>
              <w:rPr>
                <w:rFonts w:ascii="Times New Roman" w:hAnsi="Times New Roman"/>
                <w:spacing w:val="-3"/>
                <w:sz w:val="18"/>
              </w:rPr>
              <w:t> </w:t>
            </w:r>
            <w:r>
              <w:rPr>
                <w:rFonts w:ascii="Times New Roman" w:hAnsi="Times New Roman"/>
                <w:sz w:val="18"/>
              </w:rPr>
              <w:t>423</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17" w:right="109" w:firstLine="230"/>
              <w:jc w:val="left"/>
              <w:rPr>
                <w:rFonts w:ascii="Times New Roman" w:hAnsi="Times New Roman" w:cs="Times New Roman" w:eastAsia="Times New Roman" w:hint="default"/>
                <w:sz w:val="18"/>
                <w:szCs w:val="18"/>
              </w:rPr>
            </w:pPr>
            <w:r>
              <w:rPr>
                <w:rFonts w:ascii="Times New Roman" w:hAnsi="Times New Roman"/>
                <w:sz w:val="18"/>
              </w:rPr>
              <w:t>Група конта</w:t>
            </w:r>
            <w:r>
              <w:rPr>
                <w:rFonts w:ascii="Times New Roman" w:hAnsi="Times New Roman"/>
                <w:spacing w:val="-3"/>
                <w:sz w:val="18"/>
              </w:rPr>
              <w:t> </w:t>
            </w:r>
            <w:r>
              <w:rPr>
                <w:rFonts w:ascii="Times New Roman" w:hAnsi="Times New Roman"/>
                <w:sz w:val="18"/>
              </w:rPr>
              <w:t>465</w:t>
            </w:r>
          </w:p>
        </w:tc>
      </w:tr>
      <w:tr>
        <w:trPr>
          <w:trHeight w:val="218" w:hRule="exact"/>
        </w:trPr>
        <w:tc>
          <w:tcPr>
            <w:tcW w:w="326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6" w:right="0"/>
              <w:jc w:val="left"/>
              <w:rPr>
                <w:rFonts w:ascii="Times New Roman" w:hAnsi="Times New Roman" w:cs="Times New Roman" w:eastAsia="Times New Roman" w:hint="default"/>
                <w:sz w:val="18"/>
                <w:szCs w:val="18"/>
              </w:rPr>
            </w:pPr>
            <w:r>
              <w:rPr>
                <w:rFonts w:ascii="Times New Roman" w:hAnsi="Times New Roman"/>
                <w:sz w:val="18"/>
              </w:rPr>
              <w:t>План</w:t>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150</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529</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16.400</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2.500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155</w:t>
            </w:r>
          </w:p>
        </w:tc>
      </w:tr>
      <w:tr>
        <w:trPr>
          <w:trHeight w:val="216" w:hRule="exact"/>
        </w:trPr>
        <w:tc>
          <w:tcPr>
            <w:tcW w:w="326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6" w:right="0"/>
              <w:jc w:val="left"/>
              <w:rPr>
                <w:rFonts w:ascii="Times New Roman" w:hAnsi="Times New Roman" w:cs="Times New Roman" w:eastAsia="Times New Roman" w:hint="default"/>
                <w:sz w:val="18"/>
                <w:szCs w:val="18"/>
              </w:rPr>
            </w:pPr>
            <w:r>
              <w:rPr>
                <w:rFonts w:ascii="Times New Roman" w:hAnsi="Times New Roman"/>
                <w:sz w:val="18"/>
              </w:rPr>
              <w:t>Извршење</w:t>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56</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528</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16.399</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1.484</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154</w:t>
            </w:r>
          </w:p>
        </w:tc>
      </w:tr>
      <w:tr>
        <w:trPr>
          <w:trHeight w:val="216" w:hRule="exact"/>
        </w:trPr>
        <w:tc>
          <w:tcPr>
            <w:tcW w:w="326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6" w:right="0"/>
              <w:jc w:val="left"/>
              <w:rPr>
                <w:rFonts w:ascii="Times New Roman" w:hAnsi="Times New Roman" w:cs="Times New Roman" w:eastAsia="Times New Roman" w:hint="default"/>
                <w:sz w:val="18"/>
                <w:szCs w:val="18"/>
              </w:rPr>
            </w:pPr>
            <w:r>
              <w:rPr>
                <w:rFonts w:ascii="Times New Roman" w:hAnsi="Times New Roman"/>
                <w:sz w:val="18"/>
              </w:rPr>
              <w:t>Разлика</w:t>
            </w:r>
            <w:r>
              <w:rPr>
                <w:rFonts w:ascii="Times New Roman" w:hAnsi="Times New Roman"/>
                <w:spacing w:val="-4"/>
                <w:sz w:val="18"/>
              </w:rPr>
              <w:t> </w:t>
            </w:r>
            <w:r>
              <w:rPr>
                <w:rFonts w:ascii="Times New Roman" w:hAnsi="Times New Roman"/>
                <w:sz w:val="18"/>
              </w:rPr>
              <w:t>1</w:t>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94</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1</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1</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1.016</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1</w:t>
            </w:r>
          </w:p>
        </w:tc>
      </w:tr>
      <w:tr>
        <w:trPr>
          <w:trHeight w:val="218" w:hRule="exact"/>
        </w:trPr>
        <w:tc>
          <w:tcPr>
            <w:tcW w:w="326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36" w:right="0"/>
              <w:jc w:val="left"/>
              <w:rPr>
                <w:rFonts w:ascii="Times New Roman" w:hAnsi="Times New Roman" w:cs="Times New Roman" w:eastAsia="Times New Roman" w:hint="default"/>
                <w:sz w:val="18"/>
                <w:szCs w:val="18"/>
              </w:rPr>
            </w:pPr>
            <w:r>
              <w:rPr>
                <w:rFonts w:ascii="Times New Roman" w:hAnsi="Times New Roman"/>
                <w:sz w:val="18"/>
              </w:rPr>
              <w:t>Преузете обавезе по</w:t>
            </w:r>
            <w:r>
              <w:rPr>
                <w:rFonts w:ascii="Times New Roman" w:hAnsi="Times New Roman"/>
                <w:spacing w:val="-11"/>
                <w:sz w:val="18"/>
              </w:rPr>
              <w:t> </w:t>
            </w:r>
            <w:r>
              <w:rPr>
                <w:rFonts w:ascii="Times New Roman" w:hAnsi="Times New Roman"/>
                <w:sz w:val="18"/>
              </w:rPr>
              <w:t>рачунима</w:t>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127</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558</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1.985</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2.509</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148</w:t>
            </w:r>
          </w:p>
        </w:tc>
      </w:tr>
      <w:tr>
        <w:trPr>
          <w:trHeight w:val="216" w:hRule="exact"/>
        </w:trPr>
        <w:tc>
          <w:tcPr>
            <w:tcW w:w="326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6" w:right="0"/>
              <w:jc w:val="left"/>
              <w:rPr>
                <w:rFonts w:ascii="Times New Roman" w:hAnsi="Times New Roman" w:cs="Times New Roman" w:eastAsia="Times New Roman" w:hint="default"/>
                <w:sz w:val="18"/>
                <w:szCs w:val="18"/>
              </w:rPr>
            </w:pPr>
            <w:r>
              <w:rPr>
                <w:rFonts w:ascii="Times New Roman" w:hAnsi="Times New Roman"/>
                <w:sz w:val="18"/>
              </w:rPr>
              <w:t>Преузете обавезе по</w:t>
            </w:r>
            <w:r>
              <w:rPr>
                <w:rFonts w:ascii="Times New Roman" w:hAnsi="Times New Roman"/>
                <w:spacing w:val="-10"/>
                <w:sz w:val="18"/>
              </w:rPr>
              <w:t> </w:t>
            </w:r>
            <w:r>
              <w:rPr>
                <w:rFonts w:ascii="Times New Roman" w:hAnsi="Times New Roman"/>
                <w:sz w:val="18"/>
              </w:rPr>
              <w:t>уговорима</w:t>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r>
      <w:tr>
        <w:trPr>
          <w:trHeight w:val="218" w:hRule="exact"/>
        </w:trPr>
        <w:tc>
          <w:tcPr>
            <w:tcW w:w="326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6" w:right="0"/>
              <w:jc w:val="left"/>
              <w:rPr>
                <w:rFonts w:ascii="Times New Roman" w:hAnsi="Times New Roman" w:cs="Times New Roman" w:eastAsia="Times New Roman" w:hint="default"/>
                <w:sz w:val="18"/>
                <w:szCs w:val="18"/>
              </w:rPr>
            </w:pPr>
            <w:r>
              <w:rPr>
                <w:rFonts w:ascii="Times New Roman" w:hAnsi="Times New Roman"/>
                <w:sz w:val="18"/>
              </w:rPr>
              <w:t>Разлика</w:t>
            </w:r>
            <w:r>
              <w:rPr>
                <w:rFonts w:ascii="Times New Roman" w:hAnsi="Times New Roman"/>
                <w:spacing w:val="-4"/>
                <w:sz w:val="18"/>
              </w:rPr>
              <w:t> </w:t>
            </w:r>
            <w:r>
              <w:rPr>
                <w:rFonts w:ascii="Times New Roman" w:hAnsi="Times New Roman"/>
                <w:sz w:val="18"/>
              </w:rPr>
              <w:t>2</w:t>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98"/>
              <w:jc w:val="right"/>
              <w:rPr>
                <w:rFonts w:ascii="Times New Roman" w:hAnsi="Times New Roman" w:cs="Times New Roman" w:eastAsia="Times New Roman" w:hint="default"/>
                <w:sz w:val="18"/>
                <w:szCs w:val="18"/>
              </w:rPr>
            </w:pPr>
            <w:r>
              <w:rPr>
                <w:rFonts w:ascii="Times New Roman"/>
                <w:b/>
                <w:sz w:val="18"/>
              </w:rPr>
              <w:t>-33</w:t>
            </w:r>
            <w:r>
              <w:rPr>
                <w:rFonts w:ascii="Times New Roman"/>
                <w:sz w:val="18"/>
              </w:rPr>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-557</w:t>
            </w:r>
            <w:r>
              <w:rPr>
                <w:rFonts w:ascii="Times New Roman"/>
                <w:spacing w:val="-1"/>
                <w:sz w:val="18"/>
              </w:rPr>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-1.984</w:t>
            </w:r>
            <w:r>
              <w:rPr>
                <w:rFonts w:ascii="Times New Roman"/>
                <w:sz w:val="18"/>
              </w:rPr>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-1.493</w:t>
            </w:r>
            <w:r>
              <w:rPr>
                <w:rFonts w:ascii="Times New Roman"/>
                <w:sz w:val="18"/>
              </w:rPr>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-147</w:t>
            </w:r>
            <w:r>
              <w:rPr>
                <w:rFonts w:ascii="Times New Roman"/>
                <w:spacing w:val="-1"/>
                <w:sz w:val="18"/>
              </w:rPr>
            </w:r>
          </w:p>
        </w:tc>
      </w:tr>
    </w:tbl>
    <w:p>
      <w:pPr>
        <w:pStyle w:val="BodyText"/>
        <w:spacing w:line="268" w:lineRule="exact"/>
        <w:ind w:left="726" w:right="0"/>
        <w:jc w:val="left"/>
      </w:pPr>
      <w:r>
        <w:rPr/>
        <w:t>На функционалној класификацији 111 – извршни и законодавни</w:t>
      </w:r>
      <w:r>
        <w:rPr>
          <w:spacing w:val="-25"/>
        </w:rPr>
        <w:t> </w:t>
      </w:r>
      <w:r>
        <w:rPr/>
        <w:t>органи:</w:t>
      </w:r>
    </w:p>
    <w:p>
      <w:pPr>
        <w:pStyle w:val="ListParagraph"/>
        <w:numPr>
          <w:ilvl w:val="0"/>
          <w:numId w:val="89"/>
        </w:numPr>
        <w:tabs>
          <w:tab w:pos="900" w:val="left" w:leader="none"/>
        </w:tabs>
        <w:spacing w:line="240" w:lineRule="auto" w:before="0" w:after="0"/>
        <w:ind w:left="160" w:right="235"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 економској класификацији 413000 – накнаде у натури, преузете су обавезе у износу од 33 хиљаде динара више од одобрене апропријације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по основу неплаћених рачуна за превоз на посао и са посла из 2013. и 2014.</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године</w:t>
      </w:r>
      <w:r>
        <w:rPr>
          <w:rFonts w:ascii="Times New Roman" w:hAnsi="Times New Roman" w:cs="Times New Roman" w:eastAsia="Times New Roman" w:hint="default"/>
          <w:sz w:val="24"/>
          <w:szCs w:val="24"/>
        </w:rPr>
        <w:t>,</w:t>
      </w:r>
    </w:p>
    <w:p>
      <w:pPr>
        <w:spacing w:after="0" w:line="240" w:lineRule="auto"/>
        <w:jc w:val="both"/>
        <w:rPr>
          <w:rFonts w:ascii="Times New Roman" w:hAnsi="Times New Roman" w:cs="Times New Roman" w:eastAsia="Times New Roman" w:hint="default"/>
          <w:sz w:val="24"/>
          <w:szCs w:val="24"/>
        </w:rPr>
        <w:sectPr>
          <w:footerReference w:type="default" r:id="rId92"/>
          <w:pgSz w:w="12240" w:h="15840"/>
          <w:pgMar w:footer="1274" w:header="740" w:top="1280" w:bottom="1460" w:left="1400" w:right="1200"/>
          <w:pgNumType w:start="300"/>
        </w:sectPr>
      </w:pPr>
    </w:p>
    <w:p>
      <w:pPr>
        <w:pStyle w:val="ListParagraph"/>
        <w:numPr>
          <w:ilvl w:val="0"/>
          <w:numId w:val="89"/>
        </w:numPr>
        <w:tabs>
          <w:tab w:pos="914" w:val="left" w:leader="none"/>
        </w:tabs>
        <w:spacing w:line="240" w:lineRule="auto" w:before="122" w:after="0"/>
        <w:ind w:left="160" w:right="174"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 економској класификацији 416000 – награде запосленима и остали посебни расходи, преузете су обавезе у износу од 557 хиљада динара више од одобрене апропријације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по основу неисплаћених накнада</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комисијама,</w:t>
      </w:r>
    </w:p>
    <w:p>
      <w:pPr>
        <w:pStyle w:val="ListParagraph"/>
        <w:numPr>
          <w:ilvl w:val="0"/>
          <w:numId w:val="89"/>
        </w:numPr>
        <w:tabs>
          <w:tab w:pos="876" w:val="left" w:leader="none"/>
        </w:tabs>
        <w:spacing w:line="240" w:lineRule="auto" w:before="0" w:after="0"/>
        <w:ind w:left="160" w:right="175"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 економској класификацији 417000 – посланички додатак, преузете су обавезе у износу од 1.984 хиљаде динара више од одобрене апропријације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по основу неисплаћеног превоза и дневница одборницима и неисплаћених накнада изабраним лицима који нису на сталном раду, од којих у износу од 1.223 хиљаде динара за децембар 2014.</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године</w:t>
      </w:r>
      <w:r>
        <w:rPr>
          <w:rFonts w:ascii="Times New Roman" w:hAnsi="Times New Roman" w:cs="Times New Roman" w:eastAsia="Times New Roman" w:hint="default"/>
          <w:sz w:val="24"/>
          <w:szCs w:val="24"/>
        </w:rPr>
        <w:t>,</w:t>
      </w:r>
    </w:p>
    <w:p>
      <w:pPr>
        <w:pStyle w:val="ListParagraph"/>
        <w:numPr>
          <w:ilvl w:val="0"/>
          <w:numId w:val="89"/>
        </w:numPr>
        <w:tabs>
          <w:tab w:pos="893" w:val="left" w:leader="none"/>
        </w:tabs>
        <w:spacing w:line="240" w:lineRule="auto" w:before="0" w:after="0"/>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 економској класификацији 423000 – услуге по уговору, преузете су обавезе у износу од 1.493 хиљаде динара више од одобрене апропријације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по основу неисплаћених накнада члановима комисија, од којих 297 хиљада динара на обавезе за децембар 2014. године</w:t>
      </w:r>
      <w:r>
        <w:rPr>
          <w:rFonts w:ascii="Times New Roman" w:hAnsi="Times New Roman" w:cs="Times New Roman" w:eastAsia="Times New Roman" w:hint="default"/>
          <w:sz w:val="24"/>
          <w:szCs w:val="24"/>
        </w:rPr>
        <w:t>,</w:t>
      </w:r>
    </w:p>
    <w:p>
      <w:pPr>
        <w:pStyle w:val="ListParagraph"/>
        <w:numPr>
          <w:ilvl w:val="0"/>
          <w:numId w:val="89"/>
        </w:numPr>
        <w:tabs>
          <w:tab w:pos="893" w:val="left" w:leader="none"/>
        </w:tabs>
        <w:spacing w:line="240" w:lineRule="auto" w:before="0" w:after="0"/>
        <w:ind w:left="160" w:right="172"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 економској класификацији 465000 – остале дотације и трансфери преузете су обавезе у износу од 147 хиљада динара више од одобрене апропријације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по основу повраћаја 10% у буџет Републике за неисплаћену плату за децембар 2014.</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године</w:t>
      </w:r>
      <w:r>
        <w:rPr>
          <w:rFonts w:ascii="Times New Roman" w:hAnsi="Times New Roman" w:cs="Times New Roman" w:eastAsia="Times New Roman" w:hint="default"/>
          <w:sz w:val="24"/>
          <w:szCs w:val="24"/>
        </w:rPr>
        <w:t>.</w:t>
      </w:r>
    </w:p>
    <w:p>
      <w:pPr>
        <w:pStyle w:val="Heading2"/>
        <w:spacing w:line="240" w:lineRule="auto"/>
        <w:ind w:right="173"/>
        <w:jc w:val="both"/>
        <w:rPr>
          <w:rFonts w:ascii="Times New Roman" w:hAnsi="Times New Roman" w:cs="Times New Roman" w:eastAsia="Times New Roman" w:hint="default"/>
          <w:b w:val="0"/>
          <w:bCs w:val="0"/>
          <w:i w:val="0"/>
        </w:rPr>
      </w:pPr>
      <w:r>
        <w:rPr>
          <w:i/>
        </w:rPr>
        <w:t>Препоручује се одговорним лицима да правилно исказују обавезе и да обавезе преузимају до износа апропријације одобрене буџетом у тој години за ту</w:t>
      </w:r>
      <w:r>
        <w:rPr>
          <w:i/>
          <w:spacing w:val="-17"/>
        </w:rPr>
        <w:t> </w:t>
      </w:r>
      <w:r>
        <w:rPr>
          <w:i/>
        </w:rPr>
        <w:t>намену</w:t>
      </w:r>
      <w:r>
        <w:rPr>
          <w:rFonts w:ascii="Times New Roman" w:hAnsi="Times New Roman"/>
          <w:i/>
        </w:rPr>
        <w:t>.</w:t>
      </w:r>
      <w:r>
        <w:rPr>
          <w:rFonts w:ascii="Times New Roman" w:hAnsi="Times New Roman"/>
          <w:b w:val="0"/>
          <w:i w:val="0"/>
        </w:rPr>
      </w:r>
    </w:p>
    <w:p>
      <w:pPr>
        <w:pStyle w:val="ListParagraph"/>
        <w:numPr>
          <w:ilvl w:val="0"/>
          <w:numId w:val="88"/>
        </w:numPr>
        <w:tabs>
          <w:tab w:pos="444" w:val="left" w:leader="none"/>
        </w:tabs>
        <w:spacing w:line="240" w:lineRule="auto" w:before="156" w:after="0"/>
        <w:ind w:left="443" w:right="0" w:hanging="283"/>
        <w:jc w:val="both"/>
        <w:rPr>
          <w:rFonts w:ascii="Times New Roman" w:hAnsi="Times New Roman" w:cs="Times New Roman" w:eastAsia="Times New Roman" w:hint="default"/>
          <w:sz w:val="24"/>
          <w:szCs w:val="24"/>
        </w:rPr>
      </w:pPr>
      <w:r>
        <w:rPr>
          <w:rFonts w:ascii="Times New Roman" w:hAnsi="Times New Roman"/>
          <w:spacing w:val="-60"/>
          <w:sz w:val="24"/>
          <w:u w:val="single" w:color="000000"/>
        </w:rPr>
        <w:t> </w:t>
      </w:r>
      <w:r>
        <w:rPr>
          <w:rFonts w:ascii="Times New Roman" w:hAnsi="Times New Roman"/>
          <w:sz w:val="24"/>
          <w:u w:val="single" w:color="000000"/>
        </w:rPr>
        <w:t>Градоначелник </w:t>
      </w:r>
      <w:r>
        <w:rPr>
          <w:rFonts w:ascii="Times New Roman" w:hAnsi="Times New Roman"/>
          <w:sz w:val="24"/>
        </w:rPr>
        <w:t>у износу од 2.188 хиљада</w:t>
      </w:r>
      <w:r>
        <w:rPr>
          <w:rFonts w:ascii="Times New Roman" w:hAnsi="Times New Roman"/>
          <w:spacing w:val="-14"/>
          <w:sz w:val="24"/>
        </w:rPr>
        <w:t> </w:t>
      </w:r>
      <w:r>
        <w:rPr>
          <w:rFonts w:ascii="Times New Roman" w:hAnsi="Times New Roman"/>
          <w:sz w:val="24"/>
        </w:rPr>
        <w:t>динара</w:t>
      </w:r>
      <w:r>
        <w:rPr>
          <w:rFonts w:ascii="Times New Roman" w:hAnsi="Times New Roman"/>
          <w:sz w:val="24"/>
        </w:rPr>
        <w:t>.</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Мање су исказане обавезе у износу од најмање </w:t>
      </w:r>
      <w:r>
        <w:rPr>
          <w:rFonts w:ascii="Times New Roman" w:hAnsi="Times New Roman" w:cs="Times New Roman" w:eastAsia="Times New Roman" w:hint="default"/>
          <w:sz w:val="24"/>
          <w:szCs w:val="24"/>
        </w:rPr>
        <w:t>590 </w:t>
      </w:r>
      <w:r>
        <w:rPr>
          <w:rFonts w:ascii="Times New Roman" w:hAnsi="Times New Roman" w:cs="Times New Roman" w:eastAsia="Times New Roman" w:hint="default"/>
          <w:sz w:val="24"/>
          <w:szCs w:val="24"/>
        </w:rPr>
        <w:t>хиљада динара јер нису евидентиране обавезе и то за: део плате за децембар 2014. године, социјалне доприносе  за децембар 2014. године, обавеза за умањење основице зараде од 10% за децембар 2014. године, обавезе према добављачима. Истовремено, за исти износ мање је исказан износ на конту </w:t>
      </w:r>
      <w:r>
        <w:rPr>
          <w:rFonts w:ascii="Times New Roman" w:hAnsi="Times New Roman" w:cs="Times New Roman" w:eastAsia="Times New Roman" w:hint="default"/>
          <w:sz w:val="24"/>
          <w:szCs w:val="24"/>
        </w:rPr>
        <w:t>131200 </w:t>
      </w:r>
      <w:r>
        <w:rPr>
          <w:rFonts w:ascii="Times New Roman" w:hAnsi="Times New Roman" w:cs="Times New Roman" w:eastAsia="Times New Roman" w:hint="default"/>
          <w:sz w:val="24"/>
          <w:szCs w:val="24"/>
        </w:rPr>
        <w:t>– обрачунати неплаћени расходи и</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издаци</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74" w:lineRule="exact" w:before="24"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Градоначелник је преузео обавезе преко одобрених апропријација у укупном износу од </w:t>
      </w:r>
      <w:r>
        <w:rPr>
          <w:rFonts w:ascii="Times New Roman" w:hAnsi="Times New Roman"/>
          <w:sz w:val="24"/>
        </w:rPr>
        <w:t>66 </w:t>
      </w:r>
      <w:r>
        <w:rPr>
          <w:rFonts w:ascii="Times New Roman" w:hAnsi="Times New Roman"/>
          <w:sz w:val="24"/>
        </w:rPr>
        <w:t>хиљада динара</w:t>
      </w:r>
      <w:r>
        <w:rPr>
          <w:rFonts w:ascii="Times New Roman" w:hAnsi="Times New Roman"/>
          <w:sz w:val="24"/>
        </w:rPr>
        <w:t>, </w:t>
      </w:r>
      <w:r>
        <w:rPr>
          <w:rFonts w:ascii="Times New Roman" w:hAnsi="Times New Roman"/>
          <w:sz w:val="24"/>
        </w:rPr>
        <w:t>што је супротно члану 54. Закона о буџетском систему и</w:t>
      </w:r>
      <w:r>
        <w:rPr>
          <w:rFonts w:ascii="Times New Roman" w:hAnsi="Times New Roman"/>
          <w:spacing w:val="-17"/>
          <w:sz w:val="24"/>
        </w:rPr>
        <w:t> </w:t>
      </w:r>
      <w:r>
        <w:rPr>
          <w:rFonts w:ascii="Times New Roman" w:hAnsi="Times New Roman"/>
          <w:sz w:val="24"/>
        </w:rPr>
        <w:t>то:</w:t>
      </w:r>
    </w:p>
    <w:p>
      <w:pPr>
        <w:spacing w:before="0" w:after="4"/>
        <w:ind w:left="0" w:right="175" w:firstLine="0"/>
        <w:jc w:val="right"/>
        <w:rPr>
          <w:rFonts w:ascii="Times New Roman" w:hAnsi="Times New Roman" w:cs="Times New Roman" w:eastAsia="Times New Roman" w:hint="default"/>
          <w:sz w:val="18"/>
          <w:szCs w:val="18"/>
        </w:rPr>
      </w:pPr>
      <w:r>
        <w:rPr>
          <w:rFonts w:ascii="Times New Roman" w:hAnsi="Times New Roman"/>
          <w:sz w:val="18"/>
        </w:rPr>
        <w:t>(</w:t>
      </w:r>
      <w:r>
        <w:rPr>
          <w:rFonts w:ascii="Times New Roman" w:hAnsi="Times New Roman"/>
          <w:sz w:val="18"/>
        </w:rPr>
        <w:t>у хиљадама</w:t>
      </w:r>
      <w:r>
        <w:rPr>
          <w:rFonts w:ascii="Times New Roman" w:hAnsi="Times New Roman"/>
          <w:spacing w:val="-9"/>
          <w:sz w:val="18"/>
        </w:rPr>
        <w:t> </w:t>
      </w:r>
      <w:r>
        <w:rPr>
          <w:rFonts w:ascii="Times New Roman" w:hAnsi="Times New Roman"/>
          <w:sz w:val="18"/>
        </w:rPr>
        <w:t>динара</w:t>
      </w:r>
      <w:r>
        <w:rPr>
          <w:rFonts w:ascii="Times New Roman" w:hAnsi="Times New Roman"/>
          <w:sz w:val="18"/>
        </w:rPr>
        <w:t>)</w:t>
      </w:r>
    </w:p>
    <w:tbl>
      <w:tblPr>
        <w:tblW w:w="0" w:type="auto"/>
        <w:jc w:val="left"/>
        <w:tblInd w:w="438" w:type="dxa"/>
        <w:tblLayout w:type="fixed"/>
        <w:tblCellMar>
          <w:top w:w="0" w:type="dxa"/>
          <w:left w:w="0" w:type="dxa"/>
          <w:bottom w:w="0" w:type="dxa"/>
          <w:right w:w="0" w:type="dxa"/>
        </w:tblCellMar>
        <w:tblLook w:val="01E0"/>
      </w:tblPr>
      <w:tblGrid>
        <w:gridCol w:w="2979"/>
        <w:gridCol w:w="1416"/>
        <w:gridCol w:w="1561"/>
        <w:gridCol w:w="1418"/>
        <w:gridCol w:w="1558"/>
      </w:tblGrid>
      <w:tr>
        <w:trPr>
          <w:trHeight w:val="218" w:hRule="exact"/>
        </w:trPr>
        <w:tc>
          <w:tcPr>
            <w:tcW w:w="2979" w:type="dxa"/>
            <w:vMerge w:val="restart"/>
            <w:tcBorders>
              <w:top w:val="single" w:sz="4" w:space="0" w:color="000000"/>
              <w:left w:val="single" w:sz="4" w:space="0" w:color="000000"/>
              <w:right w:val="single" w:sz="4" w:space="0" w:color="000000"/>
            </w:tcBorders>
          </w:tcPr>
          <w:p>
            <w:pPr>
              <w:pStyle w:val="TableParagraph"/>
              <w:spacing w:line="202" w:lineRule="exact"/>
              <w:ind w:left="136" w:right="0"/>
              <w:jc w:val="left"/>
              <w:rPr>
                <w:rFonts w:ascii="Times New Roman" w:hAnsi="Times New Roman" w:cs="Times New Roman" w:eastAsia="Times New Roman" w:hint="default"/>
                <w:sz w:val="18"/>
                <w:szCs w:val="18"/>
              </w:rPr>
            </w:pPr>
            <w:r>
              <w:rPr>
                <w:rFonts w:ascii="Times New Roman" w:hAnsi="Times New Roman"/>
                <w:sz w:val="18"/>
              </w:rPr>
              <w:t>Градоначелник</w:t>
            </w:r>
          </w:p>
        </w:tc>
        <w:tc>
          <w:tcPr>
            <w:tcW w:w="5953" w:type="dxa"/>
            <w:gridSpan w:val="4"/>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668" w:right="0"/>
              <w:jc w:val="left"/>
              <w:rPr>
                <w:rFonts w:ascii="Times New Roman" w:hAnsi="Times New Roman" w:cs="Times New Roman" w:eastAsia="Times New Roman" w:hint="default"/>
                <w:sz w:val="18"/>
                <w:szCs w:val="18"/>
              </w:rPr>
            </w:pPr>
            <w:r>
              <w:rPr>
                <w:rFonts w:ascii="Times New Roman" w:hAnsi="Times New Roman"/>
                <w:sz w:val="18"/>
              </w:rPr>
              <w:t>Функционална класификација</w:t>
            </w:r>
            <w:r>
              <w:rPr>
                <w:rFonts w:ascii="Times New Roman" w:hAnsi="Times New Roman"/>
                <w:spacing w:val="-12"/>
                <w:sz w:val="18"/>
              </w:rPr>
              <w:t> </w:t>
            </w:r>
            <w:r>
              <w:rPr>
                <w:rFonts w:ascii="Times New Roman" w:hAnsi="Times New Roman"/>
                <w:sz w:val="18"/>
              </w:rPr>
              <w:t>111</w:t>
            </w:r>
          </w:p>
        </w:tc>
      </w:tr>
      <w:tr>
        <w:trPr>
          <w:trHeight w:val="422" w:hRule="exact"/>
        </w:trPr>
        <w:tc>
          <w:tcPr>
            <w:tcW w:w="2979" w:type="dxa"/>
            <w:vMerge/>
            <w:tcBorders>
              <w:left w:val="single" w:sz="4" w:space="0" w:color="000000"/>
              <w:bottom w:val="single" w:sz="4" w:space="0" w:color="000000"/>
              <w:right w:val="single" w:sz="4" w:space="0" w:color="000000"/>
            </w:tcBorders>
          </w:tcPr>
          <w:p>
            <w:pP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583" w:right="207" w:hanging="332"/>
              <w:jc w:val="left"/>
              <w:rPr>
                <w:rFonts w:ascii="Times New Roman" w:hAnsi="Times New Roman" w:cs="Times New Roman" w:eastAsia="Times New Roman" w:hint="default"/>
                <w:sz w:val="18"/>
                <w:szCs w:val="18"/>
              </w:rPr>
            </w:pPr>
            <w:r>
              <w:rPr>
                <w:rFonts w:ascii="Times New Roman" w:hAnsi="Times New Roman"/>
                <w:sz w:val="18"/>
              </w:rPr>
              <w:t>Група конта </w:t>
            </w:r>
            <w:r>
              <w:rPr>
                <w:rFonts w:ascii="Times New Roman" w:hAnsi="Times New Roman"/>
                <w:sz w:val="18"/>
              </w:rPr>
              <w:t>411</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655" w:right="280" w:hanging="332"/>
              <w:jc w:val="left"/>
              <w:rPr>
                <w:rFonts w:ascii="Times New Roman" w:hAnsi="Times New Roman" w:cs="Times New Roman" w:eastAsia="Times New Roman" w:hint="default"/>
                <w:sz w:val="18"/>
                <w:szCs w:val="18"/>
              </w:rPr>
            </w:pPr>
            <w:r>
              <w:rPr>
                <w:rFonts w:ascii="Times New Roman" w:hAnsi="Times New Roman"/>
                <w:sz w:val="18"/>
              </w:rPr>
              <w:t>Група конта </w:t>
            </w:r>
            <w:r>
              <w:rPr>
                <w:rFonts w:ascii="Times New Roman" w:hAnsi="Times New Roman"/>
                <w:sz w:val="18"/>
              </w:rPr>
              <w:t>412</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585" w:right="209" w:hanging="334"/>
              <w:jc w:val="left"/>
              <w:rPr>
                <w:rFonts w:ascii="Times New Roman" w:hAnsi="Times New Roman" w:cs="Times New Roman" w:eastAsia="Times New Roman" w:hint="default"/>
                <w:sz w:val="18"/>
                <w:szCs w:val="18"/>
              </w:rPr>
            </w:pPr>
            <w:r>
              <w:rPr>
                <w:rFonts w:ascii="Times New Roman" w:hAnsi="Times New Roman"/>
                <w:sz w:val="18"/>
              </w:rPr>
              <w:t>Група конта </w:t>
            </w:r>
            <w:r>
              <w:rPr>
                <w:rFonts w:ascii="Times New Roman" w:hAnsi="Times New Roman"/>
                <w:sz w:val="18"/>
              </w:rPr>
              <w:t>414</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655" w:right="279" w:hanging="334"/>
              <w:jc w:val="left"/>
              <w:rPr>
                <w:rFonts w:ascii="Times New Roman" w:hAnsi="Times New Roman" w:cs="Times New Roman" w:eastAsia="Times New Roman" w:hint="default"/>
                <w:sz w:val="18"/>
                <w:szCs w:val="18"/>
              </w:rPr>
            </w:pPr>
            <w:r>
              <w:rPr>
                <w:rFonts w:ascii="Times New Roman" w:hAnsi="Times New Roman"/>
                <w:sz w:val="18"/>
              </w:rPr>
              <w:t>Група конта </w:t>
            </w:r>
            <w:r>
              <w:rPr>
                <w:rFonts w:ascii="Times New Roman" w:hAnsi="Times New Roman"/>
                <w:sz w:val="18"/>
              </w:rPr>
              <w:t>414</w:t>
            </w:r>
          </w:p>
        </w:tc>
      </w:tr>
      <w:tr>
        <w:trPr>
          <w:trHeight w:val="218" w:hRule="exact"/>
        </w:trPr>
        <w:tc>
          <w:tcPr>
            <w:tcW w:w="297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6" w:right="0"/>
              <w:jc w:val="left"/>
              <w:rPr>
                <w:rFonts w:ascii="Times New Roman" w:hAnsi="Times New Roman" w:cs="Times New Roman" w:eastAsia="Times New Roman" w:hint="default"/>
                <w:sz w:val="18"/>
                <w:szCs w:val="18"/>
              </w:rPr>
            </w:pPr>
            <w:r>
              <w:rPr>
                <w:rFonts w:ascii="Times New Roman" w:hAnsi="Times New Roman"/>
                <w:sz w:val="18"/>
              </w:rPr>
              <w:t>План</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4.570</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818</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40</w:t>
            </w:r>
          </w:p>
        </w:tc>
      </w:tr>
      <w:tr>
        <w:trPr>
          <w:trHeight w:val="216" w:hRule="exact"/>
        </w:trPr>
        <w:tc>
          <w:tcPr>
            <w:tcW w:w="297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6" w:right="0"/>
              <w:jc w:val="left"/>
              <w:rPr>
                <w:rFonts w:ascii="Times New Roman" w:hAnsi="Times New Roman" w:cs="Times New Roman" w:eastAsia="Times New Roman" w:hint="default"/>
                <w:sz w:val="18"/>
                <w:szCs w:val="18"/>
              </w:rPr>
            </w:pPr>
            <w:r>
              <w:rPr>
                <w:rFonts w:ascii="Times New Roman" w:hAnsi="Times New Roman"/>
                <w:sz w:val="18"/>
              </w:rPr>
              <w:t>Извршење</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4.338</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777</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39</w:t>
            </w:r>
          </w:p>
        </w:tc>
      </w:tr>
      <w:tr>
        <w:trPr>
          <w:trHeight w:val="218" w:hRule="exact"/>
        </w:trPr>
        <w:tc>
          <w:tcPr>
            <w:tcW w:w="297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6" w:right="0"/>
              <w:jc w:val="left"/>
              <w:rPr>
                <w:rFonts w:ascii="Times New Roman" w:hAnsi="Times New Roman" w:cs="Times New Roman" w:eastAsia="Times New Roman" w:hint="default"/>
                <w:sz w:val="18"/>
                <w:szCs w:val="18"/>
              </w:rPr>
            </w:pPr>
            <w:r>
              <w:rPr>
                <w:rFonts w:ascii="Times New Roman" w:hAnsi="Times New Roman"/>
                <w:sz w:val="18"/>
              </w:rPr>
              <w:t>Разлика</w:t>
            </w:r>
            <w:r>
              <w:rPr>
                <w:rFonts w:ascii="Times New Roman" w:hAnsi="Times New Roman"/>
                <w:spacing w:val="-4"/>
                <w:sz w:val="18"/>
              </w:rPr>
              <w:t> </w:t>
            </w:r>
            <w:r>
              <w:rPr>
                <w:rFonts w:ascii="Times New Roman" w:hAnsi="Times New Roman"/>
                <w:sz w:val="18"/>
              </w:rPr>
              <w:t>1</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232</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41</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1</w:t>
            </w:r>
          </w:p>
        </w:tc>
      </w:tr>
      <w:tr>
        <w:trPr>
          <w:trHeight w:val="216" w:hRule="exact"/>
        </w:trPr>
        <w:tc>
          <w:tcPr>
            <w:tcW w:w="297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6" w:right="0"/>
              <w:jc w:val="left"/>
              <w:rPr>
                <w:rFonts w:ascii="Times New Roman" w:hAnsi="Times New Roman" w:cs="Times New Roman" w:eastAsia="Times New Roman" w:hint="default"/>
                <w:sz w:val="18"/>
                <w:szCs w:val="18"/>
              </w:rPr>
            </w:pPr>
            <w:r>
              <w:rPr>
                <w:rFonts w:ascii="Times New Roman" w:hAnsi="Times New Roman"/>
                <w:sz w:val="18"/>
              </w:rPr>
              <w:t>Преузете обавезе по</w:t>
            </w:r>
            <w:r>
              <w:rPr>
                <w:rFonts w:ascii="Times New Roman" w:hAnsi="Times New Roman"/>
                <w:spacing w:val="-11"/>
                <w:sz w:val="18"/>
              </w:rPr>
              <w:t> </w:t>
            </w:r>
            <w:r>
              <w:rPr>
                <w:rFonts w:ascii="Times New Roman" w:hAnsi="Times New Roman"/>
                <w:sz w:val="18"/>
              </w:rPr>
              <w:t>рачунима</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244</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43</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11</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42</w:t>
            </w:r>
          </w:p>
        </w:tc>
      </w:tr>
      <w:tr>
        <w:trPr>
          <w:trHeight w:val="217" w:hRule="exact"/>
        </w:trPr>
        <w:tc>
          <w:tcPr>
            <w:tcW w:w="2979"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36" w:right="0"/>
              <w:jc w:val="left"/>
              <w:rPr>
                <w:rFonts w:ascii="Times New Roman" w:hAnsi="Times New Roman" w:cs="Times New Roman" w:eastAsia="Times New Roman" w:hint="default"/>
                <w:sz w:val="18"/>
                <w:szCs w:val="18"/>
              </w:rPr>
            </w:pPr>
            <w:r>
              <w:rPr>
                <w:rFonts w:ascii="Times New Roman" w:hAnsi="Times New Roman"/>
                <w:sz w:val="18"/>
              </w:rPr>
              <w:t>Преузете обавезе по</w:t>
            </w:r>
            <w:r>
              <w:rPr>
                <w:rFonts w:ascii="Times New Roman" w:hAnsi="Times New Roman"/>
                <w:spacing w:val="-10"/>
                <w:sz w:val="18"/>
              </w:rPr>
              <w:t> </w:t>
            </w:r>
            <w:r>
              <w:rPr>
                <w:rFonts w:ascii="Times New Roman" w:hAnsi="Times New Roman"/>
                <w:sz w:val="18"/>
              </w:rPr>
              <w:t>уговорима</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r>
      <w:tr>
        <w:trPr>
          <w:trHeight w:val="218" w:hRule="exact"/>
        </w:trPr>
        <w:tc>
          <w:tcPr>
            <w:tcW w:w="2979"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36" w:right="0"/>
              <w:jc w:val="left"/>
              <w:rPr>
                <w:rFonts w:ascii="Times New Roman" w:hAnsi="Times New Roman" w:cs="Times New Roman" w:eastAsia="Times New Roman" w:hint="default"/>
                <w:sz w:val="18"/>
                <w:szCs w:val="18"/>
              </w:rPr>
            </w:pPr>
            <w:r>
              <w:rPr>
                <w:rFonts w:ascii="Times New Roman" w:hAnsi="Times New Roman"/>
                <w:sz w:val="18"/>
              </w:rPr>
              <w:t>Разлика</w:t>
            </w:r>
            <w:r>
              <w:rPr>
                <w:rFonts w:ascii="Times New Roman" w:hAnsi="Times New Roman"/>
                <w:spacing w:val="-4"/>
                <w:sz w:val="18"/>
              </w:rPr>
              <w:t> </w:t>
            </w:r>
            <w:r>
              <w:rPr>
                <w:rFonts w:ascii="Times New Roman" w:hAnsi="Times New Roman"/>
                <w:sz w:val="18"/>
              </w:rPr>
              <w:t>2</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98"/>
              <w:jc w:val="right"/>
              <w:rPr>
                <w:rFonts w:ascii="Times New Roman" w:hAnsi="Times New Roman" w:cs="Times New Roman" w:eastAsia="Times New Roman" w:hint="default"/>
                <w:sz w:val="18"/>
                <w:szCs w:val="18"/>
              </w:rPr>
            </w:pPr>
            <w:r>
              <w:rPr>
                <w:rFonts w:ascii="Times New Roman"/>
                <w:b/>
                <w:sz w:val="18"/>
              </w:rPr>
              <w:t>-12</w:t>
            </w:r>
            <w:r>
              <w:rPr>
                <w:rFonts w:ascii="Times New Roman"/>
                <w:sz w:val="18"/>
              </w:rPr>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100"/>
              <w:jc w:val="right"/>
              <w:rPr>
                <w:rFonts w:ascii="Times New Roman" w:hAnsi="Times New Roman" w:cs="Times New Roman" w:eastAsia="Times New Roman" w:hint="default"/>
                <w:sz w:val="18"/>
                <w:szCs w:val="18"/>
              </w:rPr>
            </w:pPr>
            <w:r>
              <w:rPr>
                <w:rFonts w:ascii="Times New Roman"/>
                <w:b/>
                <w:sz w:val="18"/>
              </w:rPr>
              <w:t>-2</w:t>
            </w:r>
            <w:r>
              <w:rPr>
                <w:rFonts w:ascii="Times New Roman"/>
                <w:sz w:val="18"/>
              </w:rPr>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98"/>
              <w:jc w:val="right"/>
              <w:rPr>
                <w:rFonts w:ascii="Times New Roman" w:hAnsi="Times New Roman" w:cs="Times New Roman" w:eastAsia="Times New Roman" w:hint="default"/>
                <w:sz w:val="18"/>
                <w:szCs w:val="18"/>
              </w:rPr>
            </w:pPr>
            <w:r>
              <w:rPr>
                <w:rFonts w:ascii="Times New Roman"/>
                <w:b/>
                <w:sz w:val="18"/>
              </w:rPr>
              <w:t>-11</w:t>
            </w:r>
            <w:r>
              <w:rPr>
                <w:rFonts w:ascii="Times New Roman"/>
                <w:sz w:val="18"/>
              </w:rPr>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98"/>
              <w:jc w:val="right"/>
              <w:rPr>
                <w:rFonts w:ascii="Times New Roman" w:hAnsi="Times New Roman" w:cs="Times New Roman" w:eastAsia="Times New Roman" w:hint="default"/>
                <w:sz w:val="18"/>
                <w:szCs w:val="18"/>
              </w:rPr>
            </w:pPr>
            <w:r>
              <w:rPr>
                <w:rFonts w:ascii="Times New Roman"/>
                <w:b/>
                <w:sz w:val="18"/>
              </w:rPr>
              <w:t>-41</w:t>
            </w:r>
            <w:r>
              <w:rPr>
                <w:rFonts w:ascii="Times New Roman"/>
                <w:sz w:val="18"/>
              </w:rPr>
            </w:r>
          </w:p>
        </w:tc>
      </w:tr>
    </w:tbl>
    <w:p>
      <w:pPr>
        <w:spacing w:line="240" w:lineRule="auto" w:before="3"/>
        <w:rPr>
          <w:rFonts w:ascii="Times New Roman" w:hAnsi="Times New Roman" w:cs="Times New Roman" w:eastAsia="Times New Roman" w:hint="default"/>
          <w:sz w:val="17"/>
          <w:szCs w:val="17"/>
        </w:rPr>
      </w:pPr>
    </w:p>
    <w:p>
      <w:pPr>
        <w:pStyle w:val="BodyText"/>
        <w:spacing w:line="240" w:lineRule="auto" w:before="69"/>
        <w:ind w:left="726" w:right="141"/>
        <w:jc w:val="left"/>
      </w:pPr>
      <w:r>
        <w:rPr/>
        <w:t>На функционалној класификацији 111 – извршни и законодавни</w:t>
      </w:r>
      <w:r>
        <w:rPr>
          <w:spacing w:val="-25"/>
        </w:rPr>
        <w:t> </w:t>
      </w:r>
      <w:r>
        <w:rPr/>
        <w:t>органи:</w:t>
      </w:r>
    </w:p>
    <w:p>
      <w:pPr>
        <w:pStyle w:val="ListParagraph"/>
        <w:numPr>
          <w:ilvl w:val="0"/>
          <w:numId w:val="90"/>
        </w:numPr>
        <w:tabs>
          <w:tab w:pos="943" w:val="left" w:leader="none"/>
        </w:tabs>
        <w:spacing w:line="240" w:lineRule="auto" w:before="0" w:after="0"/>
        <w:ind w:left="160" w:right="179"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 економској класификацији 411000 – плате, додаци и накнаде запослених (зараде), преузете су обавезе у износу од 12 хиљада динара више од одобрене апропријације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по основу неисплаћене плате за децембар 2014.</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године</w:t>
      </w:r>
      <w:r>
        <w:rPr>
          <w:rFonts w:ascii="Times New Roman" w:hAnsi="Times New Roman" w:cs="Times New Roman" w:eastAsia="Times New Roman" w:hint="default"/>
          <w:sz w:val="24"/>
          <w:szCs w:val="24"/>
        </w:rPr>
        <w:t>,</w:t>
      </w:r>
    </w:p>
    <w:p>
      <w:pPr>
        <w:pStyle w:val="ListParagraph"/>
        <w:numPr>
          <w:ilvl w:val="0"/>
          <w:numId w:val="90"/>
        </w:numPr>
        <w:tabs>
          <w:tab w:pos="881" w:val="left" w:leader="none"/>
        </w:tabs>
        <w:spacing w:line="240" w:lineRule="auto" w:before="0" w:after="0"/>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 економској класификацији 412000 – социјални доприноси на терет послодавца преузете су обавезе више од одобрене апропријације у износу од две хиљаде динара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по основу неисплаћених социјалних доприноса за децембар 2014.</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године</w:t>
      </w:r>
      <w:r>
        <w:rPr>
          <w:rFonts w:ascii="Times New Roman" w:hAnsi="Times New Roman" w:cs="Times New Roman" w:eastAsia="Times New Roman" w:hint="default"/>
          <w:sz w:val="24"/>
          <w:szCs w:val="24"/>
        </w:rPr>
        <w:t>,</w:t>
      </w:r>
    </w:p>
    <w:p>
      <w:pPr>
        <w:pStyle w:val="ListParagraph"/>
        <w:numPr>
          <w:ilvl w:val="0"/>
          <w:numId w:val="90"/>
        </w:numPr>
        <w:tabs>
          <w:tab w:pos="869" w:val="left" w:leader="none"/>
        </w:tabs>
        <w:spacing w:line="240" w:lineRule="auto" w:before="0" w:after="0"/>
        <w:ind w:left="160" w:right="175"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 економској класификацији 414000 – социјална давања запосленима, преузете </w:t>
      </w:r>
      <w:r>
        <w:rPr>
          <w:rFonts w:ascii="Times New Roman" w:hAnsi="Times New Roman" w:cs="Times New Roman" w:eastAsia="Times New Roman" w:hint="default"/>
          <w:spacing w:val="3"/>
          <w:sz w:val="24"/>
          <w:szCs w:val="24"/>
        </w:rPr>
        <w:t>су </w:t>
      </w:r>
      <w:r>
        <w:rPr>
          <w:rFonts w:ascii="Times New Roman" w:hAnsi="Times New Roman" w:cs="Times New Roman" w:eastAsia="Times New Roman" w:hint="default"/>
          <w:spacing w:val="3"/>
          <w:sz w:val="24"/>
          <w:szCs w:val="24"/>
        </w:rPr>
      </w:r>
      <w:r>
        <w:rPr>
          <w:rFonts w:ascii="Times New Roman" w:hAnsi="Times New Roman" w:cs="Times New Roman" w:eastAsia="Times New Roman" w:hint="default"/>
          <w:sz w:val="24"/>
          <w:szCs w:val="24"/>
        </w:rPr>
        <w:t>обавезе више од одобрене апропријације у износу од 11 хиљада динара више од одобрене </w:t>
      </w:r>
      <w:r>
        <w:rPr>
          <w:rFonts w:ascii="Times New Roman" w:hAnsi="Times New Roman" w:cs="Times New Roman" w:eastAsia="Times New Roman" w:hint="default"/>
          <w:sz w:val="24"/>
          <w:szCs w:val="24"/>
        </w:rPr>
        <w:t>апропријације за</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боловање</w:t>
      </w:r>
      <w:r>
        <w:rPr>
          <w:rFonts w:ascii="Times New Roman" w:hAnsi="Times New Roman" w:cs="Times New Roman" w:eastAsia="Times New Roman" w:hint="default"/>
          <w:sz w:val="24"/>
          <w:szCs w:val="24"/>
        </w:rPr>
        <w:t>,</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ListParagraph"/>
        <w:numPr>
          <w:ilvl w:val="0"/>
          <w:numId w:val="90"/>
        </w:numPr>
        <w:tabs>
          <w:tab w:pos="888" w:val="left" w:leader="none"/>
        </w:tabs>
        <w:spacing w:line="240" w:lineRule="auto" w:before="122" w:after="0"/>
        <w:ind w:left="160" w:right="172"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 економској класификацији 465000 – остале дотације и трансфери, преузете су обавезе у износу од 41 хиљаде динара више од одобрене апропријације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по основу повраћаја 10% у буџет Републике неисплаћене плате за децембар 2014.</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године</w:t>
      </w:r>
      <w:r>
        <w:rPr>
          <w:rFonts w:ascii="Times New Roman" w:hAnsi="Times New Roman" w:cs="Times New Roman" w:eastAsia="Times New Roman" w:hint="default"/>
          <w:sz w:val="24"/>
          <w:szCs w:val="24"/>
        </w:rPr>
        <w:t>.</w:t>
      </w:r>
    </w:p>
    <w:p>
      <w:pPr>
        <w:pStyle w:val="Heading2"/>
        <w:spacing w:line="240" w:lineRule="auto"/>
        <w:ind w:right="173"/>
        <w:jc w:val="both"/>
        <w:rPr>
          <w:rFonts w:ascii="Times New Roman" w:hAnsi="Times New Roman" w:cs="Times New Roman" w:eastAsia="Times New Roman" w:hint="default"/>
          <w:b w:val="0"/>
          <w:bCs w:val="0"/>
          <w:i w:val="0"/>
        </w:rPr>
      </w:pPr>
      <w:r>
        <w:rPr>
          <w:i/>
        </w:rPr>
        <w:t>Препоручује се одговорним лицима да правилно исказују обавезе и да обавезе преузимају до износа апропријације одобрене буџетом у тој години за ту</w:t>
      </w:r>
      <w:r>
        <w:rPr>
          <w:i/>
          <w:spacing w:val="-18"/>
        </w:rPr>
        <w:t> </w:t>
      </w:r>
      <w:r>
        <w:rPr>
          <w:i/>
        </w:rPr>
        <w:t>намену</w:t>
      </w:r>
      <w:r>
        <w:rPr>
          <w:rFonts w:ascii="Times New Roman" w:hAnsi="Times New Roman"/>
          <w:i/>
        </w:rPr>
        <w:t>.</w:t>
      </w:r>
      <w:r>
        <w:rPr>
          <w:rFonts w:ascii="Times New Roman" w:hAnsi="Times New Roman"/>
          <w:b w:val="0"/>
          <w:i w:val="0"/>
        </w:rPr>
      </w:r>
    </w:p>
    <w:p>
      <w:pPr>
        <w:pStyle w:val="ListParagraph"/>
        <w:numPr>
          <w:ilvl w:val="0"/>
          <w:numId w:val="88"/>
        </w:numPr>
        <w:tabs>
          <w:tab w:pos="444" w:val="left" w:leader="none"/>
        </w:tabs>
        <w:spacing w:line="240" w:lineRule="auto" w:before="132" w:after="0"/>
        <w:ind w:left="443" w:right="0" w:hanging="283"/>
        <w:jc w:val="both"/>
        <w:rPr>
          <w:rFonts w:ascii="Times New Roman" w:hAnsi="Times New Roman" w:cs="Times New Roman" w:eastAsia="Times New Roman" w:hint="default"/>
          <w:sz w:val="24"/>
          <w:szCs w:val="24"/>
        </w:rPr>
      </w:pPr>
      <w:r>
        <w:rPr>
          <w:rFonts w:ascii="Times New Roman" w:hAnsi="Times New Roman"/>
          <w:spacing w:val="-60"/>
          <w:sz w:val="24"/>
          <w:u w:val="single" w:color="000000"/>
        </w:rPr>
        <w:t> </w:t>
      </w:r>
      <w:r>
        <w:rPr>
          <w:rFonts w:ascii="Times New Roman" w:hAnsi="Times New Roman"/>
          <w:sz w:val="24"/>
          <w:u w:val="single" w:color="000000"/>
        </w:rPr>
        <w:t>Градско веће </w:t>
      </w:r>
      <w:r>
        <w:rPr>
          <w:rFonts w:ascii="Times New Roman" w:hAnsi="Times New Roman"/>
          <w:sz w:val="24"/>
        </w:rPr>
        <w:t>у износу од 1.147 хиљада</w:t>
      </w:r>
      <w:r>
        <w:rPr>
          <w:rFonts w:ascii="Times New Roman" w:hAnsi="Times New Roman"/>
          <w:spacing w:val="-6"/>
          <w:sz w:val="24"/>
        </w:rPr>
        <w:t> </w:t>
      </w:r>
      <w:r>
        <w:rPr>
          <w:rFonts w:ascii="Times New Roman" w:hAnsi="Times New Roman"/>
          <w:sz w:val="24"/>
        </w:rPr>
        <w:t>динара</w:t>
      </w:r>
      <w:r>
        <w:rPr>
          <w:rFonts w:ascii="Times New Roman" w:hAnsi="Times New Roman"/>
          <w:sz w:val="24"/>
        </w:rPr>
        <w:t>.</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Мање су исказане обавезе у износу од најмање </w:t>
      </w:r>
      <w:r>
        <w:rPr>
          <w:rFonts w:ascii="Times New Roman" w:hAnsi="Times New Roman" w:cs="Times New Roman" w:eastAsia="Times New Roman" w:hint="default"/>
          <w:sz w:val="24"/>
          <w:szCs w:val="24"/>
        </w:rPr>
        <w:t>1.733 </w:t>
      </w:r>
      <w:r>
        <w:rPr>
          <w:rFonts w:ascii="Times New Roman" w:hAnsi="Times New Roman" w:cs="Times New Roman" w:eastAsia="Times New Roman" w:hint="default"/>
          <w:sz w:val="24"/>
          <w:szCs w:val="24"/>
        </w:rPr>
        <w:t>хиљада динара јер нису евидентиране обавезе и то за: део плате за децембар 2014. године, социјалне доприносе  за децембар 2014. године, обавеза за умањење основице зараде од 10% за децембар 2014. године, обавезе према добављачима, обавезе за накнаде изабраних лица која нису на сталном раду. Истовремено, за исти износ мање је исказан износ на конту </w:t>
      </w:r>
      <w:r>
        <w:rPr>
          <w:rFonts w:ascii="Times New Roman" w:hAnsi="Times New Roman" w:cs="Times New Roman" w:eastAsia="Times New Roman" w:hint="default"/>
          <w:sz w:val="24"/>
          <w:szCs w:val="24"/>
        </w:rPr>
        <w:t>131200 </w:t>
      </w:r>
      <w:r>
        <w:rPr>
          <w:rFonts w:ascii="Times New Roman" w:hAnsi="Times New Roman" w:cs="Times New Roman" w:eastAsia="Times New Roman" w:hint="default"/>
          <w:sz w:val="24"/>
          <w:szCs w:val="24"/>
        </w:rPr>
        <w:t>– обрачунати неплаћени расходи и</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издаци</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40" w:lineRule="auto" w:before="2"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Више су исказана остала пасивна временска разграничења за износ од 94 хиљаде динара, због неправилног евидентирања, односно раскњижавања уплата,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spacing w:val="-24"/>
          <w:sz w:val="24"/>
        </w:rPr>
        <w:t> </w:t>
      </w:r>
      <w:r>
        <w:rPr>
          <w:rFonts w:ascii="Times New Roman" w:hAnsi="Times New Roman"/>
          <w:sz w:val="24"/>
        </w:rPr>
        <w:t>систем</w:t>
      </w:r>
      <w:r>
        <w:rPr>
          <w:rFonts w:ascii="Times New Roman" w:hAnsi="Times New Roman"/>
          <w:sz w:val="24"/>
        </w:rPr>
        <w:t>.</w:t>
      </w:r>
    </w:p>
    <w:p>
      <w:pPr>
        <w:pStyle w:val="ListParagraph"/>
        <w:numPr>
          <w:ilvl w:val="0"/>
          <w:numId w:val="9"/>
        </w:numPr>
        <w:tabs>
          <w:tab w:pos="303" w:val="left" w:leader="none"/>
        </w:tabs>
        <w:spacing w:line="292" w:lineRule="exact" w:before="2"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Градско веће је преузело обавезе преко одобрених апропријација у укупном   </w:t>
      </w:r>
      <w:r>
        <w:rPr>
          <w:rFonts w:ascii="Times New Roman" w:hAnsi="Times New Roman"/>
          <w:spacing w:val="11"/>
          <w:sz w:val="24"/>
        </w:rPr>
        <w:t> </w:t>
      </w:r>
      <w:r>
        <w:rPr>
          <w:rFonts w:ascii="Times New Roman" w:hAnsi="Times New Roman"/>
          <w:sz w:val="24"/>
        </w:rPr>
        <w:t>износу од</w:t>
      </w:r>
    </w:p>
    <w:p>
      <w:pPr>
        <w:pStyle w:val="BodyText"/>
        <w:spacing w:line="274" w:lineRule="exact"/>
        <w:ind w:right="0"/>
        <w:jc w:val="both"/>
      </w:pPr>
      <w:r>
        <w:rPr>
          <w:rFonts w:ascii="Times New Roman" w:hAnsi="Times New Roman"/>
        </w:rPr>
        <w:t>1.055 </w:t>
      </w:r>
      <w:r>
        <w:rPr/>
        <w:t>хиљада динара</w:t>
      </w:r>
      <w:r>
        <w:rPr>
          <w:rFonts w:ascii="Times New Roman" w:hAnsi="Times New Roman"/>
        </w:rPr>
        <w:t>, </w:t>
      </w:r>
      <w:r>
        <w:rPr/>
        <w:t>што је супротно члану 54. Закона о буџетском систему и</w:t>
      </w:r>
      <w:r>
        <w:rPr>
          <w:spacing w:val="-16"/>
        </w:rPr>
        <w:t> </w:t>
      </w:r>
      <w:r>
        <w:rPr/>
        <w:t>то:</w:t>
      </w:r>
    </w:p>
    <w:p>
      <w:pPr>
        <w:spacing w:before="3" w:after="4"/>
        <w:ind w:left="0" w:right="528" w:firstLine="0"/>
        <w:jc w:val="right"/>
        <w:rPr>
          <w:rFonts w:ascii="Times New Roman" w:hAnsi="Times New Roman" w:cs="Times New Roman" w:eastAsia="Times New Roman" w:hint="default"/>
          <w:sz w:val="18"/>
          <w:szCs w:val="18"/>
        </w:rPr>
      </w:pPr>
      <w:r>
        <w:rPr>
          <w:rFonts w:ascii="Times New Roman" w:hAnsi="Times New Roman"/>
          <w:sz w:val="18"/>
        </w:rPr>
        <w:t>(</w:t>
      </w:r>
      <w:r>
        <w:rPr>
          <w:rFonts w:ascii="Times New Roman" w:hAnsi="Times New Roman"/>
          <w:sz w:val="18"/>
        </w:rPr>
        <w:t>у хиљадама</w:t>
      </w:r>
      <w:r>
        <w:rPr>
          <w:rFonts w:ascii="Times New Roman" w:hAnsi="Times New Roman"/>
          <w:spacing w:val="-8"/>
          <w:sz w:val="18"/>
        </w:rPr>
        <w:t> </w:t>
      </w:r>
      <w:r>
        <w:rPr>
          <w:rFonts w:ascii="Times New Roman" w:hAnsi="Times New Roman"/>
          <w:sz w:val="18"/>
        </w:rPr>
        <w:t>динара</w:t>
      </w:r>
      <w:r>
        <w:rPr>
          <w:rFonts w:ascii="Times New Roman" w:hAnsi="Times New Roman"/>
          <w:sz w:val="18"/>
        </w:rPr>
        <w:t>)</w:t>
      </w:r>
    </w:p>
    <w:tbl>
      <w:tblPr>
        <w:tblW w:w="0" w:type="auto"/>
        <w:jc w:val="left"/>
        <w:tblInd w:w="582" w:type="dxa"/>
        <w:tblLayout w:type="fixed"/>
        <w:tblCellMar>
          <w:top w:w="0" w:type="dxa"/>
          <w:left w:w="0" w:type="dxa"/>
          <w:bottom w:w="0" w:type="dxa"/>
          <w:right w:w="0" w:type="dxa"/>
        </w:tblCellMar>
        <w:tblLook w:val="01E0"/>
      </w:tblPr>
      <w:tblGrid>
        <w:gridCol w:w="3543"/>
        <w:gridCol w:w="2552"/>
        <w:gridCol w:w="2379"/>
      </w:tblGrid>
      <w:tr>
        <w:trPr>
          <w:trHeight w:val="216" w:hRule="exact"/>
        </w:trPr>
        <w:tc>
          <w:tcPr>
            <w:tcW w:w="3543" w:type="dxa"/>
            <w:vMerge w:val="restart"/>
            <w:tcBorders>
              <w:top w:val="single" w:sz="4" w:space="0" w:color="000000"/>
              <w:left w:val="single" w:sz="4" w:space="0" w:color="000000"/>
              <w:right w:val="single" w:sz="4" w:space="0" w:color="000000"/>
            </w:tcBorders>
          </w:tcPr>
          <w:p>
            <w:pPr>
              <w:pStyle w:val="TableParagraph"/>
              <w:spacing w:line="202" w:lineRule="exact"/>
              <w:ind w:left="134" w:right="0"/>
              <w:jc w:val="left"/>
              <w:rPr>
                <w:rFonts w:ascii="Times New Roman" w:hAnsi="Times New Roman" w:cs="Times New Roman" w:eastAsia="Times New Roman" w:hint="default"/>
                <w:sz w:val="18"/>
                <w:szCs w:val="18"/>
              </w:rPr>
            </w:pPr>
            <w:r>
              <w:rPr>
                <w:rFonts w:ascii="Times New Roman" w:hAnsi="Times New Roman"/>
                <w:sz w:val="18"/>
              </w:rPr>
              <w:t>Градско</w:t>
            </w:r>
            <w:r>
              <w:rPr>
                <w:rFonts w:ascii="Times New Roman" w:hAnsi="Times New Roman"/>
                <w:spacing w:val="-5"/>
                <w:sz w:val="18"/>
              </w:rPr>
              <w:t> </w:t>
            </w:r>
            <w:r>
              <w:rPr>
                <w:rFonts w:ascii="Times New Roman" w:hAnsi="Times New Roman"/>
                <w:sz w:val="18"/>
              </w:rPr>
              <w:t>веће</w:t>
            </w:r>
          </w:p>
        </w:tc>
        <w:tc>
          <w:tcPr>
            <w:tcW w:w="4931" w:type="dxa"/>
            <w:gridSpan w:val="2"/>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156" w:right="0"/>
              <w:jc w:val="left"/>
              <w:rPr>
                <w:rFonts w:ascii="Times New Roman" w:hAnsi="Times New Roman" w:cs="Times New Roman" w:eastAsia="Times New Roman" w:hint="default"/>
                <w:sz w:val="18"/>
                <w:szCs w:val="18"/>
              </w:rPr>
            </w:pPr>
            <w:r>
              <w:rPr>
                <w:rFonts w:ascii="Times New Roman" w:hAnsi="Times New Roman"/>
                <w:sz w:val="18"/>
              </w:rPr>
              <w:t>Функционална класификација</w:t>
            </w:r>
            <w:r>
              <w:rPr>
                <w:rFonts w:ascii="Times New Roman" w:hAnsi="Times New Roman"/>
                <w:spacing w:val="-12"/>
                <w:sz w:val="18"/>
              </w:rPr>
              <w:t> </w:t>
            </w:r>
            <w:r>
              <w:rPr>
                <w:rFonts w:ascii="Times New Roman" w:hAnsi="Times New Roman"/>
                <w:sz w:val="18"/>
              </w:rPr>
              <w:t>111</w:t>
            </w:r>
          </w:p>
        </w:tc>
      </w:tr>
      <w:tr>
        <w:trPr>
          <w:trHeight w:val="219" w:hRule="exact"/>
        </w:trPr>
        <w:tc>
          <w:tcPr>
            <w:tcW w:w="3543" w:type="dxa"/>
            <w:vMerge/>
            <w:tcBorders>
              <w:left w:val="single" w:sz="4" w:space="0" w:color="000000"/>
              <w:bottom w:val="single" w:sz="4" w:space="0" w:color="000000"/>
              <w:right w:val="single" w:sz="4" w:space="0" w:color="000000"/>
            </w:tcBorders>
          </w:tcPr>
          <w:p>
            <w:pPr/>
          </w:p>
        </w:tc>
        <w:tc>
          <w:tcPr>
            <w:tcW w:w="2552"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801" w:right="0"/>
              <w:jc w:val="left"/>
              <w:rPr>
                <w:rFonts w:ascii="Times New Roman" w:hAnsi="Times New Roman" w:cs="Times New Roman" w:eastAsia="Times New Roman" w:hint="default"/>
                <w:sz w:val="18"/>
                <w:szCs w:val="18"/>
              </w:rPr>
            </w:pPr>
            <w:r>
              <w:rPr>
                <w:rFonts w:ascii="Times New Roman" w:hAnsi="Times New Roman"/>
                <w:sz w:val="18"/>
              </w:rPr>
              <w:t>Група конта</w:t>
            </w:r>
            <w:r>
              <w:rPr>
                <w:rFonts w:ascii="Times New Roman" w:hAnsi="Times New Roman"/>
                <w:spacing w:val="-1"/>
                <w:sz w:val="18"/>
              </w:rPr>
              <w:t> </w:t>
            </w:r>
            <w:r>
              <w:rPr>
                <w:rFonts w:ascii="Times New Roman" w:hAnsi="Times New Roman"/>
                <w:sz w:val="18"/>
              </w:rPr>
              <w:t>417</w:t>
            </w:r>
          </w:p>
        </w:tc>
        <w:tc>
          <w:tcPr>
            <w:tcW w:w="2379"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573" w:right="0"/>
              <w:jc w:val="left"/>
              <w:rPr>
                <w:rFonts w:ascii="Times New Roman" w:hAnsi="Times New Roman" w:cs="Times New Roman" w:eastAsia="Times New Roman" w:hint="default"/>
                <w:sz w:val="18"/>
                <w:szCs w:val="18"/>
              </w:rPr>
            </w:pPr>
            <w:r>
              <w:rPr>
                <w:rFonts w:ascii="Times New Roman" w:hAnsi="Times New Roman"/>
                <w:sz w:val="18"/>
              </w:rPr>
              <w:t>Група конта</w:t>
            </w:r>
            <w:r>
              <w:rPr>
                <w:rFonts w:ascii="Times New Roman" w:hAnsi="Times New Roman"/>
                <w:spacing w:val="-1"/>
                <w:sz w:val="18"/>
              </w:rPr>
              <w:t> </w:t>
            </w:r>
            <w:r>
              <w:rPr>
                <w:rFonts w:ascii="Times New Roman" w:hAnsi="Times New Roman"/>
                <w:sz w:val="18"/>
              </w:rPr>
              <w:t>465</w:t>
            </w:r>
          </w:p>
        </w:tc>
      </w:tr>
      <w:tr>
        <w:trPr>
          <w:trHeight w:val="216" w:hRule="exact"/>
        </w:trPr>
        <w:tc>
          <w:tcPr>
            <w:tcW w:w="354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4" w:right="0"/>
              <w:jc w:val="left"/>
              <w:rPr>
                <w:rFonts w:ascii="Times New Roman" w:hAnsi="Times New Roman" w:cs="Times New Roman" w:eastAsia="Times New Roman" w:hint="default"/>
                <w:sz w:val="18"/>
                <w:szCs w:val="18"/>
              </w:rPr>
            </w:pPr>
            <w:r>
              <w:rPr>
                <w:rFonts w:ascii="Times New Roman" w:hAnsi="Times New Roman"/>
                <w:sz w:val="18"/>
              </w:rPr>
              <w:t>План</w:t>
            </w:r>
          </w:p>
        </w:tc>
        <w:tc>
          <w:tcPr>
            <w:tcW w:w="255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7.000</w:t>
            </w:r>
          </w:p>
        </w:tc>
        <w:tc>
          <w:tcPr>
            <w:tcW w:w="237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112</w:t>
            </w:r>
          </w:p>
        </w:tc>
      </w:tr>
      <w:tr>
        <w:trPr>
          <w:trHeight w:val="218" w:hRule="exact"/>
        </w:trPr>
        <w:tc>
          <w:tcPr>
            <w:tcW w:w="354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4" w:right="0"/>
              <w:jc w:val="left"/>
              <w:rPr>
                <w:rFonts w:ascii="Times New Roman" w:hAnsi="Times New Roman" w:cs="Times New Roman" w:eastAsia="Times New Roman" w:hint="default"/>
                <w:sz w:val="18"/>
                <w:szCs w:val="18"/>
              </w:rPr>
            </w:pPr>
            <w:r>
              <w:rPr>
                <w:rFonts w:ascii="Times New Roman" w:hAnsi="Times New Roman"/>
                <w:sz w:val="18"/>
              </w:rPr>
              <w:t>Извршење</w:t>
            </w:r>
          </w:p>
        </w:tc>
        <w:tc>
          <w:tcPr>
            <w:tcW w:w="255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6.502</w:t>
            </w:r>
          </w:p>
        </w:tc>
        <w:tc>
          <w:tcPr>
            <w:tcW w:w="237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112</w:t>
            </w:r>
          </w:p>
        </w:tc>
      </w:tr>
      <w:tr>
        <w:trPr>
          <w:trHeight w:val="216" w:hRule="exact"/>
        </w:trPr>
        <w:tc>
          <w:tcPr>
            <w:tcW w:w="354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4" w:right="0"/>
              <w:jc w:val="left"/>
              <w:rPr>
                <w:rFonts w:ascii="Times New Roman" w:hAnsi="Times New Roman" w:cs="Times New Roman" w:eastAsia="Times New Roman" w:hint="default"/>
                <w:sz w:val="18"/>
                <w:szCs w:val="18"/>
              </w:rPr>
            </w:pPr>
            <w:r>
              <w:rPr>
                <w:rFonts w:ascii="Times New Roman" w:hAnsi="Times New Roman"/>
                <w:sz w:val="18"/>
              </w:rPr>
              <w:t>Разлика</w:t>
            </w:r>
            <w:r>
              <w:rPr>
                <w:rFonts w:ascii="Times New Roman" w:hAnsi="Times New Roman"/>
                <w:spacing w:val="-4"/>
                <w:sz w:val="18"/>
              </w:rPr>
              <w:t> </w:t>
            </w:r>
            <w:r>
              <w:rPr>
                <w:rFonts w:ascii="Times New Roman" w:hAnsi="Times New Roman"/>
                <w:sz w:val="18"/>
              </w:rPr>
              <w:t>1</w:t>
            </w:r>
          </w:p>
        </w:tc>
        <w:tc>
          <w:tcPr>
            <w:tcW w:w="255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498</w:t>
            </w:r>
          </w:p>
        </w:tc>
        <w:tc>
          <w:tcPr>
            <w:tcW w:w="237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r>
      <w:tr>
        <w:trPr>
          <w:trHeight w:val="216" w:hRule="exact"/>
        </w:trPr>
        <w:tc>
          <w:tcPr>
            <w:tcW w:w="354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4" w:right="0"/>
              <w:jc w:val="left"/>
              <w:rPr>
                <w:rFonts w:ascii="Times New Roman" w:hAnsi="Times New Roman" w:cs="Times New Roman" w:eastAsia="Times New Roman" w:hint="default"/>
                <w:sz w:val="18"/>
                <w:szCs w:val="18"/>
              </w:rPr>
            </w:pPr>
            <w:r>
              <w:rPr>
                <w:rFonts w:ascii="Times New Roman" w:hAnsi="Times New Roman"/>
                <w:sz w:val="18"/>
              </w:rPr>
              <w:t>Преузете обавезе по</w:t>
            </w:r>
            <w:r>
              <w:rPr>
                <w:rFonts w:ascii="Times New Roman" w:hAnsi="Times New Roman"/>
                <w:spacing w:val="-11"/>
                <w:sz w:val="18"/>
              </w:rPr>
              <w:t> </w:t>
            </w:r>
            <w:r>
              <w:rPr>
                <w:rFonts w:ascii="Times New Roman" w:hAnsi="Times New Roman"/>
                <w:sz w:val="18"/>
              </w:rPr>
              <w:t>рачунима</w:t>
            </w:r>
          </w:p>
        </w:tc>
        <w:tc>
          <w:tcPr>
            <w:tcW w:w="255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1.435</w:t>
            </w:r>
          </w:p>
        </w:tc>
        <w:tc>
          <w:tcPr>
            <w:tcW w:w="237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118</w:t>
            </w:r>
          </w:p>
        </w:tc>
      </w:tr>
      <w:tr>
        <w:trPr>
          <w:trHeight w:val="218" w:hRule="exact"/>
        </w:trPr>
        <w:tc>
          <w:tcPr>
            <w:tcW w:w="354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34" w:right="0"/>
              <w:jc w:val="left"/>
              <w:rPr>
                <w:rFonts w:ascii="Times New Roman" w:hAnsi="Times New Roman" w:cs="Times New Roman" w:eastAsia="Times New Roman" w:hint="default"/>
                <w:sz w:val="18"/>
                <w:szCs w:val="18"/>
              </w:rPr>
            </w:pPr>
            <w:r>
              <w:rPr>
                <w:rFonts w:ascii="Times New Roman" w:hAnsi="Times New Roman"/>
                <w:sz w:val="18"/>
              </w:rPr>
              <w:t>Преузете обавезе по</w:t>
            </w:r>
            <w:r>
              <w:rPr>
                <w:rFonts w:ascii="Times New Roman" w:hAnsi="Times New Roman"/>
                <w:spacing w:val="-10"/>
                <w:sz w:val="18"/>
              </w:rPr>
              <w:t> </w:t>
            </w:r>
            <w:r>
              <w:rPr>
                <w:rFonts w:ascii="Times New Roman" w:hAnsi="Times New Roman"/>
                <w:sz w:val="18"/>
              </w:rPr>
              <w:t>уговорима</w:t>
            </w:r>
          </w:p>
        </w:tc>
        <w:tc>
          <w:tcPr>
            <w:tcW w:w="255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2379"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r>
      <w:tr>
        <w:trPr>
          <w:trHeight w:val="216" w:hRule="exact"/>
        </w:trPr>
        <w:tc>
          <w:tcPr>
            <w:tcW w:w="354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4" w:right="0"/>
              <w:jc w:val="left"/>
              <w:rPr>
                <w:rFonts w:ascii="Times New Roman" w:hAnsi="Times New Roman" w:cs="Times New Roman" w:eastAsia="Times New Roman" w:hint="default"/>
                <w:sz w:val="18"/>
                <w:szCs w:val="18"/>
              </w:rPr>
            </w:pPr>
            <w:r>
              <w:rPr>
                <w:rFonts w:ascii="Times New Roman" w:hAnsi="Times New Roman"/>
                <w:sz w:val="18"/>
              </w:rPr>
              <w:t>Разлика</w:t>
            </w:r>
            <w:r>
              <w:rPr>
                <w:rFonts w:ascii="Times New Roman" w:hAnsi="Times New Roman"/>
                <w:spacing w:val="-4"/>
                <w:sz w:val="18"/>
              </w:rPr>
              <w:t> </w:t>
            </w:r>
            <w:r>
              <w:rPr>
                <w:rFonts w:ascii="Times New Roman" w:hAnsi="Times New Roman"/>
                <w:sz w:val="18"/>
              </w:rPr>
              <w:t>2</w:t>
            </w:r>
          </w:p>
        </w:tc>
        <w:tc>
          <w:tcPr>
            <w:tcW w:w="25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-937</w:t>
            </w:r>
            <w:r>
              <w:rPr>
                <w:rFonts w:ascii="Times New Roman"/>
                <w:spacing w:val="-1"/>
                <w:sz w:val="18"/>
              </w:rPr>
            </w:r>
          </w:p>
        </w:tc>
        <w:tc>
          <w:tcPr>
            <w:tcW w:w="23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-118</w:t>
            </w:r>
            <w:r>
              <w:rPr>
                <w:rFonts w:ascii="Times New Roman"/>
                <w:spacing w:val="-1"/>
                <w:sz w:val="18"/>
              </w:rPr>
            </w:r>
          </w:p>
        </w:tc>
      </w:tr>
    </w:tbl>
    <w:p>
      <w:pPr>
        <w:pStyle w:val="BodyText"/>
        <w:spacing w:line="268" w:lineRule="exact"/>
        <w:ind w:left="726" w:right="141"/>
        <w:jc w:val="left"/>
      </w:pPr>
      <w:r>
        <w:rPr/>
        <w:t>На функционалној класификацији 111 – извршни и законодавни</w:t>
      </w:r>
      <w:r>
        <w:rPr>
          <w:spacing w:val="-25"/>
        </w:rPr>
        <w:t> </w:t>
      </w:r>
      <w:r>
        <w:rPr/>
        <w:t>органи:</w:t>
      </w:r>
    </w:p>
    <w:p>
      <w:pPr>
        <w:pStyle w:val="ListParagraph"/>
        <w:numPr>
          <w:ilvl w:val="0"/>
          <w:numId w:val="91"/>
        </w:numPr>
        <w:tabs>
          <w:tab w:pos="881" w:val="left" w:leader="none"/>
        </w:tabs>
        <w:spacing w:line="240" w:lineRule="auto" w:before="0" w:after="0"/>
        <w:ind w:left="160" w:right="177"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 економској класификацији 417000 – посланички додатак преузете су обавезе у износу од 937 хиљада динара више од одобрене апропријације по основу неисплаћене накнаде члановима градског већа који нису на сталном раду, од којих се износ од 664 хиљаде динара односи на обавезе за децембар 2014.</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године</w:t>
      </w:r>
      <w:r>
        <w:rPr>
          <w:rFonts w:ascii="Times New Roman" w:hAnsi="Times New Roman" w:cs="Times New Roman" w:eastAsia="Times New Roman" w:hint="default"/>
          <w:sz w:val="24"/>
          <w:szCs w:val="24"/>
        </w:rPr>
        <w:t>,</w:t>
      </w:r>
    </w:p>
    <w:p>
      <w:pPr>
        <w:pStyle w:val="ListParagraph"/>
        <w:numPr>
          <w:ilvl w:val="0"/>
          <w:numId w:val="91"/>
        </w:numPr>
        <w:tabs>
          <w:tab w:pos="893" w:val="left" w:leader="none"/>
        </w:tabs>
        <w:spacing w:line="240" w:lineRule="auto" w:before="0" w:after="0"/>
        <w:ind w:left="160" w:right="172"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 економској класификацији 46500</w:t>
      </w:r>
      <w:r>
        <w:rPr>
          <w:rFonts w:ascii="Times New Roman" w:hAnsi="Times New Roman" w:cs="Times New Roman" w:eastAsia="Times New Roman" w:hint="default"/>
          <w:sz w:val="24"/>
          <w:szCs w:val="24"/>
        </w:rPr>
        <w:t>0 </w:t>
      </w:r>
      <w:r>
        <w:rPr>
          <w:rFonts w:ascii="Times New Roman" w:hAnsi="Times New Roman" w:cs="Times New Roman" w:eastAsia="Times New Roman" w:hint="default"/>
          <w:sz w:val="24"/>
          <w:szCs w:val="24"/>
        </w:rPr>
        <w:t>– остале дотације и трансфери преузете су обавезе у износу од 118 хиљада динара више од одобрене апропријације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по основу обавезе за повраћаја 10% у буџет Републике за неисплаћену плату за децембар 2014. године за чланове Градског већа на сталном</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раду</w:t>
      </w:r>
      <w:r>
        <w:rPr>
          <w:rFonts w:ascii="Times New Roman" w:hAnsi="Times New Roman" w:cs="Times New Roman" w:eastAsia="Times New Roman" w:hint="default"/>
          <w:sz w:val="24"/>
          <w:szCs w:val="24"/>
        </w:rPr>
        <w:t>.</w:t>
      </w:r>
    </w:p>
    <w:p>
      <w:pPr>
        <w:pStyle w:val="Heading2"/>
        <w:spacing w:line="240" w:lineRule="auto"/>
        <w:ind w:right="172"/>
        <w:jc w:val="both"/>
        <w:rPr>
          <w:rFonts w:ascii="Times New Roman" w:hAnsi="Times New Roman" w:cs="Times New Roman" w:eastAsia="Times New Roman" w:hint="default"/>
          <w:b w:val="0"/>
          <w:bCs w:val="0"/>
          <w:i w:val="0"/>
        </w:rPr>
      </w:pPr>
      <w:r>
        <w:rPr>
          <w:i/>
        </w:rPr>
        <w:t>Препоручује се одговорним лицима да правилно исказују обавезе, обезбеде правилну примену одредби Уредбе о буџетском рачуноводству и Правилника о стандардном класификационом оквиру и контном плану за буџетски систем и да обавезе преузимају до износа апропријације одобрене буџетом у тој години за ту намену</w:t>
      </w:r>
      <w:r>
        <w:rPr>
          <w:rFonts w:ascii="Times New Roman" w:hAnsi="Times New Roman"/>
          <w:i/>
        </w:rPr>
        <w:t>.</w:t>
      </w:r>
      <w:r>
        <w:rPr>
          <w:rFonts w:ascii="Times New Roman" w:hAnsi="Times New Roman"/>
          <w:b w:val="0"/>
          <w:i w:val="0"/>
        </w:rPr>
      </w:r>
    </w:p>
    <w:p>
      <w:pPr>
        <w:pStyle w:val="ListParagraph"/>
        <w:numPr>
          <w:ilvl w:val="0"/>
          <w:numId w:val="88"/>
        </w:numPr>
        <w:tabs>
          <w:tab w:pos="444" w:val="left" w:leader="none"/>
        </w:tabs>
        <w:spacing w:line="240" w:lineRule="auto" w:before="134" w:after="0"/>
        <w:ind w:left="443" w:right="0" w:hanging="283"/>
        <w:jc w:val="left"/>
        <w:rPr>
          <w:rFonts w:ascii="Times New Roman" w:hAnsi="Times New Roman" w:cs="Times New Roman" w:eastAsia="Times New Roman" w:hint="default"/>
          <w:sz w:val="24"/>
          <w:szCs w:val="24"/>
        </w:rPr>
      </w:pPr>
      <w:r>
        <w:rPr>
          <w:rFonts w:ascii="Times New Roman" w:hAnsi="Times New Roman"/>
          <w:spacing w:val="-60"/>
          <w:sz w:val="24"/>
          <w:u w:val="single" w:color="000000"/>
        </w:rPr>
        <w:t> </w:t>
      </w:r>
      <w:r>
        <w:rPr>
          <w:rFonts w:ascii="Times New Roman" w:hAnsi="Times New Roman"/>
          <w:sz w:val="24"/>
          <w:u w:val="single" w:color="000000"/>
        </w:rPr>
        <w:t>Управа за грађанска стања и опште послове </w:t>
      </w:r>
      <w:r>
        <w:rPr>
          <w:rFonts w:ascii="Times New Roman" w:hAnsi="Times New Roman"/>
          <w:sz w:val="24"/>
        </w:rPr>
        <w:t>у износу од 619 хиљада</w:t>
      </w:r>
      <w:r>
        <w:rPr>
          <w:rFonts w:ascii="Times New Roman" w:hAnsi="Times New Roman"/>
          <w:spacing w:val="-16"/>
          <w:sz w:val="24"/>
        </w:rPr>
        <w:t> </w:t>
      </w:r>
      <w:r>
        <w:rPr>
          <w:rFonts w:ascii="Times New Roman" w:hAnsi="Times New Roman"/>
          <w:sz w:val="24"/>
        </w:rPr>
        <w:t>динара</w:t>
      </w:r>
      <w:r>
        <w:rPr>
          <w:rFonts w:ascii="Times New Roman" w:hAnsi="Times New Roman"/>
          <w:sz w:val="24"/>
        </w:rPr>
        <w:t>.</w:t>
      </w:r>
    </w:p>
    <w:p>
      <w:pPr>
        <w:pStyle w:val="BodyText"/>
        <w:spacing w:line="240" w:lineRule="auto"/>
        <w:ind w:right="177" w:firstLine="566"/>
        <w:jc w:val="both"/>
        <w:rPr>
          <w:rFonts w:ascii="Times New Roman" w:hAnsi="Times New Roman" w:cs="Times New Roman" w:eastAsia="Times New Roman" w:hint="default"/>
        </w:rPr>
      </w:pPr>
      <w:r>
        <w:rPr>
          <w:rFonts w:ascii="Times New Roman" w:hAnsi="Times New Roman" w:cs="Times New Roman" w:eastAsia="Times New Roman" w:hint="default"/>
          <w:b/>
          <w:bCs/>
        </w:rPr>
        <w:t>На основу ревизије узорковане документације утврђено је </w:t>
      </w:r>
      <w:r>
        <w:rPr/>
        <w:t>да су мање исказане обавезе у укупном износу од 189 хиљада динара</w:t>
      </w:r>
      <w:r>
        <w:rPr>
          <w:rFonts w:ascii="Times New Roman" w:hAnsi="Times New Roman" w:cs="Times New Roman" w:eastAsia="Times New Roman" w:hint="default"/>
        </w:rPr>
        <w:t>, </w:t>
      </w:r>
      <w:r>
        <w:rPr/>
        <w:t>јер нису евидентиране обавезе према добављачима за услугу доставе поште. Истовремено, за исти износ мање је исказан износ на конту </w:t>
      </w:r>
      <w:r>
        <w:rPr>
          <w:rFonts w:ascii="Times New Roman" w:hAnsi="Times New Roman" w:cs="Times New Roman" w:eastAsia="Times New Roman" w:hint="default"/>
        </w:rPr>
        <w:t>131200 </w:t>
      </w:r>
      <w:r>
        <w:rPr/>
        <w:t>– обрачунати неплаћени расходи и</w:t>
      </w:r>
      <w:r>
        <w:rPr>
          <w:spacing w:val="-14"/>
        </w:rPr>
        <w:t> </w:t>
      </w:r>
      <w:r>
        <w:rPr/>
        <w:t>издаци</w:t>
      </w:r>
      <w:r>
        <w:rPr>
          <w:rFonts w:ascii="Times New Roman" w:hAnsi="Times New Roman" w:cs="Times New Roman" w:eastAsia="Times New Roman" w:hint="default"/>
        </w:rPr>
        <w:t>.</w:t>
      </w:r>
    </w:p>
    <w:p>
      <w:pPr>
        <w:spacing w:after="0" w:line="240" w:lineRule="auto"/>
        <w:jc w:val="both"/>
        <w:rPr>
          <w:rFonts w:ascii="Times New Roman" w:hAnsi="Times New Roman" w:cs="Times New Roman" w:eastAsia="Times New Roman" w:hint="default"/>
        </w:rPr>
        <w:sectPr>
          <w:pgSz w:w="12240" w:h="15840"/>
          <w:pgMar w:header="740" w:footer="1274" w:top="1280" w:bottom="1460" w:left="1400" w:right="1260"/>
        </w:sectPr>
      </w:pPr>
    </w:p>
    <w:p>
      <w:pPr>
        <w:pStyle w:val="Heading2"/>
        <w:spacing w:line="240" w:lineRule="auto" w:before="126"/>
        <w:ind w:left="1118" w:right="0" w:firstLine="0"/>
        <w:jc w:val="left"/>
        <w:rPr>
          <w:b w:val="0"/>
          <w:bCs w:val="0"/>
          <w:i w:val="0"/>
        </w:rPr>
      </w:pPr>
      <w:r>
        <w:rPr>
          <w:i/>
        </w:rPr>
        <w:t>Препоручује се одговорним лицима да правилно исказују</w:t>
      </w:r>
      <w:r>
        <w:rPr>
          <w:i/>
          <w:spacing w:val="-20"/>
        </w:rPr>
        <w:t> </w:t>
      </w:r>
      <w:r>
        <w:rPr>
          <w:i/>
        </w:rPr>
        <w:t>обавезе.</w:t>
      </w:r>
      <w:r>
        <w:rPr>
          <w:b w:val="0"/>
          <w:i w:val="0"/>
        </w:rPr>
      </w:r>
    </w:p>
    <w:p>
      <w:pPr>
        <w:pStyle w:val="ListParagraph"/>
        <w:numPr>
          <w:ilvl w:val="0"/>
          <w:numId w:val="88"/>
        </w:numPr>
        <w:tabs>
          <w:tab w:pos="824" w:val="left" w:leader="none"/>
        </w:tabs>
        <w:spacing w:line="240" w:lineRule="auto" w:before="132" w:after="0"/>
        <w:ind w:left="823" w:right="0" w:hanging="283"/>
        <w:jc w:val="both"/>
        <w:rPr>
          <w:rFonts w:ascii="Times New Roman" w:hAnsi="Times New Roman" w:cs="Times New Roman" w:eastAsia="Times New Roman" w:hint="default"/>
          <w:sz w:val="24"/>
          <w:szCs w:val="24"/>
        </w:rPr>
      </w:pPr>
      <w:r>
        <w:rPr>
          <w:rFonts w:ascii="Times New Roman" w:hAnsi="Times New Roman"/>
          <w:spacing w:val="-60"/>
          <w:sz w:val="24"/>
          <w:u w:val="single" w:color="000000"/>
        </w:rPr>
        <w:t> </w:t>
      </w:r>
      <w:r>
        <w:rPr>
          <w:rFonts w:ascii="Times New Roman" w:hAnsi="Times New Roman"/>
          <w:sz w:val="24"/>
          <w:u w:val="single" w:color="000000"/>
        </w:rPr>
        <w:t>Управа за финансије, изворне приходе локалне самоуправе и јавне набавке </w:t>
      </w:r>
      <w:r>
        <w:rPr>
          <w:rFonts w:ascii="Times New Roman" w:hAnsi="Times New Roman"/>
          <w:sz w:val="24"/>
        </w:rPr>
        <w:t>у износу</w:t>
      </w:r>
      <w:r>
        <w:rPr>
          <w:rFonts w:ascii="Times New Roman" w:hAnsi="Times New Roman"/>
          <w:spacing w:val="-20"/>
          <w:sz w:val="24"/>
        </w:rPr>
        <w:t> </w:t>
      </w:r>
      <w:r>
        <w:rPr>
          <w:rFonts w:ascii="Times New Roman" w:hAnsi="Times New Roman"/>
          <w:sz w:val="24"/>
        </w:rPr>
        <w:t>од</w:t>
      </w:r>
    </w:p>
    <w:p>
      <w:pPr>
        <w:pStyle w:val="BodyText"/>
        <w:spacing w:line="240" w:lineRule="auto"/>
        <w:ind w:left="540" w:right="0"/>
        <w:jc w:val="both"/>
      </w:pPr>
      <w:r>
        <w:rPr/>
        <w:t>141.027 хиљада</w:t>
      </w:r>
      <w:r>
        <w:rPr>
          <w:spacing w:val="-3"/>
        </w:rPr>
        <w:t> </w:t>
      </w:r>
      <w:r>
        <w:rPr/>
        <w:t>динара.</w:t>
      </w:r>
    </w:p>
    <w:p>
      <w:pPr>
        <w:pStyle w:val="Heading1"/>
        <w:spacing w:line="275" w:lineRule="exact"/>
        <w:ind w:left="1106" w:right="0"/>
        <w:jc w:val="left"/>
        <w:rPr>
          <w:b w:val="0"/>
          <w:bCs w:val="0"/>
        </w:rPr>
      </w:pPr>
      <w:r>
        <w:rPr/>
        <w:t>На основу ревизије узорковане документације утврђено</w:t>
      </w:r>
      <w:r>
        <w:rPr>
          <w:spacing w:val="-18"/>
        </w:rPr>
        <w:t> </w:t>
      </w:r>
      <w:r>
        <w:rPr/>
        <w:t>је:</w:t>
      </w:r>
      <w:r>
        <w:rPr>
          <w:b w:val="0"/>
        </w:rPr>
      </w:r>
    </w:p>
    <w:p>
      <w:pPr>
        <w:pStyle w:val="ListParagraph"/>
        <w:numPr>
          <w:ilvl w:val="0"/>
          <w:numId w:val="92"/>
        </w:numPr>
        <w:tabs>
          <w:tab w:pos="683" w:val="left" w:leader="none"/>
        </w:tabs>
        <w:spacing w:line="240" w:lineRule="auto" w:before="0" w:after="0"/>
        <w:ind w:left="540" w:right="79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Мање су исказане обавезе у износу од најмање 71.314 хиљада динара јер нису евидентиране обавезе и то за: део плате за децембар 2014. године, обавезе по основу социјалних доприноса за децембар 2014. године, обавезе за умањење основице зараде од 10% за децембар 2014. године, обавезе по путним налозима, обавезе према добављачима, накнаде по уговорима о привременим и повременим пословима, превоз запослених, отпремнине за одлазак у пензију. Истовремено, за исти износ мање је исказан износ на конту </w:t>
      </w:r>
      <w:r>
        <w:rPr>
          <w:rFonts w:ascii="Times New Roman" w:hAnsi="Times New Roman" w:cs="Times New Roman" w:eastAsia="Times New Roman" w:hint="default"/>
          <w:sz w:val="24"/>
          <w:szCs w:val="24"/>
        </w:rPr>
        <w:t>131200 </w:t>
      </w:r>
      <w:r>
        <w:rPr>
          <w:rFonts w:ascii="Times New Roman" w:hAnsi="Times New Roman" w:cs="Times New Roman" w:eastAsia="Times New Roman" w:hint="default"/>
          <w:sz w:val="24"/>
          <w:szCs w:val="24"/>
        </w:rPr>
        <w:t>– обрачунати неплаћени расходи и</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издаци</w:t>
      </w:r>
      <w:r>
        <w:rPr>
          <w:rFonts w:ascii="Times New Roman" w:hAnsi="Times New Roman" w:cs="Times New Roman" w:eastAsia="Times New Roman" w:hint="default"/>
          <w:sz w:val="24"/>
          <w:szCs w:val="24"/>
        </w:rPr>
        <w:t>.</w:t>
      </w:r>
    </w:p>
    <w:p>
      <w:pPr>
        <w:pStyle w:val="ListParagraph"/>
        <w:numPr>
          <w:ilvl w:val="0"/>
          <w:numId w:val="92"/>
        </w:numPr>
        <w:tabs>
          <w:tab w:pos="683" w:val="left" w:leader="none"/>
        </w:tabs>
        <w:spacing w:line="240" w:lineRule="auto" w:before="2" w:after="0"/>
        <w:ind w:left="540" w:right="80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Више су исказани обрачунати ненаплаћени приходи и примања код Управе за финансије, изворне приходе локалне самоуправе и јавне набавке за износ од 23.899 хиљада динара, по основу потраживања од ЈКП</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Naissus</w:t>
      </w:r>
      <w:r>
        <w:rPr>
          <w:rFonts w:ascii="Times New Roman" w:hAnsi="Times New Roman" w:cs="Times New Roman" w:eastAsia="Times New Roman" w:hint="default"/>
          <w:sz w:val="24"/>
          <w:szCs w:val="24"/>
        </w:rPr>
        <w:t>“.</w:t>
      </w:r>
    </w:p>
    <w:p>
      <w:pPr>
        <w:pStyle w:val="ListParagraph"/>
        <w:numPr>
          <w:ilvl w:val="0"/>
          <w:numId w:val="92"/>
        </w:numPr>
        <w:tabs>
          <w:tab w:pos="683" w:val="left" w:leader="none"/>
        </w:tabs>
        <w:spacing w:line="240" w:lineRule="auto" w:before="2" w:after="0"/>
        <w:ind w:left="540" w:right="796" w:firstLine="0"/>
        <w:jc w:val="both"/>
        <w:rPr>
          <w:rFonts w:ascii="Times New Roman" w:hAnsi="Times New Roman" w:cs="Times New Roman" w:eastAsia="Times New Roman" w:hint="default"/>
          <w:sz w:val="24"/>
          <w:szCs w:val="24"/>
        </w:rPr>
      </w:pPr>
      <w:r>
        <w:rPr>
          <w:rFonts w:ascii="Times New Roman" w:hAnsi="Times New Roman"/>
          <w:sz w:val="24"/>
        </w:rPr>
        <w:t>Мање су исказани обрачунати ненаплаћени приходи и примања за износ од 212 хиљада динара, због неправилног евидентирања уплата,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spacing w:val="-14"/>
          <w:sz w:val="24"/>
        </w:rPr>
        <w:t> </w:t>
      </w:r>
      <w:r>
        <w:rPr>
          <w:rFonts w:ascii="Times New Roman" w:hAnsi="Times New Roman"/>
          <w:sz w:val="24"/>
        </w:rPr>
        <w:t>систем</w:t>
      </w:r>
      <w:r>
        <w:rPr>
          <w:rFonts w:ascii="Times New Roman" w:hAnsi="Times New Roman"/>
          <w:sz w:val="24"/>
        </w:rPr>
        <w:t>.</w:t>
      </w:r>
    </w:p>
    <w:p>
      <w:pPr>
        <w:pStyle w:val="ListParagraph"/>
        <w:numPr>
          <w:ilvl w:val="0"/>
          <w:numId w:val="92"/>
        </w:numPr>
        <w:tabs>
          <w:tab w:pos="683" w:val="left" w:leader="none"/>
        </w:tabs>
        <w:spacing w:line="237" w:lineRule="auto" w:before="4" w:after="0"/>
        <w:ind w:left="540" w:right="793" w:firstLine="0"/>
        <w:jc w:val="both"/>
        <w:rPr>
          <w:rFonts w:ascii="Times New Roman" w:hAnsi="Times New Roman" w:cs="Times New Roman" w:eastAsia="Times New Roman" w:hint="default"/>
          <w:sz w:val="24"/>
          <w:szCs w:val="24"/>
        </w:rPr>
      </w:pPr>
      <w:r>
        <w:rPr>
          <w:rFonts w:ascii="Times New Roman" w:hAnsi="Times New Roman"/>
          <w:sz w:val="24"/>
        </w:rPr>
        <w:t>Управа за финансије, изворне приходе локалне самоуправе и јавне набавке је преузела обавезе преко одобрених апропријација у укупном износу од 61.449 хиљада динара</w:t>
      </w:r>
      <w:r>
        <w:rPr>
          <w:rFonts w:ascii="Times New Roman" w:hAnsi="Times New Roman"/>
          <w:sz w:val="24"/>
        </w:rPr>
        <w:t>, </w:t>
      </w:r>
      <w:r>
        <w:rPr>
          <w:rFonts w:ascii="Times New Roman" w:hAnsi="Times New Roman"/>
          <w:sz w:val="24"/>
        </w:rPr>
        <w:t>што је супротно члану 54. Закона о буџетском систему и</w:t>
      </w:r>
      <w:r>
        <w:rPr>
          <w:rFonts w:ascii="Times New Roman" w:hAnsi="Times New Roman"/>
          <w:spacing w:val="-13"/>
          <w:sz w:val="24"/>
        </w:rPr>
        <w:t> </w:t>
      </w:r>
      <w:r>
        <w:rPr>
          <w:rFonts w:ascii="Times New Roman" w:hAnsi="Times New Roman"/>
          <w:sz w:val="24"/>
        </w:rPr>
        <w:t>то:</w:t>
      </w:r>
    </w:p>
    <w:p>
      <w:pPr>
        <w:spacing w:before="4" w:after="4"/>
        <w:ind w:left="0" w:right="798" w:firstLine="0"/>
        <w:jc w:val="right"/>
        <w:rPr>
          <w:rFonts w:ascii="Times New Roman" w:hAnsi="Times New Roman" w:cs="Times New Roman" w:eastAsia="Times New Roman" w:hint="default"/>
          <w:sz w:val="18"/>
          <w:szCs w:val="18"/>
        </w:rPr>
      </w:pPr>
      <w:r>
        <w:rPr>
          <w:rFonts w:ascii="Times New Roman" w:hAnsi="Times New Roman"/>
          <w:sz w:val="18"/>
        </w:rPr>
        <w:t>(</w:t>
      </w:r>
      <w:r>
        <w:rPr>
          <w:rFonts w:ascii="Times New Roman" w:hAnsi="Times New Roman"/>
          <w:sz w:val="18"/>
        </w:rPr>
        <w:t>у хиљадама</w:t>
      </w:r>
      <w:r>
        <w:rPr>
          <w:rFonts w:ascii="Times New Roman" w:hAnsi="Times New Roman"/>
          <w:spacing w:val="-11"/>
          <w:sz w:val="18"/>
        </w:rPr>
        <w:t> </w:t>
      </w:r>
      <w:r>
        <w:rPr>
          <w:rFonts w:ascii="Times New Roman" w:hAnsi="Times New Roman"/>
          <w:sz w:val="18"/>
        </w:rPr>
        <w:t>динара</w:t>
      </w:r>
      <w:r>
        <w:rPr>
          <w:rFonts w:ascii="Times New Roman" w:hAnsi="Times New Roman"/>
          <w:sz w:val="18"/>
        </w:rPr>
        <w:t>)</w:t>
      </w:r>
    </w:p>
    <w:tbl>
      <w:tblPr>
        <w:tblW w:w="0" w:type="auto"/>
        <w:jc w:val="left"/>
        <w:tblInd w:w="108" w:type="dxa"/>
        <w:tblLayout w:type="fixed"/>
        <w:tblCellMar>
          <w:top w:w="0" w:type="dxa"/>
          <w:left w:w="0" w:type="dxa"/>
          <w:bottom w:w="0" w:type="dxa"/>
          <w:right w:w="0" w:type="dxa"/>
        </w:tblCellMar>
        <w:tblLook w:val="01E0"/>
      </w:tblPr>
      <w:tblGrid>
        <w:gridCol w:w="1562"/>
        <w:gridCol w:w="850"/>
        <w:gridCol w:w="866"/>
        <w:gridCol w:w="888"/>
        <w:gridCol w:w="850"/>
        <w:gridCol w:w="850"/>
        <w:gridCol w:w="853"/>
        <w:gridCol w:w="850"/>
        <w:gridCol w:w="852"/>
        <w:gridCol w:w="1080"/>
        <w:gridCol w:w="852"/>
      </w:tblGrid>
      <w:tr>
        <w:trPr>
          <w:trHeight w:val="216" w:hRule="exact"/>
        </w:trPr>
        <w:tc>
          <w:tcPr>
            <w:tcW w:w="1562" w:type="dxa"/>
            <w:vMerge w:val="restart"/>
            <w:tcBorders>
              <w:top w:val="single" w:sz="4" w:space="0" w:color="000000"/>
              <w:left w:val="single" w:sz="4" w:space="0" w:color="000000"/>
              <w:right w:val="single" w:sz="4" w:space="0" w:color="000000"/>
            </w:tcBorders>
          </w:tcPr>
          <w:p>
            <w:pPr>
              <w:pStyle w:val="TableParagraph"/>
              <w:spacing w:line="240" w:lineRule="auto"/>
              <w:ind w:left="103" w:right="151" w:firstLine="33"/>
              <w:jc w:val="left"/>
              <w:rPr>
                <w:rFonts w:ascii="Times New Roman" w:hAnsi="Times New Roman" w:cs="Times New Roman" w:eastAsia="Times New Roman" w:hint="default"/>
                <w:sz w:val="18"/>
                <w:szCs w:val="18"/>
              </w:rPr>
            </w:pPr>
            <w:r>
              <w:rPr>
                <w:rFonts w:ascii="Times New Roman" w:hAnsi="Times New Roman"/>
                <w:sz w:val="18"/>
              </w:rPr>
              <w:t>Управа за финансије, изворне приходе и јавне</w:t>
            </w:r>
            <w:r>
              <w:rPr>
                <w:rFonts w:ascii="Times New Roman" w:hAnsi="Times New Roman"/>
                <w:spacing w:val="-5"/>
                <w:sz w:val="18"/>
              </w:rPr>
              <w:t> </w:t>
            </w:r>
            <w:r>
              <w:rPr>
                <w:rFonts w:ascii="Times New Roman" w:hAnsi="Times New Roman"/>
                <w:sz w:val="18"/>
              </w:rPr>
              <w:t>набавке</w:t>
            </w:r>
          </w:p>
        </w:tc>
        <w:tc>
          <w:tcPr>
            <w:tcW w:w="8791" w:type="dxa"/>
            <w:gridSpan w:val="10"/>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233" w:right="3208"/>
              <w:jc w:val="center"/>
              <w:rPr>
                <w:rFonts w:ascii="Times New Roman" w:hAnsi="Times New Roman" w:cs="Times New Roman" w:eastAsia="Times New Roman" w:hint="default"/>
                <w:sz w:val="18"/>
                <w:szCs w:val="18"/>
              </w:rPr>
            </w:pPr>
            <w:r>
              <w:rPr>
                <w:rFonts w:ascii="Times New Roman" w:hAnsi="Times New Roman"/>
                <w:sz w:val="18"/>
              </w:rPr>
              <w:t>Функционална</w:t>
            </w:r>
            <w:r>
              <w:rPr>
                <w:rFonts w:ascii="Times New Roman" w:hAnsi="Times New Roman"/>
                <w:spacing w:val="-13"/>
                <w:sz w:val="18"/>
              </w:rPr>
              <w:t> </w:t>
            </w:r>
            <w:r>
              <w:rPr>
                <w:rFonts w:ascii="Times New Roman" w:hAnsi="Times New Roman"/>
                <w:sz w:val="18"/>
              </w:rPr>
              <w:t>класификација</w:t>
            </w:r>
          </w:p>
        </w:tc>
      </w:tr>
      <w:tr>
        <w:trPr>
          <w:trHeight w:val="218" w:hRule="exact"/>
        </w:trPr>
        <w:tc>
          <w:tcPr>
            <w:tcW w:w="1562" w:type="dxa"/>
            <w:vMerge/>
            <w:tcBorders>
              <w:left w:val="single" w:sz="4" w:space="0" w:color="000000"/>
              <w:right w:val="single" w:sz="4" w:space="0" w:color="000000"/>
            </w:tcBorders>
          </w:tcPr>
          <w:p>
            <w:pPr/>
          </w:p>
        </w:tc>
        <w:tc>
          <w:tcPr>
            <w:tcW w:w="6858" w:type="dxa"/>
            <w:gridSpan w:val="8"/>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289" w:right="3258"/>
              <w:jc w:val="center"/>
              <w:rPr>
                <w:rFonts w:ascii="Times New Roman" w:hAnsi="Times New Roman" w:cs="Times New Roman" w:eastAsia="Times New Roman" w:hint="default"/>
                <w:sz w:val="18"/>
                <w:szCs w:val="18"/>
              </w:rPr>
            </w:pPr>
            <w:r>
              <w:rPr>
                <w:rFonts w:ascii="Times New Roman"/>
                <w:sz w:val="18"/>
              </w:rPr>
              <w:t>130</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401" w:right="368"/>
              <w:jc w:val="center"/>
              <w:rPr>
                <w:rFonts w:ascii="Times New Roman" w:hAnsi="Times New Roman" w:cs="Times New Roman" w:eastAsia="Times New Roman" w:hint="default"/>
                <w:sz w:val="18"/>
                <w:szCs w:val="18"/>
              </w:rPr>
            </w:pPr>
            <w:r>
              <w:rPr>
                <w:rFonts w:ascii="Times New Roman"/>
                <w:sz w:val="18"/>
              </w:rPr>
              <w:t>180</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302" w:right="123"/>
              <w:jc w:val="left"/>
              <w:rPr>
                <w:rFonts w:ascii="Times New Roman" w:hAnsi="Times New Roman" w:cs="Times New Roman" w:eastAsia="Times New Roman" w:hint="default"/>
                <w:sz w:val="18"/>
                <w:szCs w:val="18"/>
              </w:rPr>
            </w:pPr>
            <w:r>
              <w:rPr>
                <w:rFonts w:ascii="Times New Roman"/>
                <w:sz w:val="18"/>
              </w:rPr>
              <w:t>170</w:t>
            </w:r>
          </w:p>
        </w:tc>
      </w:tr>
      <w:tr>
        <w:trPr>
          <w:trHeight w:val="631" w:hRule="exact"/>
        </w:trPr>
        <w:tc>
          <w:tcPr>
            <w:tcW w:w="1562" w:type="dxa"/>
            <w:vMerge/>
            <w:tcBorders>
              <w:left w:val="single" w:sz="4" w:space="0" w:color="000000"/>
              <w:bottom w:val="single" w:sz="4" w:space="0" w:color="000000"/>
              <w:right w:val="single" w:sz="4" w:space="0" w:color="000000"/>
            </w:tcBorders>
          </w:tcPr>
          <w:p>
            <w:pP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01" w:right="173" w:firstLine="4"/>
              <w:jc w:val="both"/>
              <w:rPr>
                <w:rFonts w:ascii="Times New Roman" w:hAnsi="Times New Roman" w:cs="Times New Roman" w:eastAsia="Times New Roman" w:hint="default"/>
                <w:sz w:val="18"/>
                <w:szCs w:val="18"/>
              </w:rPr>
            </w:pPr>
            <w:r>
              <w:rPr>
                <w:rFonts w:ascii="Times New Roman" w:hAnsi="Times New Roman"/>
                <w:sz w:val="18"/>
              </w:rPr>
              <w:t>Група конта </w:t>
            </w:r>
            <w:r>
              <w:rPr>
                <w:rFonts w:ascii="Times New Roman" w:hAnsi="Times New Roman"/>
                <w:sz w:val="18"/>
              </w:rPr>
              <w:t>411</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11" w:right="179" w:firstLine="4"/>
              <w:jc w:val="both"/>
              <w:rPr>
                <w:rFonts w:ascii="Times New Roman" w:hAnsi="Times New Roman" w:cs="Times New Roman" w:eastAsia="Times New Roman" w:hint="default"/>
                <w:sz w:val="18"/>
                <w:szCs w:val="18"/>
              </w:rPr>
            </w:pPr>
            <w:r>
              <w:rPr>
                <w:rFonts w:ascii="Times New Roman" w:hAnsi="Times New Roman"/>
                <w:sz w:val="18"/>
              </w:rPr>
              <w:t>Група конта </w:t>
            </w:r>
            <w:r>
              <w:rPr>
                <w:rFonts w:ascii="Times New Roman" w:hAnsi="Times New Roman"/>
                <w:sz w:val="18"/>
              </w:rPr>
              <w:t>412</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23" w:right="191" w:firstLine="2"/>
              <w:jc w:val="both"/>
              <w:rPr>
                <w:rFonts w:ascii="Times New Roman" w:hAnsi="Times New Roman" w:cs="Times New Roman" w:eastAsia="Times New Roman" w:hint="default"/>
                <w:sz w:val="18"/>
                <w:szCs w:val="18"/>
              </w:rPr>
            </w:pPr>
            <w:r>
              <w:rPr>
                <w:rFonts w:ascii="Times New Roman" w:hAnsi="Times New Roman"/>
                <w:sz w:val="18"/>
              </w:rPr>
              <w:t>Група конта </w:t>
            </w:r>
            <w:r>
              <w:rPr>
                <w:rFonts w:ascii="Times New Roman" w:hAnsi="Times New Roman"/>
                <w:sz w:val="18"/>
              </w:rPr>
              <w:t>413</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01" w:right="172" w:firstLine="4"/>
              <w:jc w:val="both"/>
              <w:rPr>
                <w:rFonts w:ascii="Times New Roman" w:hAnsi="Times New Roman" w:cs="Times New Roman" w:eastAsia="Times New Roman" w:hint="default"/>
                <w:sz w:val="18"/>
                <w:szCs w:val="18"/>
              </w:rPr>
            </w:pPr>
            <w:r>
              <w:rPr>
                <w:rFonts w:ascii="Times New Roman" w:hAnsi="Times New Roman"/>
                <w:sz w:val="18"/>
              </w:rPr>
              <w:t>Група конта </w:t>
            </w:r>
            <w:r>
              <w:rPr>
                <w:rFonts w:ascii="Times New Roman" w:hAnsi="Times New Roman"/>
                <w:sz w:val="18"/>
              </w:rPr>
              <w:t>414</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03" w:right="172" w:firstLine="2"/>
              <w:jc w:val="both"/>
              <w:rPr>
                <w:rFonts w:ascii="Times New Roman" w:hAnsi="Times New Roman" w:cs="Times New Roman" w:eastAsia="Times New Roman" w:hint="default"/>
                <w:sz w:val="18"/>
                <w:szCs w:val="18"/>
              </w:rPr>
            </w:pPr>
            <w:r>
              <w:rPr>
                <w:rFonts w:ascii="Times New Roman" w:hAnsi="Times New Roman"/>
                <w:sz w:val="18"/>
              </w:rPr>
              <w:t>Група конта </w:t>
            </w:r>
            <w:r>
              <w:rPr>
                <w:rFonts w:ascii="Times New Roman" w:hAnsi="Times New Roman"/>
                <w:sz w:val="18"/>
              </w:rPr>
              <w:t>423</w:t>
            </w:r>
          </w:p>
        </w:tc>
        <w:tc>
          <w:tcPr>
            <w:tcW w:w="8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04" w:right="173" w:firstLine="4"/>
              <w:jc w:val="both"/>
              <w:rPr>
                <w:rFonts w:ascii="Times New Roman" w:hAnsi="Times New Roman" w:cs="Times New Roman" w:eastAsia="Times New Roman" w:hint="default"/>
                <w:sz w:val="18"/>
                <w:szCs w:val="18"/>
              </w:rPr>
            </w:pPr>
            <w:r>
              <w:rPr>
                <w:rFonts w:ascii="Times New Roman" w:hAnsi="Times New Roman"/>
                <w:sz w:val="18"/>
              </w:rPr>
              <w:t>Група конта </w:t>
            </w:r>
            <w:r>
              <w:rPr>
                <w:rFonts w:ascii="Times New Roman" w:hAnsi="Times New Roman"/>
                <w:sz w:val="18"/>
              </w:rPr>
              <w:t>426</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03" w:right="172" w:firstLine="2"/>
              <w:jc w:val="both"/>
              <w:rPr>
                <w:rFonts w:ascii="Times New Roman" w:hAnsi="Times New Roman" w:cs="Times New Roman" w:eastAsia="Times New Roman" w:hint="default"/>
                <w:sz w:val="18"/>
                <w:szCs w:val="18"/>
              </w:rPr>
            </w:pPr>
            <w:r>
              <w:rPr>
                <w:rFonts w:ascii="Times New Roman" w:hAnsi="Times New Roman"/>
                <w:sz w:val="18"/>
              </w:rPr>
              <w:t>Група конта </w:t>
            </w:r>
            <w:r>
              <w:rPr>
                <w:rFonts w:ascii="Times New Roman" w:hAnsi="Times New Roman"/>
                <w:sz w:val="18"/>
              </w:rPr>
              <w:t>465</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04" w:right="172" w:firstLine="4"/>
              <w:jc w:val="both"/>
              <w:rPr>
                <w:rFonts w:ascii="Times New Roman" w:hAnsi="Times New Roman" w:cs="Times New Roman" w:eastAsia="Times New Roman" w:hint="default"/>
                <w:sz w:val="18"/>
                <w:szCs w:val="18"/>
              </w:rPr>
            </w:pPr>
            <w:r>
              <w:rPr>
                <w:rFonts w:ascii="Times New Roman" w:hAnsi="Times New Roman"/>
                <w:sz w:val="18"/>
              </w:rPr>
              <w:t>Група конта </w:t>
            </w:r>
            <w:r>
              <w:rPr>
                <w:rFonts w:ascii="Times New Roman" w:hAnsi="Times New Roman"/>
                <w:sz w:val="18"/>
              </w:rPr>
              <w:t>482</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319" w:right="287" w:firstLine="2"/>
              <w:jc w:val="both"/>
              <w:rPr>
                <w:rFonts w:ascii="Times New Roman" w:hAnsi="Times New Roman" w:cs="Times New Roman" w:eastAsia="Times New Roman" w:hint="default"/>
                <w:sz w:val="18"/>
                <w:szCs w:val="18"/>
              </w:rPr>
            </w:pPr>
            <w:r>
              <w:rPr>
                <w:rFonts w:ascii="Times New Roman" w:hAnsi="Times New Roman"/>
                <w:sz w:val="18"/>
              </w:rPr>
              <w:t>Група конта </w:t>
            </w:r>
            <w:r>
              <w:rPr>
                <w:rFonts w:ascii="Times New Roman" w:hAnsi="Times New Roman"/>
                <w:sz w:val="18"/>
              </w:rPr>
              <w:t>463</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03" w:right="172" w:firstLine="4"/>
              <w:jc w:val="both"/>
              <w:rPr>
                <w:rFonts w:ascii="Times New Roman" w:hAnsi="Times New Roman" w:cs="Times New Roman" w:eastAsia="Times New Roman" w:hint="default"/>
                <w:sz w:val="18"/>
                <w:szCs w:val="18"/>
              </w:rPr>
            </w:pPr>
            <w:r>
              <w:rPr>
                <w:rFonts w:ascii="Times New Roman" w:hAnsi="Times New Roman"/>
                <w:sz w:val="18"/>
              </w:rPr>
              <w:t>Група конта </w:t>
            </w:r>
            <w:r>
              <w:rPr>
                <w:rFonts w:ascii="Times New Roman" w:hAnsi="Times New Roman"/>
                <w:sz w:val="18"/>
              </w:rPr>
              <w:t>612</w:t>
            </w:r>
          </w:p>
        </w:tc>
      </w:tr>
      <w:tr>
        <w:trPr>
          <w:trHeight w:val="216" w:hRule="exact"/>
        </w:trPr>
        <w:tc>
          <w:tcPr>
            <w:tcW w:w="156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6" w:right="151"/>
              <w:jc w:val="left"/>
              <w:rPr>
                <w:rFonts w:ascii="Times New Roman" w:hAnsi="Times New Roman" w:cs="Times New Roman" w:eastAsia="Times New Roman" w:hint="default"/>
                <w:sz w:val="18"/>
                <w:szCs w:val="18"/>
              </w:rPr>
            </w:pPr>
            <w:r>
              <w:rPr>
                <w:rFonts w:ascii="Times New Roman" w:hAnsi="Times New Roman"/>
                <w:sz w:val="18"/>
              </w:rPr>
              <w:t>План</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629.203</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112.620</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59.627</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22.145</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43.815</w:t>
            </w:r>
          </w:p>
        </w:tc>
        <w:tc>
          <w:tcPr>
            <w:tcW w:w="85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1.200</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5.438</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626</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298.410</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57.485</w:t>
            </w:r>
          </w:p>
        </w:tc>
      </w:tr>
      <w:tr>
        <w:trPr>
          <w:trHeight w:val="218" w:hRule="exact"/>
        </w:trPr>
        <w:tc>
          <w:tcPr>
            <w:tcW w:w="156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6" w:right="151"/>
              <w:jc w:val="left"/>
              <w:rPr>
                <w:rFonts w:ascii="Times New Roman" w:hAnsi="Times New Roman" w:cs="Times New Roman" w:eastAsia="Times New Roman" w:hint="default"/>
                <w:sz w:val="18"/>
                <w:szCs w:val="18"/>
              </w:rPr>
            </w:pPr>
            <w:r>
              <w:rPr>
                <w:rFonts w:ascii="Times New Roman" w:hAnsi="Times New Roman"/>
                <w:sz w:val="18"/>
              </w:rPr>
              <w:t>Извршење</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623.024</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111.975</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51.272</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22.144</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39.402</w:t>
            </w:r>
          </w:p>
        </w:tc>
        <w:tc>
          <w:tcPr>
            <w:tcW w:w="85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767</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5.437</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625</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291.191</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34.484</w:t>
            </w:r>
          </w:p>
        </w:tc>
      </w:tr>
      <w:tr>
        <w:trPr>
          <w:trHeight w:val="216" w:hRule="exact"/>
        </w:trPr>
        <w:tc>
          <w:tcPr>
            <w:tcW w:w="156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6" w:right="151"/>
              <w:jc w:val="left"/>
              <w:rPr>
                <w:rFonts w:ascii="Times New Roman" w:hAnsi="Times New Roman" w:cs="Times New Roman" w:eastAsia="Times New Roman" w:hint="default"/>
                <w:sz w:val="18"/>
                <w:szCs w:val="18"/>
              </w:rPr>
            </w:pPr>
            <w:r>
              <w:rPr>
                <w:rFonts w:ascii="Times New Roman" w:hAnsi="Times New Roman"/>
                <w:sz w:val="18"/>
              </w:rPr>
              <w:t>Разлика</w:t>
            </w:r>
            <w:r>
              <w:rPr>
                <w:rFonts w:ascii="Times New Roman" w:hAnsi="Times New Roman"/>
                <w:spacing w:val="-4"/>
                <w:sz w:val="18"/>
              </w:rPr>
              <w:t> </w:t>
            </w:r>
            <w:r>
              <w:rPr>
                <w:rFonts w:ascii="Times New Roman" w:hAnsi="Times New Roman"/>
                <w:sz w:val="18"/>
              </w:rPr>
              <w:t>1</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6.179</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645</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8.355</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1</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4.413</w:t>
            </w:r>
          </w:p>
        </w:tc>
        <w:tc>
          <w:tcPr>
            <w:tcW w:w="85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433</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1</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1</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7.219</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23.001</w:t>
            </w:r>
          </w:p>
        </w:tc>
      </w:tr>
      <w:tr>
        <w:trPr>
          <w:trHeight w:val="631" w:hRule="exact"/>
        </w:trPr>
        <w:tc>
          <w:tcPr>
            <w:tcW w:w="15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178" w:firstLine="33"/>
              <w:jc w:val="left"/>
              <w:rPr>
                <w:rFonts w:ascii="Times New Roman" w:hAnsi="Times New Roman" w:cs="Times New Roman" w:eastAsia="Times New Roman" w:hint="default"/>
                <w:sz w:val="18"/>
                <w:szCs w:val="18"/>
              </w:rPr>
            </w:pPr>
            <w:r>
              <w:rPr>
                <w:rFonts w:ascii="Times New Roman" w:hAnsi="Times New Roman"/>
                <w:sz w:val="18"/>
              </w:rPr>
              <w:t>Преузете обавезе по рачун.</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pacing w:val="-1"/>
                <w:sz w:val="18"/>
              </w:rPr>
              <w:t>31.380</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5.179</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8.953</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3.901</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7.219</w:t>
            </w:r>
          </w:p>
        </w:tc>
        <w:tc>
          <w:tcPr>
            <w:tcW w:w="85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1.600</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5.565</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6</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24.722</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23.172</w:t>
            </w:r>
          </w:p>
        </w:tc>
      </w:tr>
      <w:tr>
        <w:trPr>
          <w:trHeight w:val="632" w:hRule="exact"/>
        </w:trPr>
        <w:tc>
          <w:tcPr>
            <w:tcW w:w="15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630" w:firstLine="33"/>
              <w:jc w:val="left"/>
              <w:rPr>
                <w:rFonts w:ascii="Times New Roman" w:hAnsi="Times New Roman" w:cs="Times New Roman" w:eastAsia="Times New Roman" w:hint="default"/>
                <w:sz w:val="18"/>
                <w:szCs w:val="18"/>
              </w:rPr>
            </w:pPr>
            <w:r>
              <w:rPr>
                <w:rFonts w:ascii="Times New Roman" w:hAnsi="Times New Roman"/>
                <w:sz w:val="18"/>
              </w:rPr>
              <w:t>Преузете обавезе по уговорима</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85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r>
      <w:tr>
        <w:trPr>
          <w:trHeight w:val="216" w:hRule="exact"/>
        </w:trPr>
        <w:tc>
          <w:tcPr>
            <w:tcW w:w="156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36" w:right="151"/>
              <w:jc w:val="left"/>
              <w:rPr>
                <w:rFonts w:ascii="Times New Roman" w:hAnsi="Times New Roman" w:cs="Times New Roman" w:eastAsia="Times New Roman" w:hint="default"/>
                <w:sz w:val="18"/>
                <w:szCs w:val="18"/>
              </w:rPr>
            </w:pPr>
            <w:r>
              <w:rPr>
                <w:rFonts w:ascii="Times New Roman" w:hAnsi="Times New Roman"/>
                <w:sz w:val="18"/>
              </w:rPr>
              <w:t>Разлика</w:t>
            </w:r>
            <w:r>
              <w:rPr>
                <w:rFonts w:ascii="Times New Roman" w:hAnsi="Times New Roman"/>
                <w:spacing w:val="-4"/>
                <w:sz w:val="18"/>
              </w:rPr>
              <w:t> </w:t>
            </w:r>
            <w:r>
              <w:rPr>
                <w:rFonts w:ascii="Times New Roman" w:hAnsi="Times New Roman"/>
                <w:sz w:val="18"/>
              </w:rPr>
              <w:t>2</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pacing w:val="-1"/>
                <w:sz w:val="18"/>
              </w:rPr>
              <w:t>-25.201</w:t>
            </w:r>
            <w:r>
              <w:rPr>
                <w:rFonts w:ascii="Times New Roman"/>
                <w:spacing w:val="-1"/>
                <w:sz w:val="18"/>
              </w:rPr>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-4.534</w:t>
            </w:r>
            <w:r>
              <w:rPr>
                <w:rFonts w:ascii="Times New Roman"/>
                <w:sz w:val="18"/>
              </w:rPr>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-598</w:t>
            </w:r>
            <w:r>
              <w:rPr>
                <w:rFonts w:ascii="Times New Roman"/>
                <w:spacing w:val="-1"/>
                <w:sz w:val="18"/>
              </w:rPr>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-3.900</w:t>
            </w:r>
            <w:r>
              <w:rPr>
                <w:rFonts w:ascii="Times New Roman"/>
                <w:sz w:val="18"/>
              </w:rPr>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-2.806</w:t>
            </w:r>
            <w:r>
              <w:rPr>
                <w:rFonts w:ascii="Times New Roman"/>
                <w:sz w:val="18"/>
              </w:rPr>
            </w:r>
          </w:p>
        </w:tc>
        <w:tc>
          <w:tcPr>
            <w:tcW w:w="8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z w:val="18"/>
              </w:rPr>
              <w:t>-1.167</w:t>
            </w:r>
            <w:r>
              <w:rPr>
                <w:rFonts w:ascii="Times New Roman"/>
                <w:sz w:val="18"/>
              </w:rPr>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-5.564</w:t>
            </w:r>
            <w:r>
              <w:rPr>
                <w:rFonts w:ascii="Times New Roman"/>
                <w:sz w:val="18"/>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1"/>
              <w:jc w:val="right"/>
              <w:rPr>
                <w:rFonts w:ascii="Times New Roman" w:hAnsi="Times New Roman" w:cs="Times New Roman" w:eastAsia="Times New Roman" w:hint="default"/>
                <w:sz w:val="18"/>
                <w:szCs w:val="18"/>
              </w:rPr>
            </w:pPr>
            <w:r>
              <w:rPr>
                <w:rFonts w:ascii="Times New Roman"/>
                <w:b/>
                <w:sz w:val="18"/>
              </w:rPr>
              <w:t>-5</w:t>
            </w:r>
            <w:r>
              <w:rPr>
                <w:rFonts w:ascii="Times New Roman"/>
                <w:sz w:val="18"/>
              </w:rPr>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-17.503</w:t>
            </w:r>
            <w:r>
              <w:rPr>
                <w:rFonts w:ascii="Times New Roman"/>
                <w:spacing w:val="-1"/>
                <w:sz w:val="18"/>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-171</w:t>
            </w:r>
            <w:r>
              <w:rPr>
                <w:rFonts w:ascii="Times New Roman"/>
                <w:spacing w:val="-1"/>
                <w:sz w:val="18"/>
              </w:rPr>
            </w:r>
          </w:p>
        </w:tc>
      </w:tr>
    </w:tbl>
    <w:p>
      <w:pPr>
        <w:pStyle w:val="BodyText"/>
        <w:spacing w:line="268" w:lineRule="exact"/>
        <w:ind w:left="1106" w:right="0"/>
        <w:jc w:val="left"/>
      </w:pPr>
      <w:r>
        <w:rPr/>
        <w:t>На функционалној класификацији 130 – опште</w:t>
      </w:r>
      <w:r>
        <w:rPr>
          <w:spacing w:val="-17"/>
        </w:rPr>
        <w:t> </w:t>
      </w:r>
      <w:r>
        <w:rPr/>
        <w:t>услуге:</w:t>
      </w:r>
    </w:p>
    <w:p>
      <w:pPr>
        <w:pStyle w:val="ListParagraph"/>
        <w:numPr>
          <w:ilvl w:val="0"/>
          <w:numId w:val="93"/>
        </w:numPr>
        <w:tabs>
          <w:tab w:pos="1323" w:val="left" w:leader="none"/>
        </w:tabs>
        <w:spacing w:line="240" w:lineRule="auto" w:before="0" w:after="0"/>
        <w:ind w:left="540" w:right="795"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 економској класификацији 411000 – плате, додаци и накнаде запослених (зараде) преузете су обавезе више од одобрене апропријације у износу од 25.201 хиљаде динара, по основу неисплаћене плате за децембар 2014.</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године</w:t>
      </w:r>
      <w:r>
        <w:rPr>
          <w:rFonts w:ascii="Times New Roman" w:hAnsi="Times New Roman" w:cs="Times New Roman" w:eastAsia="Times New Roman" w:hint="default"/>
          <w:sz w:val="24"/>
          <w:szCs w:val="24"/>
        </w:rPr>
        <w:t>,</w:t>
      </w:r>
    </w:p>
    <w:p>
      <w:pPr>
        <w:pStyle w:val="ListParagraph"/>
        <w:numPr>
          <w:ilvl w:val="0"/>
          <w:numId w:val="93"/>
        </w:numPr>
        <w:tabs>
          <w:tab w:pos="1254" w:val="left" w:leader="none"/>
        </w:tabs>
        <w:spacing w:line="240" w:lineRule="auto" w:before="0" w:after="0"/>
        <w:ind w:left="540" w:right="79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 економској класификацији 412000 – социјални доприноси на терет послодавца, преузете су обавезе више од одобрене апропријације у износу од 4.534 хиљаде динара, по основу социјалних доприноса на неисплаћене плате за децембар 2014.</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године</w:t>
      </w:r>
      <w:r>
        <w:rPr>
          <w:rFonts w:ascii="Times New Roman" w:hAnsi="Times New Roman" w:cs="Times New Roman" w:eastAsia="Times New Roman" w:hint="default"/>
          <w:sz w:val="24"/>
          <w:szCs w:val="24"/>
        </w:rPr>
        <w:t>,</w:t>
      </w:r>
    </w:p>
    <w:p>
      <w:pPr>
        <w:pStyle w:val="ListParagraph"/>
        <w:numPr>
          <w:ilvl w:val="0"/>
          <w:numId w:val="93"/>
        </w:numPr>
        <w:tabs>
          <w:tab w:pos="1251" w:val="left" w:leader="none"/>
        </w:tabs>
        <w:spacing w:line="240" w:lineRule="auto" w:before="0" w:after="0"/>
        <w:ind w:left="540" w:right="797"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 економској класификацији 413000 – накнаде у натури преузете су обавезе више од одобрене апропријације у износу од 598 хиљада динара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по основу неплаћених рачуна за превоз радника на посао и са посла за период од маја до августа 2014.</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године,</w:t>
      </w:r>
    </w:p>
    <w:p>
      <w:pPr>
        <w:pStyle w:val="ListParagraph"/>
        <w:numPr>
          <w:ilvl w:val="0"/>
          <w:numId w:val="93"/>
        </w:numPr>
        <w:tabs>
          <w:tab w:pos="1249" w:val="left" w:leader="none"/>
        </w:tabs>
        <w:spacing w:line="240" w:lineRule="auto" w:before="0" w:after="0"/>
        <w:ind w:left="540" w:right="795"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 економској класификацији 414000 – социјална давања запосленима, преузете </w:t>
      </w:r>
      <w:r>
        <w:rPr>
          <w:rFonts w:ascii="Times New Roman" w:hAnsi="Times New Roman" w:cs="Times New Roman" w:eastAsia="Times New Roman" w:hint="default"/>
          <w:spacing w:val="3"/>
          <w:sz w:val="24"/>
          <w:szCs w:val="24"/>
        </w:rPr>
        <w:t>су </w:t>
      </w:r>
      <w:r>
        <w:rPr>
          <w:rFonts w:ascii="Times New Roman" w:hAnsi="Times New Roman" w:cs="Times New Roman" w:eastAsia="Times New Roman" w:hint="default"/>
          <w:spacing w:val="3"/>
          <w:sz w:val="24"/>
          <w:szCs w:val="24"/>
        </w:rPr>
      </w:r>
      <w:r>
        <w:rPr>
          <w:rFonts w:ascii="Times New Roman" w:hAnsi="Times New Roman" w:cs="Times New Roman" w:eastAsia="Times New Roman" w:hint="default"/>
          <w:sz w:val="24"/>
          <w:szCs w:val="24"/>
        </w:rPr>
        <w:t>обавезе</w:t>
      </w:r>
      <w:r>
        <w:rPr>
          <w:rFonts w:ascii="Times New Roman" w:hAnsi="Times New Roman" w:cs="Times New Roman" w:eastAsia="Times New Roman" w:hint="default"/>
          <w:spacing w:val="38"/>
          <w:sz w:val="24"/>
          <w:szCs w:val="24"/>
        </w:rPr>
        <w:t> </w:t>
      </w:r>
      <w:r>
        <w:rPr>
          <w:rFonts w:ascii="Times New Roman" w:hAnsi="Times New Roman" w:cs="Times New Roman" w:eastAsia="Times New Roman" w:hint="default"/>
          <w:sz w:val="24"/>
          <w:szCs w:val="24"/>
        </w:rPr>
        <w:t>више</w:t>
      </w:r>
      <w:r>
        <w:rPr>
          <w:rFonts w:ascii="Times New Roman" w:hAnsi="Times New Roman" w:cs="Times New Roman" w:eastAsia="Times New Roman" w:hint="default"/>
          <w:spacing w:val="38"/>
          <w:sz w:val="24"/>
          <w:szCs w:val="24"/>
        </w:rPr>
        <w:t> </w:t>
      </w:r>
      <w:r>
        <w:rPr>
          <w:rFonts w:ascii="Times New Roman" w:hAnsi="Times New Roman" w:cs="Times New Roman" w:eastAsia="Times New Roman" w:hint="default"/>
          <w:sz w:val="24"/>
          <w:szCs w:val="24"/>
        </w:rPr>
        <w:t>од</w:t>
      </w:r>
      <w:r>
        <w:rPr>
          <w:rFonts w:ascii="Times New Roman" w:hAnsi="Times New Roman" w:cs="Times New Roman" w:eastAsia="Times New Roman" w:hint="default"/>
          <w:spacing w:val="39"/>
          <w:sz w:val="24"/>
          <w:szCs w:val="24"/>
        </w:rPr>
        <w:t> </w:t>
      </w:r>
      <w:r>
        <w:rPr>
          <w:rFonts w:ascii="Times New Roman" w:hAnsi="Times New Roman" w:cs="Times New Roman" w:eastAsia="Times New Roman" w:hint="default"/>
          <w:sz w:val="24"/>
          <w:szCs w:val="24"/>
        </w:rPr>
        <w:t>одобрене</w:t>
      </w:r>
      <w:r>
        <w:rPr>
          <w:rFonts w:ascii="Times New Roman" w:hAnsi="Times New Roman" w:cs="Times New Roman" w:eastAsia="Times New Roman" w:hint="default"/>
          <w:spacing w:val="38"/>
          <w:sz w:val="24"/>
          <w:szCs w:val="24"/>
        </w:rPr>
        <w:t> </w:t>
      </w:r>
      <w:r>
        <w:rPr>
          <w:rFonts w:ascii="Times New Roman" w:hAnsi="Times New Roman" w:cs="Times New Roman" w:eastAsia="Times New Roman" w:hint="default"/>
          <w:sz w:val="24"/>
          <w:szCs w:val="24"/>
        </w:rPr>
        <w:t>апропријације</w:t>
      </w:r>
      <w:r>
        <w:rPr>
          <w:rFonts w:ascii="Times New Roman" w:hAnsi="Times New Roman" w:cs="Times New Roman" w:eastAsia="Times New Roman" w:hint="default"/>
          <w:spacing w:val="41"/>
          <w:sz w:val="24"/>
          <w:szCs w:val="24"/>
        </w:rPr>
        <w:t> </w:t>
      </w:r>
      <w:r>
        <w:rPr>
          <w:rFonts w:ascii="Times New Roman" w:hAnsi="Times New Roman" w:cs="Times New Roman" w:eastAsia="Times New Roman" w:hint="default"/>
          <w:sz w:val="24"/>
          <w:szCs w:val="24"/>
        </w:rPr>
        <w:t>у</w:t>
      </w:r>
      <w:r>
        <w:rPr>
          <w:rFonts w:ascii="Times New Roman" w:hAnsi="Times New Roman" w:cs="Times New Roman" w:eastAsia="Times New Roman" w:hint="default"/>
          <w:spacing w:val="32"/>
          <w:sz w:val="24"/>
          <w:szCs w:val="24"/>
        </w:rPr>
        <w:t> </w:t>
      </w:r>
      <w:r>
        <w:rPr>
          <w:rFonts w:ascii="Times New Roman" w:hAnsi="Times New Roman" w:cs="Times New Roman" w:eastAsia="Times New Roman" w:hint="default"/>
          <w:sz w:val="24"/>
          <w:szCs w:val="24"/>
        </w:rPr>
        <w:t>износу</w:t>
      </w:r>
      <w:r>
        <w:rPr>
          <w:rFonts w:ascii="Times New Roman" w:hAnsi="Times New Roman" w:cs="Times New Roman" w:eastAsia="Times New Roman" w:hint="default"/>
          <w:spacing w:val="34"/>
          <w:sz w:val="24"/>
          <w:szCs w:val="24"/>
        </w:rPr>
        <w:t> </w:t>
      </w:r>
      <w:r>
        <w:rPr>
          <w:rFonts w:ascii="Times New Roman" w:hAnsi="Times New Roman" w:cs="Times New Roman" w:eastAsia="Times New Roman" w:hint="default"/>
          <w:sz w:val="24"/>
          <w:szCs w:val="24"/>
        </w:rPr>
        <w:t>од</w:t>
      </w:r>
      <w:r>
        <w:rPr>
          <w:rFonts w:ascii="Times New Roman" w:hAnsi="Times New Roman" w:cs="Times New Roman" w:eastAsia="Times New Roman" w:hint="default"/>
          <w:spacing w:val="39"/>
          <w:sz w:val="24"/>
          <w:szCs w:val="24"/>
        </w:rPr>
        <w:t> </w:t>
      </w:r>
      <w:r>
        <w:rPr>
          <w:rFonts w:ascii="Times New Roman" w:hAnsi="Times New Roman" w:cs="Times New Roman" w:eastAsia="Times New Roman" w:hint="default"/>
          <w:sz w:val="24"/>
          <w:szCs w:val="24"/>
        </w:rPr>
        <w:t>3.900</w:t>
      </w:r>
      <w:r>
        <w:rPr>
          <w:rFonts w:ascii="Times New Roman" w:hAnsi="Times New Roman" w:cs="Times New Roman" w:eastAsia="Times New Roman" w:hint="default"/>
          <w:spacing w:val="39"/>
          <w:sz w:val="24"/>
          <w:szCs w:val="24"/>
        </w:rPr>
        <w:t> </w:t>
      </w:r>
      <w:r>
        <w:rPr>
          <w:rFonts w:ascii="Times New Roman" w:hAnsi="Times New Roman" w:cs="Times New Roman" w:eastAsia="Times New Roman" w:hint="default"/>
          <w:sz w:val="24"/>
          <w:szCs w:val="24"/>
        </w:rPr>
        <w:t>хиљада</w:t>
      </w:r>
      <w:r>
        <w:rPr>
          <w:rFonts w:ascii="Times New Roman" w:hAnsi="Times New Roman" w:cs="Times New Roman" w:eastAsia="Times New Roman" w:hint="default"/>
          <w:spacing w:val="36"/>
          <w:sz w:val="24"/>
          <w:szCs w:val="24"/>
        </w:rPr>
        <w:t> </w:t>
      </w:r>
      <w:r>
        <w:rPr>
          <w:rFonts w:ascii="Times New Roman" w:hAnsi="Times New Roman" w:cs="Times New Roman" w:eastAsia="Times New Roman" w:hint="default"/>
          <w:sz w:val="24"/>
          <w:szCs w:val="24"/>
        </w:rPr>
        <w:t>динара,</w:t>
      </w:r>
      <w:r>
        <w:rPr>
          <w:rFonts w:ascii="Times New Roman" w:hAnsi="Times New Roman" w:cs="Times New Roman" w:eastAsia="Times New Roman" w:hint="default"/>
          <w:spacing w:val="39"/>
          <w:sz w:val="24"/>
          <w:szCs w:val="24"/>
        </w:rPr>
        <w:t> </w:t>
      </w:r>
      <w:r>
        <w:rPr>
          <w:rFonts w:ascii="Times New Roman" w:hAnsi="Times New Roman" w:cs="Times New Roman" w:eastAsia="Times New Roman" w:hint="default"/>
          <w:sz w:val="24"/>
          <w:szCs w:val="24"/>
        </w:rPr>
        <w:t>по</w:t>
      </w:r>
      <w:r>
        <w:rPr>
          <w:rFonts w:ascii="Times New Roman" w:hAnsi="Times New Roman" w:cs="Times New Roman" w:eastAsia="Times New Roman" w:hint="default"/>
          <w:spacing w:val="39"/>
          <w:sz w:val="24"/>
          <w:szCs w:val="24"/>
        </w:rPr>
        <w:t> </w:t>
      </w:r>
      <w:r>
        <w:rPr>
          <w:rFonts w:ascii="Times New Roman" w:hAnsi="Times New Roman" w:cs="Times New Roman" w:eastAsia="Times New Roman" w:hint="default"/>
          <w:sz w:val="24"/>
          <w:szCs w:val="24"/>
        </w:rPr>
        <w:t>основу</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020" w:right="640"/>
        </w:sectPr>
      </w:pPr>
    </w:p>
    <w:p>
      <w:pPr>
        <w:pStyle w:val="BodyText"/>
        <w:spacing w:line="240" w:lineRule="auto" w:before="122"/>
        <w:ind w:right="181"/>
        <w:jc w:val="both"/>
        <w:rPr>
          <w:rFonts w:ascii="Times New Roman" w:hAnsi="Times New Roman" w:cs="Times New Roman" w:eastAsia="Times New Roman" w:hint="default"/>
        </w:rPr>
      </w:pPr>
      <w:r>
        <w:rPr/>
        <w:t>неисплаћених отпремнина у износу од 1.977 хиљада динара, од којих 1.581 хиљада динара су по основу решења из децембра, а 396 хиљада динара по основу решења из новембра, породиљског одсуства и боловања преко 30 дана за децембар 2014.</w:t>
      </w:r>
      <w:r>
        <w:rPr>
          <w:spacing w:val="-15"/>
        </w:rPr>
        <w:t> </w:t>
      </w:r>
      <w:r>
        <w:rPr/>
        <w:t>године</w:t>
      </w:r>
      <w:r>
        <w:rPr>
          <w:rFonts w:ascii="Times New Roman" w:hAnsi="Times New Roman"/>
        </w:rPr>
        <w:t>,</w:t>
      </w:r>
    </w:p>
    <w:p>
      <w:pPr>
        <w:pStyle w:val="ListParagraph"/>
        <w:numPr>
          <w:ilvl w:val="1"/>
          <w:numId w:val="92"/>
        </w:numPr>
        <w:tabs>
          <w:tab w:pos="912" w:val="left" w:leader="none"/>
        </w:tabs>
        <w:spacing w:line="240" w:lineRule="auto" w:before="0" w:after="0"/>
        <w:ind w:left="160" w:right="179"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 економској класификацији 423000 – услуге по уговору, преузете су обавезе више од одобрене апропријације у износу од 2.806 хиљада динара по основу неисплаћених накнада за привремене и повремене послове за децембар 2014.</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године</w:t>
      </w:r>
      <w:r>
        <w:rPr>
          <w:rFonts w:ascii="Times New Roman" w:hAnsi="Times New Roman" w:cs="Times New Roman" w:eastAsia="Times New Roman" w:hint="default"/>
          <w:sz w:val="24"/>
          <w:szCs w:val="24"/>
        </w:rPr>
        <w:t>,</w:t>
      </w:r>
    </w:p>
    <w:p>
      <w:pPr>
        <w:pStyle w:val="BodyText"/>
        <w:spacing w:line="240" w:lineRule="auto"/>
        <w:ind w:right="179" w:firstLine="566"/>
        <w:jc w:val="both"/>
        <w:rPr>
          <w:rFonts w:ascii="Times New Roman" w:hAnsi="Times New Roman" w:cs="Times New Roman" w:eastAsia="Times New Roman" w:hint="default"/>
        </w:rPr>
      </w:pPr>
      <w:r>
        <w:rPr>
          <w:rFonts w:ascii="Times New Roman" w:hAnsi="Times New Roman" w:cs="Times New Roman" w:eastAsia="Times New Roman" w:hint="default"/>
        </w:rPr>
        <w:t>-</w:t>
      </w:r>
      <w:r>
        <w:rPr/>
        <w:t>на економској класификацији 426000 – материјал, преузете су обавезе више од одобрене апропријације у износу од 1.167 хиљада динара по основу неплаћене претплате на часописе за 2013. и 2014.</w:t>
      </w:r>
      <w:r>
        <w:rPr>
          <w:spacing w:val="-9"/>
        </w:rPr>
        <w:t> </w:t>
      </w:r>
      <w:r>
        <w:rPr/>
        <w:t>годину</w:t>
      </w:r>
      <w:r>
        <w:rPr>
          <w:rFonts w:ascii="Times New Roman" w:hAnsi="Times New Roman" w:cs="Times New Roman" w:eastAsia="Times New Roman" w:hint="default"/>
        </w:rPr>
        <w:t>,</w:t>
      </w:r>
    </w:p>
    <w:p>
      <w:pPr>
        <w:pStyle w:val="ListParagraph"/>
        <w:numPr>
          <w:ilvl w:val="1"/>
          <w:numId w:val="92"/>
        </w:numPr>
        <w:tabs>
          <w:tab w:pos="888" w:val="left" w:leader="none"/>
        </w:tabs>
        <w:spacing w:line="240" w:lineRule="auto" w:before="0" w:after="0"/>
        <w:ind w:left="160" w:right="172"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 економској класификацији 465</w:t>
      </w:r>
      <w:r>
        <w:rPr>
          <w:rFonts w:ascii="Times New Roman" w:hAnsi="Times New Roman" w:cs="Times New Roman" w:eastAsia="Times New Roman" w:hint="default"/>
          <w:sz w:val="24"/>
          <w:szCs w:val="24"/>
        </w:rPr>
        <w:t>000 </w:t>
      </w:r>
      <w:r>
        <w:rPr>
          <w:rFonts w:ascii="Times New Roman" w:hAnsi="Times New Roman" w:cs="Times New Roman" w:eastAsia="Times New Roman" w:hint="default"/>
          <w:sz w:val="24"/>
          <w:szCs w:val="24"/>
        </w:rPr>
        <w:t>– остале дотације и трансфери, преузете су обавезе више од одобрене апропријације у износу од 5.564 хиљаде динара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по основу обавезе за повраћај 10% плате у буџет Републике за децембар 2014.</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године</w:t>
      </w:r>
      <w:r>
        <w:rPr>
          <w:rFonts w:ascii="Times New Roman" w:hAnsi="Times New Roman" w:cs="Times New Roman" w:eastAsia="Times New Roman" w:hint="default"/>
          <w:sz w:val="24"/>
          <w:szCs w:val="24"/>
        </w:rPr>
        <w:t>,</w:t>
      </w:r>
    </w:p>
    <w:p>
      <w:pPr>
        <w:pStyle w:val="ListParagraph"/>
        <w:numPr>
          <w:ilvl w:val="1"/>
          <w:numId w:val="92"/>
        </w:numPr>
        <w:tabs>
          <w:tab w:pos="907" w:val="left" w:leader="none"/>
        </w:tabs>
        <w:spacing w:line="240" w:lineRule="auto" w:before="0" w:after="0"/>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 економској класификацији 482000 – порези, обавезне таксе, казне и пенали, преузете су обавезе више од одобрене апропријације у износу од пет хиљада динара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по основу неплаћене казне за уклањање</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возила.</w:t>
      </w:r>
    </w:p>
    <w:p>
      <w:pPr>
        <w:pStyle w:val="BodyText"/>
        <w:spacing w:line="240" w:lineRule="auto"/>
        <w:ind w:right="174" w:firstLine="566"/>
        <w:jc w:val="both"/>
        <w:rPr>
          <w:rFonts w:ascii="Times New Roman" w:hAnsi="Times New Roman" w:cs="Times New Roman" w:eastAsia="Times New Roman" w:hint="default"/>
        </w:rPr>
      </w:pPr>
      <w:r>
        <w:rPr/>
        <w:t>На функционалној класификацији 180 – трансакције општег карактера између различитих нивоа власти, на економској класификацији 463000 – трансфери осталим нивоима власти, преузете су обавезе више од одобрене апропријације у износу од 17.503 хиљаде динара за непренете трансфере градским</w:t>
      </w:r>
      <w:r>
        <w:rPr>
          <w:spacing w:val="-15"/>
        </w:rPr>
        <w:t> </w:t>
      </w:r>
      <w:r>
        <w:rPr/>
        <w:t>општинама</w:t>
      </w:r>
      <w:r>
        <w:rPr>
          <w:rFonts w:ascii="Times New Roman" w:hAnsi="Times New Roman" w:cs="Times New Roman" w:eastAsia="Times New Roman" w:hint="default"/>
        </w:rPr>
        <w:t>.</w:t>
      </w:r>
    </w:p>
    <w:p>
      <w:pPr>
        <w:pStyle w:val="BodyText"/>
        <w:spacing w:line="240" w:lineRule="auto"/>
        <w:ind w:right="172" w:firstLine="566"/>
        <w:jc w:val="both"/>
        <w:rPr>
          <w:rFonts w:ascii="Times New Roman" w:hAnsi="Times New Roman" w:cs="Times New Roman" w:eastAsia="Times New Roman" w:hint="default"/>
        </w:rPr>
      </w:pPr>
      <w:r>
        <w:rPr/>
        <w:t>На функционалној класификацији 170 – трансакције везане за јавни дуг, на економској класификацији 612000 – отплата главнице страним кредиторима, преузете су обавезе више од одобрене апропријације у износу од 171 хиљаде динара по основу неплаћене рате за септембар 2014.</w:t>
      </w:r>
      <w:r>
        <w:rPr>
          <w:spacing w:val="-8"/>
        </w:rPr>
        <w:t> </w:t>
      </w:r>
      <w:r>
        <w:rPr/>
        <w:t>године</w:t>
      </w:r>
      <w:r>
        <w:rPr>
          <w:rFonts w:ascii="Times New Roman" w:hAnsi="Times New Roman" w:cs="Times New Roman" w:eastAsia="Times New Roman" w:hint="default"/>
        </w:rPr>
        <w:t>.</w:t>
      </w:r>
    </w:p>
    <w:p>
      <w:pPr>
        <w:pStyle w:val="Heading2"/>
        <w:spacing w:line="240" w:lineRule="auto"/>
        <w:ind w:right="173"/>
        <w:jc w:val="both"/>
        <w:rPr>
          <w:rFonts w:ascii="Times New Roman" w:hAnsi="Times New Roman" w:cs="Times New Roman" w:eastAsia="Times New Roman" w:hint="default"/>
          <w:b w:val="0"/>
          <w:bCs w:val="0"/>
          <w:i w:val="0"/>
        </w:rPr>
      </w:pPr>
      <w:r>
        <w:rPr>
          <w:i/>
        </w:rPr>
        <w:t>Препоручује се одговорним лицима да правилно исказују обавезе и да обавезе преузимају до износа апропријације одобрене буџетом у тој години за ту</w:t>
      </w:r>
      <w:r>
        <w:rPr>
          <w:i/>
          <w:spacing w:val="-17"/>
        </w:rPr>
        <w:t> </w:t>
      </w:r>
      <w:r>
        <w:rPr>
          <w:i/>
        </w:rPr>
        <w:t>намену</w:t>
      </w:r>
      <w:r>
        <w:rPr>
          <w:rFonts w:ascii="Times New Roman" w:hAnsi="Times New Roman"/>
          <w:i/>
        </w:rPr>
        <w:t>.</w:t>
      </w:r>
      <w:r>
        <w:rPr>
          <w:rFonts w:ascii="Times New Roman" w:hAnsi="Times New Roman"/>
          <w:b w:val="0"/>
          <w:i w:val="0"/>
        </w:rPr>
      </w:r>
    </w:p>
    <w:p>
      <w:pPr>
        <w:pStyle w:val="ListParagraph"/>
        <w:numPr>
          <w:ilvl w:val="0"/>
          <w:numId w:val="88"/>
        </w:numPr>
        <w:tabs>
          <w:tab w:pos="444" w:val="left" w:leader="none"/>
        </w:tabs>
        <w:spacing w:line="240" w:lineRule="auto" w:before="132"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sz w:val="24"/>
          <w:szCs w:val="24"/>
          <w:u w:val="single" w:color="000000"/>
        </w:rPr>
        <w:t> </w:t>
      </w:r>
      <w:r>
        <w:rPr>
          <w:rFonts w:ascii="Times New Roman" w:hAnsi="Times New Roman" w:cs="Times New Roman" w:eastAsia="Times New Roman" w:hint="default"/>
          <w:sz w:val="24"/>
          <w:szCs w:val="24"/>
          <w:u w:val="single" w:color="000000"/>
        </w:rPr>
        <w:t>Управа за дечију, социјалну и примарну здравствену заштиту </w:t>
      </w:r>
      <w:r>
        <w:rPr>
          <w:rFonts w:ascii="Times New Roman" w:hAnsi="Times New Roman" w:cs="Times New Roman" w:eastAsia="Times New Roman" w:hint="default"/>
          <w:sz w:val="24"/>
          <w:szCs w:val="24"/>
        </w:rPr>
        <w:t>у износу од 75.449 </w:t>
      </w:r>
      <w:r>
        <w:rPr>
          <w:rFonts w:ascii="Times New Roman" w:hAnsi="Times New Roman" w:cs="Times New Roman" w:eastAsia="Times New Roman" w:hint="default"/>
          <w:sz w:val="24"/>
          <w:szCs w:val="24"/>
        </w:rPr>
        <w:t>хиљада динара и то за исказане обавезе Управе за дечију, социјалну и примарну здравствену заштиту у износу од 71.518 хиљада динара и Установе „Сигурна кућа за  жене и децу жртве породичног насиља“ у износу од 3.931 хиљаде</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динара</w:t>
      </w:r>
      <w:r>
        <w:rPr>
          <w:rFonts w:ascii="Times New Roman" w:hAnsi="Times New Roman" w:cs="Times New Roman" w:eastAsia="Times New Roman" w:hint="default"/>
          <w:sz w:val="24"/>
          <w:szCs w:val="24"/>
        </w:rPr>
        <w:t>.</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Више су исказане обавезе код Управе за дечију заштиту у укупном износу од </w:t>
      </w:r>
      <w:r>
        <w:rPr>
          <w:rFonts w:ascii="Times New Roman" w:hAnsi="Times New Roman" w:cs="Times New Roman" w:eastAsia="Times New Roman" w:hint="default"/>
          <w:sz w:val="24"/>
          <w:szCs w:val="24"/>
        </w:rPr>
        <w:t>2.027 </w:t>
      </w:r>
      <w:r>
        <w:rPr>
          <w:rFonts w:ascii="Times New Roman" w:hAnsi="Times New Roman" w:cs="Times New Roman" w:eastAsia="Times New Roman" w:hint="default"/>
          <w:sz w:val="24"/>
          <w:szCs w:val="24"/>
        </w:rPr>
        <w:t>хиљада динара за обавезе по основу укалкулисаних захтева индиректних корисника, које су индиректни корисници такође исказали у својим билансима стања, те су дупло обухваћене консолидацијом. Истовремено, више је исказан износ на конту 131200 – обрачунати неплаћени расходи и издаци у истом</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износу.</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Мање су исказане обавезе код Управе за дечију, социјалну и примарну здравствену заштиту у износу од најмање 198.790 хиљада динара, јер исте нису евидентиране и то: обавезе из Одлуке о правима из области социјалне заштите, Одлуке о субвенцији за запошљавање трудница, Одлуке о финансијској подршци породици са децом, финансирање Народне</w:t>
      </w:r>
      <w:r>
        <w:rPr>
          <w:rFonts w:ascii="Times New Roman" w:hAnsi="Times New Roman"/>
          <w:spacing w:val="-11"/>
          <w:sz w:val="24"/>
        </w:rPr>
        <w:t> </w:t>
      </w:r>
      <w:r>
        <w:rPr>
          <w:rFonts w:ascii="Times New Roman" w:hAnsi="Times New Roman"/>
          <w:sz w:val="24"/>
        </w:rPr>
        <w:t>кухиње.</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Центар „Мара“ није исказао обавезе у укупном износу од најмање 6.026 хиљада динара и то: у износу од 1.904 хиљаде динара за неисплаћену плату за децембар 2014. године и доприносе на терет послодавца, у износу од 1.772 хиљаде динара за порез на доходак грађана и доприносе за обавезно социјално осигурање због неправилног обрачунавања истих за период мај</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децембар 2013. године, у износу од 307 хиљада динара за обавезу за исплату</w:t>
      </w:r>
      <w:r>
        <w:rPr>
          <w:rFonts w:ascii="Times New Roman" w:hAnsi="Times New Roman" w:cs="Times New Roman" w:eastAsia="Times New Roman" w:hint="default"/>
          <w:spacing w:val="27"/>
          <w:sz w:val="24"/>
          <w:szCs w:val="24"/>
        </w:rPr>
        <w:t> </w:t>
      </w:r>
      <w:r>
        <w:rPr>
          <w:rFonts w:ascii="Times New Roman" w:hAnsi="Times New Roman" w:cs="Times New Roman" w:eastAsia="Times New Roman" w:hint="default"/>
          <w:sz w:val="24"/>
          <w:szCs w:val="24"/>
        </w:rPr>
        <w:t>отпремнине</w:t>
      </w:r>
      <w:r>
        <w:rPr>
          <w:rFonts w:ascii="Times New Roman" w:hAnsi="Times New Roman" w:cs="Times New Roman" w:eastAsia="Times New Roman" w:hint="default"/>
          <w:spacing w:val="31"/>
          <w:sz w:val="24"/>
          <w:szCs w:val="24"/>
        </w:rPr>
        <w:t> </w:t>
      </w:r>
      <w:r>
        <w:rPr>
          <w:rFonts w:ascii="Times New Roman" w:hAnsi="Times New Roman" w:cs="Times New Roman" w:eastAsia="Times New Roman" w:hint="default"/>
          <w:sz w:val="24"/>
          <w:szCs w:val="24"/>
        </w:rPr>
        <w:t>за</w:t>
      </w:r>
      <w:r>
        <w:rPr>
          <w:rFonts w:ascii="Times New Roman" w:hAnsi="Times New Roman" w:cs="Times New Roman" w:eastAsia="Times New Roman" w:hint="default"/>
          <w:spacing w:val="31"/>
          <w:sz w:val="24"/>
          <w:szCs w:val="24"/>
        </w:rPr>
        <w:t> </w:t>
      </w:r>
      <w:r>
        <w:rPr>
          <w:rFonts w:ascii="Times New Roman" w:hAnsi="Times New Roman" w:cs="Times New Roman" w:eastAsia="Times New Roman" w:hint="default"/>
          <w:sz w:val="24"/>
          <w:szCs w:val="24"/>
        </w:rPr>
        <w:t>одлазак</w:t>
      </w:r>
      <w:r>
        <w:rPr>
          <w:rFonts w:ascii="Times New Roman" w:hAnsi="Times New Roman" w:cs="Times New Roman" w:eastAsia="Times New Roman" w:hint="default"/>
          <w:spacing w:val="37"/>
          <w:sz w:val="24"/>
          <w:szCs w:val="24"/>
        </w:rPr>
        <w:t> </w:t>
      </w:r>
      <w:r>
        <w:rPr>
          <w:rFonts w:ascii="Times New Roman" w:hAnsi="Times New Roman" w:cs="Times New Roman" w:eastAsia="Times New Roman" w:hint="default"/>
          <w:sz w:val="24"/>
          <w:szCs w:val="24"/>
        </w:rPr>
        <w:t>у</w:t>
      </w:r>
      <w:r>
        <w:rPr>
          <w:rFonts w:ascii="Times New Roman" w:hAnsi="Times New Roman" w:cs="Times New Roman" w:eastAsia="Times New Roman" w:hint="default"/>
          <w:spacing w:val="27"/>
          <w:sz w:val="24"/>
          <w:szCs w:val="24"/>
        </w:rPr>
        <w:t> </w:t>
      </w:r>
      <w:r>
        <w:rPr>
          <w:rFonts w:ascii="Times New Roman" w:hAnsi="Times New Roman" w:cs="Times New Roman" w:eastAsia="Times New Roman" w:hint="default"/>
          <w:sz w:val="24"/>
          <w:szCs w:val="24"/>
        </w:rPr>
        <w:t>пензију</w:t>
      </w:r>
      <w:r>
        <w:rPr>
          <w:rFonts w:ascii="Times New Roman" w:hAnsi="Times New Roman" w:cs="Times New Roman" w:eastAsia="Times New Roman" w:hint="default"/>
          <w:spacing w:val="27"/>
          <w:sz w:val="24"/>
          <w:szCs w:val="24"/>
        </w:rPr>
        <w:t> </w:t>
      </w:r>
      <w:r>
        <w:rPr>
          <w:rFonts w:ascii="Times New Roman" w:hAnsi="Times New Roman" w:cs="Times New Roman" w:eastAsia="Times New Roman" w:hint="default"/>
          <w:sz w:val="24"/>
          <w:szCs w:val="24"/>
        </w:rPr>
        <w:t>за</w:t>
      </w:r>
      <w:r>
        <w:rPr>
          <w:rFonts w:ascii="Times New Roman" w:hAnsi="Times New Roman" w:cs="Times New Roman" w:eastAsia="Times New Roman" w:hint="default"/>
          <w:spacing w:val="33"/>
          <w:sz w:val="24"/>
          <w:szCs w:val="24"/>
        </w:rPr>
        <w:t> </w:t>
      </w:r>
      <w:r>
        <w:rPr>
          <w:rFonts w:ascii="Times New Roman" w:hAnsi="Times New Roman" w:cs="Times New Roman" w:eastAsia="Times New Roman" w:hint="default"/>
          <w:sz w:val="24"/>
          <w:szCs w:val="24"/>
        </w:rPr>
        <w:t>двоје</w:t>
      </w:r>
      <w:r>
        <w:rPr>
          <w:rFonts w:ascii="Times New Roman" w:hAnsi="Times New Roman" w:cs="Times New Roman" w:eastAsia="Times New Roman" w:hint="default"/>
          <w:spacing w:val="31"/>
          <w:sz w:val="24"/>
          <w:szCs w:val="24"/>
        </w:rPr>
        <w:t> </w:t>
      </w:r>
      <w:r>
        <w:rPr>
          <w:rFonts w:ascii="Times New Roman" w:hAnsi="Times New Roman" w:cs="Times New Roman" w:eastAsia="Times New Roman" w:hint="default"/>
          <w:sz w:val="24"/>
          <w:szCs w:val="24"/>
        </w:rPr>
        <w:t>запослених,</w:t>
      </w:r>
      <w:r>
        <w:rPr>
          <w:rFonts w:ascii="Times New Roman" w:hAnsi="Times New Roman" w:cs="Times New Roman" w:eastAsia="Times New Roman" w:hint="default"/>
          <w:spacing w:val="32"/>
          <w:sz w:val="24"/>
          <w:szCs w:val="24"/>
        </w:rPr>
        <w:t> </w:t>
      </w:r>
      <w:r>
        <w:rPr>
          <w:rFonts w:ascii="Times New Roman" w:hAnsi="Times New Roman" w:cs="Times New Roman" w:eastAsia="Times New Roman" w:hint="default"/>
          <w:sz w:val="24"/>
          <w:szCs w:val="24"/>
        </w:rPr>
        <w:t>за</w:t>
      </w:r>
      <w:r>
        <w:rPr>
          <w:rFonts w:ascii="Times New Roman" w:hAnsi="Times New Roman" w:cs="Times New Roman" w:eastAsia="Times New Roman" w:hint="default"/>
          <w:spacing w:val="31"/>
          <w:sz w:val="24"/>
          <w:szCs w:val="24"/>
        </w:rPr>
        <w:t> </w:t>
      </w:r>
      <w:r>
        <w:rPr>
          <w:rFonts w:ascii="Times New Roman" w:hAnsi="Times New Roman" w:cs="Times New Roman" w:eastAsia="Times New Roman" w:hint="default"/>
          <w:sz w:val="24"/>
          <w:szCs w:val="24"/>
        </w:rPr>
        <w:t>износ</w:t>
      </w:r>
      <w:r>
        <w:rPr>
          <w:rFonts w:ascii="Times New Roman" w:hAnsi="Times New Roman" w:cs="Times New Roman" w:eastAsia="Times New Roman" w:hint="default"/>
          <w:spacing w:val="31"/>
          <w:sz w:val="24"/>
          <w:szCs w:val="24"/>
        </w:rPr>
        <w:t> </w:t>
      </w:r>
      <w:r>
        <w:rPr>
          <w:rFonts w:ascii="Times New Roman" w:hAnsi="Times New Roman" w:cs="Times New Roman" w:eastAsia="Times New Roman" w:hint="default"/>
          <w:sz w:val="24"/>
          <w:szCs w:val="24"/>
        </w:rPr>
        <w:t>од</w:t>
      </w:r>
      <w:r>
        <w:rPr>
          <w:rFonts w:ascii="Times New Roman" w:hAnsi="Times New Roman" w:cs="Times New Roman" w:eastAsia="Times New Roman" w:hint="default"/>
          <w:spacing w:val="32"/>
          <w:sz w:val="24"/>
          <w:szCs w:val="24"/>
        </w:rPr>
        <w:t> </w:t>
      </w:r>
      <w:r>
        <w:rPr>
          <w:rFonts w:ascii="Times New Roman" w:hAnsi="Times New Roman" w:cs="Times New Roman" w:eastAsia="Times New Roman" w:hint="default"/>
          <w:sz w:val="24"/>
          <w:szCs w:val="24"/>
        </w:rPr>
        <w:t>199</w:t>
      </w:r>
      <w:r>
        <w:rPr>
          <w:rFonts w:ascii="Times New Roman" w:hAnsi="Times New Roman" w:cs="Times New Roman" w:eastAsia="Times New Roman" w:hint="default"/>
          <w:spacing w:val="32"/>
          <w:sz w:val="24"/>
          <w:szCs w:val="24"/>
        </w:rPr>
        <w:t> </w:t>
      </w:r>
      <w:r>
        <w:rPr>
          <w:rFonts w:ascii="Times New Roman" w:hAnsi="Times New Roman" w:cs="Times New Roman" w:eastAsia="Times New Roman" w:hint="default"/>
          <w:sz w:val="24"/>
          <w:szCs w:val="24"/>
        </w:rPr>
        <w:t>хиљада</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left="220" w:right="253"/>
        <w:jc w:val="both"/>
      </w:pPr>
      <w:r>
        <w:rPr/>
        <w:t>динара за обавезу по основу умањења основице зараде од 10% за децембар 2014. године, у износу од најмање 1.844 хиљаде динара за обавезе према</w:t>
      </w:r>
      <w:r>
        <w:rPr>
          <w:spacing w:val="-21"/>
        </w:rPr>
        <w:t> </w:t>
      </w:r>
      <w:r>
        <w:rPr/>
        <w:t>добављачима.</w:t>
      </w:r>
    </w:p>
    <w:p>
      <w:pPr>
        <w:pStyle w:val="ListParagraph"/>
        <w:numPr>
          <w:ilvl w:val="0"/>
          <w:numId w:val="9"/>
        </w:numPr>
        <w:tabs>
          <w:tab w:pos="363" w:val="left" w:leader="none"/>
        </w:tabs>
        <w:spacing w:line="237" w:lineRule="auto" w:before="4" w:after="0"/>
        <w:ind w:left="220" w:right="26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Установа „Мара“ не води помоћну евиденцију добављача која обезбеђује детаљне податке о свим обавезама према добављачима, што је супротно члану 14. Уредбе о буџетском</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рачуноводству</w:t>
      </w:r>
      <w:r>
        <w:rPr>
          <w:rFonts w:ascii="Times New Roman" w:hAnsi="Times New Roman" w:cs="Times New Roman" w:eastAsia="Times New Roman" w:hint="default"/>
          <w:sz w:val="24"/>
          <w:szCs w:val="24"/>
        </w:rPr>
        <w:t>.</w:t>
      </w:r>
    </w:p>
    <w:p>
      <w:pPr>
        <w:pStyle w:val="ListParagraph"/>
        <w:numPr>
          <w:ilvl w:val="0"/>
          <w:numId w:val="9"/>
        </w:numPr>
        <w:tabs>
          <w:tab w:pos="363" w:val="left" w:leader="none"/>
        </w:tabs>
        <w:spacing w:line="237" w:lineRule="auto" w:before="5" w:after="0"/>
        <w:ind w:left="220" w:right="25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Мање је исказан износ на конту 291200 – разграничени плаћени расходи и издаци код установе „Мара“ за износ од 68 хиљада динара на име неевидентираних датих аванса за куповину</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горива.</w:t>
      </w:r>
    </w:p>
    <w:p>
      <w:pPr>
        <w:pStyle w:val="ListParagraph"/>
        <w:numPr>
          <w:ilvl w:val="0"/>
          <w:numId w:val="9"/>
        </w:numPr>
        <w:tabs>
          <w:tab w:pos="363" w:val="left" w:leader="none"/>
        </w:tabs>
        <w:spacing w:line="240" w:lineRule="auto" w:before="2" w:after="0"/>
        <w:ind w:left="220" w:right="25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Код Установе „Сигурна кућа“ мање су исказане обавезе у укупном износу од најмање 714 хиљада динара јер нису евидентиране обавезе и то: у износу од 278 хиљада динара за део плате за децембар 2014. године, у износу од 46 хиљада динара за социјалне доприносе за децембар 2014. године, у износу од 61 хиљаде динара за обавезу по основу умањења основице зараде од 10% за децембар 2014. године, у износу од 39 хиљада динара за боловање преко 30 дана и у износу од најмање 290 хиљада динара за обавезе према</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добављачима.</w:t>
      </w:r>
    </w:p>
    <w:p>
      <w:pPr>
        <w:pStyle w:val="ListParagraph"/>
        <w:numPr>
          <w:ilvl w:val="0"/>
          <w:numId w:val="9"/>
        </w:numPr>
        <w:tabs>
          <w:tab w:pos="363" w:val="left" w:leader="none"/>
        </w:tabs>
        <w:spacing w:line="274" w:lineRule="exact" w:before="24" w:after="0"/>
        <w:ind w:left="220" w:right="264" w:firstLine="0"/>
        <w:jc w:val="both"/>
        <w:rPr>
          <w:rFonts w:ascii="Times New Roman" w:hAnsi="Times New Roman" w:cs="Times New Roman" w:eastAsia="Times New Roman" w:hint="default"/>
          <w:sz w:val="24"/>
          <w:szCs w:val="24"/>
        </w:rPr>
      </w:pPr>
      <w:r>
        <w:rPr>
          <w:rFonts w:ascii="Times New Roman" w:hAnsi="Times New Roman"/>
          <w:sz w:val="24"/>
        </w:rPr>
        <w:t>Евидентирање обавеза врши се у тренутку плаћања, што је супротно члану 16. Уредбе о буџетском</w:t>
      </w:r>
      <w:r>
        <w:rPr>
          <w:rFonts w:ascii="Times New Roman" w:hAnsi="Times New Roman"/>
          <w:spacing w:val="-13"/>
          <w:sz w:val="24"/>
        </w:rPr>
        <w:t> </w:t>
      </w:r>
      <w:r>
        <w:rPr>
          <w:rFonts w:ascii="Times New Roman" w:hAnsi="Times New Roman"/>
          <w:sz w:val="24"/>
        </w:rPr>
        <w:t>рачуноводству.</w:t>
      </w:r>
    </w:p>
    <w:p>
      <w:pPr>
        <w:pStyle w:val="ListParagraph"/>
        <w:numPr>
          <w:ilvl w:val="0"/>
          <w:numId w:val="9"/>
        </w:numPr>
        <w:tabs>
          <w:tab w:pos="363" w:val="left" w:leader="none"/>
        </w:tabs>
        <w:spacing w:line="240" w:lineRule="auto" w:before="0" w:after="0"/>
        <w:ind w:left="220" w:right="26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Мање су исказани обрачунати ненаплаћени приходи и примања код установе „Сигурна кућа“ за износ од 184 хиљаде динара, на име почетног стања на наведеном конту које није преузето у 2014. години из претходне</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године.</w:t>
      </w:r>
    </w:p>
    <w:p>
      <w:pPr>
        <w:pStyle w:val="ListParagraph"/>
        <w:numPr>
          <w:ilvl w:val="0"/>
          <w:numId w:val="9"/>
        </w:numPr>
        <w:tabs>
          <w:tab w:pos="363" w:val="left" w:leader="none"/>
        </w:tabs>
        <w:spacing w:line="240" w:lineRule="auto" w:before="2" w:after="0"/>
        <w:ind w:left="220" w:right="254" w:firstLine="0"/>
        <w:jc w:val="both"/>
        <w:rPr>
          <w:rFonts w:ascii="Times New Roman" w:hAnsi="Times New Roman" w:cs="Times New Roman" w:eastAsia="Times New Roman" w:hint="default"/>
          <w:sz w:val="24"/>
          <w:szCs w:val="24"/>
        </w:rPr>
      </w:pPr>
      <w:r>
        <w:rPr>
          <w:rFonts w:ascii="Times New Roman" w:hAnsi="Times New Roman"/>
          <w:sz w:val="24"/>
        </w:rPr>
        <w:t>Управа за дечију, социјалну и примарну здравствену заштиту је преузела обавезе преко одобрених апропријација у укупном износу од 100.309 хиљада динара</w:t>
      </w:r>
      <w:r>
        <w:rPr>
          <w:rFonts w:ascii="Times New Roman" w:hAnsi="Times New Roman"/>
          <w:sz w:val="24"/>
        </w:rPr>
        <w:t>, </w:t>
      </w:r>
      <w:r>
        <w:rPr>
          <w:rFonts w:ascii="Times New Roman" w:hAnsi="Times New Roman"/>
          <w:sz w:val="24"/>
        </w:rPr>
        <w:t>што је супротно члану 54. Закона о буџетском систему и</w:t>
      </w:r>
      <w:r>
        <w:rPr>
          <w:rFonts w:ascii="Times New Roman" w:hAnsi="Times New Roman"/>
          <w:spacing w:val="-10"/>
          <w:sz w:val="24"/>
        </w:rPr>
        <w:t> </w:t>
      </w:r>
      <w:r>
        <w:rPr>
          <w:rFonts w:ascii="Times New Roman" w:hAnsi="Times New Roman"/>
          <w:sz w:val="24"/>
        </w:rPr>
        <w:t>то:</w:t>
      </w:r>
    </w:p>
    <w:p>
      <w:pPr>
        <w:spacing w:before="3" w:after="4"/>
        <w:ind w:left="0" w:right="702" w:firstLine="0"/>
        <w:jc w:val="right"/>
        <w:rPr>
          <w:rFonts w:ascii="Times New Roman" w:hAnsi="Times New Roman" w:cs="Times New Roman" w:eastAsia="Times New Roman" w:hint="default"/>
          <w:sz w:val="18"/>
          <w:szCs w:val="18"/>
        </w:rPr>
      </w:pPr>
      <w:r>
        <w:rPr>
          <w:rFonts w:ascii="Times New Roman" w:hAnsi="Times New Roman"/>
          <w:sz w:val="18"/>
        </w:rPr>
        <w:t>(</w:t>
      </w:r>
      <w:r>
        <w:rPr>
          <w:rFonts w:ascii="Times New Roman" w:hAnsi="Times New Roman"/>
          <w:sz w:val="18"/>
        </w:rPr>
        <w:t>у хиљадама</w:t>
      </w:r>
      <w:r>
        <w:rPr>
          <w:rFonts w:ascii="Times New Roman" w:hAnsi="Times New Roman"/>
          <w:spacing w:val="-8"/>
          <w:sz w:val="18"/>
        </w:rPr>
        <w:t> </w:t>
      </w:r>
      <w:r>
        <w:rPr>
          <w:rFonts w:ascii="Times New Roman" w:hAnsi="Times New Roman"/>
          <w:sz w:val="18"/>
        </w:rPr>
        <w:t>динара</w:t>
      </w:r>
      <w:r>
        <w:rPr>
          <w:rFonts w:ascii="Times New Roman" w:hAnsi="Times New Roman"/>
          <w:sz w:val="18"/>
        </w:rPr>
        <w:t>)</w:t>
      </w:r>
    </w:p>
    <w:tbl>
      <w:tblPr>
        <w:tblW w:w="0" w:type="auto"/>
        <w:jc w:val="left"/>
        <w:tblInd w:w="107" w:type="dxa"/>
        <w:tblLayout w:type="fixed"/>
        <w:tblCellMar>
          <w:top w:w="0" w:type="dxa"/>
          <w:left w:w="0" w:type="dxa"/>
          <w:bottom w:w="0" w:type="dxa"/>
          <w:right w:w="0" w:type="dxa"/>
        </w:tblCellMar>
        <w:tblLook w:val="01E0"/>
      </w:tblPr>
      <w:tblGrid>
        <w:gridCol w:w="2657"/>
        <w:gridCol w:w="1738"/>
        <w:gridCol w:w="1738"/>
        <w:gridCol w:w="1741"/>
        <w:gridCol w:w="1611"/>
      </w:tblGrid>
      <w:tr>
        <w:trPr>
          <w:trHeight w:val="631" w:hRule="exact"/>
        </w:trPr>
        <w:tc>
          <w:tcPr>
            <w:tcW w:w="2657" w:type="dxa"/>
            <w:vMerge w:val="restart"/>
            <w:tcBorders>
              <w:top w:val="single" w:sz="4" w:space="0" w:color="000000"/>
              <w:left w:val="single" w:sz="4" w:space="0" w:color="000000"/>
              <w:right w:val="single" w:sz="4" w:space="0" w:color="000000"/>
            </w:tcBorders>
          </w:tcPr>
          <w:p>
            <w:pPr>
              <w:pStyle w:val="TableParagraph"/>
              <w:spacing w:line="240" w:lineRule="auto"/>
              <w:ind w:left="520" w:right="519"/>
              <w:jc w:val="center"/>
              <w:rPr>
                <w:rFonts w:ascii="Times New Roman" w:hAnsi="Times New Roman" w:cs="Times New Roman" w:eastAsia="Times New Roman" w:hint="default"/>
                <w:sz w:val="18"/>
                <w:szCs w:val="18"/>
              </w:rPr>
            </w:pPr>
            <w:r>
              <w:rPr>
                <w:rFonts w:ascii="Times New Roman" w:hAnsi="Times New Roman"/>
                <w:sz w:val="18"/>
              </w:rPr>
              <w:t>Управа за дечију</w:t>
            </w:r>
            <w:r>
              <w:rPr>
                <w:rFonts w:ascii="Times New Roman" w:hAnsi="Times New Roman"/>
                <w:sz w:val="18"/>
              </w:rPr>
              <w:t>, </w:t>
            </w:r>
            <w:r>
              <w:rPr>
                <w:rFonts w:ascii="Times New Roman" w:hAnsi="Times New Roman"/>
                <w:sz w:val="18"/>
              </w:rPr>
              <w:t>социјалну</w:t>
            </w:r>
          </w:p>
          <w:p>
            <w:pPr>
              <w:pStyle w:val="TableParagraph"/>
              <w:spacing w:line="240" w:lineRule="auto" w:before="2"/>
              <w:ind w:left="520" w:right="519"/>
              <w:jc w:val="center"/>
              <w:rPr>
                <w:rFonts w:ascii="Times New Roman" w:hAnsi="Times New Roman" w:cs="Times New Roman" w:eastAsia="Times New Roman" w:hint="default"/>
                <w:sz w:val="18"/>
                <w:szCs w:val="18"/>
              </w:rPr>
            </w:pPr>
            <w:r>
              <w:rPr>
                <w:rFonts w:ascii="Times New Roman" w:hAnsi="Times New Roman"/>
                <w:sz w:val="18"/>
              </w:rPr>
              <w:t>и примарну здравствену</w:t>
            </w:r>
            <w:r>
              <w:rPr>
                <w:rFonts w:ascii="Times New Roman" w:hAnsi="Times New Roman"/>
                <w:spacing w:val="-6"/>
                <w:sz w:val="18"/>
              </w:rPr>
              <w:t> </w:t>
            </w:r>
            <w:r>
              <w:rPr>
                <w:rFonts w:ascii="Times New Roman" w:hAnsi="Times New Roman"/>
                <w:sz w:val="18"/>
              </w:rPr>
              <w:t>заштиту</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36" w:right="136" w:firstLine="158"/>
              <w:jc w:val="left"/>
              <w:rPr>
                <w:rFonts w:ascii="Times New Roman" w:hAnsi="Times New Roman" w:cs="Times New Roman" w:eastAsia="Times New Roman" w:hint="default"/>
                <w:sz w:val="18"/>
                <w:szCs w:val="18"/>
              </w:rPr>
            </w:pPr>
            <w:r>
              <w:rPr>
                <w:rFonts w:ascii="Times New Roman" w:hAnsi="Times New Roman"/>
                <w:sz w:val="18"/>
              </w:rPr>
              <w:t>Функционална класификација</w:t>
            </w:r>
            <w:r>
              <w:rPr>
                <w:rFonts w:ascii="Times New Roman" w:hAnsi="Times New Roman"/>
                <w:spacing w:val="-6"/>
                <w:sz w:val="18"/>
              </w:rPr>
              <w:t> </w:t>
            </w:r>
            <w:r>
              <w:rPr>
                <w:rFonts w:ascii="Times New Roman" w:hAnsi="Times New Roman"/>
                <w:sz w:val="18"/>
              </w:rPr>
              <w:t>040</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36" w:right="136" w:firstLine="158"/>
              <w:jc w:val="left"/>
              <w:rPr>
                <w:rFonts w:ascii="Times New Roman" w:hAnsi="Times New Roman" w:cs="Times New Roman" w:eastAsia="Times New Roman" w:hint="default"/>
                <w:sz w:val="18"/>
                <w:szCs w:val="18"/>
              </w:rPr>
            </w:pPr>
            <w:r>
              <w:rPr>
                <w:rFonts w:ascii="Times New Roman" w:hAnsi="Times New Roman"/>
                <w:sz w:val="18"/>
              </w:rPr>
              <w:t>Функционална класификација</w:t>
            </w:r>
            <w:r>
              <w:rPr>
                <w:rFonts w:ascii="Times New Roman" w:hAnsi="Times New Roman"/>
                <w:spacing w:val="-6"/>
                <w:sz w:val="18"/>
              </w:rPr>
              <w:t> </w:t>
            </w:r>
            <w:r>
              <w:rPr>
                <w:rFonts w:ascii="Times New Roman" w:hAnsi="Times New Roman"/>
                <w:sz w:val="18"/>
              </w:rPr>
              <w:t>040</w:t>
            </w:r>
          </w:p>
        </w:tc>
        <w:tc>
          <w:tcPr>
            <w:tcW w:w="174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37" w:right="138" w:firstLine="158"/>
              <w:jc w:val="left"/>
              <w:rPr>
                <w:rFonts w:ascii="Times New Roman" w:hAnsi="Times New Roman" w:cs="Times New Roman" w:eastAsia="Times New Roman" w:hint="default"/>
                <w:sz w:val="18"/>
                <w:szCs w:val="18"/>
              </w:rPr>
            </w:pPr>
            <w:r>
              <w:rPr>
                <w:rFonts w:ascii="Times New Roman" w:hAnsi="Times New Roman"/>
                <w:sz w:val="18"/>
              </w:rPr>
              <w:t>Функционална класификација</w:t>
            </w:r>
            <w:r>
              <w:rPr>
                <w:rFonts w:ascii="Times New Roman" w:hAnsi="Times New Roman"/>
                <w:spacing w:val="-6"/>
                <w:sz w:val="18"/>
              </w:rPr>
              <w:t> </w:t>
            </w:r>
            <w:r>
              <w:rPr>
                <w:rFonts w:ascii="Times New Roman" w:hAnsi="Times New Roman"/>
                <w:sz w:val="18"/>
              </w:rPr>
              <w:t>020</w:t>
            </w:r>
          </w:p>
        </w:tc>
        <w:tc>
          <w:tcPr>
            <w:tcW w:w="161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30" w:right="230"/>
              <w:jc w:val="center"/>
              <w:rPr>
                <w:rFonts w:ascii="Times New Roman" w:hAnsi="Times New Roman" w:cs="Times New Roman" w:eastAsia="Times New Roman" w:hint="default"/>
                <w:sz w:val="18"/>
                <w:szCs w:val="18"/>
              </w:rPr>
            </w:pPr>
            <w:r>
              <w:rPr>
                <w:rFonts w:ascii="Times New Roman" w:hAnsi="Times New Roman"/>
                <w:spacing w:val="-1"/>
                <w:sz w:val="18"/>
              </w:rPr>
              <w:t>Функционална класификација </w:t>
            </w:r>
            <w:r>
              <w:rPr>
                <w:rFonts w:ascii="Times New Roman" w:hAnsi="Times New Roman"/>
                <w:sz w:val="18"/>
              </w:rPr>
              <w:t>010</w:t>
            </w:r>
          </w:p>
        </w:tc>
      </w:tr>
      <w:tr>
        <w:trPr>
          <w:trHeight w:val="216" w:hRule="exact"/>
        </w:trPr>
        <w:tc>
          <w:tcPr>
            <w:tcW w:w="2657" w:type="dxa"/>
            <w:vMerge/>
            <w:tcBorders>
              <w:left w:val="single" w:sz="4" w:space="0" w:color="000000"/>
              <w:bottom w:val="single" w:sz="4" w:space="0" w:color="000000"/>
              <w:right w:val="single" w:sz="4" w:space="0" w:color="000000"/>
            </w:tcBorders>
          </w:tcPr>
          <w:p>
            <w:pP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237" w:right="136"/>
              <w:jc w:val="left"/>
              <w:rPr>
                <w:rFonts w:ascii="Times New Roman" w:hAnsi="Times New Roman" w:cs="Times New Roman" w:eastAsia="Times New Roman" w:hint="default"/>
                <w:sz w:val="18"/>
                <w:szCs w:val="18"/>
              </w:rPr>
            </w:pPr>
            <w:r>
              <w:rPr>
                <w:rFonts w:ascii="Times New Roman" w:hAnsi="Times New Roman"/>
                <w:sz w:val="18"/>
              </w:rPr>
              <w:t>Група конта</w:t>
            </w:r>
            <w:r>
              <w:rPr>
                <w:rFonts w:ascii="Times New Roman" w:hAnsi="Times New Roman"/>
                <w:spacing w:val="-1"/>
                <w:sz w:val="18"/>
              </w:rPr>
              <w:t> </w:t>
            </w:r>
            <w:r>
              <w:rPr>
                <w:rFonts w:ascii="Times New Roman" w:hAnsi="Times New Roman"/>
                <w:sz w:val="18"/>
              </w:rPr>
              <w:t>423</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237" w:right="136"/>
              <w:jc w:val="left"/>
              <w:rPr>
                <w:rFonts w:ascii="Times New Roman" w:hAnsi="Times New Roman" w:cs="Times New Roman" w:eastAsia="Times New Roman" w:hint="default"/>
                <w:sz w:val="18"/>
                <w:szCs w:val="18"/>
              </w:rPr>
            </w:pPr>
            <w:r>
              <w:rPr>
                <w:rFonts w:ascii="Times New Roman" w:hAnsi="Times New Roman"/>
                <w:sz w:val="18"/>
              </w:rPr>
              <w:t>Група конта</w:t>
            </w:r>
            <w:r>
              <w:rPr>
                <w:rFonts w:ascii="Times New Roman" w:hAnsi="Times New Roman"/>
                <w:spacing w:val="-1"/>
                <w:sz w:val="18"/>
              </w:rPr>
              <w:t> </w:t>
            </w:r>
            <w:r>
              <w:rPr>
                <w:rFonts w:ascii="Times New Roman" w:hAnsi="Times New Roman"/>
                <w:sz w:val="18"/>
              </w:rPr>
              <w:t>472</w:t>
            </w:r>
          </w:p>
        </w:tc>
        <w:tc>
          <w:tcPr>
            <w:tcW w:w="174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238" w:right="138"/>
              <w:jc w:val="left"/>
              <w:rPr>
                <w:rFonts w:ascii="Times New Roman" w:hAnsi="Times New Roman" w:cs="Times New Roman" w:eastAsia="Times New Roman" w:hint="default"/>
                <w:sz w:val="18"/>
                <w:szCs w:val="18"/>
              </w:rPr>
            </w:pPr>
            <w:r>
              <w:rPr>
                <w:rFonts w:ascii="Times New Roman" w:hAnsi="Times New Roman"/>
                <w:sz w:val="18"/>
              </w:rPr>
              <w:t>Група конта</w:t>
            </w:r>
            <w:r>
              <w:rPr>
                <w:rFonts w:ascii="Times New Roman" w:hAnsi="Times New Roman"/>
                <w:spacing w:val="-1"/>
                <w:sz w:val="18"/>
              </w:rPr>
              <w:t> </w:t>
            </w:r>
            <w:r>
              <w:rPr>
                <w:rFonts w:ascii="Times New Roman" w:hAnsi="Times New Roman"/>
                <w:sz w:val="18"/>
              </w:rPr>
              <w:t>472</w:t>
            </w:r>
          </w:p>
        </w:tc>
        <w:tc>
          <w:tcPr>
            <w:tcW w:w="161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72" w:right="0"/>
              <w:jc w:val="left"/>
              <w:rPr>
                <w:rFonts w:ascii="Times New Roman" w:hAnsi="Times New Roman" w:cs="Times New Roman" w:eastAsia="Times New Roman" w:hint="default"/>
                <w:sz w:val="18"/>
                <w:szCs w:val="18"/>
              </w:rPr>
            </w:pPr>
            <w:r>
              <w:rPr>
                <w:rFonts w:ascii="Times New Roman" w:hAnsi="Times New Roman"/>
                <w:sz w:val="18"/>
              </w:rPr>
              <w:t>Група конта</w:t>
            </w:r>
            <w:r>
              <w:rPr>
                <w:rFonts w:ascii="Times New Roman" w:hAnsi="Times New Roman"/>
                <w:spacing w:val="-1"/>
                <w:sz w:val="18"/>
              </w:rPr>
              <w:t> </w:t>
            </w:r>
            <w:r>
              <w:rPr>
                <w:rFonts w:ascii="Times New Roman" w:hAnsi="Times New Roman"/>
                <w:sz w:val="18"/>
              </w:rPr>
              <w:t>481</w:t>
            </w:r>
          </w:p>
        </w:tc>
      </w:tr>
      <w:tr>
        <w:trPr>
          <w:trHeight w:val="218" w:hRule="exact"/>
        </w:trPr>
        <w:tc>
          <w:tcPr>
            <w:tcW w:w="265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План</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1.850</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402.534</w:t>
            </w:r>
          </w:p>
        </w:tc>
        <w:tc>
          <w:tcPr>
            <w:tcW w:w="174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14.520</w:t>
            </w:r>
          </w:p>
        </w:tc>
        <w:tc>
          <w:tcPr>
            <w:tcW w:w="161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24.077</w:t>
            </w:r>
          </w:p>
        </w:tc>
      </w:tr>
      <w:tr>
        <w:trPr>
          <w:trHeight w:val="216" w:hRule="exact"/>
        </w:trPr>
        <w:tc>
          <w:tcPr>
            <w:tcW w:w="265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Извршење</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1.030</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245.294</w:t>
            </w:r>
          </w:p>
        </w:tc>
        <w:tc>
          <w:tcPr>
            <w:tcW w:w="174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pacing w:val="-1"/>
                <w:sz w:val="18"/>
              </w:rPr>
              <w:t>14.106</w:t>
            </w:r>
          </w:p>
        </w:tc>
        <w:tc>
          <w:tcPr>
            <w:tcW w:w="161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23.539</w:t>
            </w:r>
          </w:p>
        </w:tc>
      </w:tr>
      <w:tr>
        <w:trPr>
          <w:trHeight w:val="216" w:hRule="exact"/>
        </w:trPr>
        <w:tc>
          <w:tcPr>
            <w:tcW w:w="265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Разлика</w:t>
            </w:r>
            <w:r>
              <w:rPr>
                <w:rFonts w:ascii="Times New Roman" w:hAnsi="Times New Roman"/>
                <w:spacing w:val="-4"/>
                <w:sz w:val="18"/>
              </w:rPr>
              <w:t> </w:t>
            </w:r>
            <w:r>
              <w:rPr>
                <w:rFonts w:ascii="Times New Roman" w:hAnsi="Times New Roman"/>
                <w:sz w:val="18"/>
              </w:rPr>
              <w:t>1</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820</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157.240</w:t>
            </w:r>
          </w:p>
        </w:tc>
        <w:tc>
          <w:tcPr>
            <w:tcW w:w="174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414</w:t>
            </w:r>
          </w:p>
        </w:tc>
        <w:tc>
          <w:tcPr>
            <w:tcW w:w="161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538</w:t>
            </w:r>
          </w:p>
        </w:tc>
      </w:tr>
      <w:tr>
        <w:trPr>
          <w:trHeight w:val="218" w:hRule="exact"/>
        </w:trPr>
        <w:tc>
          <w:tcPr>
            <w:tcW w:w="265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Преузете обавезе по</w:t>
            </w:r>
            <w:r>
              <w:rPr>
                <w:rFonts w:ascii="Times New Roman" w:hAnsi="Times New Roman"/>
                <w:spacing w:val="-11"/>
                <w:sz w:val="18"/>
              </w:rPr>
              <w:t> </w:t>
            </w:r>
            <w:r>
              <w:rPr>
                <w:rFonts w:ascii="Times New Roman" w:hAnsi="Times New Roman"/>
                <w:sz w:val="18"/>
              </w:rPr>
              <w:t>рачунима</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z w:val="18"/>
              </w:rPr>
              <w:t>2.448</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253.512</w:t>
            </w:r>
          </w:p>
        </w:tc>
        <w:tc>
          <w:tcPr>
            <w:tcW w:w="174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2.409</w:t>
            </w:r>
          </w:p>
        </w:tc>
        <w:tc>
          <w:tcPr>
            <w:tcW w:w="161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952</w:t>
            </w:r>
          </w:p>
        </w:tc>
      </w:tr>
      <w:tr>
        <w:trPr>
          <w:trHeight w:val="216" w:hRule="exact"/>
        </w:trPr>
        <w:tc>
          <w:tcPr>
            <w:tcW w:w="265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Преузете обавезе по</w:t>
            </w:r>
            <w:r>
              <w:rPr>
                <w:rFonts w:ascii="Times New Roman" w:hAnsi="Times New Roman"/>
                <w:spacing w:val="-10"/>
                <w:sz w:val="18"/>
              </w:rPr>
              <w:t> </w:t>
            </w:r>
            <w:r>
              <w:rPr>
                <w:rFonts w:ascii="Times New Roman" w:hAnsi="Times New Roman"/>
                <w:sz w:val="18"/>
              </w:rPr>
              <w:t>уговорима</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74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61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r>
      <w:tr>
        <w:trPr>
          <w:trHeight w:val="218" w:hRule="exact"/>
        </w:trPr>
        <w:tc>
          <w:tcPr>
            <w:tcW w:w="265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Разлика</w:t>
            </w:r>
            <w:r>
              <w:rPr>
                <w:rFonts w:ascii="Times New Roman" w:hAnsi="Times New Roman"/>
                <w:spacing w:val="-4"/>
                <w:sz w:val="18"/>
              </w:rPr>
              <w:t> </w:t>
            </w:r>
            <w:r>
              <w:rPr>
                <w:rFonts w:ascii="Times New Roman" w:hAnsi="Times New Roman"/>
                <w:sz w:val="18"/>
              </w:rPr>
              <w:t>2</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-1.628</w:t>
            </w:r>
            <w:r>
              <w:rPr>
                <w:rFonts w:ascii="Times New Roman"/>
                <w:sz w:val="18"/>
              </w:rPr>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-96.272</w:t>
            </w:r>
            <w:r>
              <w:rPr>
                <w:rFonts w:ascii="Times New Roman"/>
                <w:spacing w:val="-1"/>
                <w:sz w:val="18"/>
              </w:rPr>
            </w:r>
          </w:p>
        </w:tc>
        <w:tc>
          <w:tcPr>
            <w:tcW w:w="174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2"/>
              <w:jc w:val="right"/>
              <w:rPr>
                <w:rFonts w:ascii="Times New Roman" w:hAnsi="Times New Roman" w:cs="Times New Roman" w:eastAsia="Times New Roman" w:hint="default"/>
                <w:sz w:val="18"/>
                <w:szCs w:val="18"/>
              </w:rPr>
            </w:pPr>
            <w:r>
              <w:rPr>
                <w:rFonts w:ascii="Times New Roman"/>
                <w:b/>
                <w:sz w:val="18"/>
              </w:rPr>
              <w:t>-1.995</w:t>
            </w:r>
            <w:r>
              <w:rPr>
                <w:rFonts w:ascii="Times New Roman"/>
                <w:sz w:val="18"/>
              </w:rPr>
            </w:r>
          </w:p>
        </w:tc>
        <w:tc>
          <w:tcPr>
            <w:tcW w:w="161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-414</w:t>
            </w:r>
            <w:r>
              <w:rPr>
                <w:rFonts w:ascii="Times New Roman"/>
                <w:spacing w:val="-1"/>
                <w:sz w:val="18"/>
              </w:rPr>
            </w:r>
          </w:p>
        </w:tc>
      </w:tr>
    </w:tbl>
    <w:p>
      <w:pPr>
        <w:pStyle w:val="BodyText"/>
        <w:spacing w:line="269" w:lineRule="exact"/>
        <w:ind w:left="786" w:right="0"/>
        <w:jc w:val="left"/>
      </w:pPr>
      <w:r>
        <w:rPr/>
        <w:t>На функционалној класификацији 040 – породица и</w:t>
      </w:r>
      <w:r>
        <w:rPr>
          <w:spacing w:val="-16"/>
        </w:rPr>
        <w:t> </w:t>
      </w:r>
      <w:r>
        <w:rPr/>
        <w:t>деца:</w:t>
      </w:r>
    </w:p>
    <w:p>
      <w:pPr>
        <w:pStyle w:val="ListParagraph"/>
        <w:numPr>
          <w:ilvl w:val="0"/>
          <w:numId w:val="94"/>
        </w:numPr>
        <w:tabs>
          <w:tab w:pos="977" w:val="left" w:leader="none"/>
        </w:tabs>
        <w:spacing w:line="240" w:lineRule="auto" w:before="0" w:after="0"/>
        <w:ind w:left="220" w:right="259"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 економској класификацији 423000 – услуге по уговору преузете су обавезе више од одобрене апропријације у износу од 1.628 хиљада динара по основу неисплаћене накнаде комисији за преглед деце ометене у</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развоју</w:t>
      </w:r>
      <w:r>
        <w:rPr>
          <w:rFonts w:ascii="Times New Roman" w:hAnsi="Times New Roman" w:cs="Times New Roman" w:eastAsia="Times New Roman" w:hint="default"/>
          <w:sz w:val="24"/>
          <w:szCs w:val="24"/>
        </w:rPr>
        <w:t>,</w:t>
      </w:r>
    </w:p>
    <w:p>
      <w:pPr>
        <w:pStyle w:val="ListParagraph"/>
        <w:numPr>
          <w:ilvl w:val="0"/>
          <w:numId w:val="94"/>
        </w:numPr>
        <w:tabs>
          <w:tab w:pos="955" w:val="left" w:leader="none"/>
        </w:tabs>
        <w:spacing w:line="240" w:lineRule="auto" w:before="0" w:after="0"/>
        <w:ind w:left="220" w:right="25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 економској класификацији 472000 – накнаде за социјалну заштиту из буџета, преузете су обавезе више од одобрене апропријације у износу од 96.272 хиљаде динара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по основу неисплаћене: једнократне новчане помоћи за прворођено дете, пакет за новорођенче, новчану помоћ за дупле близанце, тројке и четворке, једнократну новчану помоћ за поступак вантелесне оплодње, бесплатну ужину за децу основношколског узраста, бесплатну ужину за децу ометену у развоју у школи за основно и средње образовање, сахрањивање, пакет за ђаке прваке, народну кухињу, ослобођење од плаћања стамбено</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комуналних услуга, привремени смештај у прихватилишта и  прихватне станице, социјално становање у заштићеним условима, једнократну новчану помоћ, накнаду  послодавцима  за  запошљавање  трудница,  исхрану  у  продуженом  боравку</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за</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340" w:right="1180"/>
        </w:sectPr>
      </w:pPr>
    </w:p>
    <w:p>
      <w:pPr>
        <w:pStyle w:val="BodyText"/>
        <w:spacing w:line="240" w:lineRule="auto" w:before="122"/>
        <w:ind w:right="176"/>
        <w:jc w:val="both"/>
        <w:rPr>
          <w:rFonts w:ascii="Times New Roman" w:hAnsi="Times New Roman" w:cs="Times New Roman" w:eastAsia="Times New Roman" w:hint="default"/>
        </w:rPr>
      </w:pPr>
      <w:r>
        <w:rPr/>
        <w:t>децу основношколског узраста</w:t>
      </w:r>
      <w:r>
        <w:rPr>
          <w:rFonts w:ascii="Times New Roman" w:hAnsi="Times New Roman"/>
        </w:rPr>
        <w:t>, </w:t>
      </w:r>
      <w:r>
        <w:rPr/>
        <w:t>помоћ избеглим и расељеним лицима, једнократну новчану помоћ за незапослене</w:t>
      </w:r>
      <w:r>
        <w:rPr>
          <w:spacing w:val="-12"/>
        </w:rPr>
        <w:t> </w:t>
      </w:r>
      <w:r>
        <w:rPr/>
        <w:t>труднице</w:t>
      </w:r>
      <w:r>
        <w:rPr>
          <w:rFonts w:ascii="Times New Roman" w:hAnsi="Times New Roman"/>
        </w:rPr>
        <w:t>.</w:t>
      </w:r>
    </w:p>
    <w:p>
      <w:pPr>
        <w:pStyle w:val="BodyText"/>
        <w:spacing w:line="240" w:lineRule="auto"/>
        <w:ind w:right="180" w:firstLine="566"/>
        <w:jc w:val="both"/>
        <w:rPr>
          <w:rFonts w:ascii="Times New Roman" w:hAnsi="Times New Roman" w:cs="Times New Roman" w:eastAsia="Times New Roman" w:hint="default"/>
        </w:rPr>
      </w:pPr>
      <w:r>
        <w:rPr/>
        <w:t>На функционалној класификацији 020 – старост, на економској класификацији </w:t>
      </w:r>
      <w:r>
        <w:rPr>
          <w:rFonts w:ascii="Times New Roman" w:hAnsi="Times New Roman" w:cs="Times New Roman" w:eastAsia="Times New Roman" w:hint="default"/>
        </w:rPr>
        <w:t>472000 </w:t>
      </w:r>
      <w:r>
        <w:rPr/>
        <w:t>– накнаде за социјалну заштиту из буџета, преузете су обавезе више од одобрене апропријације у износу од 1.995 хиљада динара</w:t>
      </w:r>
      <w:r>
        <w:rPr>
          <w:rFonts w:ascii="Times New Roman" w:hAnsi="Times New Roman" w:cs="Times New Roman" w:eastAsia="Times New Roman" w:hint="default"/>
        </w:rPr>
        <w:t>, </w:t>
      </w:r>
      <w:r>
        <w:rPr/>
        <w:t>по основу неплаћених рачуна за припремање и допремање хране за децу ометену у развоју и помоћ у</w:t>
      </w:r>
      <w:r>
        <w:rPr>
          <w:spacing w:val="-16"/>
        </w:rPr>
        <w:t> </w:t>
      </w:r>
      <w:r>
        <w:rPr/>
        <w:t>кући</w:t>
      </w:r>
      <w:r>
        <w:rPr>
          <w:rFonts w:ascii="Times New Roman" w:hAnsi="Times New Roman" w:cs="Times New Roman" w:eastAsia="Times New Roman" w:hint="default"/>
        </w:rPr>
        <w:t>.</w:t>
      </w:r>
    </w:p>
    <w:p>
      <w:pPr>
        <w:pStyle w:val="BodyText"/>
        <w:spacing w:line="240" w:lineRule="auto"/>
        <w:ind w:right="178" w:firstLine="566"/>
        <w:jc w:val="both"/>
        <w:rPr>
          <w:rFonts w:ascii="Times New Roman" w:hAnsi="Times New Roman" w:cs="Times New Roman" w:eastAsia="Times New Roman" w:hint="default"/>
        </w:rPr>
      </w:pPr>
      <w:r>
        <w:rPr/>
        <w:t>На функционалној класификацији 010 – болест и инвалидност, на економској класификацији 481000 – дотације невладиним организацијама, преузете су обавезе више од одобрене апропријације у износу од 414 хиљада динара</w:t>
      </w:r>
      <w:r>
        <w:rPr>
          <w:rFonts w:ascii="Times New Roman" w:hAnsi="Times New Roman" w:cs="Times New Roman" w:eastAsia="Times New Roman" w:hint="default"/>
        </w:rPr>
        <w:t>, </w:t>
      </w:r>
      <w:r>
        <w:rPr/>
        <w:t>по основу неисплаћених накнада по Пројекту Спан за персоналне</w:t>
      </w:r>
      <w:r>
        <w:rPr>
          <w:spacing w:val="-13"/>
        </w:rPr>
        <w:t> </w:t>
      </w:r>
      <w:r>
        <w:rPr/>
        <w:t>асистенте</w:t>
      </w:r>
      <w:r>
        <w:rPr>
          <w:rFonts w:ascii="Times New Roman" w:hAnsi="Times New Roman" w:cs="Times New Roman" w:eastAsia="Times New Roman" w:hint="default"/>
        </w:rPr>
        <w:t>.</w:t>
      </w:r>
    </w:p>
    <w:p>
      <w:pPr>
        <w:pStyle w:val="Heading2"/>
        <w:spacing w:line="240" w:lineRule="auto"/>
        <w:ind w:right="176"/>
        <w:jc w:val="both"/>
        <w:rPr>
          <w:rFonts w:ascii="Times New Roman" w:hAnsi="Times New Roman" w:cs="Times New Roman" w:eastAsia="Times New Roman" w:hint="default"/>
          <w:b w:val="0"/>
          <w:bCs w:val="0"/>
          <w:i w:val="0"/>
        </w:rPr>
      </w:pPr>
      <w:r>
        <w:rPr>
          <w:i/>
        </w:rPr>
        <w:t>Препоручује се одговорним лицима да правилно исказују обавезе, врше правилну консолидацију података</w:t>
      </w:r>
      <w:r>
        <w:rPr>
          <w:rFonts w:ascii="Times New Roman" w:hAnsi="Times New Roman"/>
          <w:i/>
        </w:rPr>
        <w:t>, </w:t>
      </w:r>
      <w:r>
        <w:rPr>
          <w:i/>
        </w:rPr>
        <w:t>обезбеде правилну примену одредби Уредбе о буџетском рачуноводству и Правилника о стандардном класификационом оквиру и контном плану за буџетски систем и обавезе преузимају до износа апропријације одобрене буџетом у тој години за ту</w:t>
      </w:r>
      <w:r>
        <w:rPr>
          <w:i/>
          <w:spacing w:val="-9"/>
        </w:rPr>
        <w:t> </w:t>
      </w:r>
      <w:r>
        <w:rPr>
          <w:i/>
        </w:rPr>
        <w:t>намену</w:t>
      </w:r>
      <w:r>
        <w:rPr>
          <w:rFonts w:ascii="Times New Roman" w:hAnsi="Times New Roman"/>
          <w:i/>
        </w:rPr>
        <w:t>.</w:t>
      </w:r>
      <w:r>
        <w:rPr>
          <w:rFonts w:ascii="Times New Roman" w:hAnsi="Times New Roman"/>
          <w:b w:val="0"/>
          <w:i w:val="0"/>
        </w:rPr>
      </w:r>
    </w:p>
    <w:p>
      <w:pPr>
        <w:pStyle w:val="ListParagraph"/>
        <w:numPr>
          <w:ilvl w:val="0"/>
          <w:numId w:val="88"/>
        </w:numPr>
        <w:tabs>
          <w:tab w:pos="444" w:val="left" w:leader="none"/>
        </w:tabs>
        <w:spacing w:line="240" w:lineRule="auto" w:before="132" w:after="0"/>
        <w:ind w:left="160" w:right="177" w:firstLine="0"/>
        <w:jc w:val="both"/>
        <w:rPr>
          <w:rFonts w:ascii="Times New Roman" w:hAnsi="Times New Roman" w:cs="Times New Roman" w:eastAsia="Times New Roman" w:hint="default"/>
          <w:sz w:val="24"/>
          <w:szCs w:val="24"/>
        </w:rPr>
      </w:pPr>
      <w:r>
        <w:rPr>
          <w:rFonts w:ascii="Times New Roman" w:hAnsi="Times New Roman"/>
          <w:spacing w:val="-60"/>
          <w:sz w:val="24"/>
          <w:u w:val="single" w:color="000000"/>
        </w:rPr>
        <w:t> </w:t>
      </w:r>
      <w:r>
        <w:rPr>
          <w:rFonts w:ascii="Times New Roman" w:hAnsi="Times New Roman"/>
          <w:sz w:val="24"/>
          <w:u w:val="single" w:color="000000"/>
        </w:rPr>
        <w:t>Управа за образовање </w:t>
      </w:r>
      <w:r>
        <w:rPr>
          <w:rFonts w:ascii="Times New Roman" w:hAnsi="Times New Roman"/>
          <w:sz w:val="24"/>
        </w:rPr>
        <w:t>у износу од 608.479 хиљада динара и то за исказане обавезе: </w:t>
      </w:r>
      <w:r>
        <w:rPr>
          <w:rFonts w:ascii="Times New Roman" w:hAnsi="Times New Roman"/>
          <w:sz w:val="24"/>
        </w:rPr>
        <w:t>Управе  за  образовање  у износу од  322.791  хиљаде  динара,  ПУ  Пчелица  у износу </w:t>
      </w:r>
      <w:r>
        <w:rPr>
          <w:rFonts w:ascii="Times New Roman" w:hAnsi="Times New Roman"/>
          <w:spacing w:val="51"/>
          <w:sz w:val="24"/>
        </w:rPr>
        <w:t> </w:t>
      </w:r>
      <w:r>
        <w:rPr>
          <w:rFonts w:ascii="Times New Roman" w:hAnsi="Times New Roman"/>
          <w:sz w:val="24"/>
        </w:rPr>
        <w:t>од</w:t>
      </w:r>
    </w:p>
    <w:p>
      <w:pPr>
        <w:pStyle w:val="BodyText"/>
        <w:spacing w:line="240" w:lineRule="auto"/>
        <w:ind w:right="174"/>
        <w:jc w:val="both"/>
        <w:rPr>
          <w:rFonts w:ascii="Times New Roman" w:hAnsi="Times New Roman" w:cs="Times New Roman" w:eastAsia="Times New Roman" w:hint="default"/>
        </w:rPr>
      </w:pPr>
      <w:r>
        <w:rPr/>
        <w:t>275.520 хиљада динара за исказане обавезе за плате и додатке за децембар 2014. године у износу од 33.362 хиљаде динара</w:t>
      </w:r>
      <w:r>
        <w:rPr>
          <w:rFonts w:ascii="Times New Roman" w:hAnsi="Times New Roman"/>
        </w:rPr>
        <w:t>, </w:t>
      </w:r>
      <w:r>
        <w:rPr/>
        <w:t>Дечијег центра у износу од 8.714 хиљада динара и Регионалног центра за професионални развој запослених у образовању у износу од 1.454 хиљаде</w:t>
      </w:r>
      <w:r>
        <w:rPr>
          <w:spacing w:val="-3"/>
        </w:rPr>
        <w:t> </w:t>
      </w:r>
      <w:r>
        <w:rPr/>
        <w:t>динара</w:t>
      </w:r>
      <w:r>
        <w:rPr>
          <w:rFonts w:ascii="Times New Roman" w:hAnsi="Times New Roman"/>
        </w:rPr>
        <w:t>.</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Више су исказане обавезе код Управе за образовање у укупном износу од </w:t>
      </w:r>
      <w:r>
        <w:rPr>
          <w:rFonts w:ascii="Times New Roman" w:hAnsi="Times New Roman" w:cs="Times New Roman" w:eastAsia="Times New Roman" w:hint="default"/>
          <w:sz w:val="24"/>
          <w:szCs w:val="24"/>
        </w:rPr>
        <w:t>70.430  </w:t>
      </w:r>
      <w:r>
        <w:rPr>
          <w:rFonts w:ascii="Times New Roman" w:hAnsi="Times New Roman" w:cs="Times New Roman" w:eastAsia="Times New Roman" w:hint="default"/>
          <w:sz w:val="24"/>
          <w:szCs w:val="24"/>
        </w:rPr>
        <w:t>хиљада динара на име укалкулисаних обавеза по поднетим захтевима индиректних корисника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које су индиректни корисници такође исказали у својим билансима стања те су дупло обухваћене консолидацијом</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Истовремено, више је исказан износ на конту </w:t>
      </w:r>
      <w:r>
        <w:rPr>
          <w:rFonts w:ascii="Times New Roman" w:hAnsi="Times New Roman" w:cs="Times New Roman" w:eastAsia="Times New Roman" w:hint="default"/>
          <w:sz w:val="24"/>
          <w:szCs w:val="24"/>
        </w:rPr>
        <w:t>131200 </w:t>
      </w:r>
      <w:r>
        <w:rPr>
          <w:rFonts w:ascii="Times New Roman" w:hAnsi="Times New Roman" w:cs="Times New Roman" w:eastAsia="Times New Roman" w:hint="default"/>
          <w:sz w:val="24"/>
          <w:szCs w:val="24"/>
        </w:rPr>
        <w:t>– обрачунати неплаћени расходи и издаци у истом</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износу.</w:t>
      </w:r>
    </w:p>
    <w:p>
      <w:pPr>
        <w:pStyle w:val="ListParagraph"/>
        <w:numPr>
          <w:ilvl w:val="0"/>
          <w:numId w:val="9"/>
        </w:numPr>
        <w:tabs>
          <w:tab w:pos="303" w:val="left" w:leader="none"/>
        </w:tabs>
        <w:spacing w:line="240" w:lineRule="auto" w:before="2" w:after="0"/>
        <w:ind w:left="160" w:right="17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Мање су исказане обавезе код Управе за образовање у износу од најмање  216.517 хиљада динара јер исте нису евидентиране и то: обавезе за трансфере школама, накнаде талентима, превоз ученика. Истовремено, за исти износ мање је исказан износ на конту </w:t>
      </w:r>
      <w:r>
        <w:rPr>
          <w:rFonts w:ascii="Times New Roman" w:hAnsi="Times New Roman" w:cs="Times New Roman" w:eastAsia="Times New Roman" w:hint="default"/>
          <w:sz w:val="24"/>
          <w:szCs w:val="24"/>
        </w:rPr>
        <w:t>131200 </w:t>
      </w:r>
      <w:r>
        <w:rPr>
          <w:rFonts w:ascii="Times New Roman" w:hAnsi="Times New Roman" w:cs="Times New Roman" w:eastAsia="Times New Roman" w:hint="default"/>
          <w:sz w:val="24"/>
          <w:szCs w:val="24"/>
        </w:rPr>
        <w:t>– обрачунати неплаћени расходи и</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издаци</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Мање су исказане обавезе код ПУ Пчелица у износу од најмање 3.599 хиљада динара за обавезу уплате разлике у заради за децембар 2014. године услед привременог умањења основице за 10%. Истовремено, мање је исказан износ на конту 131200 – обрачунати неплаћени расходи и издаци у истом</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износу.</w:t>
      </w:r>
    </w:p>
    <w:p>
      <w:pPr>
        <w:pStyle w:val="ListParagraph"/>
        <w:numPr>
          <w:ilvl w:val="0"/>
          <w:numId w:val="9"/>
        </w:numPr>
        <w:tabs>
          <w:tab w:pos="303" w:val="left" w:leader="none"/>
        </w:tabs>
        <w:spacing w:line="237" w:lineRule="auto" w:before="4"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Код ПУ Пчелица нису евидентиране обавезе по основу камате на неисплаћене јубиларне награде и неисплаћене отпремнине за одлазак у пензију и судске трошкове по судским пресудама, чији износ у поступку ревизије нисмо могли да</w:t>
      </w:r>
      <w:r>
        <w:rPr>
          <w:rFonts w:ascii="Times New Roman" w:hAnsi="Times New Roman"/>
          <w:spacing w:val="-22"/>
          <w:sz w:val="24"/>
        </w:rPr>
        <w:t> </w:t>
      </w:r>
      <w:r>
        <w:rPr>
          <w:rFonts w:ascii="Times New Roman" w:hAnsi="Times New Roman"/>
          <w:sz w:val="24"/>
        </w:rPr>
        <w:t>утврдимо.</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Код ПУ Пчелица неправилно су исказане обавезе у износу од 4.184 хиљаде динара по основу административних забрана на плату запослених на групи 254000 – остале обавезе уместо на групи 231000 – обавезе за плате и додатке,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систем.</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ListParagraph"/>
        <w:numPr>
          <w:ilvl w:val="0"/>
          <w:numId w:val="9"/>
        </w:numPr>
        <w:tabs>
          <w:tab w:pos="303" w:val="left" w:leader="none"/>
        </w:tabs>
        <w:spacing w:line="237" w:lineRule="auto" w:before="126" w:after="0"/>
        <w:ind w:left="160" w:right="183" w:firstLine="0"/>
        <w:jc w:val="both"/>
        <w:rPr>
          <w:rFonts w:ascii="Times New Roman" w:hAnsi="Times New Roman" w:cs="Times New Roman" w:eastAsia="Times New Roman" w:hint="default"/>
          <w:sz w:val="24"/>
          <w:szCs w:val="24"/>
        </w:rPr>
      </w:pPr>
      <w:r>
        <w:rPr>
          <w:rFonts w:ascii="Times New Roman" w:hAnsi="Times New Roman"/>
          <w:sz w:val="24"/>
        </w:rPr>
        <w:t>Код ПУ Пчелица мање су исказане обавезе за плате и додатке у износу од 234 хиљаде динара због компензовања обавезе установе према запосленима за плату и потраживања установе од запослених за купљене готове производе од</w:t>
      </w:r>
      <w:r>
        <w:rPr>
          <w:rFonts w:ascii="Times New Roman" w:hAnsi="Times New Roman"/>
          <w:spacing w:val="-15"/>
          <w:sz w:val="24"/>
        </w:rPr>
        <w:t> </w:t>
      </w:r>
      <w:r>
        <w:rPr>
          <w:rFonts w:ascii="Times New Roman" w:hAnsi="Times New Roman"/>
          <w:sz w:val="24"/>
        </w:rPr>
        <w:t>ПУ.</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Код ПУ Пчелица није исказана обавеза по основу накнада у натури на групи 235000</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обавезе по основу накнаде у натури у износу од 30.900 хиљада динара услед неправилног евидентирања. Истовремено, више је исказан износ на конту 252100 – обавезе према добављачима за исти</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износ.</w:t>
      </w:r>
    </w:p>
    <w:p>
      <w:pPr>
        <w:pStyle w:val="ListParagraph"/>
        <w:numPr>
          <w:ilvl w:val="0"/>
          <w:numId w:val="9"/>
        </w:numPr>
        <w:tabs>
          <w:tab w:pos="303" w:val="left" w:leader="none"/>
        </w:tabs>
        <w:spacing w:line="237" w:lineRule="auto" w:before="4"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Код ПУ Пчелица није исказан износ од две хиљаде динара на конту 291200 </w:t>
      </w:r>
      <w:r>
        <w:rPr>
          <w:rFonts w:ascii="Times New Roman" w:hAnsi="Times New Roman"/>
          <w:sz w:val="24"/>
        </w:rPr>
        <w:t>- </w:t>
      </w:r>
      <w:r>
        <w:rPr>
          <w:rFonts w:ascii="Times New Roman" w:hAnsi="Times New Roman"/>
          <w:sz w:val="24"/>
        </w:rPr>
        <w:t>разграничени плаћени расходи и издаци, за извршен повраћај аконтације од стране запосленог а који није</w:t>
      </w:r>
      <w:r>
        <w:rPr>
          <w:rFonts w:ascii="Times New Roman" w:hAnsi="Times New Roman"/>
          <w:spacing w:val="-9"/>
          <w:sz w:val="24"/>
        </w:rPr>
        <w:t> </w:t>
      </w:r>
      <w:r>
        <w:rPr>
          <w:rFonts w:ascii="Times New Roman" w:hAnsi="Times New Roman"/>
          <w:sz w:val="24"/>
        </w:rPr>
        <w:t>евидентиран.</w:t>
      </w:r>
    </w:p>
    <w:p>
      <w:pPr>
        <w:pStyle w:val="ListParagraph"/>
        <w:numPr>
          <w:ilvl w:val="0"/>
          <w:numId w:val="9"/>
        </w:numPr>
        <w:tabs>
          <w:tab w:pos="303" w:val="left" w:leader="none"/>
        </w:tabs>
        <w:spacing w:line="240" w:lineRule="auto" w:before="3"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Износ исказан на конту 291300 – обрачунати ненаплаћени приходи и примања код ПУ Пчелица није усаглашен са потраживањима исказаним у активи биланса стања на дан 31.12.2014. године, за износ који у поступку ревизије нисмо могли да утврдимо,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31"/>
          <w:sz w:val="24"/>
          <w:szCs w:val="24"/>
        </w:rPr>
        <w:t> </w:t>
      </w:r>
      <w:r>
        <w:rPr>
          <w:rFonts w:ascii="Times New Roman" w:hAnsi="Times New Roman" w:cs="Times New Roman" w:eastAsia="Times New Roman" w:hint="default"/>
          <w:sz w:val="24"/>
          <w:szCs w:val="24"/>
        </w:rPr>
        <w:t>систем.</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Обрачунати ненаплаћени приходи и примања мање су исказани за износ од 23.619 хиљада динара код ПУ Пчелица на име неевидентираних потраживања од Управе за дечију, социјалну и примарну здравствену заштиту по основу продатих бесплатних ужина и оброка</w:t>
      </w:r>
      <w:r>
        <w:rPr>
          <w:rFonts w:ascii="Times New Roman" w:hAnsi="Times New Roman"/>
          <w:spacing w:val="-4"/>
          <w:sz w:val="24"/>
        </w:rPr>
        <w:t> </w:t>
      </w:r>
      <w:r>
        <w:rPr>
          <w:rFonts w:ascii="Times New Roman" w:hAnsi="Times New Roman"/>
          <w:sz w:val="24"/>
        </w:rPr>
        <w:t>деци</w:t>
      </w:r>
      <w:r>
        <w:rPr>
          <w:rFonts w:ascii="Times New Roman" w:hAnsi="Times New Roman"/>
          <w:sz w:val="24"/>
        </w:rPr>
        <w:t>.</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Обрачунати ненаплаћени приходи и примања више су исказани за износ </w:t>
      </w:r>
      <w:r>
        <w:rPr>
          <w:rFonts w:ascii="Times New Roman" w:hAnsi="Times New Roman"/>
          <w:spacing w:val="4"/>
          <w:sz w:val="24"/>
        </w:rPr>
        <w:t>од </w:t>
      </w:r>
      <w:r>
        <w:rPr>
          <w:rFonts w:ascii="Times New Roman" w:hAnsi="Times New Roman"/>
          <w:sz w:val="24"/>
        </w:rPr>
        <w:t>363 хиљаде </w:t>
      </w:r>
      <w:r>
        <w:rPr>
          <w:rFonts w:ascii="Times New Roman" w:hAnsi="Times New Roman"/>
          <w:sz w:val="24"/>
        </w:rPr>
        <w:t>динара код ПУ Пчелица на име средстава од уплата купаца, затечених а неевидентираних у</w:t>
      </w:r>
      <w:r>
        <w:rPr>
          <w:rFonts w:ascii="Times New Roman" w:hAnsi="Times New Roman"/>
          <w:spacing w:val="-2"/>
          <w:sz w:val="24"/>
        </w:rPr>
        <w:t> </w:t>
      </w:r>
      <w:r>
        <w:rPr>
          <w:rFonts w:ascii="Times New Roman" w:hAnsi="Times New Roman"/>
          <w:sz w:val="24"/>
        </w:rPr>
        <w:t>благајни.</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Мање су исказане обавезе код Дечијег центра у износу од најмање 2.743 хиљаде динара и то за износ од 2.330 хиљада динара за неисплаћени део плате за новембар и за децембар 2014. године, за износ од 380 хиљада динара за доприносе на плату, за износ од 33 хиљаде динара за обавезу уплате разлике у заради због умањења плате. Истовремено, мање је исказан износ на конту 131200 – обрачунати неплаћени расходи и издаци у истом износу.</w:t>
      </w:r>
    </w:p>
    <w:p>
      <w:pPr>
        <w:pStyle w:val="ListParagraph"/>
        <w:numPr>
          <w:ilvl w:val="0"/>
          <w:numId w:val="9"/>
        </w:numPr>
        <w:tabs>
          <w:tab w:pos="303" w:val="left" w:leader="none"/>
        </w:tabs>
        <w:spacing w:line="237" w:lineRule="auto" w:before="4"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Код Дечијег центра обавезе у износу од 2.376 хиљада динара су застареле и то  по основу камата у износу од 44 хиљаде динара (потичу из 2007. године) и обавезе према добављачима у износу од 2.332 хиљаде динара (потичу из 2009.</w:t>
      </w:r>
      <w:r>
        <w:rPr>
          <w:rFonts w:ascii="Times New Roman" w:hAnsi="Times New Roman"/>
          <w:spacing w:val="-15"/>
          <w:sz w:val="24"/>
        </w:rPr>
        <w:t> </w:t>
      </w:r>
      <w:r>
        <w:rPr>
          <w:rFonts w:ascii="Times New Roman" w:hAnsi="Times New Roman"/>
          <w:sz w:val="24"/>
        </w:rPr>
        <w:t>године).</w:t>
      </w:r>
    </w:p>
    <w:p>
      <w:pPr>
        <w:pStyle w:val="ListParagraph"/>
        <w:numPr>
          <w:ilvl w:val="0"/>
          <w:numId w:val="9"/>
        </w:numPr>
        <w:tabs>
          <w:tab w:pos="303" w:val="left" w:leader="none"/>
        </w:tabs>
        <w:spacing w:line="274" w:lineRule="exact" w:before="24" w:after="0"/>
        <w:ind w:left="160" w:right="184" w:firstLine="0"/>
        <w:jc w:val="both"/>
        <w:rPr>
          <w:rFonts w:ascii="Times New Roman" w:hAnsi="Times New Roman" w:cs="Times New Roman" w:eastAsia="Times New Roman" w:hint="default"/>
          <w:sz w:val="24"/>
          <w:szCs w:val="24"/>
        </w:rPr>
      </w:pPr>
      <w:r>
        <w:rPr>
          <w:rFonts w:ascii="Times New Roman" w:hAnsi="Times New Roman"/>
          <w:sz w:val="24"/>
        </w:rPr>
        <w:t>Код Дечијег центра мање су исказани обрачунати ненаплаћени приходи и примања у износу од 29 хиљада</w:t>
      </w:r>
      <w:r>
        <w:rPr>
          <w:rFonts w:ascii="Times New Roman" w:hAnsi="Times New Roman"/>
          <w:spacing w:val="-10"/>
          <w:sz w:val="24"/>
        </w:rPr>
        <w:t> </w:t>
      </w:r>
      <w:r>
        <w:rPr>
          <w:rFonts w:ascii="Times New Roman" w:hAnsi="Times New Roman"/>
          <w:sz w:val="24"/>
        </w:rPr>
        <w:t>динара.</w:t>
      </w:r>
    </w:p>
    <w:p>
      <w:pPr>
        <w:pStyle w:val="ListParagraph"/>
        <w:numPr>
          <w:ilvl w:val="0"/>
          <w:numId w:val="9"/>
        </w:numPr>
        <w:tabs>
          <w:tab w:pos="303" w:val="left" w:leader="none"/>
        </w:tabs>
        <w:spacing w:line="240" w:lineRule="auto" w:before="0"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Мање су исказане обавезе код Регионалног центра у износу од најмање 1.782 хиљаде динара и то за износ од 702 хиљаде динара за неисплаћену плату на децембар 2014. године, за износ од 68 хиљада динара за доприносе на плату за децембар 2014. године,за износ од 58 хиљада динара за обавезе за награде, за износ од 218 хиљада динара за обавезе за остале расходе, за износ од 736 хиљада динара према добављачима јер неизмирене обавезе према добављачима из ранијих година нису исказане у билансу стања. Истовремено, мање је исказан износ на конту 131200 – обрачунати неплаћени расходи и издаци у истом</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износу.</w:t>
      </w:r>
    </w:p>
    <w:p>
      <w:pPr>
        <w:pStyle w:val="ListParagraph"/>
        <w:numPr>
          <w:ilvl w:val="0"/>
          <w:numId w:val="9"/>
        </w:numPr>
        <w:tabs>
          <w:tab w:pos="303"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закључном листу Регионалног центра на конту 291300 – обрачунати ненаплаћени приходи и примања исказано је стање на дуговној страни у износу од 8.497 хиљада динара и на конту 292000, који није прописан Правилником о стандардном класификационом оквиру и контном плану за буџетски систем у износу од 9.344 </w:t>
      </w:r>
      <w:r>
        <w:rPr>
          <w:rFonts w:ascii="Times New Roman" w:hAnsi="Times New Roman" w:cs="Times New Roman" w:eastAsia="Times New Roman" w:hint="default"/>
          <w:spacing w:val="2"/>
          <w:sz w:val="24"/>
          <w:szCs w:val="24"/>
        </w:rPr>
        <w:t>хиљаде </w:t>
      </w:r>
      <w:r>
        <w:rPr>
          <w:rFonts w:ascii="Times New Roman" w:hAnsi="Times New Roman" w:cs="Times New Roman" w:eastAsia="Times New Roman" w:hint="default"/>
          <w:spacing w:val="2"/>
          <w:sz w:val="24"/>
          <w:szCs w:val="24"/>
        </w:rPr>
      </w:r>
      <w:r>
        <w:rPr>
          <w:rFonts w:ascii="Times New Roman" w:hAnsi="Times New Roman" w:cs="Times New Roman" w:eastAsia="Times New Roman" w:hint="default"/>
          <w:sz w:val="24"/>
          <w:szCs w:val="24"/>
        </w:rPr>
        <w:t>динара, који представља износ који је требало евидентирати </w:t>
      </w:r>
      <w:r>
        <w:rPr>
          <w:rFonts w:ascii="Times New Roman" w:hAnsi="Times New Roman" w:cs="Times New Roman" w:eastAsia="Times New Roman" w:hint="default"/>
          <w:spacing w:val="4"/>
          <w:sz w:val="24"/>
          <w:szCs w:val="24"/>
        </w:rPr>
        <w:t>на </w:t>
      </w:r>
      <w:r>
        <w:rPr>
          <w:rFonts w:ascii="Times New Roman" w:hAnsi="Times New Roman" w:cs="Times New Roman" w:eastAsia="Times New Roman" w:hint="default"/>
          <w:sz w:val="24"/>
          <w:szCs w:val="24"/>
        </w:rPr>
        <w:t>потражној страни   </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групе</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86"/>
        <w:jc w:val="both"/>
        <w:rPr>
          <w:rFonts w:ascii="Times New Roman" w:hAnsi="Times New Roman" w:cs="Times New Roman" w:eastAsia="Times New Roman" w:hint="default"/>
        </w:rPr>
      </w:pPr>
      <w:r>
        <w:rPr>
          <w:rFonts w:ascii="Times New Roman" w:hAnsi="Times New Roman"/>
        </w:rPr>
        <w:t>291000, </w:t>
      </w:r>
      <w:r>
        <w:rPr/>
        <w:t>што је супротно члану 9. Уредбе о буџетском рачуноводству и Правилнику о стандардном касификационом оквиру и контном плану за буџетски</w:t>
      </w:r>
      <w:r>
        <w:rPr>
          <w:spacing w:val="-24"/>
        </w:rPr>
        <w:t> </w:t>
      </w:r>
      <w:r>
        <w:rPr/>
        <w:t>систем</w:t>
      </w:r>
      <w:r>
        <w:rPr>
          <w:rFonts w:ascii="Times New Roman" w:hAnsi="Times New Roman"/>
        </w:rPr>
        <w:t>.</w:t>
      </w:r>
    </w:p>
    <w:p>
      <w:pPr>
        <w:pStyle w:val="ListParagraph"/>
        <w:numPr>
          <w:ilvl w:val="0"/>
          <w:numId w:val="9"/>
        </w:numPr>
        <w:tabs>
          <w:tab w:pos="303" w:val="left" w:leader="none"/>
        </w:tabs>
        <w:spacing w:line="240" w:lineRule="auto" w:before="2" w:after="0"/>
        <w:ind w:left="160" w:right="170" w:firstLine="0"/>
        <w:jc w:val="both"/>
        <w:rPr>
          <w:rFonts w:ascii="Times New Roman" w:hAnsi="Times New Roman" w:cs="Times New Roman" w:eastAsia="Times New Roman" w:hint="default"/>
          <w:sz w:val="24"/>
          <w:szCs w:val="24"/>
        </w:rPr>
      </w:pPr>
      <w:r>
        <w:rPr>
          <w:rFonts w:ascii="Times New Roman" w:hAnsi="Times New Roman"/>
          <w:sz w:val="24"/>
        </w:rPr>
        <w:t>Мање је исказано стање пасивних временских разграничења код Регионалног центра у износу од 812 хиљада динара, и то 457 хиљада динара по основу неправилног евидентирања и 355 хиљада динара по основу неевидентираних ненаплаћених потраживања из ранијих година, што је супротно члану 9. Уредбе о буџетском рачуноводству и Правилнику о стандардном касификационом оквиру и контном плану за буџетски</w:t>
      </w:r>
      <w:r>
        <w:rPr>
          <w:rFonts w:ascii="Times New Roman" w:hAnsi="Times New Roman"/>
          <w:spacing w:val="-8"/>
          <w:sz w:val="24"/>
        </w:rPr>
        <w:t> </w:t>
      </w:r>
      <w:r>
        <w:rPr>
          <w:rFonts w:ascii="Times New Roman" w:hAnsi="Times New Roman"/>
          <w:sz w:val="24"/>
        </w:rPr>
        <w:t>систем</w:t>
      </w:r>
      <w:r>
        <w:rPr>
          <w:rFonts w:ascii="Times New Roman" w:hAnsi="Times New Roman"/>
          <w:sz w:val="24"/>
        </w:rPr>
        <w:t>.</w:t>
      </w:r>
    </w:p>
    <w:p>
      <w:pPr>
        <w:pStyle w:val="Heading2"/>
        <w:spacing w:line="240" w:lineRule="auto"/>
        <w:ind w:right="176"/>
        <w:jc w:val="both"/>
        <w:rPr>
          <w:b w:val="0"/>
          <w:bCs w:val="0"/>
          <w:i w:val="0"/>
        </w:rPr>
      </w:pPr>
      <w:r>
        <w:rPr>
          <w:i/>
        </w:rPr>
        <w:t>Препоручује се одговорним лицима да правилно исказују обавезе, врше правилну консолидацију и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6"/>
        </w:rPr>
        <w:t> </w:t>
      </w:r>
      <w:r>
        <w:rPr>
          <w:i/>
        </w:rPr>
        <w:t>систем.</w:t>
      </w:r>
      <w:r>
        <w:rPr>
          <w:b w:val="0"/>
          <w:i w:val="0"/>
        </w:rPr>
      </w:r>
    </w:p>
    <w:p>
      <w:pPr>
        <w:pStyle w:val="ListParagraph"/>
        <w:numPr>
          <w:ilvl w:val="0"/>
          <w:numId w:val="88"/>
        </w:numPr>
        <w:tabs>
          <w:tab w:pos="444" w:val="left" w:leader="none"/>
        </w:tabs>
        <w:spacing w:line="240" w:lineRule="auto" w:before="132" w:after="0"/>
        <w:ind w:left="160" w:right="170" w:firstLine="0"/>
        <w:jc w:val="both"/>
        <w:rPr>
          <w:rFonts w:ascii="Times New Roman" w:hAnsi="Times New Roman" w:cs="Times New Roman" w:eastAsia="Times New Roman" w:hint="default"/>
          <w:sz w:val="24"/>
          <w:szCs w:val="24"/>
        </w:rPr>
      </w:pPr>
      <w:r>
        <w:rPr>
          <w:rFonts w:ascii="Times New Roman" w:hAnsi="Times New Roman"/>
          <w:spacing w:val="-60"/>
          <w:sz w:val="24"/>
          <w:u w:val="single" w:color="000000"/>
        </w:rPr>
        <w:t> </w:t>
      </w:r>
      <w:r>
        <w:rPr>
          <w:rFonts w:ascii="Times New Roman" w:hAnsi="Times New Roman"/>
          <w:sz w:val="24"/>
          <w:u w:val="single" w:color="000000"/>
        </w:rPr>
        <w:t>Управа за културу </w:t>
      </w:r>
      <w:r>
        <w:rPr>
          <w:rFonts w:ascii="Times New Roman" w:hAnsi="Times New Roman"/>
          <w:sz w:val="24"/>
        </w:rPr>
        <w:t>у износу од 149.723 хиљаде динара и то за исказане обавезе код </w:t>
      </w:r>
      <w:r>
        <w:rPr>
          <w:rFonts w:ascii="Times New Roman" w:hAnsi="Times New Roman"/>
          <w:sz w:val="24"/>
        </w:rPr>
        <w:t>Управе за културу у износу од 59.222 хиљаде динара</w:t>
      </w:r>
      <w:r>
        <w:rPr>
          <w:rFonts w:ascii="Times New Roman" w:hAnsi="Times New Roman"/>
          <w:sz w:val="24"/>
        </w:rPr>
        <w:t>, </w:t>
      </w:r>
      <w:r>
        <w:rPr>
          <w:rFonts w:ascii="Times New Roman" w:hAnsi="Times New Roman"/>
          <w:sz w:val="24"/>
        </w:rPr>
        <w:t>Народне библиотеке у укупном износу од 11.364 хиљаде динара</w:t>
      </w:r>
      <w:r>
        <w:rPr>
          <w:rFonts w:ascii="Times New Roman" w:hAnsi="Times New Roman"/>
          <w:sz w:val="24"/>
        </w:rPr>
        <w:t>, </w:t>
      </w:r>
      <w:r>
        <w:rPr>
          <w:rFonts w:ascii="Times New Roman" w:hAnsi="Times New Roman"/>
          <w:sz w:val="24"/>
        </w:rPr>
        <w:t>Позоришта лутака у укупном износу од 10.129 хиљада динара, Народног позоришта у укупном износу од 20.194 хиљаде динара, Нишког симфонијског оркестра у укупном износу од 11.195 хиљада динара, Историјског архива у укупном износу од 3.514 хиљада динара, Галерије савремене ликовне уметности у укупном износу од 2.946 хиљада динара, Народног музеја у укупном износу од </w:t>
      </w:r>
      <w:r>
        <w:rPr>
          <w:rFonts w:ascii="Times New Roman" w:hAnsi="Times New Roman"/>
          <w:sz w:val="24"/>
        </w:rPr>
        <w:t>13.675 </w:t>
      </w:r>
      <w:r>
        <w:rPr>
          <w:rFonts w:ascii="Times New Roman" w:hAnsi="Times New Roman"/>
          <w:sz w:val="24"/>
        </w:rPr>
        <w:t>хиљада динара</w:t>
      </w:r>
      <w:r>
        <w:rPr>
          <w:rFonts w:ascii="Times New Roman" w:hAnsi="Times New Roman"/>
          <w:sz w:val="24"/>
        </w:rPr>
        <w:t>, </w:t>
      </w:r>
      <w:r>
        <w:rPr>
          <w:rFonts w:ascii="Times New Roman" w:hAnsi="Times New Roman"/>
          <w:sz w:val="24"/>
        </w:rPr>
        <w:t>Нишког културног центра у укупном износу од </w:t>
      </w:r>
      <w:r>
        <w:rPr>
          <w:rFonts w:ascii="Times New Roman" w:hAnsi="Times New Roman"/>
          <w:sz w:val="24"/>
        </w:rPr>
        <w:t>13.537 </w:t>
      </w:r>
      <w:r>
        <w:rPr>
          <w:rFonts w:ascii="Times New Roman" w:hAnsi="Times New Roman"/>
          <w:sz w:val="24"/>
        </w:rPr>
        <w:t>хиљада динара</w:t>
      </w:r>
      <w:r>
        <w:rPr>
          <w:rFonts w:ascii="Times New Roman" w:hAnsi="Times New Roman"/>
          <w:sz w:val="24"/>
        </w:rPr>
        <w:t>, </w:t>
      </w:r>
      <w:r>
        <w:rPr>
          <w:rFonts w:ascii="Times New Roman" w:hAnsi="Times New Roman"/>
          <w:sz w:val="24"/>
        </w:rPr>
        <w:t>Завода за заштиту споменика културе у укупном износу од 3.947 хиљада</w:t>
      </w:r>
      <w:r>
        <w:rPr>
          <w:rFonts w:ascii="Times New Roman" w:hAnsi="Times New Roman"/>
          <w:spacing w:val="-21"/>
          <w:sz w:val="24"/>
        </w:rPr>
        <w:t> </w:t>
      </w:r>
      <w:r>
        <w:rPr>
          <w:rFonts w:ascii="Times New Roman" w:hAnsi="Times New Roman"/>
          <w:sz w:val="24"/>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Више су исказане обавезе код Управе за културу у укупном износу од 57.882 хиљаде динара на име укалкулисаних обавеза по поднетим захтевима индиректних корисника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које су индиректни корисници такође исказали у својим билансима стања те су дупло обухваћене консолидацијом</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Истовремено, више је исказан износ на конту 131200 – обрачунати неплаћени расходи и издаци у истом</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износу.</w:t>
      </w:r>
    </w:p>
    <w:p>
      <w:pPr>
        <w:pStyle w:val="ListParagraph"/>
        <w:numPr>
          <w:ilvl w:val="0"/>
          <w:numId w:val="9"/>
        </w:numPr>
        <w:tabs>
          <w:tab w:pos="303" w:val="left" w:leader="none"/>
        </w:tabs>
        <w:spacing w:line="240" w:lineRule="auto" w:before="2"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Мање су исказане обавезе код Управе за културу у износу од најмање 2.230 хиљада динара јер исте нису евидентиране у пословним књигама</w:t>
      </w:r>
      <w:r>
        <w:rPr>
          <w:rFonts w:ascii="Times New Roman" w:hAnsi="Times New Roman"/>
          <w:spacing w:val="-24"/>
          <w:sz w:val="24"/>
        </w:rPr>
        <w:t> </w:t>
      </w:r>
      <w:r>
        <w:rPr>
          <w:rFonts w:ascii="Times New Roman" w:hAnsi="Times New Roman"/>
          <w:sz w:val="24"/>
        </w:rPr>
        <w:t>Управе.</w:t>
      </w:r>
    </w:p>
    <w:p>
      <w:pPr>
        <w:pStyle w:val="ListParagraph"/>
        <w:numPr>
          <w:ilvl w:val="0"/>
          <w:numId w:val="9"/>
        </w:numPr>
        <w:tabs>
          <w:tab w:pos="303"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Мање су исказане обавезе у укупном износу од 9.958 хиљада динара и то код: Галерије савремене ликовне уметности у укупном износу од 7.419 хиљада динара за неевидентиране обавезе за плате и додатке у износу од 1.724 хиљаде динара за новембар</w:t>
      </w:r>
      <w:r>
        <w:rPr>
          <w:rFonts w:ascii="Times New Roman" w:hAnsi="Times New Roman"/>
          <w:sz w:val="24"/>
        </w:rPr>
        <w:t>- </w:t>
      </w:r>
      <w:r>
        <w:rPr>
          <w:rFonts w:ascii="Times New Roman" w:hAnsi="Times New Roman"/>
          <w:sz w:val="24"/>
        </w:rPr>
        <w:t>део и децембар 2014. године, обавезе за социјалне доприносе за неисплаћене плате у износу од 307 хиљада динара, обавезе за јубиларне награде у износу од 81  хиљаде динара, обавезе за путне трошкове и услуге по уговору у износу од 219 хиљада динара, обавезе по уговорима о ауторским хонорарима за откуп уметничких дела од аутора у износу од 4.281 хиљаде динара, обавезе за повраћај у буџет дела средстава због умањења основице у износу од 493 хиљаде динара за новембар и децембар 2014. године, обавезе према добављачима за децембар 2014. године у износу од 314 хиљада динара; код Народног музеја за износ од 195 хиљада динара на име обавезе за отпремнину за одлазак у пензију; код Народне библиотеке за износ од 867 хиљада динара по основу обавезе због привременог смањења основице за неисплаћене плате; код Народног позоришта за износ од 1.149 хиљада динара по основу обавезе због привременог смањења основице за неисплаћене плате; код Историјског архива за износ од 328 хиљада динара по основу обавезе због привременог смањења основице за неисплаћене</w:t>
      </w:r>
      <w:r>
        <w:rPr>
          <w:rFonts w:ascii="Times New Roman" w:hAnsi="Times New Roman"/>
          <w:spacing w:val="-21"/>
          <w:sz w:val="24"/>
        </w:rPr>
        <w:t> </w:t>
      </w:r>
      <w:r>
        <w:rPr>
          <w:rFonts w:ascii="Times New Roman" w:hAnsi="Times New Roman"/>
          <w:sz w:val="24"/>
        </w:rPr>
        <w:t>плате;</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ListParagraph"/>
        <w:numPr>
          <w:ilvl w:val="0"/>
          <w:numId w:val="9"/>
        </w:numPr>
        <w:tabs>
          <w:tab w:pos="303" w:val="left" w:leader="none"/>
        </w:tabs>
        <w:spacing w:line="240" w:lineRule="auto" w:before="124"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У консолидованом билансу стања више су исказане обавезе по основу домаћих дугорочних обавеза у износу од 1.534 хиљаде динара и обавезе по основу краткорочних страних обавеза у износу од 4.171 хиљаде динара, док су мање исказане обавезе за плате и додатке у укупном износу од 5.705 хиљада динара због неправилно извршене консолидације (грешке у консолидацији) података из завршних рачуна индиректних корисника</w:t>
      </w:r>
      <w:r>
        <w:rPr>
          <w:rFonts w:ascii="Times New Roman" w:hAnsi="Times New Roman"/>
          <w:sz w:val="24"/>
        </w:rPr>
        <w:t>: </w:t>
      </w:r>
      <w:r>
        <w:rPr>
          <w:rFonts w:ascii="Times New Roman" w:hAnsi="Times New Roman"/>
          <w:sz w:val="24"/>
        </w:rPr>
        <w:t>Народна библиотека у износу од 4.171 хиљаде динара и Завод за заштиту споменика културе износу од 1.534 хиљаде</w:t>
      </w:r>
      <w:r>
        <w:rPr>
          <w:rFonts w:ascii="Times New Roman" w:hAnsi="Times New Roman"/>
          <w:spacing w:val="-15"/>
          <w:sz w:val="24"/>
        </w:rPr>
        <w:t> </w:t>
      </w:r>
      <w:r>
        <w:rPr>
          <w:rFonts w:ascii="Times New Roman" w:hAnsi="Times New Roman"/>
          <w:sz w:val="24"/>
        </w:rPr>
        <w:t>динара.</w:t>
      </w:r>
    </w:p>
    <w:p>
      <w:pPr>
        <w:pStyle w:val="ListParagraph"/>
        <w:numPr>
          <w:ilvl w:val="0"/>
          <w:numId w:val="9"/>
        </w:numPr>
        <w:tabs>
          <w:tab w:pos="303" w:val="left" w:leader="none"/>
        </w:tabs>
        <w:spacing w:line="237" w:lineRule="auto" w:before="4"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Код Нишког културног центра мање су исказане обавезе за плате и додатке у износу од 408 хиљада динара због неправилног евидентрања обустава од плата запослених као обавеза из</w:t>
      </w:r>
      <w:r>
        <w:rPr>
          <w:rFonts w:ascii="Times New Roman" w:hAnsi="Times New Roman"/>
          <w:spacing w:val="-9"/>
          <w:sz w:val="24"/>
        </w:rPr>
        <w:t> </w:t>
      </w:r>
      <w:r>
        <w:rPr>
          <w:rFonts w:ascii="Times New Roman" w:hAnsi="Times New Roman"/>
          <w:sz w:val="24"/>
        </w:rPr>
        <w:t>буџета.</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Мање су исказане обавезе по основу накнада у натури за износ од укупно 2.424 </w:t>
      </w:r>
      <w:r>
        <w:rPr>
          <w:rFonts w:ascii="Times New Roman" w:hAnsi="Times New Roman"/>
          <w:spacing w:val="2"/>
          <w:sz w:val="24"/>
        </w:rPr>
        <w:t>хиљаде </w:t>
      </w:r>
      <w:r>
        <w:rPr>
          <w:rFonts w:ascii="Times New Roman" w:hAnsi="Times New Roman"/>
          <w:spacing w:val="2"/>
          <w:sz w:val="24"/>
        </w:rPr>
      </w:r>
      <w:r>
        <w:rPr>
          <w:rFonts w:ascii="Times New Roman" w:hAnsi="Times New Roman"/>
          <w:sz w:val="24"/>
        </w:rPr>
        <w:t>динара јер су исте неправилно евидентиране код индиректних корисника и то: у износу </w:t>
      </w:r>
      <w:r>
        <w:rPr>
          <w:rFonts w:ascii="Times New Roman" w:hAnsi="Times New Roman"/>
          <w:sz w:val="24"/>
        </w:rPr>
        <w:t>од 562 хиљаде динара код Народне библиотеке, у износу од 460 хиљада динара код Народног позоришта, у износу од 433 хиљаде динара код Нишког симфонијског  оркестра, у износу од 215 хиљада динара код Историјског архива, у износу од  550 хиљада динара код Народног музеја и у износу од 204 хиљаде динара код Галерије савремене ликовне уметности. Истовремено, више су исказане обавезе према добављачима за исте</w:t>
      </w:r>
      <w:r>
        <w:rPr>
          <w:rFonts w:ascii="Times New Roman" w:hAnsi="Times New Roman"/>
          <w:spacing w:val="-10"/>
          <w:sz w:val="24"/>
        </w:rPr>
        <w:t> </w:t>
      </w:r>
      <w:r>
        <w:rPr>
          <w:rFonts w:ascii="Times New Roman" w:hAnsi="Times New Roman"/>
          <w:sz w:val="24"/>
        </w:rPr>
        <w:t>износе.</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Више су исказане обавезе код Галерије савремене ликовне уметности у укупном износу од 772 хиљаде динара и то за обавезе према добављачима за 760 хиљада динара јер су дупло евидентиране и за 12 хиљада динара по основу обрачунате дневнице за службени пут у земљи у већем износу од одређене Колективним уговором за четири хиљаде динара и по основу више обрачунатих путних трошкова од уговорених по уговору о ауторском хонорару за осам хиљада динара. Истовремено, више су исказана активна временска разграничења за исти</w:t>
      </w:r>
      <w:r>
        <w:rPr>
          <w:rFonts w:ascii="Times New Roman" w:hAnsi="Times New Roman"/>
          <w:spacing w:val="-11"/>
          <w:sz w:val="24"/>
        </w:rPr>
        <w:t> </w:t>
      </w:r>
      <w:r>
        <w:rPr>
          <w:rFonts w:ascii="Times New Roman" w:hAnsi="Times New Roman"/>
          <w:sz w:val="24"/>
        </w:rPr>
        <w:t>износ.</w:t>
      </w:r>
    </w:p>
    <w:p>
      <w:pPr>
        <w:pStyle w:val="ListParagraph"/>
        <w:numPr>
          <w:ilvl w:val="0"/>
          <w:numId w:val="9"/>
        </w:numPr>
        <w:tabs>
          <w:tab w:pos="303" w:val="left" w:leader="none"/>
        </w:tabs>
        <w:spacing w:line="274" w:lineRule="exact" w:before="24"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Обавезе према добављачима у износу од 17 хиљада динара код Нишког симфонијског оркестра и у износу од 61 хиљаде динара код Нишког културног центра су</w:t>
      </w:r>
      <w:r>
        <w:rPr>
          <w:rFonts w:ascii="Times New Roman" w:hAnsi="Times New Roman"/>
          <w:spacing w:val="-25"/>
          <w:sz w:val="24"/>
        </w:rPr>
        <w:t> </w:t>
      </w:r>
      <w:r>
        <w:rPr>
          <w:rFonts w:ascii="Times New Roman" w:hAnsi="Times New Roman"/>
          <w:sz w:val="24"/>
        </w:rPr>
        <w:t>застареле.</w:t>
      </w:r>
    </w:p>
    <w:p>
      <w:pPr>
        <w:pStyle w:val="ListParagraph"/>
        <w:numPr>
          <w:ilvl w:val="0"/>
          <w:numId w:val="9"/>
        </w:numPr>
        <w:tabs>
          <w:tab w:pos="303" w:val="left" w:leader="none"/>
        </w:tabs>
        <w:spacing w:line="240" w:lineRule="auto" w:before="0"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Обрачунати ненаплаћени приходи и примања мање су исказани за износ од укупно 315 хиљада динара и то код Народног позоришта за износ од 69 хиљада динара због неправилног књижења у ранијим годинама и код Нишког културног центра у износу од 246 хиљада</w:t>
      </w:r>
      <w:r>
        <w:rPr>
          <w:rFonts w:ascii="Times New Roman" w:hAnsi="Times New Roman"/>
          <w:spacing w:val="-3"/>
          <w:sz w:val="24"/>
        </w:rPr>
        <w:t> </w:t>
      </w:r>
      <w:r>
        <w:rPr>
          <w:rFonts w:ascii="Times New Roman" w:hAnsi="Times New Roman"/>
          <w:sz w:val="24"/>
        </w:rPr>
        <w:t>динара.</w:t>
      </w:r>
    </w:p>
    <w:p>
      <w:pPr>
        <w:pStyle w:val="ListParagraph"/>
        <w:numPr>
          <w:ilvl w:val="0"/>
          <w:numId w:val="9"/>
        </w:numPr>
        <w:tabs>
          <w:tab w:pos="303"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Обрачунати ненаплаћени приходи и примања више су исказани за износ од укупно 120 хиљада динара и то за 42 хиљаде динара код Галерије савремене ликовне уметности за евидентирање потраживања без правног основа и за износ од 78 хиљада динара код Народног позоришта, који се преносе из ранијих година а евидентирани су и на конту </w:t>
      </w:r>
      <w:r>
        <w:rPr>
          <w:rFonts w:ascii="Times New Roman" w:hAnsi="Times New Roman" w:cs="Times New Roman" w:eastAsia="Times New Roman" w:hint="default"/>
          <w:sz w:val="24"/>
          <w:szCs w:val="24"/>
        </w:rPr>
        <w:t>131200 </w:t>
      </w:r>
      <w:r>
        <w:rPr>
          <w:rFonts w:ascii="Times New Roman" w:hAnsi="Times New Roman" w:cs="Times New Roman" w:eastAsia="Times New Roman" w:hint="default"/>
          <w:sz w:val="24"/>
          <w:szCs w:val="24"/>
        </w:rPr>
        <w:t>– обрачунати неплаћени расходи и</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издаци.</w:t>
      </w:r>
    </w:p>
    <w:p>
      <w:pPr>
        <w:pStyle w:val="ListParagraph"/>
        <w:numPr>
          <w:ilvl w:val="0"/>
          <w:numId w:val="9"/>
        </w:numPr>
        <w:tabs>
          <w:tab w:pos="303" w:val="left" w:leader="none"/>
        </w:tabs>
        <w:spacing w:line="237" w:lineRule="auto" w:before="4"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Остала пасивна временска разграничења више су исказана за износ од 51 хиљаде  динара код Народног позоришта, јер је исказан износ чије се порекло не зна и преноси се из године у</w:t>
      </w:r>
      <w:r>
        <w:rPr>
          <w:rFonts w:ascii="Times New Roman" w:hAnsi="Times New Roman"/>
          <w:spacing w:val="-12"/>
          <w:sz w:val="24"/>
        </w:rPr>
        <w:t> </w:t>
      </w:r>
      <w:r>
        <w:rPr>
          <w:rFonts w:ascii="Times New Roman" w:hAnsi="Times New Roman"/>
          <w:sz w:val="24"/>
        </w:rPr>
        <w:t>годину.</w:t>
      </w:r>
    </w:p>
    <w:p>
      <w:pPr>
        <w:pStyle w:val="Heading2"/>
        <w:spacing w:line="240" w:lineRule="auto"/>
        <w:ind w:right="174"/>
        <w:jc w:val="both"/>
        <w:rPr>
          <w:b w:val="0"/>
          <w:bCs w:val="0"/>
          <w:i w:val="0"/>
        </w:rPr>
      </w:pPr>
      <w:r>
        <w:rPr>
          <w:i/>
        </w:rPr>
        <w:t>Препоручује се одговорним лицима да правилно исказују обавезе, врше правилну консолидацију, обезбеде правилну приемну одредби Уредбе о буџетском  рачуноводству и Правилника о стандардном класификационом оквиру и контном плану за буџетски</w:t>
      </w:r>
      <w:r>
        <w:rPr>
          <w:i/>
          <w:spacing w:val="-6"/>
        </w:rPr>
        <w:t> </w:t>
      </w:r>
      <w:r>
        <w:rPr>
          <w:i/>
        </w:rPr>
        <w:t>систем.</w:t>
      </w:r>
      <w:r>
        <w:rPr>
          <w:b w:val="0"/>
          <w:i w:val="0"/>
        </w:rPr>
      </w:r>
    </w:p>
    <w:p>
      <w:pPr>
        <w:spacing w:after="0" w:line="240" w:lineRule="auto"/>
        <w:jc w:val="both"/>
        <w:sectPr>
          <w:pgSz w:w="12240" w:h="15840"/>
          <w:pgMar w:header="740" w:footer="1274" w:top="1280" w:bottom="1460" w:left="1400" w:right="1260"/>
        </w:sectPr>
      </w:pPr>
    </w:p>
    <w:p>
      <w:pPr>
        <w:pStyle w:val="ListParagraph"/>
        <w:numPr>
          <w:ilvl w:val="0"/>
          <w:numId w:val="88"/>
        </w:numPr>
        <w:tabs>
          <w:tab w:pos="444" w:val="left" w:leader="none"/>
        </w:tabs>
        <w:spacing w:line="240" w:lineRule="auto" w:before="122" w:after="0"/>
        <w:ind w:left="160" w:right="181" w:firstLine="0"/>
        <w:jc w:val="both"/>
        <w:rPr>
          <w:rFonts w:ascii="Times New Roman" w:hAnsi="Times New Roman" w:cs="Times New Roman" w:eastAsia="Times New Roman" w:hint="default"/>
          <w:sz w:val="24"/>
          <w:szCs w:val="24"/>
        </w:rPr>
      </w:pPr>
      <w:r>
        <w:rPr>
          <w:rFonts w:ascii="Times New Roman" w:hAnsi="Times New Roman"/>
          <w:spacing w:val="-60"/>
          <w:sz w:val="24"/>
          <w:u w:val="single" w:color="000000"/>
        </w:rPr>
        <w:t> </w:t>
      </w:r>
      <w:r>
        <w:rPr>
          <w:rFonts w:ascii="Times New Roman" w:hAnsi="Times New Roman"/>
          <w:sz w:val="24"/>
          <w:u w:val="single" w:color="000000"/>
        </w:rPr>
        <w:t>Управа за омладину и спорт </w:t>
      </w:r>
      <w:r>
        <w:rPr>
          <w:rFonts w:ascii="Times New Roman" w:hAnsi="Times New Roman"/>
          <w:sz w:val="24"/>
        </w:rPr>
        <w:t>у износу од 149.158 хиљада динара и то за исказане </w:t>
      </w:r>
      <w:r>
        <w:rPr>
          <w:rFonts w:ascii="Times New Roman" w:hAnsi="Times New Roman"/>
          <w:sz w:val="24"/>
        </w:rPr>
        <w:t>обавезе код: Управе за омладину и спорт у укупном износу од 36.633 хиљаде динара и СЦ Чаир у укупном износу од </w:t>
      </w:r>
      <w:r>
        <w:rPr>
          <w:rFonts w:ascii="Times New Roman" w:hAnsi="Times New Roman"/>
          <w:sz w:val="24"/>
        </w:rPr>
        <w:t>112.525 </w:t>
      </w:r>
      <w:r>
        <w:rPr>
          <w:rFonts w:ascii="Times New Roman" w:hAnsi="Times New Roman"/>
          <w:sz w:val="24"/>
        </w:rPr>
        <w:t>хиљада</w:t>
      </w:r>
      <w:r>
        <w:rPr>
          <w:rFonts w:ascii="Times New Roman" w:hAnsi="Times New Roman"/>
          <w:spacing w:val="-13"/>
          <w:sz w:val="24"/>
        </w:rPr>
        <w:t> </w:t>
      </w:r>
      <w:r>
        <w:rPr>
          <w:rFonts w:ascii="Times New Roman" w:hAnsi="Times New Roman"/>
          <w:sz w:val="24"/>
        </w:rPr>
        <w:t>динара</w:t>
      </w:r>
      <w:r>
        <w:rPr>
          <w:rFonts w:ascii="Times New Roman" w:hAnsi="Times New Roman"/>
          <w:sz w:val="24"/>
        </w:rPr>
        <w:t>.</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Више су исказане обавезе код Управе за омладину и спорт у износу од 34.933 хиљаде динара на име укалкулисаних обавеза по поднетим захтевима индиректног  корисника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јер је индиректни корисник обавезе исказао у свом билансу стања које су обухваћене консолидацијом, па је неправилно извршена консолидација. Истовремено, више је исказан износ на конту 131200 – обрачунати неплаћени расходи и издаци у истом</w:t>
      </w:r>
      <w:r>
        <w:rPr>
          <w:rFonts w:ascii="Times New Roman" w:hAnsi="Times New Roman" w:cs="Times New Roman" w:eastAsia="Times New Roman" w:hint="default"/>
          <w:spacing w:val="-32"/>
          <w:sz w:val="24"/>
          <w:szCs w:val="24"/>
        </w:rPr>
        <w:t> </w:t>
      </w:r>
      <w:r>
        <w:rPr>
          <w:rFonts w:ascii="Times New Roman" w:hAnsi="Times New Roman" w:cs="Times New Roman" w:eastAsia="Times New Roman" w:hint="default"/>
          <w:sz w:val="24"/>
          <w:szCs w:val="24"/>
        </w:rPr>
        <w:t>износу.</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Мање су исказане обавезе код Управе за омладину и спорт у износу од најмање 4.709 хиљада динара јер исте нису евидентиране и то за дотације за спорт. Истовремено, мање је исказан износ на конту 131200 – обрачунати неплаћени расходи и издаци у истом износу.</w:t>
      </w:r>
    </w:p>
    <w:p>
      <w:pPr>
        <w:pStyle w:val="ListParagraph"/>
        <w:numPr>
          <w:ilvl w:val="0"/>
          <w:numId w:val="9"/>
        </w:numPr>
        <w:tabs>
          <w:tab w:pos="303"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Код СЦ Чаир мање су исказане обавезе у укупном износу од 1.900 хиљада динара и то  за износ од 1.317 хиљада динара по основу неисплаћеног дела плате за новембар и плате за децембар 2014. године, за износ од 415 хиљада динара по основу уплате разлике у плати због привременог умањења за новембар и децембар 2014. године, за износ од 168 хиљада динара за обавезе према</w:t>
      </w:r>
      <w:r>
        <w:rPr>
          <w:rFonts w:ascii="Times New Roman" w:hAnsi="Times New Roman"/>
          <w:spacing w:val="-16"/>
          <w:sz w:val="24"/>
        </w:rPr>
        <w:t> </w:t>
      </w:r>
      <w:r>
        <w:rPr>
          <w:rFonts w:ascii="Times New Roman" w:hAnsi="Times New Roman"/>
          <w:sz w:val="24"/>
        </w:rPr>
        <w:t>добављачима.</w:t>
      </w:r>
    </w:p>
    <w:p>
      <w:pPr>
        <w:pStyle w:val="ListParagraph"/>
        <w:numPr>
          <w:ilvl w:val="0"/>
          <w:numId w:val="9"/>
        </w:numPr>
        <w:tabs>
          <w:tab w:pos="303" w:val="left" w:leader="none"/>
        </w:tabs>
        <w:spacing w:line="240" w:lineRule="auto" w:before="2"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Код СЦ Чаир неправилно је евидентирана обавеза за неисплаћену отпремнину за одлазак у пензију у износу од 963 хиљаде динара,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spacing w:val="-17"/>
          <w:sz w:val="24"/>
        </w:rPr>
        <w:t> </w:t>
      </w:r>
      <w:r>
        <w:rPr>
          <w:rFonts w:ascii="Times New Roman" w:hAnsi="Times New Roman"/>
          <w:sz w:val="24"/>
        </w:rPr>
        <w:t>систем.</w:t>
      </w:r>
    </w:p>
    <w:p>
      <w:pPr>
        <w:pStyle w:val="ListParagraph"/>
        <w:numPr>
          <w:ilvl w:val="0"/>
          <w:numId w:val="9"/>
        </w:numPr>
        <w:tabs>
          <w:tab w:pos="303" w:val="left" w:leader="none"/>
          <w:tab w:pos="2047" w:val="left" w:leader="none"/>
          <w:tab w:pos="3225" w:val="left" w:leader="none"/>
          <w:tab w:pos="4491" w:val="left" w:leader="none"/>
          <w:tab w:pos="5678" w:val="left" w:leader="none"/>
          <w:tab w:pos="6803" w:val="left" w:leader="none"/>
          <w:tab w:pos="7827" w:val="left" w:leader="none"/>
          <w:tab w:pos="8235" w:val="left" w:leader="none"/>
        </w:tabs>
        <w:spacing w:line="240" w:lineRule="auto" w:before="2" w:after="0"/>
        <w:ind w:left="160" w:right="176" w:firstLine="0"/>
        <w:jc w:val="right"/>
        <w:rPr>
          <w:rFonts w:ascii="Times New Roman" w:hAnsi="Times New Roman" w:cs="Times New Roman" w:eastAsia="Times New Roman" w:hint="default"/>
          <w:sz w:val="24"/>
          <w:szCs w:val="24"/>
        </w:rPr>
      </w:pPr>
      <w:r>
        <w:rPr>
          <w:rFonts w:ascii="Times New Roman" w:hAnsi="Times New Roman"/>
          <w:sz w:val="24"/>
        </w:rPr>
        <w:t>Код СЦ Чаир обавезе по основу накнада запосленима мање су исказане за износ</w:t>
      </w:r>
      <w:r>
        <w:rPr>
          <w:rFonts w:ascii="Times New Roman" w:hAnsi="Times New Roman"/>
          <w:spacing w:val="32"/>
          <w:sz w:val="24"/>
        </w:rPr>
        <w:t> </w:t>
      </w:r>
      <w:r>
        <w:rPr>
          <w:rFonts w:ascii="Times New Roman" w:hAnsi="Times New Roman"/>
          <w:sz w:val="24"/>
        </w:rPr>
        <w:t>од</w:t>
      </w:r>
      <w:r>
        <w:rPr>
          <w:rFonts w:ascii="Times New Roman" w:hAnsi="Times New Roman"/>
          <w:spacing w:val="8"/>
          <w:sz w:val="24"/>
        </w:rPr>
        <w:t> </w:t>
      </w:r>
      <w:r>
        <w:rPr>
          <w:rFonts w:ascii="Times New Roman" w:hAnsi="Times New Roman"/>
          <w:sz w:val="24"/>
        </w:rPr>
        <w:t>315</w:t>
      </w:r>
      <w:r>
        <w:rPr>
          <w:rFonts w:ascii="Times New Roman" w:hAnsi="Times New Roman"/>
          <w:sz w:val="24"/>
        </w:rPr>
        <w:t> </w:t>
      </w:r>
      <w:r>
        <w:rPr>
          <w:rFonts w:ascii="Times New Roman" w:hAnsi="Times New Roman"/>
          <w:spacing w:val="2"/>
          <w:sz w:val="24"/>
        </w:rPr>
      </w:r>
      <w:r>
        <w:rPr>
          <w:rFonts w:ascii="Times New Roman" w:hAnsi="Times New Roman"/>
          <w:sz w:val="24"/>
        </w:rPr>
        <w:t>хиљада динара по основу накнаде за превоз на посао и са посла за децембар</w:t>
      </w:r>
      <w:r>
        <w:rPr>
          <w:rFonts w:ascii="Times New Roman" w:hAnsi="Times New Roman"/>
          <w:spacing w:val="-24"/>
          <w:sz w:val="24"/>
        </w:rPr>
        <w:t> </w:t>
      </w:r>
      <w:r>
        <w:rPr>
          <w:rFonts w:ascii="Times New Roman" w:hAnsi="Times New Roman"/>
          <w:sz w:val="24"/>
        </w:rPr>
        <w:t>2014.</w:t>
      </w:r>
      <w:r>
        <w:rPr>
          <w:rFonts w:ascii="Times New Roman" w:hAnsi="Times New Roman"/>
          <w:spacing w:val="-1"/>
          <w:sz w:val="24"/>
        </w:rPr>
        <w:t> </w:t>
      </w:r>
      <w:r>
        <w:rPr>
          <w:rFonts w:ascii="Times New Roman" w:hAnsi="Times New Roman"/>
          <w:sz w:val="24"/>
        </w:rPr>
        <w:t>године.</w:t>
      </w:r>
      <w:r>
        <w:rPr>
          <w:rFonts w:ascii="Times New Roman" w:hAnsi="Times New Roman"/>
          <w:sz w:val="24"/>
        </w:rPr>
        <w:t> </w:t>
      </w:r>
      <w:r>
        <w:rPr>
          <w:rFonts w:ascii="Times New Roman" w:hAnsi="Times New Roman"/>
          <w:b/>
          <w:i/>
          <w:sz w:val="24"/>
        </w:rPr>
        <w:t>Препоручује се одговорним лицима да правилно исказују обавезе,</w:t>
      </w:r>
      <w:r>
        <w:rPr>
          <w:rFonts w:ascii="Times New Roman" w:hAnsi="Times New Roman"/>
          <w:b/>
          <w:i/>
          <w:spacing w:val="5"/>
          <w:sz w:val="24"/>
        </w:rPr>
        <w:t> </w:t>
      </w:r>
      <w:r>
        <w:rPr>
          <w:rFonts w:ascii="Times New Roman" w:hAnsi="Times New Roman"/>
          <w:b/>
          <w:i/>
          <w:sz w:val="24"/>
        </w:rPr>
        <w:t>врше</w:t>
      </w:r>
      <w:r>
        <w:rPr>
          <w:rFonts w:ascii="Times New Roman" w:hAnsi="Times New Roman"/>
          <w:b/>
          <w:i/>
          <w:spacing w:val="12"/>
          <w:sz w:val="24"/>
        </w:rPr>
        <w:t> </w:t>
      </w:r>
      <w:r>
        <w:rPr>
          <w:rFonts w:ascii="Times New Roman" w:hAnsi="Times New Roman"/>
          <w:b/>
          <w:i/>
          <w:sz w:val="24"/>
        </w:rPr>
        <w:t>правилну</w:t>
      </w:r>
      <w:r>
        <w:rPr>
          <w:rFonts w:ascii="Times New Roman" w:hAnsi="Times New Roman"/>
          <w:b/>
          <w:i/>
          <w:w w:val="100"/>
          <w:sz w:val="24"/>
        </w:rPr>
        <w:t> </w:t>
      </w:r>
      <w:r>
        <w:rPr>
          <w:rFonts w:ascii="Times New Roman" w:hAnsi="Times New Roman"/>
          <w:b/>
          <w:i/>
          <w:w w:val="100"/>
          <w:sz w:val="24"/>
        </w:rPr>
      </w:r>
      <w:r>
        <w:rPr>
          <w:rFonts w:ascii="Times New Roman" w:hAnsi="Times New Roman"/>
          <w:b/>
          <w:i/>
          <w:sz w:val="24"/>
        </w:rPr>
        <w:t>консолидацију,</w:t>
        <w:tab/>
        <w:t>обезбеде</w:t>
        <w:tab/>
        <w:t>правилну</w:t>
        <w:tab/>
        <w:t>приемну</w:t>
        <w:tab/>
        <w:t>одредби</w:t>
        <w:tab/>
        <w:t>Уредбе</w:t>
        <w:tab/>
        <w:t>о</w:t>
        <w:tab/>
      </w:r>
      <w:r>
        <w:rPr>
          <w:rFonts w:ascii="Times New Roman" w:hAnsi="Times New Roman"/>
          <w:b/>
          <w:i/>
          <w:spacing w:val="-1"/>
          <w:sz w:val="24"/>
        </w:rPr>
        <w:t>буџетском </w:t>
      </w:r>
      <w:r>
        <w:rPr>
          <w:rFonts w:ascii="Times New Roman" w:hAnsi="Times New Roman"/>
          <w:b/>
          <w:i/>
          <w:spacing w:val="-1"/>
          <w:sz w:val="24"/>
        </w:rPr>
      </w:r>
      <w:r>
        <w:rPr>
          <w:rFonts w:ascii="Times New Roman" w:hAnsi="Times New Roman"/>
          <w:b/>
          <w:i/>
          <w:sz w:val="24"/>
        </w:rPr>
        <w:t>рачуноводству</w:t>
      </w:r>
      <w:r>
        <w:rPr>
          <w:rFonts w:ascii="Times New Roman" w:hAnsi="Times New Roman"/>
          <w:b/>
          <w:i/>
          <w:spacing w:val="46"/>
          <w:sz w:val="24"/>
        </w:rPr>
        <w:t> </w:t>
      </w:r>
      <w:r>
        <w:rPr>
          <w:rFonts w:ascii="Times New Roman" w:hAnsi="Times New Roman"/>
          <w:b/>
          <w:i/>
          <w:sz w:val="24"/>
        </w:rPr>
        <w:t>и</w:t>
      </w:r>
      <w:r>
        <w:rPr>
          <w:rFonts w:ascii="Times New Roman" w:hAnsi="Times New Roman"/>
          <w:b/>
          <w:i/>
          <w:spacing w:val="47"/>
          <w:sz w:val="24"/>
        </w:rPr>
        <w:t> </w:t>
      </w:r>
      <w:r>
        <w:rPr>
          <w:rFonts w:ascii="Times New Roman" w:hAnsi="Times New Roman"/>
          <w:b/>
          <w:i/>
          <w:sz w:val="24"/>
        </w:rPr>
        <w:t>Правилника</w:t>
      </w:r>
      <w:r>
        <w:rPr>
          <w:rFonts w:ascii="Times New Roman" w:hAnsi="Times New Roman"/>
          <w:b/>
          <w:i/>
          <w:spacing w:val="47"/>
          <w:sz w:val="24"/>
        </w:rPr>
        <w:t> </w:t>
      </w:r>
      <w:r>
        <w:rPr>
          <w:rFonts w:ascii="Times New Roman" w:hAnsi="Times New Roman"/>
          <w:b/>
          <w:i/>
          <w:sz w:val="24"/>
        </w:rPr>
        <w:t>о</w:t>
      </w:r>
      <w:r>
        <w:rPr>
          <w:rFonts w:ascii="Times New Roman" w:hAnsi="Times New Roman"/>
          <w:b/>
          <w:i/>
          <w:spacing w:val="47"/>
          <w:sz w:val="24"/>
        </w:rPr>
        <w:t> </w:t>
      </w:r>
      <w:r>
        <w:rPr>
          <w:rFonts w:ascii="Times New Roman" w:hAnsi="Times New Roman"/>
          <w:b/>
          <w:i/>
          <w:sz w:val="24"/>
        </w:rPr>
        <w:t>стандардном</w:t>
      </w:r>
      <w:r>
        <w:rPr>
          <w:rFonts w:ascii="Times New Roman" w:hAnsi="Times New Roman"/>
          <w:b/>
          <w:i/>
          <w:spacing w:val="48"/>
          <w:sz w:val="24"/>
        </w:rPr>
        <w:t> </w:t>
      </w:r>
      <w:r>
        <w:rPr>
          <w:rFonts w:ascii="Times New Roman" w:hAnsi="Times New Roman"/>
          <w:b/>
          <w:i/>
          <w:sz w:val="24"/>
        </w:rPr>
        <w:t>класификационом</w:t>
      </w:r>
      <w:r>
        <w:rPr>
          <w:rFonts w:ascii="Times New Roman" w:hAnsi="Times New Roman"/>
          <w:b/>
          <w:i/>
          <w:spacing w:val="45"/>
          <w:sz w:val="24"/>
        </w:rPr>
        <w:t> </w:t>
      </w:r>
      <w:r>
        <w:rPr>
          <w:rFonts w:ascii="Times New Roman" w:hAnsi="Times New Roman"/>
          <w:b/>
          <w:i/>
          <w:sz w:val="24"/>
        </w:rPr>
        <w:t>оквиру</w:t>
      </w:r>
      <w:r>
        <w:rPr>
          <w:rFonts w:ascii="Times New Roman" w:hAnsi="Times New Roman"/>
          <w:b/>
          <w:i/>
          <w:spacing w:val="46"/>
          <w:sz w:val="24"/>
        </w:rPr>
        <w:t> </w:t>
      </w:r>
      <w:r>
        <w:rPr>
          <w:rFonts w:ascii="Times New Roman" w:hAnsi="Times New Roman"/>
          <w:b/>
          <w:i/>
          <w:sz w:val="24"/>
        </w:rPr>
        <w:t>и</w:t>
      </w:r>
      <w:r>
        <w:rPr>
          <w:rFonts w:ascii="Times New Roman" w:hAnsi="Times New Roman"/>
          <w:b/>
          <w:i/>
          <w:spacing w:val="47"/>
          <w:sz w:val="24"/>
        </w:rPr>
        <w:t> </w:t>
      </w:r>
      <w:r>
        <w:rPr>
          <w:rFonts w:ascii="Times New Roman" w:hAnsi="Times New Roman"/>
          <w:b/>
          <w:i/>
          <w:sz w:val="24"/>
        </w:rPr>
        <w:t>контном</w:t>
      </w:r>
      <w:r>
        <w:rPr>
          <w:rFonts w:ascii="Times New Roman" w:hAnsi="Times New Roman"/>
          <w:sz w:val="24"/>
        </w:rPr>
      </w:r>
    </w:p>
    <w:p>
      <w:pPr>
        <w:pStyle w:val="Heading2"/>
        <w:spacing w:line="240" w:lineRule="auto" w:before="0"/>
        <w:ind w:right="0" w:firstLine="0"/>
        <w:jc w:val="both"/>
        <w:rPr>
          <w:rFonts w:ascii="Times New Roman" w:hAnsi="Times New Roman" w:cs="Times New Roman" w:eastAsia="Times New Roman" w:hint="default"/>
          <w:b w:val="0"/>
          <w:bCs w:val="0"/>
          <w:i w:val="0"/>
        </w:rPr>
      </w:pPr>
      <w:r>
        <w:rPr>
          <w:i/>
        </w:rPr>
        <w:t>плану за буџетски</w:t>
      </w:r>
      <w:r>
        <w:rPr>
          <w:i/>
          <w:spacing w:val="-3"/>
        </w:rPr>
        <w:t> </w:t>
      </w:r>
      <w:r>
        <w:rPr>
          <w:i/>
        </w:rPr>
        <w:t>систем</w:t>
      </w:r>
      <w:r>
        <w:rPr>
          <w:rFonts w:ascii="Times New Roman" w:hAnsi="Times New Roman"/>
          <w:i/>
        </w:rPr>
        <w:t>.</w:t>
      </w:r>
      <w:r>
        <w:rPr>
          <w:rFonts w:ascii="Times New Roman" w:hAnsi="Times New Roman"/>
          <w:b w:val="0"/>
          <w:i w:val="0"/>
        </w:rPr>
      </w:r>
    </w:p>
    <w:p>
      <w:pPr>
        <w:pStyle w:val="ListParagraph"/>
        <w:numPr>
          <w:ilvl w:val="0"/>
          <w:numId w:val="88"/>
        </w:numPr>
        <w:tabs>
          <w:tab w:pos="588" w:val="left" w:leader="none"/>
        </w:tabs>
        <w:spacing w:line="240" w:lineRule="auto" w:before="134" w:after="0"/>
        <w:ind w:left="160" w:right="175" w:firstLine="0"/>
        <w:jc w:val="both"/>
        <w:rPr>
          <w:rFonts w:ascii="Times New Roman" w:hAnsi="Times New Roman" w:cs="Times New Roman" w:eastAsia="Times New Roman" w:hint="default"/>
          <w:sz w:val="24"/>
          <w:szCs w:val="24"/>
        </w:rPr>
      </w:pPr>
      <w:r>
        <w:rPr>
          <w:rFonts w:ascii="Times New Roman" w:hAnsi="Times New Roman"/>
          <w:spacing w:val="-60"/>
          <w:sz w:val="24"/>
          <w:u w:val="single" w:color="000000"/>
        </w:rPr>
        <w:t> </w:t>
      </w:r>
      <w:r>
        <w:rPr>
          <w:rFonts w:ascii="Times New Roman" w:hAnsi="Times New Roman"/>
          <w:sz w:val="24"/>
          <w:u w:val="single" w:color="000000"/>
        </w:rPr>
        <w:t>Управа за комуналне делатности, енергетику и саобраћај </w:t>
      </w:r>
      <w:r>
        <w:rPr>
          <w:rFonts w:ascii="Times New Roman" w:hAnsi="Times New Roman"/>
          <w:sz w:val="24"/>
        </w:rPr>
        <w:t>у износу од 929.034 хиљаде </w:t>
      </w:r>
      <w:r>
        <w:rPr>
          <w:rFonts w:ascii="Times New Roman" w:hAnsi="Times New Roman"/>
          <w:sz w:val="24"/>
        </w:rPr>
        <w:t>динара и то за исказане обавезе код: Управе за комуналне делатности, енергетику и саобраћај  у  износу  од  419.732  хиљаде  динара  и  ЈП  Дирекција  у  укупном  износу</w:t>
      </w:r>
      <w:r>
        <w:rPr>
          <w:rFonts w:ascii="Times New Roman" w:hAnsi="Times New Roman"/>
          <w:spacing w:val="22"/>
          <w:sz w:val="24"/>
        </w:rPr>
        <w:t> </w:t>
      </w:r>
      <w:r>
        <w:rPr>
          <w:rFonts w:ascii="Times New Roman" w:hAnsi="Times New Roman"/>
          <w:sz w:val="24"/>
        </w:rPr>
        <w:t>од</w:t>
      </w:r>
    </w:p>
    <w:p>
      <w:pPr>
        <w:pStyle w:val="BodyText"/>
        <w:spacing w:line="240" w:lineRule="auto"/>
        <w:ind w:right="0"/>
        <w:jc w:val="both"/>
      </w:pPr>
      <w:r>
        <w:rPr/>
        <w:t>509.302 хиљаде</w:t>
      </w:r>
      <w:r>
        <w:rPr>
          <w:spacing w:val="-3"/>
        </w:rPr>
        <w:t> </w:t>
      </w:r>
      <w:r>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Више су исказане обавезе код Управе за комуналне делатности, енергетику и саобраћај у износу од 157.156 хиљада динара на име укалкулисаних обавеза по поднетим захтевима индиректног корисника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које је индиректни корисник такође исказао у свом билансу стања, те су дупло обухваћене консолидацијом</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Истовремено, више је исказан износ на конту 131200 – обрачунати неплаћени расходи и издаци у истом</w:t>
      </w:r>
      <w:r>
        <w:rPr>
          <w:rFonts w:ascii="Times New Roman" w:hAnsi="Times New Roman" w:cs="Times New Roman" w:eastAsia="Times New Roman" w:hint="default"/>
          <w:spacing w:val="-26"/>
          <w:sz w:val="24"/>
          <w:szCs w:val="24"/>
        </w:rPr>
        <w:t> </w:t>
      </w:r>
      <w:r>
        <w:rPr>
          <w:rFonts w:ascii="Times New Roman" w:hAnsi="Times New Roman" w:cs="Times New Roman" w:eastAsia="Times New Roman" w:hint="default"/>
          <w:sz w:val="24"/>
          <w:szCs w:val="24"/>
        </w:rPr>
        <w:t>износу.</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Мање су исказане обавезе код Управе за комуналне делатности у износу од најмање 204.933 хиљаде динара јер нису евидентиране и то обавезе </w:t>
      </w:r>
      <w:r>
        <w:rPr>
          <w:rFonts w:ascii="Times New Roman" w:hAnsi="Times New Roman" w:cs="Times New Roman" w:eastAsia="Times New Roman" w:hint="default"/>
          <w:spacing w:val="2"/>
          <w:sz w:val="24"/>
          <w:szCs w:val="24"/>
        </w:rPr>
        <w:t>за</w:t>
      </w:r>
      <w:r>
        <w:rPr>
          <w:rFonts w:ascii="Times New Roman" w:hAnsi="Times New Roman" w:cs="Times New Roman" w:eastAsia="Times New Roman" w:hint="default"/>
          <w:spacing w:val="2"/>
          <w:sz w:val="24"/>
          <w:szCs w:val="24"/>
        </w:rPr>
        <w:t>: </w:t>
      </w:r>
      <w:r>
        <w:rPr>
          <w:rFonts w:ascii="Times New Roman" w:hAnsi="Times New Roman" w:cs="Times New Roman" w:eastAsia="Times New Roman" w:hint="default"/>
          <w:sz w:val="24"/>
          <w:szCs w:val="24"/>
        </w:rPr>
        <w:t>накнаду за интегрисани јавни превоз, одржавање јавне хигијене, зоохигијене, зеленила, накнаде за одводњавање. Истовремено, за исти износ мање је исказана позиција 131200 – обрачунати неплаћени расходи и</w:t>
      </w:r>
      <w:r>
        <w:rPr>
          <w:rFonts w:ascii="Times New Roman" w:hAnsi="Times New Roman" w:cs="Times New Roman" w:eastAsia="Times New Roman" w:hint="default"/>
          <w:spacing w:val="-2"/>
          <w:sz w:val="24"/>
          <w:szCs w:val="24"/>
        </w:rPr>
        <w:t> </w:t>
      </w:r>
      <w:r>
        <w:rPr>
          <w:rFonts w:ascii="Times New Roman" w:hAnsi="Times New Roman" w:cs="Times New Roman" w:eastAsia="Times New Roman" w:hint="default"/>
          <w:sz w:val="24"/>
          <w:szCs w:val="24"/>
        </w:rPr>
        <w:t>издаци</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74" w:lineRule="exact" w:before="24"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Код ЈП Дирекција обавезе за плате и додатке су више исказане у износу од 850 хиљада динара,</w:t>
      </w:r>
      <w:r>
        <w:rPr>
          <w:rFonts w:ascii="Times New Roman" w:hAnsi="Times New Roman"/>
          <w:spacing w:val="16"/>
          <w:sz w:val="24"/>
        </w:rPr>
        <w:t> </w:t>
      </w:r>
      <w:r>
        <w:rPr>
          <w:rFonts w:ascii="Times New Roman" w:hAnsi="Times New Roman"/>
          <w:sz w:val="24"/>
        </w:rPr>
        <w:t>а</w:t>
      </w:r>
      <w:r>
        <w:rPr>
          <w:rFonts w:ascii="Times New Roman" w:hAnsi="Times New Roman"/>
          <w:spacing w:val="16"/>
          <w:sz w:val="24"/>
        </w:rPr>
        <w:t> </w:t>
      </w:r>
      <w:r>
        <w:rPr>
          <w:rFonts w:ascii="Times New Roman" w:hAnsi="Times New Roman"/>
          <w:sz w:val="24"/>
        </w:rPr>
        <w:t>мање</w:t>
      </w:r>
      <w:r>
        <w:rPr>
          <w:rFonts w:ascii="Times New Roman" w:hAnsi="Times New Roman"/>
          <w:spacing w:val="16"/>
          <w:sz w:val="24"/>
        </w:rPr>
        <w:t> </w:t>
      </w:r>
      <w:r>
        <w:rPr>
          <w:rFonts w:ascii="Times New Roman" w:hAnsi="Times New Roman"/>
          <w:sz w:val="24"/>
        </w:rPr>
        <w:t>су</w:t>
      </w:r>
      <w:r>
        <w:rPr>
          <w:rFonts w:ascii="Times New Roman" w:hAnsi="Times New Roman"/>
          <w:spacing w:val="13"/>
          <w:sz w:val="24"/>
        </w:rPr>
        <w:t> </w:t>
      </w:r>
      <w:r>
        <w:rPr>
          <w:rFonts w:ascii="Times New Roman" w:hAnsi="Times New Roman"/>
          <w:sz w:val="24"/>
        </w:rPr>
        <w:t>исказане</w:t>
      </w:r>
      <w:r>
        <w:rPr>
          <w:rFonts w:ascii="Times New Roman" w:hAnsi="Times New Roman"/>
          <w:spacing w:val="16"/>
          <w:sz w:val="24"/>
        </w:rPr>
        <w:t> </w:t>
      </w:r>
      <w:r>
        <w:rPr>
          <w:rFonts w:ascii="Times New Roman" w:hAnsi="Times New Roman"/>
          <w:sz w:val="24"/>
        </w:rPr>
        <w:t>обавезе</w:t>
      </w:r>
      <w:r>
        <w:rPr>
          <w:rFonts w:ascii="Times New Roman" w:hAnsi="Times New Roman"/>
          <w:spacing w:val="16"/>
          <w:sz w:val="24"/>
        </w:rPr>
        <w:t> </w:t>
      </w:r>
      <w:r>
        <w:rPr>
          <w:rFonts w:ascii="Times New Roman" w:hAnsi="Times New Roman"/>
          <w:sz w:val="24"/>
        </w:rPr>
        <w:t>за</w:t>
      </w:r>
      <w:r>
        <w:rPr>
          <w:rFonts w:ascii="Times New Roman" w:hAnsi="Times New Roman"/>
          <w:spacing w:val="16"/>
          <w:sz w:val="24"/>
        </w:rPr>
        <w:t> </w:t>
      </w:r>
      <w:r>
        <w:rPr>
          <w:rFonts w:ascii="Times New Roman" w:hAnsi="Times New Roman"/>
          <w:sz w:val="24"/>
        </w:rPr>
        <w:t>службена</w:t>
      </w:r>
      <w:r>
        <w:rPr>
          <w:rFonts w:ascii="Times New Roman" w:hAnsi="Times New Roman"/>
          <w:spacing w:val="16"/>
          <w:sz w:val="24"/>
        </w:rPr>
        <w:t> </w:t>
      </w:r>
      <w:r>
        <w:rPr>
          <w:rFonts w:ascii="Times New Roman" w:hAnsi="Times New Roman"/>
          <w:sz w:val="24"/>
        </w:rPr>
        <w:t>путовања</w:t>
      </w:r>
      <w:r>
        <w:rPr>
          <w:rFonts w:ascii="Times New Roman" w:hAnsi="Times New Roman"/>
          <w:spacing w:val="15"/>
          <w:sz w:val="24"/>
        </w:rPr>
        <w:t> </w:t>
      </w:r>
      <w:r>
        <w:rPr>
          <w:rFonts w:ascii="Times New Roman" w:hAnsi="Times New Roman"/>
          <w:sz w:val="24"/>
        </w:rPr>
        <w:t>и</w:t>
      </w:r>
      <w:r>
        <w:rPr>
          <w:rFonts w:ascii="Times New Roman" w:hAnsi="Times New Roman"/>
          <w:spacing w:val="20"/>
          <w:sz w:val="24"/>
        </w:rPr>
        <w:t> </w:t>
      </w:r>
      <w:r>
        <w:rPr>
          <w:rFonts w:ascii="Times New Roman" w:hAnsi="Times New Roman"/>
          <w:sz w:val="24"/>
        </w:rPr>
        <w:t>услуге</w:t>
      </w:r>
      <w:r>
        <w:rPr>
          <w:rFonts w:ascii="Times New Roman" w:hAnsi="Times New Roman"/>
          <w:spacing w:val="16"/>
          <w:sz w:val="24"/>
        </w:rPr>
        <w:t> </w:t>
      </w:r>
      <w:r>
        <w:rPr>
          <w:rFonts w:ascii="Times New Roman" w:hAnsi="Times New Roman"/>
          <w:sz w:val="24"/>
        </w:rPr>
        <w:t>по</w:t>
      </w:r>
      <w:r>
        <w:rPr>
          <w:rFonts w:ascii="Times New Roman" w:hAnsi="Times New Roman"/>
          <w:spacing w:val="19"/>
          <w:sz w:val="24"/>
        </w:rPr>
        <w:t> </w:t>
      </w:r>
      <w:r>
        <w:rPr>
          <w:rFonts w:ascii="Times New Roman" w:hAnsi="Times New Roman"/>
          <w:sz w:val="24"/>
        </w:rPr>
        <w:t>уговору</w:t>
      </w:r>
      <w:r>
        <w:rPr>
          <w:rFonts w:ascii="Times New Roman" w:hAnsi="Times New Roman"/>
          <w:spacing w:val="12"/>
          <w:sz w:val="24"/>
        </w:rPr>
        <w:t> </w:t>
      </w:r>
      <w:r>
        <w:rPr>
          <w:rFonts w:ascii="Times New Roman" w:hAnsi="Times New Roman"/>
          <w:sz w:val="24"/>
        </w:rPr>
        <w:t>на</w:t>
      </w:r>
      <w:r>
        <w:rPr>
          <w:rFonts w:ascii="Times New Roman" w:hAnsi="Times New Roman"/>
          <w:spacing w:val="16"/>
          <w:sz w:val="24"/>
        </w:rPr>
        <w:t> </w:t>
      </w:r>
      <w:r>
        <w:rPr>
          <w:rFonts w:ascii="Times New Roman" w:hAnsi="Times New Roman"/>
          <w:sz w:val="24"/>
        </w:rPr>
        <w:t>конту</w:t>
      </w:r>
    </w:p>
    <w:p>
      <w:pPr>
        <w:spacing w:after="0" w:line="274" w:lineRule="exact"/>
        <w:jc w:val="both"/>
        <w:rPr>
          <w:rFonts w:ascii="Times New Roman" w:hAnsi="Times New Roman" w:cs="Times New Roman" w:eastAsia="Times New Roman" w:hint="default"/>
          <w:sz w:val="24"/>
          <w:szCs w:val="24"/>
        </w:rPr>
        <w:sectPr>
          <w:footerReference w:type="default" r:id="rId93"/>
          <w:pgSz w:w="12240" w:h="15840"/>
          <w:pgMar w:footer="1274" w:header="740" w:top="1280" w:bottom="1460" w:left="1400" w:right="1260"/>
          <w:pgNumType w:start="310"/>
        </w:sectPr>
      </w:pPr>
    </w:p>
    <w:p>
      <w:pPr>
        <w:pStyle w:val="BodyText"/>
        <w:spacing w:line="240" w:lineRule="auto" w:before="122"/>
        <w:ind w:right="186"/>
        <w:jc w:val="both"/>
      </w:pPr>
      <w:r>
        <w:rPr/>
        <w:t>237000, што је супротно члану 9. Уредбе о буџетском рачуноводству и Правилнику о стандардном класификационом оквиру и контном плану за буџетски</w:t>
      </w:r>
      <w:r>
        <w:rPr>
          <w:spacing w:val="-24"/>
        </w:rPr>
        <w:t> </w:t>
      </w:r>
      <w:r>
        <w:rPr/>
        <w:t>систем.</w:t>
      </w:r>
    </w:p>
    <w:p>
      <w:pPr>
        <w:pStyle w:val="ListParagraph"/>
        <w:numPr>
          <w:ilvl w:val="0"/>
          <w:numId w:val="9"/>
        </w:numPr>
        <w:tabs>
          <w:tab w:pos="303" w:val="left" w:leader="none"/>
        </w:tabs>
        <w:spacing w:line="240" w:lineRule="auto" w:before="2"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Код ЈП Дирекција обавезе за плате су мање исказане у износу од 915 хиљада динара, јер су више исказане остале обавезе из пословања на конту 254900,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spacing w:val="-16"/>
          <w:sz w:val="24"/>
        </w:rPr>
        <w:t> </w:t>
      </w:r>
      <w:r>
        <w:rPr>
          <w:rFonts w:ascii="Times New Roman" w:hAnsi="Times New Roman"/>
          <w:sz w:val="24"/>
        </w:rPr>
        <w:t>систем</w:t>
      </w:r>
      <w:r>
        <w:rPr>
          <w:rFonts w:ascii="Times New Roman" w:hAnsi="Times New Roman"/>
          <w:sz w:val="24"/>
        </w:rPr>
        <w:t>.</w:t>
      </w:r>
    </w:p>
    <w:p>
      <w:pPr>
        <w:pStyle w:val="ListParagraph"/>
        <w:numPr>
          <w:ilvl w:val="0"/>
          <w:numId w:val="9"/>
        </w:numPr>
        <w:tabs>
          <w:tab w:pos="303" w:val="left" w:leader="none"/>
        </w:tabs>
        <w:spacing w:line="240" w:lineRule="auto" w:before="2" w:after="0"/>
        <w:ind w:left="160" w:right="171" w:firstLine="0"/>
        <w:jc w:val="both"/>
        <w:rPr>
          <w:rFonts w:ascii="Times New Roman" w:hAnsi="Times New Roman" w:cs="Times New Roman" w:eastAsia="Times New Roman" w:hint="default"/>
          <w:sz w:val="24"/>
          <w:szCs w:val="24"/>
        </w:rPr>
      </w:pPr>
      <w:r>
        <w:rPr>
          <w:rFonts w:ascii="Times New Roman" w:hAnsi="Times New Roman"/>
          <w:sz w:val="24"/>
        </w:rPr>
        <w:t>Код ЈП Дирекција обавезе по основу накнада запосленима исказане су у већем износу за 913 хиљада динара и то: по основу обавеза за путне налоге из 2013. и 2014. године у износу од 108 хиљада динара уместо на групи 237000 и по основу обавезе за отпремнине из 2013. и 2014. године у износу од 750 хиљада динара и обавезе за помоћ запосленима у случају смрти за 2013. и 2014. годину у износу од 55 хиљада динара, уместо на групи </w:t>
      </w:r>
      <w:r>
        <w:rPr>
          <w:rFonts w:ascii="Times New Roman" w:hAnsi="Times New Roman"/>
          <w:sz w:val="24"/>
        </w:rPr>
        <w:t>236000, </w:t>
      </w:r>
      <w:r>
        <w:rPr>
          <w:rFonts w:ascii="Times New Roman" w:hAnsi="Times New Roman"/>
          <w:sz w:val="24"/>
        </w:rPr>
        <w:t>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spacing w:val="-23"/>
          <w:sz w:val="24"/>
        </w:rPr>
        <w:t> </w:t>
      </w:r>
      <w:r>
        <w:rPr>
          <w:rFonts w:ascii="Times New Roman" w:hAnsi="Times New Roman"/>
          <w:sz w:val="24"/>
        </w:rPr>
        <w:t>систем</w:t>
      </w:r>
      <w:r>
        <w:rPr>
          <w:rFonts w:ascii="Times New Roman" w:hAnsi="Times New Roman"/>
          <w:sz w:val="24"/>
        </w:rPr>
        <w:t>.</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Код ЈП Дирекција обавезе у укупном износу од 702 хиљаде динара су застареле, и то у износу од 34 хиљаде динара за исплате по путним налозима и у </w:t>
      </w:r>
      <w:r>
        <w:rPr>
          <w:rFonts w:ascii="Times New Roman" w:hAnsi="Times New Roman"/>
          <w:spacing w:val="2"/>
          <w:sz w:val="24"/>
        </w:rPr>
        <w:t>износу </w:t>
      </w:r>
      <w:r>
        <w:rPr>
          <w:rFonts w:ascii="Times New Roman" w:hAnsi="Times New Roman"/>
          <w:sz w:val="24"/>
        </w:rPr>
        <w:t>од 668 хиљада </w:t>
      </w:r>
      <w:r>
        <w:rPr>
          <w:rFonts w:ascii="Times New Roman" w:hAnsi="Times New Roman"/>
          <w:sz w:val="24"/>
        </w:rPr>
        <w:t>динара за примљене авансе, депозите и кауције (потичу из периода 2009, 2010. и 2011. године).</w:t>
      </w:r>
    </w:p>
    <w:p>
      <w:pPr>
        <w:pStyle w:val="ListParagraph"/>
        <w:numPr>
          <w:ilvl w:val="0"/>
          <w:numId w:val="9"/>
        </w:numPr>
        <w:tabs>
          <w:tab w:pos="303" w:val="left" w:leader="none"/>
        </w:tabs>
        <w:spacing w:line="240" w:lineRule="auto" w:before="2"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Код ЈП Дирекција обавезе за социјалне доприносе на терет послодавца су више  исказане у износу од </w:t>
      </w:r>
      <w:r>
        <w:rPr>
          <w:rFonts w:ascii="Times New Roman" w:hAnsi="Times New Roman"/>
          <w:sz w:val="24"/>
        </w:rPr>
        <w:t>153 </w:t>
      </w:r>
      <w:r>
        <w:rPr>
          <w:rFonts w:ascii="Times New Roman" w:hAnsi="Times New Roman"/>
          <w:sz w:val="24"/>
        </w:rPr>
        <w:t>хиљаде динара, а мање су исказане обавезе за службена путовања и услуге по уговору,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spacing w:val="-8"/>
          <w:sz w:val="24"/>
        </w:rPr>
        <w:t> </w:t>
      </w:r>
      <w:r>
        <w:rPr>
          <w:rFonts w:ascii="Times New Roman" w:hAnsi="Times New Roman"/>
          <w:sz w:val="24"/>
        </w:rPr>
        <w:t>систем</w:t>
      </w:r>
      <w:r>
        <w:rPr>
          <w:rFonts w:ascii="Times New Roman" w:hAnsi="Times New Roman"/>
          <w:sz w:val="24"/>
        </w:rPr>
        <w:t>.</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Код ЈП Дирекција обавезе по основу накнада у натури мање су исказане за износ од 4.777 хиљада динара а више су исказане обавезе према добављачима,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spacing w:val="-24"/>
          <w:sz w:val="24"/>
        </w:rPr>
        <w:t> </w:t>
      </w:r>
      <w:r>
        <w:rPr>
          <w:rFonts w:ascii="Times New Roman" w:hAnsi="Times New Roman"/>
          <w:sz w:val="24"/>
        </w:rPr>
        <w:t>систем</w:t>
      </w:r>
      <w:r>
        <w:rPr>
          <w:rFonts w:ascii="Times New Roman" w:hAnsi="Times New Roman"/>
          <w:sz w:val="24"/>
        </w:rPr>
        <w:t>.</w:t>
      </w:r>
    </w:p>
    <w:p>
      <w:pPr>
        <w:pStyle w:val="ListParagraph"/>
        <w:numPr>
          <w:ilvl w:val="0"/>
          <w:numId w:val="9"/>
        </w:numPr>
        <w:tabs>
          <w:tab w:pos="303" w:val="left" w:leader="none"/>
        </w:tabs>
        <w:spacing w:line="240" w:lineRule="auto" w:before="2"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Код ЈП Дирекција више су исказане обавезе из односа буџета и буџетских корисника за износ од 6.120 хиљада динара по основу ненаплативих и застарелих потраживања, што је ближе објашњено на конту</w:t>
      </w:r>
      <w:r>
        <w:rPr>
          <w:rFonts w:ascii="Times New Roman" w:hAnsi="Times New Roman"/>
          <w:spacing w:val="-10"/>
          <w:sz w:val="24"/>
        </w:rPr>
        <w:t> </w:t>
      </w:r>
      <w:r>
        <w:rPr>
          <w:rFonts w:ascii="Times New Roman" w:hAnsi="Times New Roman"/>
          <w:sz w:val="24"/>
        </w:rPr>
        <w:t>122100.</w:t>
      </w:r>
    </w:p>
    <w:p>
      <w:pPr>
        <w:pStyle w:val="ListParagraph"/>
        <w:numPr>
          <w:ilvl w:val="0"/>
          <w:numId w:val="9"/>
        </w:numPr>
        <w:tabs>
          <w:tab w:pos="303" w:val="left" w:leader="none"/>
        </w:tabs>
        <w:spacing w:line="237" w:lineRule="auto" w:before="4"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Управа за комуналне делатности, енергетику и саобраћај је преузела обавезе преко одобрених апропријација у укупном износу од </w:t>
      </w:r>
      <w:r>
        <w:rPr>
          <w:rFonts w:ascii="Times New Roman" w:hAnsi="Times New Roman"/>
          <w:sz w:val="24"/>
        </w:rPr>
        <w:t>47.511 </w:t>
      </w:r>
      <w:r>
        <w:rPr>
          <w:rFonts w:ascii="Times New Roman" w:hAnsi="Times New Roman"/>
          <w:sz w:val="24"/>
        </w:rPr>
        <w:t>хиљада динара, што је супротно члану 54. Закона о буџетском систему и</w:t>
      </w:r>
      <w:r>
        <w:rPr>
          <w:rFonts w:ascii="Times New Roman" w:hAnsi="Times New Roman"/>
          <w:spacing w:val="-14"/>
          <w:sz w:val="24"/>
        </w:rPr>
        <w:t> </w:t>
      </w:r>
      <w:r>
        <w:rPr>
          <w:rFonts w:ascii="Times New Roman" w:hAnsi="Times New Roman"/>
          <w:sz w:val="24"/>
        </w:rPr>
        <w:t>то:</w:t>
      </w:r>
    </w:p>
    <w:p>
      <w:pPr>
        <w:spacing w:before="4" w:after="4"/>
        <w:ind w:left="6017" w:right="141" w:firstLine="0"/>
        <w:jc w:val="left"/>
        <w:rPr>
          <w:rFonts w:ascii="Times New Roman" w:hAnsi="Times New Roman" w:cs="Times New Roman" w:eastAsia="Times New Roman" w:hint="default"/>
          <w:sz w:val="18"/>
          <w:szCs w:val="18"/>
        </w:rPr>
      </w:pPr>
      <w:r>
        <w:rPr>
          <w:rFonts w:ascii="Times New Roman" w:hAnsi="Times New Roman"/>
          <w:sz w:val="18"/>
        </w:rPr>
        <w:t>(</w:t>
      </w:r>
      <w:r>
        <w:rPr>
          <w:rFonts w:ascii="Times New Roman" w:hAnsi="Times New Roman"/>
          <w:sz w:val="18"/>
        </w:rPr>
        <w:t>у хиљадама</w:t>
      </w:r>
      <w:r>
        <w:rPr>
          <w:rFonts w:ascii="Times New Roman" w:hAnsi="Times New Roman"/>
          <w:spacing w:val="-12"/>
          <w:sz w:val="18"/>
        </w:rPr>
        <w:t> </w:t>
      </w:r>
      <w:r>
        <w:rPr>
          <w:rFonts w:ascii="Times New Roman" w:hAnsi="Times New Roman"/>
          <w:sz w:val="18"/>
        </w:rPr>
        <w:t>динара</w:t>
      </w:r>
      <w:r>
        <w:rPr>
          <w:rFonts w:ascii="Times New Roman" w:hAnsi="Times New Roman"/>
          <w:sz w:val="18"/>
        </w:rPr>
        <w:t>)</w:t>
      </w:r>
    </w:p>
    <w:tbl>
      <w:tblPr>
        <w:tblW w:w="0" w:type="auto"/>
        <w:jc w:val="left"/>
        <w:tblInd w:w="155" w:type="dxa"/>
        <w:tblLayout w:type="fixed"/>
        <w:tblCellMar>
          <w:top w:w="0" w:type="dxa"/>
          <w:left w:w="0" w:type="dxa"/>
          <w:bottom w:w="0" w:type="dxa"/>
          <w:right w:w="0" w:type="dxa"/>
        </w:tblCellMar>
        <w:tblLook w:val="01E0"/>
      </w:tblPr>
      <w:tblGrid>
        <w:gridCol w:w="2977"/>
        <w:gridCol w:w="3263"/>
        <w:gridCol w:w="2976"/>
      </w:tblGrid>
      <w:tr>
        <w:trPr>
          <w:trHeight w:val="216" w:hRule="exact"/>
        </w:trPr>
        <w:tc>
          <w:tcPr>
            <w:tcW w:w="2977" w:type="dxa"/>
            <w:vMerge w:val="restart"/>
            <w:tcBorders>
              <w:top w:val="single" w:sz="4" w:space="0" w:color="000000"/>
              <w:left w:val="single" w:sz="4" w:space="0" w:color="000000"/>
              <w:right w:val="single" w:sz="4" w:space="0" w:color="000000"/>
            </w:tcBorders>
          </w:tcPr>
          <w:p>
            <w:pPr>
              <w:pStyle w:val="TableParagraph"/>
              <w:spacing w:line="240" w:lineRule="auto"/>
              <w:ind w:left="597" w:right="189" w:hanging="404"/>
              <w:jc w:val="left"/>
              <w:rPr>
                <w:rFonts w:ascii="Times New Roman" w:hAnsi="Times New Roman" w:cs="Times New Roman" w:eastAsia="Times New Roman" w:hint="default"/>
                <w:sz w:val="18"/>
                <w:szCs w:val="18"/>
              </w:rPr>
            </w:pPr>
            <w:r>
              <w:rPr>
                <w:rFonts w:ascii="Times New Roman" w:hAnsi="Times New Roman"/>
                <w:sz w:val="18"/>
              </w:rPr>
              <w:t>Управа за комуналне делатности, енергетику и</w:t>
            </w:r>
            <w:r>
              <w:rPr>
                <w:rFonts w:ascii="Times New Roman" w:hAnsi="Times New Roman"/>
                <w:spacing w:val="-8"/>
                <w:sz w:val="18"/>
              </w:rPr>
              <w:t> </w:t>
            </w:r>
            <w:r>
              <w:rPr>
                <w:rFonts w:ascii="Times New Roman" w:hAnsi="Times New Roman"/>
                <w:sz w:val="18"/>
              </w:rPr>
              <w:t>саобраћај</w:t>
            </w:r>
          </w:p>
        </w:tc>
        <w:tc>
          <w:tcPr>
            <w:tcW w:w="326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304" w:right="0"/>
              <w:jc w:val="left"/>
              <w:rPr>
                <w:rFonts w:ascii="Times New Roman" w:hAnsi="Times New Roman" w:cs="Times New Roman" w:eastAsia="Times New Roman" w:hint="default"/>
                <w:sz w:val="18"/>
                <w:szCs w:val="18"/>
              </w:rPr>
            </w:pPr>
            <w:r>
              <w:rPr>
                <w:rFonts w:ascii="Times New Roman" w:hAnsi="Times New Roman"/>
                <w:sz w:val="18"/>
              </w:rPr>
              <w:t>Функционална класификација</w:t>
            </w:r>
            <w:r>
              <w:rPr>
                <w:rFonts w:ascii="Times New Roman" w:hAnsi="Times New Roman"/>
                <w:spacing w:val="-10"/>
                <w:sz w:val="18"/>
              </w:rPr>
              <w:t> </w:t>
            </w:r>
            <w:r>
              <w:rPr>
                <w:rFonts w:ascii="Times New Roman" w:hAnsi="Times New Roman"/>
                <w:sz w:val="18"/>
              </w:rPr>
              <w:t>560</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61"/>
              <w:jc w:val="right"/>
              <w:rPr>
                <w:rFonts w:ascii="Times New Roman" w:hAnsi="Times New Roman" w:cs="Times New Roman" w:eastAsia="Times New Roman" w:hint="default"/>
                <w:sz w:val="18"/>
                <w:szCs w:val="18"/>
              </w:rPr>
            </w:pPr>
            <w:r>
              <w:rPr>
                <w:rFonts w:ascii="Times New Roman" w:hAnsi="Times New Roman"/>
                <w:sz w:val="18"/>
              </w:rPr>
              <w:t>Функционална класификација</w:t>
            </w:r>
            <w:r>
              <w:rPr>
                <w:rFonts w:ascii="Times New Roman" w:hAnsi="Times New Roman"/>
                <w:spacing w:val="-9"/>
                <w:sz w:val="18"/>
              </w:rPr>
              <w:t> </w:t>
            </w:r>
            <w:r>
              <w:rPr>
                <w:rFonts w:ascii="Times New Roman" w:hAnsi="Times New Roman"/>
                <w:sz w:val="18"/>
              </w:rPr>
              <w:t>451</w:t>
            </w:r>
          </w:p>
        </w:tc>
      </w:tr>
      <w:tr>
        <w:trPr>
          <w:trHeight w:val="218" w:hRule="exact"/>
        </w:trPr>
        <w:tc>
          <w:tcPr>
            <w:tcW w:w="2977" w:type="dxa"/>
            <w:vMerge/>
            <w:tcBorders>
              <w:left w:val="single" w:sz="4" w:space="0" w:color="000000"/>
              <w:bottom w:val="single" w:sz="4" w:space="0" w:color="000000"/>
              <w:right w:val="single" w:sz="4" w:space="0" w:color="000000"/>
            </w:tcBorders>
          </w:tcPr>
          <w:p>
            <w:pPr/>
          </w:p>
        </w:tc>
        <w:tc>
          <w:tcPr>
            <w:tcW w:w="326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998" w:right="0"/>
              <w:jc w:val="left"/>
              <w:rPr>
                <w:rFonts w:ascii="Times New Roman" w:hAnsi="Times New Roman" w:cs="Times New Roman" w:eastAsia="Times New Roman" w:hint="default"/>
                <w:sz w:val="18"/>
                <w:szCs w:val="18"/>
              </w:rPr>
            </w:pPr>
            <w:r>
              <w:rPr>
                <w:rFonts w:ascii="Times New Roman" w:hAnsi="Times New Roman"/>
                <w:sz w:val="18"/>
              </w:rPr>
              <w:t>Група конта</w:t>
            </w:r>
            <w:r>
              <w:rPr>
                <w:rFonts w:ascii="Times New Roman" w:hAnsi="Times New Roman"/>
                <w:spacing w:val="-1"/>
                <w:sz w:val="18"/>
              </w:rPr>
              <w:t> </w:t>
            </w:r>
            <w:r>
              <w:rPr>
                <w:rFonts w:ascii="Times New Roman" w:hAnsi="Times New Roman"/>
                <w:sz w:val="18"/>
              </w:rPr>
              <w:t>421</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856" w:right="0"/>
              <w:jc w:val="left"/>
              <w:rPr>
                <w:rFonts w:ascii="Times New Roman" w:hAnsi="Times New Roman" w:cs="Times New Roman" w:eastAsia="Times New Roman" w:hint="default"/>
                <w:sz w:val="18"/>
                <w:szCs w:val="18"/>
              </w:rPr>
            </w:pPr>
            <w:r>
              <w:rPr>
                <w:rFonts w:ascii="Times New Roman" w:hAnsi="Times New Roman"/>
                <w:sz w:val="18"/>
              </w:rPr>
              <w:t>Група конта</w:t>
            </w:r>
            <w:r>
              <w:rPr>
                <w:rFonts w:ascii="Times New Roman" w:hAnsi="Times New Roman"/>
                <w:spacing w:val="-1"/>
                <w:sz w:val="18"/>
              </w:rPr>
              <w:t> </w:t>
            </w:r>
            <w:r>
              <w:rPr>
                <w:rFonts w:ascii="Times New Roman" w:hAnsi="Times New Roman"/>
                <w:sz w:val="18"/>
              </w:rPr>
              <w:t>451</w:t>
            </w:r>
          </w:p>
        </w:tc>
      </w:tr>
      <w:tr>
        <w:trPr>
          <w:trHeight w:val="216" w:hRule="exact"/>
        </w:trPr>
        <w:tc>
          <w:tcPr>
            <w:tcW w:w="297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89"/>
              <w:jc w:val="left"/>
              <w:rPr>
                <w:rFonts w:ascii="Times New Roman" w:hAnsi="Times New Roman" w:cs="Times New Roman" w:eastAsia="Times New Roman" w:hint="default"/>
                <w:sz w:val="18"/>
                <w:szCs w:val="18"/>
              </w:rPr>
            </w:pPr>
            <w:r>
              <w:rPr>
                <w:rFonts w:ascii="Times New Roman" w:hAnsi="Times New Roman"/>
                <w:sz w:val="18"/>
              </w:rPr>
              <w:t>План</w:t>
            </w:r>
          </w:p>
        </w:tc>
        <w:tc>
          <w:tcPr>
            <w:tcW w:w="326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z w:val="18"/>
              </w:rPr>
              <w:t>1.500</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239.209</w:t>
            </w:r>
          </w:p>
        </w:tc>
      </w:tr>
      <w:tr>
        <w:trPr>
          <w:trHeight w:val="218" w:hRule="exact"/>
        </w:trPr>
        <w:tc>
          <w:tcPr>
            <w:tcW w:w="297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89"/>
              <w:jc w:val="left"/>
              <w:rPr>
                <w:rFonts w:ascii="Times New Roman" w:hAnsi="Times New Roman" w:cs="Times New Roman" w:eastAsia="Times New Roman" w:hint="default"/>
                <w:sz w:val="18"/>
                <w:szCs w:val="18"/>
              </w:rPr>
            </w:pPr>
            <w:r>
              <w:rPr>
                <w:rFonts w:ascii="Times New Roman" w:hAnsi="Times New Roman"/>
                <w:sz w:val="18"/>
              </w:rPr>
              <w:t>Извршење</w:t>
            </w:r>
          </w:p>
        </w:tc>
        <w:tc>
          <w:tcPr>
            <w:tcW w:w="326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5"/>
              <w:jc w:val="right"/>
              <w:rPr>
                <w:rFonts w:ascii="Times New Roman" w:hAnsi="Times New Roman" w:cs="Times New Roman" w:eastAsia="Times New Roman" w:hint="default"/>
                <w:sz w:val="18"/>
                <w:szCs w:val="18"/>
              </w:rPr>
            </w:pPr>
            <w:r>
              <w:rPr>
                <w:rFonts w:ascii="Times New Roman"/>
                <w:sz w:val="18"/>
              </w:rPr>
              <w:t>0</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239.208</w:t>
            </w:r>
          </w:p>
        </w:tc>
      </w:tr>
      <w:tr>
        <w:trPr>
          <w:trHeight w:val="216" w:hRule="exact"/>
        </w:trPr>
        <w:tc>
          <w:tcPr>
            <w:tcW w:w="297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89"/>
              <w:jc w:val="left"/>
              <w:rPr>
                <w:rFonts w:ascii="Times New Roman" w:hAnsi="Times New Roman" w:cs="Times New Roman" w:eastAsia="Times New Roman" w:hint="default"/>
                <w:sz w:val="18"/>
                <w:szCs w:val="18"/>
              </w:rPr>
            </w:pPr>
            <w:r>
              <w:rPr>
                <w:rFonts w:ascii="Times New Roman" w:hAnsi="Times New Roman"/>
                <w:sz w:val="18"/>
              </w:rPr>
              <w:t>Разлика</w:t>
            </w:r>
            <w:r>
              <w:rPr>
                <w:rFonts w:ascii="Times New Roman" w:hAnsi="Times New Roman"/>
                <w:spacing w:val="-4"/>
                <w:sz w:val="18"/>
              </w:rPr>
              <w:t> </w:t>
            </w:r>
            <w:r>
              <w:rPr>
                <w:rFonts w:ascii="Times New Roman" w:hAnsi="Times New Roman"/>
                <w:sz w:val="18"/>
              </w:rPr>
              <w:t>1</w:t>
            </w:r>
          </w:p>
        </w:tc>
        <w:tc>
          <w:tcPr>
            <w:tcW w:w="326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z w:val="18"/>
              </w:rPr>
              <w:t>1.500</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1</w:t>
            </w:r>
          </w:p>
        </w:tc>
      </w:tr>
      <w:tr>
        <w:trPr>
          <w:trHeight w:val="216" w:hRule="exact"/>
        </w:trPr>
        <w:tc>
          <w:tcPr>
            <w:tcW w:w="297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89"/>
              <w:jc w:val="left"/>
              <w:rPr>
                <w:rFonts w:ascii="Times New Roman" w:hAnsi="Times New Roman" w:cs="Times New Roman" w:eastAsia="Times New Roman" w:hint="default"/>
                <w:sz w:val="18"/>
                <w:szCs w:val="18"/>
              </w:rPr>
            </w:pPr>
            <w:r>
              <w:rPr>
                <w:rFonts w:ascii="Times New Roman" w:hAnsi="Times New Roman"/>
                <w:sz w:val="18"/>
              </w:rPr>
              <w:t>Преузете обавезе по</w:t>
            </w:r>
            <w:r>
              <w:rPr>
                <w:rFonts w:ascii="Times New Roman" w:hAnsi="Times New Roman"/>
                <w:spacing w:val="-11"/>
                <w:sz w:val="18"/>
              </w:rPr>
              <w:t> </w:t>
            </w:r>
            <w:r>
              <w:rPr>
                <w:rFonts w:ascii="Times New Roman" w:hAnsi="Times New Roman"/>
                <w:sz w:val="18"/>
              </w:rPr>
              <w:t>рачунима</w:t>
            </w:r>
          </w:p>
        </w:tc>
        <w:tc>
          <w:tcPr>
            <w:tcW w:w="3263"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3"/>
              <w:jc w:val="right"/>
              <w:rPr>
                <w:rFonts w:ascii="Times New Roman" w:hAnsi="Times New Roman" w:cs="Times New Roman" w:eastAsia="Times New Roman" w:hint="default"/>
                <w:sz w:val="18"/>
                <w:szCs w:val="18"/>
              </w:rPr>
            </w:pPr>
            <w:r>
              <w:rPr>
                <w:rFonts w:ascii="Times New Roman"/>
                <w:spacing w:val="-1"/>
                <w:sz w:val="18"/>
              </w:rPr>
              <w:t>12.958</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36.054</w:t>
            </w:r>
          </w:p>
        </w:tc>
      </w:tr>
      <w:tr>
        <w:trPr>
          <w:trHeight w:val="218" w:hRule="exact"/>
        </w:trPr>
        <w:tc>
          <w:tcPr>
            <w:tcW w:w="297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189"/>
              <w:jc w:val="left"/>
              <w:rPr>
                <w:rFonts w:ascii="Times New Roman" w:hAnsi="Times New Roman" w:cs="Times New Roman" w:eastAsia="Times New Roman" w:hint="default"/>
                <w:sz w:val="18"/>
                <w:szCs w:val="18"/>
              </w:rPr>
            </w:pPr>
            <w:r>
              <w:rPr>
                <w:rFonts w:ascii="Times New Roman" w:hAnsi="Times New Roman"/>
                <w:sz w:val="18"/>
              </w:rPr>
              <w:t>Преузете обавезе по</w:t>
            </w:r>
            <w:r>
              <w:rPr>
                <w:rFonts w:ascii="Times New Roman" w:hAnsi="Times New Roman"/>
                <w:spacing w:val="-10"/>
                <w:sz w:val="18"/>
              </w:rPr>
              <w:t> </w:t>
            </w:r>
            <w:r>
              <w:rPr>
                <w:rFonts w:ascii="Times New Roman" w:hAnsi="Times New Roman"/>
                <w:sz w:val="18"/>
              </w:rPr>
              <w:t>уговорима</w:t>
            </w:r>
          </w:p>
        </w:tc>
        <w:tc>
          <w:tcPr>
            <w:tcW w:w="3263"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4"/>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r>
      <w:tr>
        <w:trPr>
          <w:trHeight w:val="216" w:hRule="exact"/>
        </w:trPr>
        <w:tc>
          <w:tcPr>
            <w:tcW w:w="297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89"/>
              <w:jc w:val="left"/>
              <w:rPr>
                <w:rFonts w:ascii="Times New Roman" w:hAnsi="Times New Roman" w:cs="Times New Roman" w:eastAsia="Times New Roman" w:hint="default"/>
                <w:sz w:val="18"/>
                <w:szCs w:val="18"/>
              </w:rPr>
            </w:pPr>
            <w:r>
              <w:rPr>
                <w:rFonts w:ascii="Times New Roman" w:hAnsi="Times New Roman"/>
                <w:sz w:val="18"/>
              </w:rPr>
              <w:t>Разлика</w:t>
            </w:r>
            <w:r>
              <w:rPr>
                <w:rFonts w:ascii="Times New Roman" w:hAnsi="Times New Roman"/>
                <w:spacing w:val="-4"/>
                <w:sz w:val="18"/>
              </w:rPr>
              <w:t> </w:t>
            </w:r>
            <w:r>
              <w:rPr>
                <w:rFonts w:ascii="Times New Roman" w:hAnsi="Times New Roman"/>
                <w:sz w:val="18"/>
              </w:rPr>
              <w:t>2</w:t>
            </w:r>
          </w:p>
        </w:tc>
        <w:tc>
          <w:tcPr>
            <w:tcW w:w="32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3"/>
              <w:jc w:val="right"/>
              <w:rPr>
                <w:rFonts w:ascii="Times New Roman" w:hAnsi="Times New Roman" w:cs="Times New Roman" w:eastAsia="Times New Roman" w:hint="default"/>
                <w:sz w:val="18"/>
                <w:szCs w:val="18"/>
              </w:rPr>
            </w:pPr>
            <w:r>
              <w:rPr>
                <w:rFonts w:ascii="Times New Roman"/>
                <w:b/>
                <w:spacing w:val="-1"/>
                <w:sz w:val="18"/>
              </w:rPr>
              <w:t>-11.458</w:t>
            </w:r>
            <w:r>
              <w:rPr>
                <w:rFonts w:ascii="Times New Roman"/>
                <w:spacing w:val="-1"/>
                <w:sz w:val="18"/>
              </w:rPr>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-36.053</w:t>
            </w:r>
            <w:r>
              <w:rPr>
                <w:rFonts w:ascii="Times New Roman"/>
                <w:spacing w:val="-1"/>
                <w:sz w:val="18"/>
              </w:rPr>
            </w:r>
          </w:p>
        </w:tc>
      </w:tr>
    </w:tbl>
    <w:p>
      <w:pPr>
        <w:pStyle w:val="BodyText"/>
        <w:spacing w:line="240" w:lineRule="auto"/>
        <w:ind w:right="169" w:firstLine="566"/>
        <w:jc w:val="both"/>
      </w:pPr>
      <w:r>
        <w:rPr/>
        <w:t>На функционалној класификацији 560 – заштита животне средине некласификована на другом месту, на економској класификацији 421000 – стални трошкови преузете </w:t>
      </w:r>
      <w:r>
        <w:rPr>
          <w:spacing w:val="3"/>
        </w:rPr>
        <w:t>су </w:t>
      </w:r>
      <w:r>
        <w:rPr>
          <w:spacing w:val="3"/>
        </w:rPr>
      </w:r>
      <w:r>
        <w:rPr/>
        <w:t>обавезе у износу од 11.458 хиљада динара више од одобрене апропријације, по основу </w:t>
      </w:r>
      <w:r>
        <w:rPr/>
        <w:t>неплаћене накнаде за одводњавање по решењима за период од 2010. до 2014.</w:t>
      </w:r>
      <w:r>
        <w:rPr>
          <w:spacing w:val="-17"/>
        </w:rPr>
        <w:t> </w:t>
      </w:r>
      <w:r>
        <w:rPr/>
        <w:t>године.</w:t>
      </w:r>
    </w:p>
    <w:p>
      <w:pPr>
        <w:pStyle w:val="BodyText"/>
        <w:spacing w:line="240" w:lineRule="auto"/>
        <w:ind w:right="178" w:firstLine="566"/>
        <w:jc w:val="both"/>
      </w:pPr>
      <w:r>
        <w:rPr/>
        <w:t>На функционалној класификацији 451 – друмски транспорт, на економској класификацији 451000 – субвенције јавним нефинансијским предузећима и организацијама преузете су обавезе више од одобрене апропријације у износу од    36.053</w:t>
      </w:r>
    </w:p>
    <w:p>
      <w:pPr>
        <w:spacing w:after="0" w:line="240" w:lineRule="auto"/>
        <w:jc w:val="both"/>
        <w:sectPr>
          <w:pgSz w:w="12240" w:h="15840"/>
          <w:pgMar w:header="740" w:footer="1274" w:top="1280" w:bottom="1460" w:left="1400" w:right="1260"/>
        </w:sectPr>
      </w:pPr>
    </w:p>
    <w:p>
      <w:pPr>
        <w:pStyle w:val="BodyText"/>
        <w:spacing w:line="240" w:lineRule="auto" w:before="122"/>
        <w:ind w:right="183"/>
        <w:jc w:val="both"/>
      </w:pPr>
      <w:r>
        <w:rPr/>
        <w:t>хиљаде динара</w:t>
      </w:r>
      <w:r>
        <w:rPr>
          <w:rFonts w:ascii="Times New Roman" w:hAnsi="Times New Roman" w:cs="Times New Roman" w:eastAsia="Times New Roman" w:hint="default"/>
        </w:rPr>
        <w:t>, </w:t>
      </w:r>
      <w:r>
        <w:rPr/>
        <w:t>по основу субвенција за јавни превоз „Лекон“ доо Београд и „Ћурдић“ доо</w:t>
      </w:r>
      <w:r>
        <w:rPr>
          <w:spacing w:val="-3"/>
        </w:rPr>
        <w:t> </w:t>
      </w:r>
      <w:r>
        <w:rPr/>
        <w:t>Београд.</w:t>
      </w:r>
    </w:p>
    <w:p>
      <w:pPr>
        <w:pStyle w:val="Heading2"/>
        <w:spacing w:line="240" w:lineRule="auto"/>
        <w:ind w:right="175"/>
        <w:jc w:val="both"/>
        <w:rPr>
          <w:rFonts w:ascii="Times New Roman" w:hAnsi="Times New Roman" w:cs="Times New Roman" w:eastAsia="Times New Roman" w:hint="default"/>
          <w:b w:val="0"/>
          <w:bCs w:val="0"/>
          <w:i w:val="0"/>
        </w:rPr>
      </w:pPr>
      <w:r>
        <w:rPr>
          <w:i/>
        </w:rPr>
        <w:t>Препоручује се одговорним лицима да врше правилну консолидацију, правилно исказују обавезе, обезбеде правилну примену одредби Уредбе о буџетском рачуноводству и Правилника о стандардном класификационом оквиру и контном плану за буџетски систем и да обавезе преузимају до износа апропријације одобрене буџетом у тој години за ту</w:t>
      </w:r>
      <w:r>
        <w:rPr>
          <w:i/>
          <w:spacing w:val="-9"/>
        </w:rPr>
        <w:t> </w:t>
      </w:r>
      <w:r>
        <w:rPr>
          <w:i/>
        </w:rPr>
        <w:t>намену</w:t>
      </w:r>
      <w:r>
        <w:rPr>
          <w:rFonts w:ascii="Times New Roman" w:hAnsi="Times New Roman"/>
          <w:i/>
        </w:rPr>
        <w:t>.</w:t>
      </w:r>
      <w:r>
        <w:rPr>
          <w:rFonts w:ascii="Times New Roman" w:hAnsi="Times New Roman"/>
          <w:b w:val="0"/>
          <w:i w:val="0"/>
        </w:rPr>
      </w:r>
    </w:p>
    <w:p>
      <w:pPr>
        <w:pStyle w:val="ListParagraph"/>
        <w:numPr>
          <w:ilvl w:val="0"/>
          <w:numId w:val="88"/>
        </w:numPr>
        <w:tabs>
          <w:tab w:pos="588" w:val="left" w:leader="none"/>
        </w:tabs>
        <w:spacing w:line="240" w:lineRule="auto" w:before="132" w:after="0"/>
        <w:ind w:left="160" w:right="179" w:firstLine="0"/>
        <w:jc w:val="both"/>
        <w:rPr>
          <w:rFonts w:ascii="Times New Roman" w:hAnsi="Times New Roman" w:cs="Times New Roman" w:eastAsia="Times New Roman" w:hint="default"/>
          <w:sz w:val="24"/>
          <w:szCs w:val="24"/>
        </w:rPr>
      </w:pPr>
      <w:r>
        <w:rPr>
          <w:rFonts w:ascii="Times New Roman" w:hAnsi="Times New Roman"/>
          <w:spacing w:val="-60"/>
          <w:sz w:val="24"/>
          <w:u w:val="single" w:color="000000"/>
        </w:rPr>
        <w:t> </w:t>
      </w:r>
      <w:r>
        <w:rPr>
          <w:rFonts w:ascii="Times New Roman" w:hAnsi="Times New Roman"/>
          <w:sz w:val="24"/>
          <w:u w:val="single" w:color="000000"/>
        </w:rPr>
        <w:t>Управа за планирање и изградњу </w:t>
      </w:r>
      <w:r>
        <w:rPr>
          <w:rFonts w:ascii="Times New Roman" w:hAnsi="Times New Roman"/>
          <w:sz w:val="24"/>
        </w:rPr>
        <w:t>у укупном износу од 221.017 хиљада динара и то за </w:t>
      </w:r>
      <w:r>
        <w:rPr>
          <w:rFonts w:ascii="Times New Roman" w:hAnsi="Times New Roman"/>
          <w:sz w:val="24"/>
        </w:rPr>
        <w:t>исказане обавезе код: Управе за планирање и изградњу у укупном износу од 19.298 хиљада динара и ЈП ГСА у укупном износу од 201.719 хиљада</w:t>
      </w:r>
      <w:r>
        <w:rPr>
          <w:rFonts w:ascii="Times New Roman" w:hAnsi="Times New Roman"/>
          <w:spacing w:val="-14"/>
          <w:sz w:val="24"/>
        </w:rPr>
        <w:t> </w:t>
      </w:r>
      <w:r>
        <w:rPr>
          <w:rFonts w:ascii="Times New Roman" w:hAnsi="Times New Roman"/>
          <w:sz w:val="24"/>
        </w:rPr>
        <w:t>динара</w:t>
      </w:r>
      <w:r>
        <w:rPr>
          <w:rFonts w:ascii="Times New Roman" w:hAnsi="Times New Roman"/>
          <w:sz w:val="24"/>
        </w:rPr>
        <w:t>.</w:t>
      </w:r>
    </w:p>
    <w:p>
      <w:pPr>
        <w:pStyle w:val="Heading1"/>
        <w:spacing w:line="275" w:lineRule="exact"/>
        <w:ind w:left="786"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Више су исказане обавезе код Управе за планирање и изградњу у износу од </w:t>
      </w:r>
      <w:r>
        <w:rPr>
          <w:rFonts w:ascii="Times New Roman" w:hAnsi="Times New Roman" w:cs="Times New Roman" w:eastAsia="Times New Roman" w:hint="default"/>
          <w:sz w:val="24"/>
          <w:szCs w:val="24"/>
        </w:rPr>
        <w:t>5.216 </w:t>
      </w:r>
      <w:r>
        <w:rPr>
          <w:rFonts w:ascii="Times New Roman" w:hAnsi="Times New Roman" w:cs="Times New Roman" w:eastAsia="Times New Roman" w:hint="default"/>
          <w:sz w:val="24"/>
          <w:szCs w:val="24"/>
        </w:rPr>
        <w:t>хиљада динара на име укалкулисаних обавеза по поднетим захтевима индиректног корисника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које је индиректни корисник такође исказао у свом билансу стања те су дупло обухваћене консолидацијом</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Истовремено, више је исказан износ на конту 131200 – обрачунати неплаћени расходи и издаци у истом</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износу.</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Мање су исказане обавезе код ЈП ГСА у износу од најмање 1.370 хиљада динара и то за износ од 969 хиљада динара за обавезе према УН</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Хабитат за закуп стамбеног простора,  за износ од 347 хиљада динара за накнаду за рад у Надзорном одбору за период август</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децембар 2014. године, за износ од 54 хиљаде динара за накнаду за превоз запослених, јер нису евидентиране. Истовремено, за исти износ мање је исказана позиција 131200 – обрачунати неплаћени расходи и</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издаци</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Више су исказане обавезе код ЈП ГСА у износу од 9.324 хиљаде динара за обавезе </w:t>
      </w:r>
      <w:r>
        <w:rPr>
          <w:rFonts w:ascii="Times New Roman" w:hAnsi="Times New Roman" w:cs="Times New Roman" w:eastAsia="Times New Roman" w:hint="default"/>
          <w:spacing w:val="6"/>
          <w:sz w:val="24"/>
          <w:szCs w:val="24"/>
        </w:rPr>
        <w:t>по </w:t>
      </w:r>
      <w:r>
        <w:rPr>
          <w:rFonts w:ascii="Times New Roman" w:hAnsi="Times New Roman" w:cs="Times New Roman" w:eastAsia="Times New Roman" w:hint="default"/>
          <w:spacing w:val="6"/>
          <w:sz w:val="24"/>
          <w:szCs w:val="24"/>
        </w:rPr>
      </w:r>
      <w:r>
        <w:rPr>
          <w:rFonts w:ascii="Times New Roman" w:hAnsi="Times New Roman" w:cs="Times New Roman" w:eastAsia="Times New Roman" w:hint="default"/>
          <w:sz w:val="24"/>
          <w:szCs w:val="24"/>
        </w:rPr>
        <w:t>основу резервисања трошкова за поправке у гарантном року. Истовремено, више је </w:t>
      </w:r>
      <w:r>
        <w:rPr>
          <w:rFonts w:ascii="Times New Roman" w:hAnsi="Times New Roman" w:cs="Times New Roman" w:eastAsia="Times New Roman" w:hint="default"/>
          <w:sz w:val="24"/>
          <w:szCs w:val="24"/>
        </w:rPr>
        <w:t>исказан износ на конту 131200 – обрачунати неплаћени расходи и издаци у истом</w:t>
      </w:r>
      <w:r>
        <w:rPr>
          <w:rFonts w:ascii="Times New Roman" w:hAnsi="Times New Roman" w:cs="Times New Roman" w:eastAsia="Times New Roman" w:hint="default"/>
          <w:spacing w:val="-32"/>
          <w:sz w:val="24"/>
          <w:szCs w:val="24"/>
        </w:rPr>
        <w:t> </w:t>
      </w:r>
      <w:r>
        <w:rPr>
          <w:rFonts w:ascii="Times New Roman" w:hAnsi="Times New Roman" w:cs="Times New Roman" w:eastAsia="Times New Roman" w:hint="default"/>
          <w:sz w:val="24"/>
          <w:szCs w:val="24"/>
        </w:rPr>
        <w:t>износу.</w:t>
      </w:r>
    </w:p>
    <w:p>
      <w:pPr>
        <w:pStyle w:val="ListParagraph"/>
        <w:numPr>
          <w:ilvl w:val="0"/>
          <w:numId w:val="9"/>
        </w:numPr>
        <w:tabs>
          <w:tab w:pos="303"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ЈП ГСА више је исказала дугорочне обавезе за финансијска лизинге у износу од 16.335 хиљада динара, док је мање исказан износ на конту 254900 – остале обавезе у истом износу</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31"/>
          <w:sz w:val="24"/>
          <w:szCs w:val="24"/>
        </w:rPr>
        <w:t> </w:t>
      </w:r>
      <w:r>
        <w:rPr>
          <w:rFonts w:ascii="Times New Roman" w:hAnsi="Times New Roman" w:cs="Times New Roman" w:eastAsia="Times New Roman" w:hint="default"/>
          <w:sz w:val="24"/>
          <w:szCs w:val="24"/>
        </w:rPr>
        <w:t>систем.</w:t>
      </w:r>
    </w:p>
    <w:p>
      <w:pPr>
        <w:pStyle w:val="ListParagraph"/>
        <w:numPr>
          <w:ilvl w:val="0"/>
          <w:numId w:val="9"/>
        </w:numPr>
        <w:tabs>
          <w:tab w:pos="303" w:val="left" w:leader="none"/>
        </w:tabs>
        <w:spacing w:line="274" w:lineRule="exact" w:before="24" w:after="0"/>
        <w:ind w:left="160" w:right="18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ЈП ГСА више је исказала износ на конту 251000 – примљени аванси, депозити и кауције за износ од укупно 66.533 хиљаде динара и то</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за:</w:t>
      </w:r>
    </w:p>
    <w:p>
      <w:pPr>
        <w:pStyle w:val="BodyText"/>
        <w:spacing w:line="240" w:lineRule="auto"/>
        <w:ind w:right="173"/>
        <w:jc w:val="both"/>
      </w:pPr>
      <w:r>
        <w:rPr>
          <w:rFonts w:ascii="Times New Roman" w:hAnsi="Times New Roman" w:cs="Times New Roman" w:eastAsia="Times New Roman" w:hint="default"/>
        </w:rPr>
        <w:t>-</w:t>
      </w:r>
      <w:r>
        <w:rPr/>
        <w:t>износ од 46.000 хиљада динара из разлога што уплаћена средства представљају приход који је ЈП ГСА добила од Републичке агенције за становање Београд за реализацију Програма – изградње станова у граду Нишу на локацији Мајаковског Л5 у Нишу. Средства  су  делом  утрошена  за  реализацију  Програма,  тако  да  је  преостао  износ</w:t>
      </w:r>
      <w:r>
        <w:rPr>
          <w:spacing w:val="-7"/>
        </w:rPr>
        <w:t> </w:t>
      </w:r>
      <w:r>
        <w:rPr/>
        <w:t>од</w:t>
      </w:r>
    </w:p>
    <w:p>
      <w:pPr>
        <w:pStyle w:val="BodyText"/>
        <w:spacing w:line="240" w:lineRule="auto"/>
        <w:ind w:right="176"/>
        <w:jc w:val="both"/>
        <w:rPr>
          <w:rFonts w:ascii="Times New Roman" w:hAnsi="Times New Roman" w:cs="Times New Roman" w:eastAsia="Times New Roman" w:hint="default"/>
        </w:rPr>
      </w:pPr>
      <w:r>
        <w:rPr>
          <w:rFonts w:ascii="Times New Roman" w:hAnsi="Times New Roman"/>
        </w:rPr>
        <w:t>26.483 </w:t>
      </w:r>
      <w:r>
        <w:rPr/>
        <w:t>хиљаде динара и средства су евидентирана на групи 121000. Оваквим евидентирањем поступљено је супротно члану 9. Уредбе о буџетском рачуноводству и Правилнику о стандардном класификационом оквиру и контном плану за буџетски систем</w:t>
      </w:r>
      <w:r>
        <w:rPr>
          <w:rFonts w:ascii="Times New Roman" w:hAnsi="Times New Roman"/>
        </w:rPr>
        <w:t>,</w:t>
      </w:r>
    </w:p>
    <w:p>
      <w:pPr>
        <w:pStyle w:val="BodyText"/>
        <w:spacing w:line="240" w:lineRule="auto"/>
        <w:ind w:right="175"/>
        <w:jc w:val="both"/>
        <w:rPr>
          <w:rFonts w:ascii="Times New Roman" w:hAnsi="Times New Roman" w:cs="Times New Roman" w:eastAsia="Times New Roman" w:hint="default"/>
        </w:rPr>
      </w:pPr>
      <w:r>
        <w:rPr>
          <w:rFonts w:ascii="Times New Roman" w:hAnsi="Times New Roman"/>
        </w:rPr>
        <w:t>-</w:t>
      </w:r>
      <w:r>
        <w:rPr/>
        <w:t>износ од 20.533 хиљаде динара, по основу неправилно евидентираних обавеза према добављачима. Истовремено, мање су исказане обавезе према добављачима на синтетичком конту 252100 за исти износ, што је супротно члану 9. Уредбе о буџетском рачуноводству и Правилнику о стандардном класификационом оквиру и контном плану за буџетски</w:t>
      </w:r>
      <w:r>
        <w:rPr>
          <w:spacing w:val="-7"/>
        </w:rPr>
        <w:t> </w:t>
      </w:r>
      <w:r>
        <w:rPr/>
        <w:t>систем</w:t>
      </w:r>
      <w:r>
        <w:rPr>
          <w:rFonts w:ascii="Times New Roman" w:hAnsi="Times New Roman"/>
        </w:rPr>
        <w:t>.</w:t>
      </w:r>
    </w:p>
    <w:p>
      <w:pPr>
        <w:spacing w:after="0" w:line="240" w:lineRule="auto"/>
        <w:jc w:val="both"/>
        <w:rPr>
          <w:rFonts w:ascii="Times New Roman" w:hAnsi="Times New Roman" w:cs="Times New Roman" w:eastAsia="Times New Roman" w:hint="default"/>
        </w:rPr>
        <w:sectPr>
          <w:pgSz w:w="12240" w:h="15840"/>
          <w:pgMar w:header="740" w:footer="1274" w:top="1280" w:bottom="1460" w:left="1400" w:right="1260"/>
        </w:sectPr>
      </w:pPr>
    </w:p>
    <w:p>
      <w:pPr>
        <w:pStyle w:val="ListParagraph"/>
        <w:numPr>
          <w:ilvl w:val="0"/>
          <w:numId w:val="9"/>
        </w:numPr>
        <w:tabs>
          <w:tab w:pos="303" w:val="left" w:leader="none"/>
        </w:tabs>
        <w:spacing w:line="240" w:lineRule="auto" w:before="124"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ЈП ГСА неправилно је исказала износ на конту 254100 – обавезе из односа буџета и буџетских корисника у износу од 82.384 хиљаде динара, који представља разлику између евидентираних наплаћених потраживања по основу ануитета у износу од 121.700 хиљада динара (средства пренета на уплатни рачун јавних прихода) и номиналне вредности продатих акција у износу од 39.316 хиљада динара, услед неправилног евидентирања наплаћених потраживања од ануитета и продаје</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акција.</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Код ЈП ГСА мање је исказана обавеза на конту 254100 </w:t>
      </w:r>
      <w:r>
        <w:rPr>
          <w:rFonts w:ascii="Times New Roman" w:hAnsi="Times New Roman"/>
          <w:sz w:val="24"/>
        </w:rPr>
        <w:t>- </w:t>
      </w:r>
      <w:r>
        <w:rPr>
          <w:rFonts w:ascii="Times New Roman" w:hAnsi="Times New Roman"/>
          <w:sz w:val="24"/>
        </w:rPr>
        <w:t>обавезе из односа буџета и буџетских корисника у износу од најмање 216.899 хиљада динара на име потраживања за доспеле ануитете до краја 2014. године која нису наплаћена</w:t>
      </w:r>
      <w:r>
        <w:rPr>
          <w:rFonts w:ascii="Times New Roman" w:hAnsi="Times New Roman"/>
          <w:sz w:val="24"/>
        </w:rPr>
        <w:t>, </w:t>
      </w:r>
      <w:r>
        <w:rPr>
          <w:rFonts w:ascii="Times New Roman" w:hAnsi="Times New Roman"/>
          <w:sz w:val="24"/>
        </w:rPr>
        <w:t>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spacing w:val="-21"/>
          <w:sz w:val="24"/>
        </w:rPr>
        <w:t> </w:t>
      </w:r>
      <w:r>
        <w:rPr>
          <w:rFonts w:ascii="Times New Roman" w:hAnsi="Times New Roman"/>
          <w:sz w:val="24"/>
        </w:rPr>
        <w:t>систем.</w:t>
      </w:r>
    </w:p>
    <w:p>
      <w:pPr>
        <w:pStyle w:val="ListParagraph"/>
        <w:numPr>
          <w:ilvl w:val="0"/>
          <w:numId w:val="9"/>
        </w:numPr>
        <w:tabs>
          <w:tab w:pos="303" w:val="left" w:leader="none"/>
        </w:tabs>
        <w:spacing w:line="274" w:lineRule="exact" w:before="24"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Код ЈП ГСА више је исказан износ на конту 291200 </w:t>
      </w:r>
      <w:r>
        <w:rPr>
          <w:rFonts w:ascii="Times New Roman" w:hAnsi="Times New Roman"/>
          <w:sz w:val="24"/>
        </w:rPr>
        <w:t>- </w:t>
      </w:r>
      <w:r>
        <w:rPr>
          <w:rFonts w:ascii="Times New Roman" w:hAnsi="Times New Roman"/>
          <w:sz w:val="24"/>
        </w:rPr>
        <w:t>разграничени плаћени расходи и издаци за износ од 1.345 хиљада</w:t>
      </w:r>
      <w:r>
        <w:rPr>
          <w:rFonts w:ascii="Times New Roman" w:hAnsi="Times New Roman"/>
          <w:spacing w:val="-13"/>
          <w:sz w:val="24"/>
        </w:rPr>
        <w:t> </w:t>
      </w:r>
      <w:r>
        <w:rPr>
          <w:rFonts w:ascii="Times New Roman" w:hAnsi="Times New Roman"/>
          <w:sz w:val="24"/>
        </w:rPr>
        <w:t>динара.</w:t>
      </w:r>
    </w:p>
    <w:p>
      <w:pPr>
        <w:pStyle w:val="ListParagraph"/>
        <w:numPr>
          <w:ilvl w:val="0"/>
          <w:numId w:val="9"/>
        </w:numPr>
        <w:tabs>
          <w:tab w:pos="303" w:val="left" w:leader="none"/>
        </w:tabs>
        <w:spacing w:line="274" w:lineRule="exact" w:before="21"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Управа за планирање и изградњу је преузела обавезе преко одобрених апропријација у укупном износу од 82 хиљаде динара и</w:t>
      </w:r>
      <w:r>
        <w:rPr>
          <w:rFonts w:ascii="Times New Roman" w:hAnsi="Times New Roman"/>
          <w:spacing w:val="-11"/>
          <w:sz w:val="24"/>
        </w:rPr>
        <w:t> </w:t>
      </w:r>
      <w:r>
        <w:rPr>
          <w:rFonts w:ascii="Times New Roman" w:hAnsi="Times New Roman"/>
          <w:sz w:val="24"/>
        </w:rPr>
        <w:t>то:</w:t>
      </w:r>
    </w:p>
    <w:p>
      <w:pPr>
        <w:spacing w:before="0" w:after="7"/>
        <w:ind w:left="5295" w:right="141" w:firstLine="0"/>
        <w:jc w:val="left"/>
        <w:rPr>
          <w:rFonts w:ascii="Times New Roman" w:hAnsi="Times New Roman" w:cs="Times New Roman" w:eastAsia="Times New Roman" w:hint="default"/>
          <w:sz w:val="18"/>
          <w:szCs w:val="18"/>
        </w:rPr>
      </w:pPr>
      <w:r>
        <w:rPr>
          <w:rFonts w:ascii="Times New Roman" w:hAnsi="Times New Roman"/>
          <w:sz w:val="18"/>
        </w:rPr>
        <w:t>(</w:t>
      </w:r>
      <w:r>
        <w:rPr>
          <w:rFonts w:ascii="Times New Roman" w:hAnsi="Times New Roman"/>
          <w:sz w:val="18"/>
        </w:rPr>
        <w:t>у хиљадама</w:t>
      </w:r>
      <w:r>
        <w:rPr>
          <w:rFonts w:ascii="Times New Roman" w:hAnsi="Times New Roman"/>
          <w:spacing w:val="-9"/>
          <w:sz w:val="18"/>
        </w:rPr>
        <w:t> </w:t>
      </w:r>
      <w:r>
        <w:rPr>
          <w:rFonts w:ascii="Times New Roman" w:hAnsi="Times New Roman"/>
          <w:sz w:val="18"/>
        </w:rPr>
        <w:t>динара</w:t>
      </w:r>
      <w:r>
        <w:rPr>
          <w:rFonts w:ascii="Times New Roman" w:hAnsi="Times New Roman"/>
          <w:sz w:val="18"/>
        </w:rPr>
        <w:t>)</w:t>
      </w:r>
    </w:p>
    <w:tbl>
      <w:tblPr>
        <w:tblW w:w="0" w:type="auto"/>
        <w:jc w:val="left"/>
        <w:tblInd w:w="830" w:type="dxa"/>
        <w:tblLayout w:type="fixed"/>
        <w:tblCellMar>
          <w:top w:w="0" w:type="dxa"/>
          <w:left w:w="0" w:type="dxa"/>
          <w:bottom w:w="0" w:type="dxa"/>
          <w:right w:w="0" w:type="dxa"/>
        </w:tblCellMar>
        <w:tblLook w:val="01E0"/>
      </w:tblPr>
      <w:tblGrid>
        <w:gridCol w:w="3839"/>
        <w:gridCol w:w="2434"/>
      </w:tblGrid>
      <w:tr>
        <w:trPr>
          <w:trHeight w:val="216" w:hRule="exact"/>
        </w:trPr>
        <w:tc>
          <w:tcPr>
            <w:tcW w:w="383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94" w:right="0"/>
              <w:jc w:val="left"/>
              <w:rPr>
                <w:rFonts w:ascii="Times New Roman" w:hAnsi="Times New Roman" w:cs="Times New Roman" w:eastAsia="Times New Roman" w:hint="default"/>
                <w:sz w:val="18"/>
                <w:szCs w:val="18"/>
              </w:rPr>
            </w:pPr>
            <w:r>
              <w:rPr>
                <w:rFonts w:ascii="Times New Roman" w:hAnsi="Times New Roman"/>
                <w:sz w:val="18"/>
              </w:rPr>
              <w:t>Управа за</w:t>
            </w:r>
            <w:r>
              <w:rPr>
                <w:rFonts w:ascii="Times New Roman" w:hAnsi="Times New Roman"/>
                <w:spacing w:val="-7"/>
                <w:sz w:val="18"/>
              </w:rPr>
              <w:t> </w:t>
            </w:r>
            <w:r>
              <w:rPr>
                <w:rFonts w:ascii="Times New Roman" w:hAnsi="Times New Roman"/>
                <w:sz w:val="18"/>
              </w:rPr>
              <w:t>планирање</w:t>
            </w:r>
          </w:p>
        </w:tc>
        <w:tc>
          <w:tcPr>
            <w:tcW w:w="243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585" w:right="0"/>
              <w:jc w:val="left"/>
              <w:rPr>
                <w:rFonts w:ascii="Times New Roman" w:hAnsi="Times New Roman" w:cs="Times New Roman" w:eastAsia="Times New Roman" w:hint="default"/>
                <w:sz w:val="18"/>
                <w:szCs w:val="18"/>
              </w:rPr>
            </w:pPr>
            <w:r>
              <w:rPr>
                <w:rFonts w:ascii="Times New Roman" w:hAnsi="Times New Roman"/>
                <w:sz w:val="18"/>
              </w:rPr>
              <w:t>Група конта</w:t>
            </w:r>
            <w:r>
              <w:rPr>
                <w:rFonts w:ascii="Times New Roman" w:hAnsi="Times New Roman"/>
                <w:spacing w:val="-1"/>
                <w:sz w:val="18"/>
              </w:rPr>
              <w:t> </w:t>
            </w:r>
            <w:r>
              <w:rPr>
                <w:rFonts w:ascii="Times New Roman" w:hAnsi="Times New Roman"/>
                <w:sz w:val="18"/>
              </w:rPr>
              <w:t>424</w:t>
            </w:r>
          </w:p>
        </w:tc>
      </w:tr>
      <w:tr>
        <w:trPr>
          <w:trHeight w:val="216" w:hRule="exact"/>
        </w:trPr>
        <w:tc>
          <w:tcPr>
            <w:tcW w:w="383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План</w:t>
            </w:r>
          </w:p>
        </w:tc>
        <w:tc>
          <w:tcPr>
            <w:tcW w:w="243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0</w:t>
            </w:r>
          </w:p>
        </w:tc>
      </w:tr>
      <w:tr>
        <w:trPr>
          <w:trHeight w:val="218" w:hRule="exact"/>
        </w:trPr>
        <w:tc>
          <w:tcPr>
            <w:tcW w:w="3839"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Извршење</w:t>
            </w:r>
          </w:p>
        </w:tc>
        <w:tc>
          <w:tcPr>
            <w:tcW w:w="243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sz w:val="18"/>
              </w:rPr>
              <w:t>0</w:t>
            </w:r>
          </w:p>
        </w:tc>
      </w:tr>
      <w:tr>
        <w:trPr>
          <w:trHeight w:val="216" w:hRule="exact"/>
        </w:trPr>
        <w:tc>
          <w:tcPr>
            <w:tcW w:w="383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Разлика</w:t>
            </w:r>
            <w:r>
              <w:rPr>
                <w:rFonts w:ascii="Times New Roman" w:hAnsi="Times New Roman"/>
                <w:spacing w:val="-4"/>
                <w:sz w:val="18"/>
              </w:rPr>
              <w:t> </w:t>
            </w:r>
            <w:r>
              <w:rPr>
                <w:rFonts w:ascii="Times New Roman" w:hAnsi="Times New Roman"/>
                <w:sz w:val="18"/>
              </w:rPr>
              <w:t>1</w:t>
            </w:r>
          </w:p>
        </w:tc>
        <w:tc>
          <w:tcPr>
            <w:tcW w:w="243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sz w:val="18"/>
              </w:rPr>
              <w:t>0</w:t>
            </w:r>
          </w:p>
        </w:tc>
      </w:tr>
      <w:tr>
        <w:trPr>
          <w:trHeight w:val="218" w:hRule="exact"/>
        </w:trPr>
        <w:tc>
          <w:tcPr>
            <w:tcW w:w="383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Преузете обавезе по</w:t>
            </w:r>
            <w:r>
              <w:rPr>
                <w:rFonts w:ascii="Times New Roman" w:hAnsi="Times New Roman"/>
                <w:spacing w:val="-11"/>
                <w:sz w:val="18"/>
              </w:rPr>
              <w:t> </w:t>
            </w:r>
            <w:r>
              <w:rPr>
                <w:rFonts w:ascii="Times New Roman" w:hAnsi="Times New Roman"/>
                <w:sz w:val="18"/>
              </w:rPr>
              <w:t>рачунима</w:t>
            </w:r>
          </w:p>
        </w:tc>
        <w:tc>
          <w:tcPr>
            <w:tcW w:w="243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6"/>
              <w:jc w:val="right"/>
              <w:rPr>
                <w:rFonts w:ascii="Times New Roman" w:hAnsi="Times New Roman" w:cs="Times New Roman" w:eastAsia="Times New Roman" w:hint="default"/>
                <w:sz w:val="18"/>
                <w:szCs w:val="18"/>
              </w:rPr>
            </w:pPr>
            <w:r>
              <w:rPr>
                <w:rFonts w:ascii="Times New Roman"/>
                <w:sz w:val="18"/>
              </w:rPr>
              <w:t>82</w:t>
            </w:r>
          </w:p>
        </w:tc>
      </w:tr>
      <w:tr>
        <w:trPr>
          <w:trHeight w:val="216" w:hRule="exact"/>
        </w:trPr>
        <w:tc>
          <w:tcPr>
            <w:tcW w:w="383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Преузете обавезе по</w:t>
            </w:r>
            <w:r>
              <w:rPr>
                <w:rFonts w:ascii="Times New Roman" w:hAnsi="Times New Roman"/>
                <w:spacing w:val="-10"/>
                <w:sz w:val="18"/>
              </w:rPr>
              <w:t> </w:t>
            </w:r>
            <w:r>
              <w:rPr>
                <w:rFonts w:ascii="Times New Roman" w:hAnsi="Times New Roman"/>
                <w:sz w:val="18"/>
              </w:rPr>
              <w:t>уговорима</w:t>
            </w:r>
          </w:p>
        </w:tc>
        <w:tc>
          <w:tcPr>
            <w:tcW w:w="243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r>
      <w:tr>
        <w:trPr>
          <w:trHeight w:val="218" w:hRule="exact"/>
        </w:trPr>
        <w:tc>
          <w:tcPr>
            <w:tcW w:w="38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823" w:right="0"/>
              <w:jc w:val="left"/>
              <w:rPr>
                <w:rFonts w:ascii="Times New Roman" w:hAnsi="Times New Roman" w:cs="Times New Roman" w:eastAsia="Times New Roman" w:hint="default"/>
                <w:sz w:val="18"/>
                <w:szCs w:val="18"/>
              </w:rPr>
            </w:pPr>
            <w:r>
              <w:rPr>
                <w:rFonts w:ascii="Times New Roman" w:hAnsi="Times New Roman"/>
                <w:b/>
                <w:sz w:val="18"/>
              </w:rPr>
              <w:t>Разлика</w:t>
            </w:r>
            <w:r>
              <w:rPr>
                <w:rFonts w:ascii="Times New Roman" w:hAnsi="Times New Roman"/>
                <w:b/>
                <w:spacing w:val="-4"/>
                <w:sz w:val="18"/>
              </w:rPr>
              <w:t> </w:t>
            </w:r>
            <w:r>
              <w:rPr>
                <w:rFonts w:ascii="Times New Roman" w:hAnsi="Times New Roman"/>
                <w:b/>
                <w:sz w:val="18"/>
              </w:rPr>
              <w:t>2</w:t>
            </w:r>
            <w:r>
              <w:rPr>
                <w:rFonts w:ascii="Times New Roman" w:hAnsi="Times New Roman"/>
                <w:sz w:val="18"/>
              </w:rPr>
            </w:r>
          </w:p>
        </w:tc>
        <w:tc>
          <w:tcPr>
            <w:tcW w:w="24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96"/>
              <w:jc w:val="right"/>
              <w:rPr>
                <w:rFonts w:ascii="Times New Roman" w:hAnsi="Times New Roman" w:cs="Times New Roman" w:eastAsia="Times New Roman" w:hint="default"/>
                <w:sz w:val="18"/>
                <w:szCs w:val="18"/>
              </w:rPr>
            </w:pPr>
            <w:r>
              <w:rPr>
                <w:rFonts w:ascii="Times New Roman"/>
                <w:b/>
                <w:sz w:val="18"/>
              </w:rPr>
              <w:t>-82</w:t>
            </w:r>
            <w:r>
              <w:rPr>
                <w:rFonts w:ascii="Times New Roman"/>
                <w:sz w:val="18"/>
              </w:rPr>
            </w:r>
          </w:p>
        </w:tc>
      </w:tr>
    </w:tbl>
    <w:p>
      <w:pPr>
        <w:pStyle w:val="BodyText"/>
        <w:spacing w:line="240" w:lineRule="auto"/>
        <w:ind w:right="178" w:firstLine="566"/>
        <w:jc w:val="both"/>
      </w:pPr>
      <w:r>
        <w:rPr/>
        <w:t>На економској класификацији </w:t>
      </w:r>
      <w:r>
        <w:rPr>
          <w:rFonts w:ascii="Times New Roman" w:hAnsi="Times New Roman" w:cs="Times New Roman" w:eastAsia="Times New Roman" w:hint="default"/>
        </w:rPr>
        <w:t>424000 </w:t>
      </w:r>
      <w:r>
        <w:rPr/>
        <w:t>– специјализоване услуге преузете су обавезе више од одобрене апропријације у износу од 82 хиљаде динара, по основу неплаћеног рачуна за услугу стручног</w:t>
      </w:r>
      <w:r>
        <w:rPr>
          <w:spacing w:val="-11"/>
        </w:rPr>
        <w:t> </w:t>
      </w:r>
      <w:r>
        <w:rPr/>
        <w:t>надзора.</w:t>
      </w:r>
    </w:p>
    <w:p>
      <w:pPr>
        <w:pStyle w:val="Heading2"/>
        <w:spacing w:line="240" w:lineRule="auto"/>
        <w:ind w:right="175"/>
        <w:jc w:val="both"/>
        <w:rPr>
          <w:rFonts w:ascii="Times New Roman" w:hAnsi="Times New Roman" w:cs="Times New Roman" w:eastAsia="Times New Roman" w:hint="default"/>
          <w:b w:val="0"/>
          <w:bCs w:val="0"/>
          <w:i w:val="0"/>
        </w:rPr>
      </w:pPr>
      <w:r>
        <w:rPr>
          <w:i/>
        </w:rPr>
        <w:t>Препоручује се одговорним лицима да врше правилну консолидацију, правилно исказују обавезе, обезбеде правилну примену одредби Уредбе о буџетском рачуноводству и Правилника о стандардном класификационом оквиру и контном плану за буџетски систем и да обавезе преузимају до износа апропријације одобрене буџетом у тој години за ту</w:t>
      </w:r>
      <w:r>
        <w:rPr>
          <w:i/>
          <w:spacing w:val="-9"/>
        </w:rPr>
        <w:t> </w:t>
      </w:r>
      <w:r>
        <w:rPr>
          <w:i/>
        </w:rPr>
        <w:t>намену</w:t>
      </w:r>
      <w:r>
        <w:rPr>
          <w:rFonts w:ascii="Times New Roman" w:hAnsi="Times New Roman"/>
          <w:i/>
        </w:rPr>
        <w:t>.</w:t>
      </w:r>
      <w:r>
        <w:rPr>
          <w:rFonts w:ascii="Times New Roman" w:hAnsi="Times New Roman"/>
          <w:b w:val="0"/>
          <w:i w:val="0"/>
        </w:rPr>
      </w:r>
    </w:p>
    <w:p>
      <w:pPr>
        <w:pStyle w:val="ListParagraph"/>
        <w:numPr>
          <w:ilvl w:val="0"/>
          <w:numId w:val="88"/>
        </w:numPr>
        <w:tabs>
          <w:tab w:pos="588" w:val="left" w:leader="none"/>
        </w:tabs>
        <w:spacing w:line="240" w:lineRule="auto" w:before="86" w:after="0"/>
        <w:ind w:left="160" w:right="177" w:firstLine="0"/>
        <w:jc w:val="both"/>
        <w:rPr>
          <w:rFonts w:ascii="Times New Roman" w:hAnsi="Times New Roman" w:cs="Times New Roman" w:eastAsia="Times New Roman" w:hint="default"/>
          <w:sz w:val="24"/>
          <w:szCs w:val="24"/>
        </w:rPr>
      </w:pPr>
      <w:r>
        <w:rPr>
          <w:rFonts w:ascii="Times New Roman" w:hAnsi="Times New Roman"/>
          <w:spacing w:val="-60"/>
          <w:sz w:val="24"/>
          <w:u w:val="single" w:color="000000"/>
        </w:rPr>
        <w:t> </w:t>
      </w:r>
      <w:r>
        <w:rPr>
          <w:rFonts w:ascii="Times New Roman" w:hAnsi="Times New Roman"/>
          <w:sz w:val="24"/>
          <w:u w:val="single" w:color="000000"/>
        </w:rPr>
        <w:t>Управа за имовину и инспекцијске послове </w:t>
      </w:r>
      <w:r>
        <w:rPr>
          <w:rFonts w:ascii="Times New Roman" w:hAnsi="Times New Roman"/>
          <w:sz w:val="24"/>
        </w:rPr>
        <w:t>у укупном износу од 91.717 хиљада </w:t>
      </w:r>
      <w:r>
        <w:rPr>
          <w:rFonts w:ascii="Times New Roman" w:hAnsi="Times New Roman"/>
          <w:sz w:val="24"/>
        </w:rPr>
        <w:t>динара и то за исказане обавезе код</w:t>
      </w:r>
      <w:r>
        <w:rPr>
          <w:rFonts w:ascii="Times New Roman" w:hAnsi="Times New Roman"/>
          <w:spacing w:val="-12"/>
          <w:sz w:val="24"/>
        </w:rPr>
        <w:t> </w:t>
      </w:r>
      <w:r>
        <w:rPr>
          <w:rFonts w:ascii="Times New Roman" w:hAnsi="Times New Roman"/>
          <w:sz w:val="24"/>
        </w:rPr>
        <w:t>Управе.</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Мање су исказане обавезе код Управе за имовину и инспекцијске послове у износу од најмање 364.622 хиљаде динара јер исте нису евидентиране и то за накнаду за експропријацију и изузимање земљишта, обавезе за сталне трошкове, накнаду за реализацију уговора о преносу права трајног коришћења станова и пословног простора, накнаду штете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Истовремено, мање је исказан износ на конту 131200 – обрачунати неплаћени расходи и издаци у истом</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износу.</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Обрачунати неплаћени приходи и примања мање су исказани за вредност неевидентираних потраживања за закупнину по основу давања у закуп пословног простора којим располаже и управља град Ниш у износу од 248.489 хиљада динара, као и за вредност неевидентираних потраживања по основу закупа станова који су у власништву града Ниша и вредност неевидентираних потраживања по основу рефундације комуналних трошкова а које у поступку ревизије нисмо могли да </w:t>
      </w:r>
      <w:r>
        <w:rPr>
          <w:rFonts w:ascii="Times New Roman" w:hAnsi="Times New Roman"/>
          <w:spacing w:val="11"/>
          <w:sz w:val="24"/>
        </w:rPr>
        <w:t> </w:t>
      </w:r>
      <w:r>
        <w:rPr>
          <w:rFonts w:ascii="Times New Roman" w:hAnsi="Times New Roman"/>
          <w:sz w:val="24"/>
        </w:rPr>
        <w:t>утврдимо</w:t>
      </w:r>
      <w:r>
        <w:rPr>
          <w:rFonts w:ascii="Times New Roman" w:hAnsi="Times New Roman"/>
          <w:sz w:val="24"/>
        </w:rPr>
        <w:t>,</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81"/>
        <w:jc w:val="both"/>
      </w:pPr>
      <w:r>
        <w:rPr/>
        <w:t>што је објашњено код конта </w:t>
      </w:r>
      <w:r>
        <w:rPr>
          <w:rFonts w:ascii="Times New Roman" w:hAnsi="Times New Roman" w:cs="Times New Roman" w:eastAsia="Times New Roman" w:hint="default"/>
        </w:rPr>
        <w:t>121200</w:t>
      </w:r>
      <w:r>
        <w:rPr/>
        <w:t>–потраживања по основу продаје и друга потраживања.</w:t>
      </w:r>
    </w:p>
    <w:p>
      <w:pPr>
        <w:pStyle w:val="ListParagraph"/>
        <w:numPr>
          <w:ilvl w:val="0"/>
          <w:numId w:val="9"/>
        </w:numPr>
        <w:tabs>
          <w:tab w:pos="303" w:val="left" w:leader="none"/>
          <w:tab w:pos="7621" w:val="left" w:leader="none"/>
        </w:tabs>
        <w:spacing w:line="237" w:lineRule="auto" w:before="4" w:after="9"/>
        <w:ind w:left="160" w:right="180" w:firstLine="0"/>
        <w:jc w:val="both"/>
        <w:rPr>
          <w:rFonts w:ascii="Times New Roman" w:hAnsi="Times New Roman" w:cs="Times New Roman" w:eastAsia="Times New Roman" w:hint="default"/>
          <w:sz w:val="24"/>
          <w:szCs w:val="24"/>
        </w:rPr>
      </w:pPr>
      <w:r>
        <w:rPr>
          <w:rFonts w:ascii="Times New Roman" w:hAnsi="Times New Roman"/>
          <w:sz w:val="24"/>
        </w:rPr>
        <w:t>Управа за имовину и инспекцијске послове је преузела обавезе преко одобрених апропријација у укупном износу од 326.521 хиљаде динара</w:t>
      </w:r>
      <w:r>
        <w:rPr>
          <w:rFonts w:ascii="Times New Roman" w:hAnsi="Times New Roman"/>
          <w:sz w:val="24"/>
        </w:rPr>
        <w:t>, </w:t>
      </w:r>
      <w:r>
        <w:rPr>
          <w:rFonts w:ascii="Times New Roman" w:hAnsi="Times New Roman"/>
          <w:sz w:val="24"/>
        </w:rPr>
        <w:t>што је супротно члану 54. Закона о буџетском систему </w:t>
      </w:r>
      <w:r>
        <w:rPr>
          <w:rFonts w:ascii="Times New Roman" w:hAnsi="Times New Roman"/>
          <w:spacing w:val="40"/>
          <w:sz w:val="24"/>
        </w:rPr>
        <w:t> </w:t>
      </w:r>
      <w:r>
        <w:rPr>
          <w:rFonts w:ascii="Times New Roman" w:hAnsi="Times New Roman"/>
          <w:sz w:val="24"/>
        </w:rPr>
        <w:t>и</w:t>
      </w:r>
      <w:r>
        <w:rPr>
          <w:rFonts w:ascii="Times New Roman" w:hAnsi="Times New Roman"/>
          <w:spacing w:val="26"/>
          <w:sz w:val="24"/>
        </w:rPr>
        <w:t> </w:t>
      </w:r>
      <w:r>
        <w:rPr>
          <w:rFonts w:ascii="Times New Roman" w:hAnsi="Times New Roman"/>
          <w:sz w:val="24"/>
        </w:rPr>
        <w:t>то:</w:t>
        <w:tab/>
      </w:r>
      <w:r>
        <w:rPr>
          <w:rFonts w:ascii="Times New Roman" w:hAnsi="Times New Roman"/>
          <w:sz w:val="18"/>
        </w:rPr>
        <w:t>( </w:t>
      </w:r>
      <w:r>
        <w:rPr>
          <w:rFonts w:ascii="Times New Roman" w:hAnsi="Times New Roman"/>
          <w:sz w:val="18"/>
        </w:rPr>
        <w:t>у хиљадама</w:t>
      </w:r>
      <w:r>
        <w:rPr>
          <w:rFonts w:ascii="Times New Roman" w:hAnsi="Times New Roman"/>
          <w:spacing w:val="-8"/>
          <w:sz w:val="18"/>
        </w:rPr>
        <w:t> </w:t>
      </w:r>
      <w:r>
        <w:rPr>
          <w:rFonts w:ascii="Times New Roman" w:hAnsi="Times New Roman"/>
          <w:sz w:val="18"/>
        </w:rPr>
        <w:t>динара</w:t>
      </w:r>
      <w:r>
        <w:rPr>
          <w:rFonts w:ascii="Times New Roman" w:hAnsi="Times New Roman"/>
          <w:sz w:val="18"/>
        </w:rPr>
        <w:t>)</w:t>
      </w:r>
    </w:p>
    <w:tbl>
      <w:tblPr>
        <w:tblW w:w="0" w:type="auto"/>
        <w:jc w:val="left"/>
        <w:tblInd w:w="297" w:type="dxa"/>
        <w:tblLayout w:type="fixed"/>
        <w:tblCellMar>
          <w:top w:w="0" w:type="dxa"/>
          <w:left w:w="0" w:type="dxa"/>
          <w:bottom w:w="0" w:type="dxa"/>
          <w:right w:w="0" w:type="dxa"/>
        </w:tblCellMar>
        <w:tblLook w:val="01E0"/>
      </w:tblPr>
      <w:tblGrid>
        <w:gridCol w:w="3404"/>
        <w:gridCol w:w="2127"/>
        <w:gridCol w:w="1700"/>
        <w:gridCol w:w="1844"/>
      </w:tblGrid>
      <w:tr>
        <w:trPr>
          <w:trHeight w:val="425" w:hRule="exact"/>
        </w:trPr>
        <w:tc>
          <w:tcPr>
            <w:tcW w:w="3404" w:type="dxa"/>
            <w:vMerge w:val="restart"/>
            <w:tcBorders>
              <w:top w:val="single" w:sz="4" w:space="0" w:color="000000"/>
              <w:left w:val="single" w:sz="4" w:space="0" w:color="000000"/>
              <w:right w:val="single" w:sz="4" w:space="0" w:color="000000"/>
            </w:tcBorders>
          </w:tcPr>
          <w:p>
            <w:pPr>
              <w:pStyle w:val="TableParagraph"/>
              <w:spacing w:line="240" w:lineRule="auto"/>
              <w:ind w:left="1389" w:right="346" w:hanging="1032"/>
              <w:jc w:val="left"/>
              <w:rPr>
                <w:rFonts w:ascii="Times New Roman" w:hAnsi="Times New Roman" w:cs="Times New Roman" w:eastAsia="Times New Roman" w:hint="default"/>
                <w:sz w:val="18"/>
                <w:szCs w:val="18"/>
              </w:rPr>
            </w:pPr>
            <w:r>
              <w:rPr>
                <w:rFonts w:ascii="Times New Roman" w:hAnsi="Times New Roman"/>
                <w:sz w:val="18"/>
              </w:rPr>
              <w:t>Управа за имовину и инспекцијске послове</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581" w:right="79" w:firstLine="156"/>
              <w:jc w:val="left"/>
              <w:rPr>
                <w:rFonts w:ascii="Times New Roman" w:hAnsi="Times New Roman" w:cs="Times New Roman" w:eastAsia="Times New Roman" w:hint="default"/>
                <w:sz w:val="18"/>
                <w:szCs w:val="18"/>
              </w:rPr>
            </w:pPr>
            <w:r>
              <w:rPr>
                <w:rFonts w:ascii="Times New Roman" w:hAnsi="Times New Roman"/>
                <w:sz w:val="18"/>
              </w:rPr>
              <w:t>Функционална класификација</w:t>
            </w:r>
            <w:r>
              <w:rPr>
                <w:rFonts w:ascii="Times New Roman" w:hAnsi="Times New Roman"/>
                <w:spacing w:val="-5"/>
                <w:sz w:val="18"/>
              </w:rPr>
              <w:t> </w:t>
            </w:r>
            <w:r>
              <w:rPr>
                <w:rFonts w:ascii="Times New Roman" w:hAnsi="Times New Roman"/>
                <w:sz w:val="18"/>
              </w:rPr>
              <w:t>130</w:t>
            </w:r>
          </w:p>
        </w:tc>
        <w:tc>
          <w:tcPr>
            <w:tcW w:w="170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
              <w:jc w:val="center"/>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8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89" w:right="189" w:firstLine="158"/>
              <w:jc w:val="left"/>
              <w:rPr>
                <w:rFonts w:ascii="Times New Roman" w:hAnsi="Times New Roman" w:cs="Times New Roman" w:eastAsia="Times New Roman" w:hint="default"/>
                <w:sz w:val="18"/>
                <w:szCs w:val="18"/>
              </w:rPr>
            </w:pPr>
            <w:r>
              <w:rPr>
                <w:rFonts w:ascii="Times New Roman" w:hAnsi="Times New Roman"/>
                <w:sz w:val="18"/>
              </w:rPr>
              <w:t>Функционална класификација</w:t>
            </w:r>
            <w:r>
              <w:rPr>
                <w:rFonts w:ascii="Times New Roman" w:hAnsi="Times New Roman"/>
                <w:spacing w:val="-6"/>
                <w:sz w:val="18"/>
              </w:rPr>
              <w:t> </w:t>
            </w:r>
            <w:r>
              <w:rPr>
                <w:rFonts w:ascii="Times New Roman" w:hAnsi="Times New Roman"/>
                <w:sz w:val="18"/>
              </w:rPr>
              <w:t>620</w:t>
            </w:r>
          </w:p>
        </w:tc>
      </w:tr>
      <w:tr>
        <w:trPr>
          <w:trHeight w:val="216" w:hRule="exact"/>
        </w:trPr>
        <w:tc>
          <w:tcPr>
            <w:tcW w:w="3404" w:type="dxa"/>
            <w:vMerge/>
            <w:tcBorders>
              <w:left w:val="single" w:sz="4" w:space="0" w:color="000000"/>
              <w:bottom w:val="single" w:sz="4" w:space="0" w:color="000000"/>
              <w:right w:val="single" w:sz="4" w:space="0" w:color="000000"/>
            </w:tcBorders>
          </w:tcPr>
          <w:p>
            <w:pP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432" w:right="79"/>
              <w:jc w:val="left"/>
              <w:rPr>
                <w:rFonts w:ascii="Times New Roman" w:hAnsi="Times New Roman" w:cs="Times New Roman" w:eastAsia="Times New Roman" w:hint="default"/>
                <w:sz w:val="18"/>
                <w:szCs w:val="18"/>
              </w:rPr>
            </w:pPr>
            <w:r>
              <w:rPr>
                <w:rFonts w:ascii="Times New Roman" w:hAnsi="Times New Roman"/>
                <w:sz w:val="18"/>
              </w:rPr>
              <w:t>Група конта</w:t>
            </w:r>
            <w:r>
              <w:rPr>
                <w:rFonts w:ascii="Times New Roman" w:hAnsi="Times New Roman"/>
                <w:spacing w:val="-1"/>
                <w:sz w:val="18"/>
              </w:rPr>
              <w:t> </w:t>
            </w:r>
            <w:r>
              <w:rPr>
                <w:rFonts w:ascii="Times New Roman" w:hAnsi="Times New Roman"/>
                <w:sz w:val="18"/>
              </w:rPr>
              <w:t>541</w:t>
            </w:r>
          </w:p>
        </w:tc>
        <w:tc>
          <w:tcPr>
            <w:tcW w:w="170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215" w:right="0"/>
              <w:jc w:val="left"/>
              <w:rPr>
                <w:rFonts w:ascii="Times New Roman" w:hAnsi="Times New Roman" w:cs="Times New Roman" w:eastAsia="Times New Roman" w:hint="default"/>
                <w:sz w:val="18"/>
                <w:szCs w:val="18"/>
              </w:rPr>
            </w:pPr>
            <w:r>
              <w:rPr>
                <w:rFonts w:ascii="Times New Roman" w:hAnsi="Times New Roman"/>
                <w:sz w:val="18"/>
              </w:rPr>
              <w:t>Група конта </w:t>
            </w:r>
            <w:r>
              <w:rPr>
                <w:rFonts w:ascii="Times New Roman" w:hAnsi="Times New Roman"/>
                <w:sz w:val="18"/>
              </w:rPr>
              <w:t>485</w:t>
            </w:r>
          </w:p>
        </w:tc>
        <w:tc>
          <w:tcPr>
            <w:tcW w:w="184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290" w:right="189"/>
              <w:jc w:val="left"/>
              <w:rPr>
                <w:rFonts w:ascii="Times New Roman" w:hAnsi="Times New Roman" w:cs="Times New Roman" w:eastAsia="Times New Roman" w:hint="default"/>
                <w:sz w:val="18"/>
                <w:szCs w:val="18"/>
              </w:rPr>
            </w:pPr>
            <w:r>
              <w:rPr>
                <w:rFonts w:ascii="Times New Roman" w:hAnsi="Times New Roman"/>
                <w:sz w:val="18"/>
              </w:rPr>
              <w:t>Група конта</w:t>
            </w:r>
            <w:r>
              <w:rPr>
                <w:rFonts w:ascii="Times New Roman" w:hAnsi="Times New Roman"/>
                <w:spacing w:val="-1"/>
                <w:sz w:val="18"/>
              </w:rPr>
              <w:t> </w:t>
            </w:r>
            <w:r>
              <w:rPr>
                <w:rFonts w:ascii="Times New Roman" w:hAnsi="Times New Roman"/>
                <w:sz w:val="18"/>
              </w:rPr>
              <w:t>511</w:t>
            </w:r>
          </w:p>
        </w:tc>
      </w:tr>
      <w:tr>
        <w:trPr>
          <w:trHeight w:val="216" w:hRule="exact"/>
        </w:trPr>
        <w:tc>
          <w:tcPr>
            <w:tcW w:w="340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346"/>
              <w:jc w:val="left"/>
              <w:rPr>
                <w:rFonts w:ascii="Times New Roman" w:hAnsi="Times New Roman" w:cs="Times New Roman" w:eastAsia="Times New Roman" w:hint="default"/>
                <w:sz w:val="18"/>
                <w:szCs w:val="18"/>
              </w:rPr>
            </w:pPr>
            <w:r>
              <w:rPr>
                <w:rFonts w:ascii="Times New Roman" w:hAnsi="Times New Roman"/>
                <w:sz w:val="18"/>
              </w:rPr>
              <w:t>План</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177.504</w:t>
            </w:r>
          </w:p>
        </w:tc>
        <w:tc>
          <w:tcPr>
            <w:tcW w:w="170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84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113.201</w:t>
            </w:r>
          </w:p>
        </w:tc>
      </w:tr>
      <w:tr>
        <w:trPr>
          <w:trHeight w:val="218" w:hRule="exact"/>
        </w:trPr>
        <w:tc>
          <w:tcPr>
            <w:tcW w:w="340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346"/>
              <w:jc w:val="left"/>
              <w:rPr>
                <w:rFonts w:ascii="Times New Roman" w:hAnsi="Times New Roman" w:cs="Times New Roman" w:eastAsia="Times New Roman" w:hint="default"/>
                <w:sz w:val="18"/>
                <w:szCs w:val="18"/>
              </w:rPr>
            </w:pPr>
            <w:r>
              <w:rPr>
                <w:rFonts w:ascii="Times New Roman" w:hAnsi="Times New Roman"/>
                <w:sz w:val="18"/>
              </w:rPr>
              <w:t>Извршење</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177.504</w:t>
            </w:r>
          </w:p>
        </w:tc>
        <w:tc>
          <w:tcPr>
            <w:tcW w:w="170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844"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r>
      <w:tr>
        <w:trPr>
          <w:trHeight w:val="216" w:hRule="exact"/>
        </w:trPr>
        <w:tc>
          <w:tcPr>
            <w:tcW w:w="340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346"/>
              <w:jc w:val="left"/>
              <w:rPr>
                <w:rFonts w:ascii="Times New Roman" w:hAnsi="Times New Roman" w:cs="Times New Roman" w:eastAsia="Times New Roman" w:hint="default"/>
                <w:sz w:val="18"/>
                <w:szCs w:val="18"/>
              </w:rPr>
            </w:pPr>
            <w:r>
              <w:rPr>
                <w:rFonts w:ascii="Times New Roman" w:hAnsi="Times New Roman"/>
                <w:sz w:val="18"/>
              </w:rPr>
              <w:t>Разлика</w:t>
            </w:r>
            <w:r>
              <w:rPr>
                <w:rFonts w:ascii="Times New Roman" w:hAnsi="Times New Roman"/>
                <w:spacing w:val="-4"/>
                <w:sz w:val="18"/>
              </w:rPr>
              <w:t> </w:t>
            </w:r>
            <w:r>
              <w:rPr>
                <w:rFonts w:ascii="Times New Roman" w:hAnsi="Times New Roman"/>
                <w:sz w:val="18"/>
              </w:rPr>
              <w:t>1</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70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c>
          <w:tcPr>
            <w:tcW w:w="184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113.201</w:t>
            </w:r>
          </w:p>
        </w:tc>
      </w:tr>
      <w:tr>
        <w:trPr>
          <w:trHeight w:val="218" w:hRule="exact"/>
        </w:trPr>
        <w:tc>
          <w:tcPr>
            <w:tcW w:w="340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346"/>
              <w:jc w:val="left"/>
              <w:rPr>
                <w:rFonts w:ascii="Times New Roman" w:hAnsi="Times New Roman" w:cs="Times New Roman" w:eastAsia="Times New Roman" w:hint="default"/>
                <w:sz w:val="18"/>
                <w:szCs w:val="18"/>
              </w:rPr>
            </w:pPr>
            <w:r>
              <w:rPr>
                <w:rFonts w:ascii="Times New Roman" w:hAnsi="Times New Roman"/>
                <w:sz w:val="18"/>
              </w:rPr>
              <w:t>Преузете обавезе по</w:t>
            </w:r>
            <w:r>
              <w:rPr>
                <w:rFonts w:ascii="Times New Roman" w:hAnsi="Times New Roman"/>
                <w:spacing w:val="-11"/>
                <w:sz w:val="18"/>
              </w:rPr>
              <w:t> </w:t>
            </w:r>
            <w:r>
              <w:rPr>
                <w:rFonts w:ascii="Times New Roman" w:hAnsi="Times New Roman"/>
                <w:sz w:val="18"/>
              </w:rPr>
              <w:t>рачунима</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240.996</w:t>
            </w:r>
          </w:p>
        </w:tc>
        <w:tc>
          <w:tcPr>
            <w:tcW w:w="170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6.649</w:t>
            </w:r>
          </w:p>
        </w:tc>
        <w:tc>
          <w:tcPr>
            <w:tcW w:w="1844"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192.077</w:t>
            </w:r>
          </w:p>
        </w:tc>
      </w:tr>
      <w:tr>
        <w:trPr>
          <w:trHeight w:val="217" w:hRule="exact"/>
        </w:trPr>
        <w:tc>
          <w:tcPr>
            <w:tcW w:w="3404"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03" w:right="346"/>
              <w:jc w:val="left"/>
              <w:rPr>
                <w:rFonts w:ascii="Times New Roman" w:hAnsi="Times New Roman" w:cs="Times New Roman" w:eastAsia="Times New Roman" w:hint="default"/>
                <w:sz w:val="18"/>
                <w:szCs w:val="18"/>
              </w:rPr>
            </w:pPr>
            <w:r>
              <w:rPr>
                <w:rFonts w:ascii="Times New Roman" w:hAnsi="Times New Roman"/>
                <w:sz w:val="18"/>
              </w:rPr>
              <w:t>Преузете обавезе по</w:t>
            </w:r>
            <w:r>
              <w:rPr>
                <w:rFonts w:ascii="Times New Roman" w:hAnsi="Times New Roman"/>
                <w:spacing w:val="-10"/>
                <w:sz w:val="18"/>
              </w:rPr>
              <w:t> </w:t>
            </w:r>
            <w:r>
              <w:rPr>
                <w:rFonts w:ascii="Times New Roman" w:hAnsi="Times New Roman"/>
                <w:sz w:val="18"/>
              </w:rPr>
              <w:t>уговорима</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700"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844"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r>
      <w:tr>
        <w:trPr>
          <w:trHeight w:val="218" w:hRule="exact"/>
        </w:trPr>
        <w:tc>
          <w:tcPr>
            <w:tcW w:w="340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346"/>
              <w:jc w:val="left"/>
              <w:rPr>
                <w:rFonts w:ascii="Times New Roman" w:hAnsi="Times New Roman" w:cs="Times New Roman" w:eastAsia="Times New Roman" w:hint="default"/>
                <w:sz w:val="18"/>
                <w:szCs w:val="18"/>
              </w:rPr>
            </w:pPr>
            <w:r>
              <w:rPr>
                <w:rFonts w:ascii="Times New Roman" w:hAnsi="Times New Roman"/>
                <w:b/>
                <w:sz w:val="18"/>
              </w:rPr>
              <w:t>Разлика</w:t>
            </w:r>
            <w:r>
              <w:rPr>
                <w:rFonts w:ascii="Times New Roman" w:hAnsi="Times New Roman"/>
                <w:b/>
                <w:spacing w:val="-4"/>
                <w:sz w:val="18"/>
              </w:rPr>
              <w:t> </w:t>
            </w:r>
            <w:r>
              <w:rPr>
                <w:rFonts w:ascii="Times New Roman" w:hAnsi="Times New Roman"/>
                <w:b/>
                <w:sz w:val="18"/>
              </w:rPr>
              <w:t>2</w:t>
            </w:r>
            <w:r>
              <w:rPr>
                <w:rFonts w:ascii="Times New Roman" w:hAnsi="Times New Roman"/>
                <w:sz w:val="18"/>
              </w:rPr>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-240.996</w:t>
            </w:r>
            <w:r>
              <w:rPr>
                <w:rFonts w:ascii="Times New Roman"/>
                <w:spacing w:val="-1"/>
                <w:sz w:val="18"/>
              </w:rPr>
            </w:r>
          </w:p>
        </w:tc>
        <w:tc>
          <w:tcPr>
            <w:tcW w:w="17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-6.649</w:t>
            </w:r>
            <w:r>
              <w:rPr>
                <w:rFonts w:ascii="Times New Roman"/>
                <w:sz w:val="18"/>
              </w:rPr>
            </w:r>
          </w:p>
        </w:tc>
        <w:tc>
          <w:tcPr>
            <w:tcW w:w="18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-78.876</w:t>
            </w:r>
            <w:r>
              <w:rPr>
                <w:rFonts w:ascii="Times New Roman"/>
                <w:spacing w:val="-1"/>
                <w:sz w:val="18"/>
              </w:rPr>
            </w:r>
          </w:p>
        </w:tc>
      </w:tr>
    </w:tbl>
    <w:p>
      <w:pPr>
        <w:pStyle w:val="BodyText"/>
        <w:spacing w:line="240" w:lineRule="auto"/>
        <w:ind w:right="178" w:firstLine="566"/>
        <w:jc w:val="both"/>
        <w:rPr>
          <w:rFonts w:ascii="Times New Roman" w:hAnsi="Times New Roman" w:cs="Times New Roman" w:eastAsia="Times New Roman" w:hint="default"/>
        </w:rPr>
      </w:pPr>
      <w:r>
        <w:rPr/>
        <w:t>На функционалној класификацији 130 – опште услуге, на економској класификацији 541000 – земљиште преузете су обавезе више од одобрене апропријације  у износу од 240.996 хиљада динара, по основу споразума и судских решења у поступку експропријације и изузимања грађевинског</w:t>
      </w:r>
      <w:r>
        <w:rPr>
          <w:spacing w:val="-15"/>
        </w:rPr>
        <w:t> </w:t>
      </w:r>
      <w:r>
        <w:rPr/>
        <w:t>земљишта</w:t>
      </w:r>
      <w:r>
        <w:rPr>
          <w:rFonts w:ascii="Times New Roman" w:hAnsi="Times New Roman" w:cs="Times New Roman" w:eastAsia="Times New Roman" w:hint="default"/>
        </w:rPr>
        <w:t>.</w:t>
      </w:r>
    </w:p>
    <w:p>
      <w:pPr>
        <w:pStyle w:val="BodyText"/>
        <w:spacing w:line="240" w:lineRule="auto"/>
        <w:ind w:right="176" w:firstLine="566"/>
        <w:jc w:val="both"/>
        <w:rPr>
          <w:rFonts w:ascii="Times New Roman" w:hAnsi="Times New Roman" w:cs="Times New Roman" w:eastAsia="Times New Roman" w:hint="default"/>
        </w:rPr>
      </w:pPr>
      <w:r>
        <w:rPr/>
        <w:t>На економској класификацији </w:t>
      </w:r>
      <w:r>
        <w:rPr>
          <w:rFonts w:ascii="Times New Roman" w:hAnsi="Times New Roman" w:cs="Times New Roman" w:eastAsia="Times New Roman" w:hint="default"/>
        </w:rPr>
        <w:t>485000 </w:t>
      </w:r>
      <w:r>
        <w:rPr/>
        <w:t>– накнада штете за повреде или штету нанету од стране државних органа преузете су обавезе више од одобрене апропријације у износу од 6.649 хиљада динара више од одобрене апропријације</w:t>
      </w:r>
      <w:r>
        <w:rPr>
          <w:rFonts w:ascii="Times New Roman" w:hAnsi="Times New Roman" w:cs="Times New Roman" w:eastAsia="Times New Roman" w:hint="default"/>
        </w:rPr>
        <w:t>, </w:t>
      </w:r>
      <w:r>
        <w:rPr/>
        <w:t>по основу правоснажних решења Агенције за</w:t>
      </w:r>
      <w:r>
        <w:rPr>
          <w:spacing w:val="-11"/>
        </w:rPr>
        <w:t> </w:t>
      </w:r>
      <w:r>
        <w:rPr/>
        <w:t>реституцију</w:t>
      </w:r>
      <w:r>
        <w:rPr>
          <w:rFonts w:ascii="Times New Roman" w:hAnsi="Times New Roman" w:cs="Times New Roman" w:eastAsia="Times New Roman" w:hint="default"/>
        </w:rPr>
        <w:t>.</w:t>
      </w:r>
    </w:p>
    <w:p>
      <w:pPr>
        <w:pStyle w:val="BodyText"/>
        <w:spacing w:line="240" w:lineRule="auto"/>
        <w:ind w:right="179" w:firstLine="566"/>
        <w:jc w:val="both"/>
      </w:pPr>
      <w:r>
        <w:rPr/>
        <w:t>На функционалној класификацији 620 – развој заједнице, на економској класификацији 511000 – зграде и грађевински објекти преузете су обавезе више од одобрене апропријације у износу од 78.876 хиљада динара</w:t>
      </w:r>
      <w:r>
        <w:rPr>
          <w:rFonts w:ascii="Times New Roman" w:hAnsi="Times New Roman" w:cs="Times New Roman" w:eastAsia="Times New Roman" w:hint="default"/>
        </w:rPr>
        <w:t>, </w:t>
      </w:r>
      <w:r>
        <w:rPr/>
        <w:t>по основу накнада за реализацију уговора о преносу права коришћења станова и пословног</w:t>
      </w:r>
      <w:r>
        <w:rPr>
          <w:spacing w:val="-20"/>
        </w:rPr>
        <w:t> </w:t>
      </w:r>
      <w:r>
        <w:rPr/>
        <w:t>простора.</w:t>
      </w:r>
    </w:p>
    <w:p>
      <w:pPr>
        <w:pStyle w:val="Heading2"/>
        <w:spacing w:line="240" w:lineRule="auto"/>
        <w:ind w:right="173"/>
        <w:jc w:val="both"/>
        <w:rPr>
          <w:rFonts w:ascii="Times New Roman" w:hAnsi="Times New Roman" w:cs="Times New Roman" w:eastAsia="Times New Roman" w:hint="default"/>
          <w:b w:val="0"/>
          <w:bCs w:val="0"/>
          <w:i w:val="0"/>
        </w:rPr>
      </w:pPr>
      <w:r>
        <w:rPr>
          <w:i/>
        </w:rPr>
        <w:t>Препоручује се одговорним лицима да правилно исказују обавезе и да обавезе преузимају до износа апропријације одобрене буџетом у тој години за ту</w:t>
      </w:r>
      <w:r>
        <w:rPr>
          <w:i/>
          <w:spacing w:val="-17"/>
        </w:rPr>
        <w:t> </w:t>
      </w:r>
      <w:r>
        <w:rPr>
          <w:i/>
        </w:rPr>
        <w:t>намену</w:t>
      </w:r>
      <w:r>
        <w:rPr>
          <w:rFonts w:ascii="Times New Roman" w:hAnsi="Times New Roman"/>
          <w:i/>
        </w:rPr>
        <w:t>.</w:t>
      </w:r>
      <w:r>
        <w:rPr>
          <w:rFonts w:ascii="Times New Roman" w:hAnsi="Times New Roman"/>
          <w:b w:val="0"/>
          <w:i w:val="0"/>
        </w:rPr>
      </w:r>
    </w:p>
    <w:p>
      <w:pPr>
        <w:pStyle w:val="ListParagraph"/>
        <w:numPr>
          <w:ilvl w:val="0"/>
          <w:numId w:val="88"/>
        </w:numPr>
        <w:tabs>
          <w:tab w:pos="588" w:val="left" w:leader="none"/>
        </w:tabs>
        <w:spacing w:line="240" w:lineRule="auto" w:before="132" w:after="0"/>
        <w:ind w:left="160" w:right="174" w:firstLine="0"/>
        <w:jc w:val="both"/>
        <w:rPr>
          <w:rFonts w:ascii="Times New Roman" w:hAnsi="Times New Roman" w:cs="Times New Roman" w:eastAsia="Times New Roman" w:hint="default"/>
          <w:sz w:val="24"/>
          <w:szCs w:val="24"/>
        </w:rPr>
      </w:pPr>
      <w:r>
        <w:rPr>
          <w:rFonts w:ascii="Times New Roman" w:hAnsi="Times New Roman"/>
          <w:spacing w:val="-60"/>
          <w:sz w:val="24"/>
          <w:u w:val="single" w:color="000000"/>
        </w:rPr>
        <w:t> </w:t>
      </w:r>
      <w:r>
        <w:rPr>
          <w:rFonts w:ascii="Times New Roman" w:hAnsi="Times New Roman"/>
          <w:sz w:val="24"/>
          <w:u w:val="single" w:color="000000"/>
        </w:rPr>
        <w:t>Управа за привреду, одрживи развој и заштиту животне средине </w:t>
      </w:r>
      <w:r>
        <w:rPr>
          <w:rFonts w:ascii="Times New Roman" w:hAnsi="Times New Roman"/>
          <w:sz w:val="24"/>
        </w:rPr>
        <w:t>у укупном износу од </w:t>
      </w:r>
      <w:r>
        <w:rPr>
          <w:rFonts w:ascii="Times New Roman" w:hAnsi="Times New Roman"/>
          <w:sz w:val="24"/>
        </w:rPr>
        <w:t>91.723 хиљаде динара и то за исказане обавезе код: Управе за привреду, одрживи развој и заштиту животне средине у укупном износу од 83.120 хиљада динара и Туристичке организације Ниш у укупном износу од 8.603 хиљаде</w:t>
      </w:r>
      <w:r>
        <w:rPr>
          <w:rFonts w:ascii="Times New Roman" w:hAnsi="Times New Roman"/>
          <w:spacing w:val="-14"/>
          <w:sz w:val="24"/>
        </w:rPr>
        <w:t> </w:t>
      </w:r>
      <w:r>
        <w:rPr>
          <w:rFonts w:ascii="Times New Roman" w:hAnsi="Times New Roman"/>
          <w:sz w:val="24"/>
        </w:rPr>
        <w:t>динара</w:t>
      </w:r>
      <w:r>
        <w:rPr>
          <w:rFonts w:ascii="Times New Roman" w:hAnsi="Times New Roman"/>
          <w:sz w:val="24"/>
        </w:rPr>
        <w:t>.</w:t>
      </w:r>
    </w:p>
    <w:p>
      <w:pPr>
        <w:pStyle w:val="Heading1"/>
        <w:spacing w:line="275" w:lineRule="exact"/>
        <w:ind w:right="141"/>
        <w:jc w:val="left"/>
        <w:rPr>
          <w:b w:val="0"/>
          <w:bCs w:val="0"/>
        </w:rPr>
      </w:pPr>
      <w:r>
        <w:rPr/>
        <w:t>На основу ревизије узорковане документације утврђено</w:t>
      </w:r>
      <w:r>
        <w:rPr>
          <w:spacing w:val="-17"/>
        </w:rPr>
        <w:t> </w:t>
      </w:r>
      <w:r>
        <w:rPr/>
        <w:t>је:</w:t>
      </w:r>
      <w:r>
        <w:rPr>
          <w:b w:val="0"/>
        </w:rPr>
      </w:r>
    </w:p>
    <w:p>
      <w:pPr>
        <w:pStyle w:val="ListParagraph"/>
        <w:numPr>
          <w:ilvl w:val="0"/>
          <w:numId w:val="9"/>
        </w:numPr>
        <w:tabs>
          <w:tab w:pos="303"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Више су исказане обавезе код Управе за привреду, одрживи развој и заштиту животне средине у износу од 71 хиљаде динара на име укалкулисаних обавеза по поднетим захтевима индиректног корисника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које је индиректни корисник такође исказао у свом билансу стања те су дупло обухваћене консолидацијом</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Истовремено, више је исказан износ на конту 131200 – обрачунати неплаћени расходи и издаци у истом</w:t>
      </w:r>
      <w:r>
        <w:rPr>
          <w:rFonts w:ascii="Times New Roman" w:hAnsi="Times New Roman" w:cs="Times New Roman" w:eastAsia="Times New Roman" w:hint="default"/>
          <w:spacing w:val="-32"/>
          <w:sz w:val="24"/>
          <w:szCs w:val="24"/>
        </w:rPr>
        <w:t> </w:t>
      </w:r>
      <w:r>
        <w:rPr>
          <w:rFonts w:ascii="Times New Roman" w:hAnsi="Times New Roman" w:cs="Times New Roman" w:eastAsia="Times New Roman" w:hint="default"/>
          <w:sz w:val="24"/>
          <w:szCs w:val="24"/>
        </w:rPr>
        <w:t>износу.</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Мање су исказане обавезе код Управе за привреду, одрживи развој и заштиту животне средине у износу од најмање </w:t>
      </w:r>
      <w:r>
        <w:rPr>
          <w:rFonts w:ascii="Times New Roman" w:hAnsi="Times New Roman" w:cs="Times New Roman" w:eastAsia="Times New Roman" w:hint="default"/>
          <w:sz w:val="24"/>
          <w:szCs w:val="24"/>
        </w:rPr>
        <w:t>146.547 </w:t>
      </w:r>
      <w:r>
        <w:rPr>
          <w:rFonts w:ascii="Times New Roman" w:hAnsi="Times New Roman" w:cs="Times New Roman" w:eastAsia="Times New Roman" w:hint="default"/>
          <w:sz w:val="24"/>
          <w:szCs w:val="24"/>
        </w:rPr>
        <w:t>хиљада динара јер нису  евидентиране  обавезе према добављачима, обавезе по пројектима и за субвенције. Истовремено, за исти износ мање је исказана позиција 131200 – обрачунати неплаћени расходи и</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издаци</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Туристичка организација није исказала обавезе у износу од најмање две хиљаде динара и то за неисплаћене путне налоге. Истовремено, за исти износ мање је исказана позиција </w:t>
      </w:r>
      <w:r>
        <w:rPr>
          <w:rFonts w:ascii="Times New Roman" w:hAnsi="Times New Roman" w:cs="Times New Roman" w:eastAsia="Times New Roman" w:hint="default"/>
          <w:sz w:val="24"/>
          <w:szCs w:val="24"/>
        </w:rPr>
        <w:t>131200 </w:t>
      </w:r>
      <w:r>
        <w:rPr>
          <w:rFonts w:ascii="Times New Roman" w:hAnsi="Times New Roman" w:cs="Times New Roman" w:eastAsia="Times New Roman" w:hint="default"/>
          <w:sz w:val="24"/>
          <w:szCs w:val="24"/>
        </w:rPr>
        <w:t>– обрачунати неплаћени расходи и</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издаци</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Туристичка организација Ниш исказала је обавезу према граду Нишу на конту 254100 – обавезе</w:t>
      </w:r>
      <w:r>
        <w:rPr>
          <w:rFonts w:ascii="Times New Roman" w:hAnsi="Times New Roman" w:cs="Times New Roman" w:eastAsia="Times New Roman" w:hint="default"/>
          <w:spacing w:val="30"/>
          <w:sz w:val="24"/>
          <w:szCs w:val="24"/>
        </w:rPr>
        <w:t> </w:t>
      </w:r>
      <w:r>
        <w:rPr>
          <w:rFonts w:ascii="Times New Roman" w:hAnsi="Times New Roman" w:cs="Times New Roman" w:eastAsia="Times New Roman" w:hint="default"/>
          <w:sz w:val="24"/>
          <w:szCs w:val="24"/>
        </w:rPr>
        <w:t>из</w:t>
      </w:r>
      <w:r>
        <w:rPr>
          <w:rFonts w:ascii="Times New Roman" w:hAnsi="Times New Roman" w:cs="Times New Roman" w:eastAsia="Times New Roman" w:hint="default"/>
          <w:spacing w:val="32"/>
          <w:sz w:val="24"/>
          <w:szCs w:val="24"/>
        </w:rPr>
        <w:t> </w:t>
      </w:r>
      <w:r>
        <w:rPr>
          <w:rFonts w:ascii="Times New Roman" w:hAnsi="Times New Roman" w:cs="Times New Roman" w:eastAsia="Times New Roman" w:hint="default"/>
          <w:sz w:val="24"/>
          <w:szCs w:val="24"/>
        </w:rPr>
        <w:t>односа</w:t>
      </w:r>
      <w:r>
        <w:rPr>
          <w:rFonts w:ascii="Times New Roman" w:hAnsi="Times New Roman" w:cs="Times New Roman" w:eastAsia="Times New Roman" w:hint="default"/>
          <w:spacing w:val="30"/>
          <w:sz w:val="24"/>
          <w:szCs w:val="24"/>
        </w:rPr>
        <w:t> </w:t>
      </w:r>
      <w:r>
        <w:rPr>
          <w:rFonts w:ascii="Times New Roman" w:hAnsi="Times New Roman" w:cs="Times New Roman" w:eastAsia="Times New Roman" w:hint="default"/>
          <w:sz w:val="24"/>
          <w:szCs w:val="24"/>
        </w:rPr>
        <w:t>буџета</w:t>
      </w:r>
      <w:r>
        <w:rPr>
          <w:rFonts w:ascii="Times New Roman" w:hAnsi="Times New Roman" w:cs="Times New Roman" w:eastAsia="Times New Roman" w:hint="default"/>
          <w:spacing w:val="30"/>
          <w:sz w:val="24"/>
          <w:szCs w:val="24"/>
        </w:rPr>
        <w:t> </w:t>
      </w:r>
      <w:r>
        <w:rPr>
          <w:rFonts w:ascii="Times New Roman" w:hAnsi="Times New Roman" w:cs="Times New Roman" w:eastAsia="Times New Roman" w:hint="default"/>
          <w:sz w:val="24"/>
          <w:szCs w:val="24"/>
        </w:rPr>
        <w:t>и</w:t>
      </w:r>
      <w:r>
        <w:rPr>
          <w:rFonts w:ascii="Times New Roman" w:hAnsi="Times New Roman" w:cs="Times New Roman" w:eastAsia="Times New Roman" w:hint="default"/>
          <w:spacing w:val="32"/>
          <w:sz w:val="24"/>
          <w:szCs w:val="24"/>
        </w:rPr>
        <w:t> </w:t>
      </w:r>
      <w:r>
        <w:rPr>
          <w:rFonts w:ascii="Times New Roman" w:hAnsi="Times New Roman" w:cs="Times New Roman" w:eastAsia="Times New Roman" w:hint="default"/>
          <w:sz w:val="24"/>
          <w:szCs w:val="24"/>
        </w:rPr>
        <w:t>буџетских</w:t>
      </w:r>
      <w:r>
        <w:rPr>
          <w:rFonts w:ascii="Times New Roman" w:hAnsi="Times New Roman" w:cs="Times New Roman" w:eastAsia="Times New Roman" w:hint="default"/>
          <w:spacing w:val="33"/>
          <w:sz w:val="24"/>
          <w:szCs w:val="24"/>
        </w:rPr>
        <w:t> </w:t>
      </w:r>
      <w:r>
        <w:rPr>
          <w:rFonts w:ascii="Times New Roman" w:hAnsi="Times New Roman" w:cs="Times New Roman" w:eastAsia="Times New Roman" w:hint="default"/>
          <w:sz w:val="24"/>
          <w:szCs w:val="24"/>
        </w:rPr>
        <w:t>корисника</w:t>
      </w:r>
      <w:r>
        <w:rPr>
          <w:rFonts w:ascii="Times New Roman" w:hAnsi="Times New Roman" w:cs="Times New Roman" w:eastAsia="Times New Roman" w:hint="default"/>
          <w:spacing w:val="32"/>
          <w:sz w:val="24"/>
          <w:szCs w:val="24"/>
        </w:rPr>
        <w:t> </w:t>
      </w:r>
      <w:r>
        <w:rPr>
          <w:rFonts w:ascii="Times New Roman" w:hAnsi="Times New Roman" w:cs="Times New Roman" w:eastAsia="Times New Roman" w:hint="default"/>
          <w:sz w:val="24"/>
          <w:szCs w:val="24"/>
        </w:rPr>
        <w:t>у</w:t>
      </w:r>
      <w:r>
        <w:rPr>
          <w:rFonts w:ascii="Times New Roman" w:hAnsi="Times New Roman" w:cs="Times New Roman" w:eastAsia="Times New Roman" w:hint="default"/>
          <w:spacing w:val="26"/>
          <w:sz w:val="24"/>
          <w:szCs w:val="24"/>
        </w:rPr>
        <w:t> </w:t>
      </w:r>
      <w:r>
        <w:rPr>
          <w:rFonts w:ascii="Times New Roman" w:hAnsi="Times New Roman" w:cs="Times New Roman" w:eastAsia="Times New Roman" w:hint="default"/>
          <w:sz w:val="24"/>
          <w:szCs w:val="24"/>
        </w:rPr>
        <w:t>износу</w:t>
      </w:r>
      <w:r>
        <w:rPr>
          <w:rFonts w:ascii="Times New Roman" w:hAnsi="Times New Roman" w:cs="Times New Roman" w:eastAsia="Times New Roman" w:hint="default"/>
          <w:spacing w:val="26"/>
          <w:sz w:val="24"/>
          <w:szCs w:val="24"/>
        </w:rPr>
        <w:t> </w:t>
      </w:r>
      <w:r>
        <w:rPr>
          <w:rFonts w:ascii="Times New Roman" w:hAnsi="Times New Roman" w:cs="Times New Roman" w:eastAsia="Times New Roman" w:hint="default"/>
          <w:sz w:val="24"/>
          <w:szCs w:val="24"/>
        </w:rPr>
        <w:t>од</w:t>
      </w:r>
      <w:r>
        <w:rPr>
          <w:rFonts w:ascii="Times New Roman" w:hAnsi="Times New Roman" w:cs="Times New Roman" w:eastAsia="Times New Roman" w:hint="default"/>
          <w:spacing w:val="31"/>
          <w:sz w:val="24"/>
          <w:szCs w:val="24"/>
        </w:rPr>
        <w:t> </w:t>
      </w:r>
      <w:r>
        <w:rPr>
          <w:rFonts w:ascii="Times New Roman" w:hAnsi="Times New Roman" w:cs="Times New Roman" w:eastAsia="Times New Roman" w:hint="default"/>
          <w:sz w:val="24"/>
          <w:szCs w:val="24"/>
        </w:rPr>
        <w:t>5.283</w:t>
      </w:r>
      <w:r>
        <w:rPr>
          <w:rFonts w:ascii="Times New Roman" w:hAnsi="Times New Roman" w:cs="Times New Roman" w:eastAsia="Times New Roman" w:hint="default"/>
          <w:spacing w:val="33"/>
          <w:sz w:val="24"/>
          <w:szCs w:val="24"/>
        </w:rPr>
        <w:t> </w:t>
      </w:r>
      <w:r>
        <w:rPr>
          <w:rFonts w:ascii="Times New Roman" w:hAnsi="Times New Roman" w:cs="Times New Roman" w:eastAsia="Times New Roman" w:hint="default"/>
          <w:sz w:val="24"/>
          <w:szCs w:val="24"/>
        </w:rPr>
        <w:t>хиљаде</w:t>
      </w:r>
      <w:r>
        <w:rPr>
          <w:rFonts w:ascii="Times New Roman" w:hAnsi="Times New Roman" w:cs="Times New Roman" w:eastAsia="Times New Roman" w:hint="default"/>
          <w:spacing w:val="30"/>
          <w:sz w:val="24"/>
          <w:szCs w:val="24"/>
        </w:rPr>
        <w:t> </w:t>
      </w:r>
      <w:r>
        <w:rPr>
          <w:rFonts w:ascii="Times New Roman" w:hAnsi="Times New Roman" w:cs="Times New Roman" w:eastAsia="Times New Roman" w:hint="default"/>
          <w:sz w:val="24"/>
          <w:szCs w:val="24"/>
        </w:rPr>
        <w:t>динара,</w:t>
      </w:r>
      <w:r>
        <w:rPr>
          <w:rFonts w:ascii="Times New Roman" w:hAnsi="Times New Roman" w:cs="Times New Roman" w:eastAsia="Times New Roman" w:hint="default"/>
          <w:spacing w:val="31"/>
          <w:sz w:val="24"/>
          <w:szCs w:val="24"/>
        </w:rPr>
        <w:t> </w:t>
      </w:r>
      <w:r>
        <w:rPr>
          <w:rFonts w:ascii="Times New Roman" w:hAnsi="Times New Roman" w:cs="Times New Roman" w:eastAsia="Times New Roman" w:hint="default"/>
          <w:sz w:val="24"/>
          <w:szCs w:val="24"/>
        </w:rPr>
        <w:t>по</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BodyText"/>
        <w:spacing w:line="240" w:lineRule="auto" w:before="122"/>
        <w:ind w:right="174"/>
        <w:jc w:val="both"/>
      </w:pPr>
      <w:r>
        <w:rPr/>
        <w:t>Уговору о помоћи у реализацији пројекта „Менаџмент туристичких организација </w:t>
      </w:r>
      <w:r>
        <w:rPr>
          <w:spacing w:val="2"/>
        </w:rPr>
        <w:t>Ниш</w:t>
      </w:r>
      <w:r>
        <w:rPr>
          <w:rFonts w:ascii="Times New Roman" w:hAnsi="Times New Roman" w:cs="Times New Roman" w:eastAsia="Times New Roman" w:hint="default"/>
          <w:spacing w:val="2"/>
        </w:rPr>
        <w:t>- </w:t>
      </w:r>
      <w:r>
        <w:rPr/>
        <w:t>Софија“ број 1435 од 01.11.2013. године по коме је град Ниш обезбедио средства у износу од 50.000</w:t>
      </w:r>
      <w:r>
        <w:rPr>
          <w:spacing w:val="-7"/>
        </w:rPr>
        <w:t> </w:t>
      </w:r>
      <w:r>
        <w:rPr/>
        <w:t>евра.</w:t>
      </w:r>
    </w:p>
    <w:p>
      <w:pPr>
        <w:pStyle w:val="ListParagraph"/>
        <w:numPr>
          <w:ilvl w:val="0"/>
          <w:numId w:val="9"/>
        </w:numPr>
        <w:tabs>
          <w:tab w:pos="303" w:val="left" w:leader="none"/>
        </w:tabs>
        <w:spacing w:line="240" w:lineRule="auto" w:before="2" w:after="0"/>
        <w:ind w:left="160" w:right="17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Туристичка организација Ниш је поднела Управи за привреду, одрживи развој и заштиту животне средине захтев са предрачунима којим захтева да Град пренесе  средства у износу од 2.574 хиљаде динара. Од наведеног износа 722 хиљаде динара које су захтеване за развој веб портала по предрачуну „Цим гроуп“ доо Ниш нису искоришћене за ту намену јер је Туристичка организација раскинула уговор са „Цим гроуп“. Средства су искоришћена за пренос на текући рачун Туристичке организације за буџетска средства у износу од 169 хиљада динара (са буџетског рачуна Туристичка организација је средства у износу од 169 хиљада динара искористила за плаћање  </w:t>
      </w:r>
      <w:r>
        <w:rPr>
          <w:rFonts w:ascii="Times New Roman" w:hAnsi="Times New Roman" w:cs="Times New Roman" w:eastAsia="Times New Roman" w:hint="default"/>
          <w:spacing w:val="29"/>
          <w:sz w:val="24"/>
          <w:szCs w:val="24"/>
        </w:rPr>
        <w:t> </w:t>
      </w:r>
      <w:r>
        <w:rPr>
          <w:rFonts w:ascii="Times New Roman" w:hAnsi="Times New Roman" w:cs="Times New Roman" w:eastAsia="Times New Roman" w:hint="default"/>
          <w:sz w:val="24"/>
          <w:szCs w:val="24"/>
        </w:rPr>
        <w:t>рачуна</w:t>
      </w:r>
    </w:p>
    <w:p>
      <w:pPr>
        <w:pStyle w:val="BodyText"/>
        <w:spacing w:line="240" w:lineRule="auto"/>
        <w:ind w:right="173"/>
        <w:jc w:val="both"/>
        <w:rPr>
          <w:rFonts w:ascii="Times New Roman" w:hAnsi="Times New Roman" w:cs="Times New Roman" w:eastAsia="Times New Roman" w:hint="default"/>
        </w:rPr>
      </w:pPr>
      <w:r>
        <w:rPr/>
        <w:t>„МХМ пројект“ доо Нови Сад број 004</w:t>
      </w:r>
      <w:r>
        <w:rPr>
          <w:rFonts w:ascii="Times New Roman" w:hAnsi="Times New Roman" w:cs="Times New Roman" w:eastAsia="Times New Roman" w:hint="default"/>
        </w:rPr>
        <w:t>-</w:t>
      </w:r>
      <w:r>
        <w:rPr/>
        <w:t>14 од 30.01.2014. године за надзор над израдом и постављањем туристичке сигнализације на подручју града Ниша и његове околине – цео рачун је на 462 хиљаде динара), угоститељске услуге у износу од 32 хиљаде динара, у износу од 521 хиљаде динара за остале опште услуге. На описани начин Туристичка организација је одступила од захтева за пренос средстава у износу од 722 хиљаде</w:t>
      </w:r>
      <w:r>
        <w:rPr>
          <w:spacing w:val="-18"/>
        </w:rPr>
        <w:t> </w:t>
      </w:r>
      <w:r>
        <w:rPr/>
        <w:t>динара</w:t>
      </w:r>
      <w:r>
        <w:rPr>
          <w:rFonts w:ascii="Times New Roman" w:hAnsi="Times New Roman" w:cs="Times New Roman" w:eastAsia="Times New Roman" w:hint="default"/>
        </w:rPr>
        <w:t>.</w:t>
      </w:r>
    </w:p>
    <w:p>
      <w:pPr>
        <w:pStyle w:val="ListParagraph"/>
        <w:numPr>
          <w:ilvl w:val="0"/>
          <w:numId w:val="9"/>
        </w:numPr>
        <w:tabs>
          <w:tab w:pos="303" w:val="left" w:leader="none"/>
        </w:tabs>
        <w:spacing w:line="237" w:lineRule="auto" w:before="4"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Износ од 1.500 хиљада динара који је град пренео Туристичкој организацији и који је пренела Центру за развој грађанског друштва „Протекта“ Ниш није верификован, односно није признат трошак и није рефундиран тај износ од стране ИПА</w:t>
      </w:r>
      <w:r>
        <w:rPr>
          <w:rFonts w:ascii="Times New Roman" w:hAnsi="Times New Roman" w:cs="Times New Roman" w:eastAsia="Times New Roman" w:hint="default"/>
          <w:spacing w:val="-25"/>
          <w:sz w:val="24"/>
          <w:szCs w:val="24"/>
        </w:rPr>
        <w:t> </w:t>
      </w:r>
      <w:r>
        <w:rPr>
          <w:rFonts w:ascii="Times New Roman" w:hAnsi="Times New Roman" w:cs="Times New Roman" w:eastAsia="Times New Roman" w:hint="default"/>
          <w:sz w:val="24"/>
          <w:szCs w:val="24"/>
        </w:rPr>
        <w:t>фонда.</w:t>
      </w:r>
    </w:p>
    <w:p>
      <w:pPr>
        <w:pStyle w:val="ListParagraph"/>
        <w:numPr>
          <w:ilvl w:val="0"/>
          <w:numId w:val="9"/>
        </w:numPr>
        <w:tabs>
          <w:tab w:pos="303" w:val="left" w:leader="none"/>
        </w:tabs>
        <w:spacing w:line="274" w:lineRule="exact" w:before="24"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Рефундиран је из ИПА фонда Туристичкој организацији коначни износ дана 03.11.2014. године у износу од 81.571,54 евра. Туристичка организација није вратила Граду износ </w:t>
      </w:r>
      <w:r>
        <w:rPr>
          <w:rFonts w:ascii="Times New Roman" w:hAnsi="Times New Roman"/>
          <w:spacing w:val="10"/>
          <w:sz w:val="24"/>
        </w:rPr>
        <w:t> </w:t>
      </w:r>
      <w:r>
        <w:rPr>
          <w:rFonts w:ascii="Times New Roman" w:hAnsi="Times New Roman"/>
          <w:sz w:val="24"/>
        </w:rPr>
        <w:t>од</w:t>
      </w:r>
    </w:p>
    <w:p>
      <w:pPr>
        <w:pStyle w:val="BodyText"/>
        <w:spacing w:line="240" w:lineRule="auto"/>
        <w:ind w:right="175"/>
        <w:jc w:val="both"/>
      </w:pPr>
      <w:r>
        <w:rPr/>
        <w:t>50.000 евра, што је супротно члану 5. и 7. Уговора. Туристичка организација је потрошила средства која је добила од ИПА</w:t>
      </w:r>
      <w:r>
        <w:rPr>
          <w:spacing w:val="-8"/>
        </w:rPr>
        <w:t> </w:t>
      </w:r>
      <w:r>
        <w:rPr/>
        <w:t>фондова.</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Остала пасивна временска разграничења више су исказана код Туристичке организације за износ од 11 хиљада динара и то у износу од две хиљаде динара за неправилно евидентирану обавезу за службено путовање и у износу од девет хиљада динара за које нисмо могли да утврдимо на шта се</w:t>
      </w:r>
      <w:r>
        <w:rPr>
          <w:rFonts w:ascii="Times New Roman" w:hAnsi="Times New Roman"/>
          <w:spacing w:val="-8"/>
          <w:sz w:val="24"/>
        </w:rPr>
        <w:t> </w:t>
      </w:r>
      <w:r>
        <w:rPr>
          <w:rFonts w:ascii="Times New Roman" w:hAnsi="Times New Roman"/>
          <w:sz w:val="24"/>
        </w:rPr>
        <w:t>односи</w:t>
      </w:r>
      <w:r>
        <w:rPr>
          <w:rFonts w:ascii="Times New Roman" w:hAnsi="Times New Roman"/>
          <w:sz w:val="24"/>
        </w:rPr>
        <w:t>.</w:t>
      </w:r>
    </w:p>
    <w:p>
      <w:pPr>
        <w:pStyle w:val="Heading2"/>
        <w:spacing w:line="240" w:lineRule="auto"/>
        <w:ind w:right="173"/>
        <w:jc w:val="both"/>
        <w:rPr>
          <w:b w:val="0"/>
          <w:bCs w:val="0"/>
          <w:i w:val="0"/>
        </w:rPr>
      </w:pPr>
      <w:r>
        <w:rPr>
          <w:i/>
        </w:rPr>
        <w:t>Препоручује се одговорним лицима да врше правилну консолидацију података, правилно исказују обавезе, обезбеде правилну примену одредби закључених уговора, Уредбе о буџетском рачуноводству и Правилника о стандардном класификационом оквиру и контном плану за буџетски</w:t>
      </w:r>
      <w:r>
        <w:rPr>
          <w:i/>
          <w:spacing w:val="-17"/>
        </w:rPr>
        <w:t> </w:t>
      </w:r>
      <w:r>
        <w:rPr>
          <w:i/>
        </w:rPr>
        <w:t>систем.</w:t>
      </w:r>
      <w:r>
        <w:rPr>
          <w:b w:val="0"/>
          <w:i w:val="0"/>
        </w:rPr>
      </w:r>
    </w:p>
    <w:p>
      <w:pPr>
        <w:pStyle w:val="ListParagraph"/>
        <w:numPr>
          <w:ilvl w:val="0"/>
          <w:numId w:val="88"/>
        </w:numPr>
        <w:tabs>
          <w:tab w:pos="588" w:val="left" w:leader="none"/>
        </w:tabs>
        <w:spacing w:line="240" w:lineRule="auto" w:before="135" w:after="0"/>
        <w:ind w:left="160" w:right="177" w:firstLine="0"/>
        <w:jc w:val="both"/>
        <w:rPr>
          <w:rFonts w:ascii="Times New Roman" w:hAnsi="Times New Roman" w:cs="Times New Roman" w:eastAsia="Times New Roman" w:hint="default"/>
          <w:sz w:val="24"/>
          <w:szCs w:val="24"/>
        </w:rPr>
      </w:pPr>
      <w:r>
        <w:rPr>
          <w:rFonts w:ascii="Times New Roman" w:hAnsi="Times New Roman"/>
          <w:spacing w:val="-60"/>
          <w:sz w:val="24"/>
          <w:u w:val="single" w:color="000000"/>
        </w:rPr>
        <w:t> </w:t>
      </w:r>
      <w:r>
        <w:rPr>
          <w:rFonts w:ascii="Times New Roman" w:hAnsi="Times New Roman"/>
          <w:sz w:val="24"/>
          <w:u w:val="single" w:color="000000"/>
        </w:rPr>
        <w:t>Управа за пољопривреду и развој села </w:t>
      </w:r>
      <w:r>
        <w:rPr>
          <w:rFonts w:ascii="Times New Roman" w:hAnsi="Times New Roman"/>
          <w:sz w:val="24"/>
        </w:rPr>
        <w:t>у укупном износу од 49.042 хиљаде динара за </w:t>
      </w:r>
      <w:r>
        <w:rPr>
          <w:rFonts w:ascii="Times New Roman" w:hAnsi="Times New Roman"/>
          <w:sz w:val="24"/>
        </w:rPr>
        <w:t>исказане обавезе код</w:t>
      </w:r>
      <w:r>
        <w:rPr>
          <w:rFonts w:ascii="Times New Roman" w:hAnsi="Times New Roman"/>
          <w:spacing w:val="-11"/>
          <w:sz w:val="24"/>
        </w:rPr>
        <w:t> </w:t>
      </w:r>
      <w:r>
        <w:rPr>
          <w:rFonts w:ascii="Times New Roman" w:hAnsi="Times New Roman"/>
          <w:sz w:val="24"/>
        </w:rPr>
        <w:t>Управе.</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Више су исказане обавезе код Управе за пољопривреду и развој села у износу од </w:t>
      </w:r>
      <w:r>
        <w:rPr>
          <w:rFonts w:ascii="Times New Roman" w:hAnsi="Times New Roman" w:cs="Times New Roman" w:eastAsia="Times New Roman" w:hint="default"/>
          <w:sz w:val="24"/>
          <w:szCs w:val="24"/>
        </w:rPr>
        <w:t>101 </w:t>
      </w:r>
      <w:r>
        <w:rPr>
          <w:rFonts w:ascii="Times New Roman" w:hAnsi="Times New Roman" w:cs="Times New Roman" w:eastAsia="Times New Roman" w:hint="default"/>
          <w:sz w:val="24"/>
          <w:szCs w:val="24"/>
        </w:rPr>
        <w:t>хиљаде динара на име укалкулисаних обавеза по поднетим захтевима индиректног корисника, јер је индиректни корисник обавезе исказао у свом билансу стања које су обухваћене консолидацијом, па је неправилно извршена консолидација. Истовремено, више је исказан износ на конту 131200 – обрачунати неплаћени расходи и издаци у истом износу.</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Мање су исказане обавезе код Управа за пољопривреду и развој села у износу од најмање </w:t>
      </w:r>
      <w:r>
        <w:rPr>
          <w:rFonts w:ascii="Times New Roman" w:hAnsi="Times New Roman" w:cs="Times New Roman" w:eastAsia="Times New Roman" w:hint="default"/>
          <w:sz w:val="24"/>
          <w:szCs w:val="24"/>
        </w:rPr>
        <w:t>25.040 </w:t>
      </w:r>
      <w:r>
        <w:rPr>
          <w:rFonts w:ascii="Times New Roman" w:hAnsi="Times New Roman" w:cs="Times New Roman" w:eastAsia="Times New Roman" w:hint="default"/>
          <w:sz w:val="24"/>
          <w:szCs w:val="24"/>
        </w:rPr>
        <w:t>хиљада динара јер нису евидентиране обавезе према добављачима. Истовремено, за исти износ мање је исказана позиција 131200 – обрачунати неплаћени расходи и</w:t>
      </w:r>
      <w:r>
        <w:rPr>
          <w:rFonts w:ascii="Times New Roman" w:hAnsi="Times New Roman" w:cs="Times New Roman" w:eastAsia="Times New Roman" w:hint="default"/>
          <w:spacing w:val="-2"/>
          <w:sz w:val="24"/>
          <w:szCs w:val="24"/>
        </w:rPr>
        <w:t> </w:t>
      </w:r>
      <w:r>
        <w:rPr>
          <w:rFonts w:ascii="Times New Roman" w:hAnsi="Times New Roman" w:cs="Times New Roman" w:eastAsia="Times New Roman" w:hint="default"/>
          <w:sz w:val="24"/>
          <w:szCs w:val="24"/>
        </w:rPr>
        <w:t>издаци</w:t>
      </w:r>
      <w:r>
        <w:rPr>
          <w:rFonts w:ascii="Times New Roman" w:hAnsi="Times New Roman" w:cs="Times New Roman" w:eastAsia="Times New Roman" w:hint="default"/>
          <w:sz w:val="24"/>
          <w:szCs w:val="24"/>
        </w:rPr>
        <w:t>.</w:t>
      </w:r>
    </w:p>
    <w:p>
      <w:pPr>
        <w:spacing w:after="0" w:line="240" w:lineRule="auto"/>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pStyle w:val="ListParagraph"/>
        <w:numPr>
          <w:ilvl w:val="0"/>
          <w:numId w:val="9"/>
        </w:numPr>
        <w:tabs>
          <w:tab w:pos="303" w:val="left" w:leader="none"/>
        </w:tabs>
        <w:spacing w:line="240" w:lineRule="auto" w:before="124"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Мање су исказане обавезе код Фонда за развој и самофинансирање за износ од најмање 268 хиљада динара и то за износ од 227 хиљада динара за плате за децембар 2014. године, за износ од 41 хиљаде динара за социјалне доприносе за плату за децембар 2014. године. Истовремено, за исти износ мање је исказана позиција 131200 – обрачунати неплаћени расходи и</w:t>
      </w:r>
      <w:r>
        <w:rPr>
          <w:rFonts w:ascii="Times New Roman" w:hAnsi="Times New Roman" w:cs="Times New Roman" w:eastAsia="Times New Roman" w:hint="default"/>
          <w:spacing w:val="-2"/>
          <w:sz w:val="24"/>
          <w:szCs w:val="24"/>
        </w:rPr>
        <w:t> </w:t>
      </w:r>
      <w:r>
        <w:rPr>
          <w:rFonts w:ascii="Times New Roman" w:hAnsi="Times New Roman" w:cs="Times New Roman" w:eastAsia="Times New Roman" w:hint="default"/>
          <w:sz w:val="24"/>
          <w:szCs w:val="24"/>
        </w:rPr>
        <w:t>издаци</w:t>
      </w:r>
      <w:r>
        <w:rPr>
          <w:rFonts w:ascii="Times New Roman" w:hAnsi="Times New Roman" w:cs="Times New Roman" w:eastAsia="Times New Roman" w:hint="default"/>
          <w:sz w:val="24"/>
          <w:szCs w:val="24"/>
        </w:rPr>
        <w:t>.</w:t>
      </w:r>
    </w:p>
    <w:p>
      <w:pPr>
        <w:pStyle w:val="Heading2"/>
        <w:spacing w:line="240" w:lineRule="auto"/>
        <w:ind w:left="726" w:right="141" w:firstLine="0"/>
        <w:jc w:val="left"/>
        <w:rPr>
          <w:b w:val="0"/>
          <w:bCs w:val="0"/>
          <w:i w:val="0"/>
        </w:rPr>
      </w:pPr>
      <w:r>
        <w:rPr>
          <w:i/>
        </w:rPr>
        <w:t>Препоручује се одговорним лицима да правилно исказују</w:t>
      </w:r>
      <w:r>
        <w:rPr>
          <w:i/>
          <w:spacing w:val="-20"/>
        </w:rPr>
        <w:t> </w:t>
      </w:r>
      <w:r>
        <w:rPr>
          <w:i/>
        </w:rPr>
        <w:t>обавезе.</w:t>
      </w:r>
      <w:r>
        <w:rPr>
          <w:b w:val="0"/>
          <w:i w:val="0"/>
        </w:rPr>
      </w:r>
    </w:p>
    <w:p>
      <w:pPr>
        <w:pStyle w:val="ListParagraph"/>
        <w:numPr>
          <w:ilvl w:val="0"/>
          <w:numId w:val="88"/>
        </w:numPr>
        <w:tabs>
          <w:tab w:pos="588" w:val="left" w:leader="none"/>
        </w:tabs>
        <w:spacing w:line="240" w:lineRule="auto" w:before="132" w:after="0"/>
        <w:ind w:left="160" w:right="173" w:firstLine="0"/>
        <w:jc w:val="both"/>
        <w:rPr>
          <w:rFonts w:ascii="Times New Roman" w:hAnsi="Times New Roman" w:cs="Times New Roman" w:eastAsia="Times New Roman" w:hint="default"/>
          <w:sz w:val="24"/>
          <w:szCs w:val="24"/>
        </w:rPr>
      </w:pPr>
      <w:r>
        <w:rPr>
          <w:rFonts w:ascii="Times New Roman" w:hAnsi="Times New Roman"/>
          <w:spacing w:val="-60"/>
          <w:sz w:val="24"/>
          <w:u w:val="single" w:color="000000"/>
        </w:rPr>
        <w:t> </w:t>
      </w:r>
      <w:r>
        <w:rPr>
          <w:rFonts w:ascii="Times New Roman" w:hAnsi="Times New Roman"/>
          <w:sz w:val="24"/>
          <w:u w:val="single" w:color="000000"/>
        </w:rPr>
        <w:t>Служба за одржавање и инфоматичко</w:t>
      </w:r>
      <w:r>
        <w:rPr>
          <w:rFonts w:ascii="Times New Roman" w:hAnsi="Times New Roman"/>
          <w:sz w:val="24"/>
          <w:u w:val="single" w:color="000000"/>
        </w:rPr>
        <w:t>-</w:t>
      </w:r>
      <w:r>
        <w:rPr>
          <w:rFonts w:ascii="Times New Roman" w:hAnsi="Times New Roman"/>
          <w:sz w:val="24"/>
          <w:u w:val="single" w:color="000000"/>
        </w:rPr>
        <w:t>комуникационе технологије </w:t>
      </w:r>
      <w:r>
        <w:rPr>
          <w:rFonts w:ascii="Times New Roman" w:hAnsi="Times New Roman"/>
          <w:sz w:val="24"/>
        </w:rPr>
        <w:t>у укупном износу </w:t>
      </w:r>
      <w:r>
        <w:rPr>
          <w:rFonts w:ascii="Times New Roman" w:hAnsi="Times New Roman"/>
          <w:sz w:val="24"/>
        </w:rPr>
        <w:t>од 59.065 хиљада</w:t>
      </w:r>
      <w:r>
        <w:rPr>
          <w:rFonts w:ascii="Times New Roman" w:hAnsi="Times New Roman"/>
          <w:spacing w:val="-5"/>
          <w:sz w:val="24"/>
        </w:rPr>
        <w:t> </w:t>
      </w:r>
      <w:r>
        <w:rPr>
          <w:rFonts w:ascii="Times New Roman" w:hAnsi="Times New Roman"/>
          <w:sz w:val="24"/>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Мање су исказане обавезе код Службе за одржавање и ИКТ у износу од најмање </w:t>
      </w:r>
      <w:r>
        <w:rPr>
          <w:rFonts w:ascii="Times New Roman" w:hAnsi="Times New Roman" w:cs="Times New Roman" w:eastAsia="Times New Roman" w:hint="default"/>
          <w:sz w:val="24"/>
          <w:szCs w:val="24"/>
        </w:rPr>
        <w:t>10.644 </w:t>
      </w:r>
      <w:r>
        <w:rPr>
          <w:rFonts w:ascii="Times New Roman" w:hAnsi="Times New Roman" w:cs="Times New Roman" w:eastAsia="Times New Roman" w:hint="default"/>
          <w:sz w:val="24"/>
          <w:szCs w:val="24"/>
        </w:rPr>
        <w:t>хиљаде динара јер исте нису евидентиране и то обавезе према добављачима. Истовремено, за исти износ мање је исказана позиција 131200 – обрачунати неплаћени расходи и</w:t>
      </w:r>
      <w:r>
        <w:rPr>
          <w:rFonts w:ascii="Times New Roman" w:hAnsi="Times New Roman" w:cs="Times New Roman" w:eastAsia="Times New Roman" w:hint="default"/>
          <w:spacing w:val="-2"/>
          <w:sz w:val="24"/>
          <w:szCs w:val="24"/>
        </w:rPr>
        <w:t> </w:t>
      </w:r>
      <w:r>
        <w:rPr>
          <w:rFonts w:ascii="Times New Roman" w:hAnsi="Times New Roman" w:cs="Times New Roman" w:eastAsia="Times New Roman" w:hint="default"/>
          <w:sz w:val="24"/>
          <w:szCs w:val="24"/>
        </w:rPr>
        <w:t>издаци</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37" w:lineRule="auto" w:before="4"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Служба за одржавање и информатичко</w:t>
      </w:r>
      <w:r>
        <w:rPr>
          <w:rFonts w:ascii="Times New Roman" w:hAnsi="Times New Roman"/>
          <w:sz w:val="24"/>
        </w:rPr>
        <w:t>-</w:t>
      </w:r>
      <w:r>
        <w:rPr>
          <w:rFonts w:ascii="Times New Roman" w:hAnsi="Times New Roman"/>
          <w:sz w:val="24"/>
        </w:rPr>
        <w:t>комуникационе технологије је преузела обавезе преко одобрених апропријација у укупном износу од 6.188 хиљада динара</w:t>
      </w:r>
      <w:r>
        <w:rPr>
          <w:rFonts w:ascii="Times New Roman" w:hAnsi="Times New Roman"/>
          <w:sz w:val="24"/>
        </w:rPr>
        <w:t>, </w:t>
      </w:r>
      <w:r>
        <w:rPr>
          <w:rFonts w:ascii="Times New Roman" w:hAnsi="Times New Roman"/>
          <w:sz w:val="24"/>
        </w:rPr>
        <w:t>што је супротно члану 54. Закона о буџетском систему и</w:t>
      </w:r>
      <w:r>
        <w:rPr>
          <w:rFonts w:ascii="Times New Roman" w:hAnsi="Times New Roman"/>
          <w:spacing w:val="-15"/>
          <w:sz w:val="24"/>
        </w:rPr>
        <w:t> </w:t>
      </w:r>
      <w:r>
        <w:rPr>
          <w:rFonts w:ascii="Times New Roman" w:hAnsi="Times New Roman"/>
          <w:sz w:val="24"/>
        </w:rPr>
        <w:t>то:</w:t>
      </w:r>
    </w:p>
    <w:p>
      <w:pPr>
        <w:spacing w:before="3" w:after="4"/>
        <w:ind w:left="5069" w:right="141" w:firstLine="0"/>
        <w:jc w:val="left"/>
        <w:rPr>
          <w:rFonts w:ascii="Times New Roman" w:hAnsi="Times New Roman" w:cs="Times New Roman" w:eastAsia="Times New Roman" w:hint="default"/>
          <w:sz w:val="18"/>
          <w:szCs w:val="18"/>
        </w:rPr>
      </w:pPr>
      <w:r>
        <w:rPr>
          <w:rFonts w:ascii="Times New Roman" w:hAnsi="Times New Roman"/>
          <w:sz w:val="18"/>
        </w:rPr>
        <w:t>(</w:t>
      </w:r>
      <w:r>
        <w:rPr>
          <w:rFonts w:ascii="Times New Roman" w:hAnsi="Times New Roman"/>
          <w:sz w:val="18"/>
        </w:rPr>
        <w:t>у хиљадама</w:t>
      </w:r>
      <w:r>
        <w:rPr>
          <w:rFonts w:ascii="Times New Roman" w:hAnsi="Times New Roman"/>
          <w:spacing w:val="-8"/>
          <w:sz w:val="18"/>
        </w:rPr>
        <w:t> </w:t>
      </w:r>
      <w:r>
        <w:rPr>
          <w:rFonts w:ascii="Times New Roman" w:hAnsi="Times New Roman"/>
          <w:sz w:val="18"/>
        </w:rPr>
        <w:t>динара</w:t>
      </w:r>
      <w:r>
        <w:rPr>
          <w:rFonts w:ascii="Times New Roman" w:hAnsi="Times New Roman"/>
          <w:sz w:val="18"/>
        </w:rPr>
        <w:t>)</w:t>
      </w:r>
    </w:p>
    <w:tbl>
      <w:tblPr>
        <w:tblW w:w="0" w:type="auto"/>
        <w:jc w:val="left"/>
        <w:tblInd w:w="1290" w:type="dxa"/>
        <w:tblLayout w:type="fixed"/>
        <w:tblCellMar>
          <w:top w:w="0" w:type="dxa"/>
          <w:left w:w="0" w:type="dxa"/>
          <w:bottom w:w="0" w:type="dxa"/>
          <w:right w:w="0" w:type="dxa"/>
        </w:tblCellMar>
        <w:tblLook w:val="01E0"/>
      </w:tblPr>
      <w:tblGrid>
        <w:gridCol w:w="3685"/>
        <w:gridCol w:w="2127"/>
      </w:tblGrid>
      <w:tr>
        <w:trPr>
          <w:trHeight w:val="425" w:hRule="exact"/>
        </w:trPr>
        <w:tc>
          <w:tcPr>
            <w:tcW w:w="3685" w:type="dxa"/>
            <w:vMerge w:val="restart"/>
            <w:tcBorders>
              <w:top w:val="single" w:sz="4" w:space="0" w:color="000000"/>
              <w:left w:val="single" w:sz="4" w:space="0" w:color="000000"/>
              <w:right w:val="single" w:sz="4" w:space="0" w:color="000000"/>
            </w:tcBorders>
          </w:tcPr>
          <w:p>
            <w:pPr>
              <w:pStyle w:val="TableParagraph"/>
              <w:spacing w:line="202" w:lineRule="exact"/>
              <w:ind w:left="718" w:right="0"/>
              <w:jc w:val="left"/>
              <w:rPr>
                <w:rFonts w:ascii="Times New Roman" w:hAnsi="Times New Roman" w:cs="Times New Roman" w:eastAsia="Times New Roman" w:hint="default"/>
                <w:sz w:val="18"/>
                <w:szCs w:val="18"/>
              </w:rPr>
            </w:pPr>
            <w:r>
              <w:rPr>
                <w:rFonts w:ascii="Times New Roman" w:hAnsi="Times New Roman"/>
                <w:sz w:val="18"/>
              </w:rPr>
              <w:t>Служба за одржавање и</w:t>
            </w:r>
            <w:r>
              <w:rPr>
                <w:rFonts w:ascii="Times New Roman" w:hAnsi="Times New Roman"/>
                <w:spacing w:val="-6"/>
                <w:sz w:val="18"/>
              </w:rPr>
              <w:t> </w:t>
            </w:r>
            <w:r>
              <w:rPr>
                <w:rFonts w:ascii="Times New Roman" w:hAnsi="Times New Roman"/>
                <w:sz w:val="18"/>
              </w:rPr>
              <w:t>ИКТ</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347" w:right="314" w:firstLine="141"/>
              <w:jc w:val="left"/>
              <w:rPr>
                <w:rFonts w:ascii="Times New Roman" w:hAnsi="Times New Roman" w:cs="Times New Roman" w:eastAsia="Times New Roman" w:hint="default"/>
                <w:sz w:val="18"/>
                <w:szCs w:val="18"/>
              </w:rPr>
            </w:pPr>
            <w:r>
              <w:rPr>
                <w:rFonts w:ascii="Times New Roman" w:hAnsi="Times New Roman"/>
                <w:sz w:val="18"/>
              </w:rPr>
              <w:t>Функционална класификација</w:t>
            </w:r>
            <w:r>
              <w:rPr>
                <w:rFonts w:ascii="Times New Roman" w:hAnsi="Times New Roman"/>
                <w:spacing w:val="-6"/>
                <w:sz w:val="18"/>
              </w:rPr>
              <w:t> </w:t>
            </w:r>
            <w:r>
              <w:rPr>
                <w:rFonts w:ascii="Times New Roman" w:hAnsi="Times New Roman"/>
                <w:sz w:val="18"/>
              </w:rPr>
              <w:t>130</w:t>
            </w:r>
          </w:p>
        </w:tc>
      </w:tr>
      <w:tr>
        <w:trPr>
          <w:trHeight w:val="216" w:hRule="exact"/>
        </w:trPr>
        <w:tc>
          <w:tcPr>
            <w:tcW w:w="3685" w:type="dxa"/>
            <w:vMerge/>
            <w:tcBorders>
              <w:left w:val="single" w:sz="4" w:space="0" w:color="000000"/>
              <w:bottom w:val="single" w:sz="4" w:space="0" w:color="000000"/>
              <w:right w:val="single" w:sz="4" w:space="0" w:color="000000"/>
            </w:tcBorders>
          </w:tcPr>
          <w:p>
            <w:pP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431" w:right="314"/>
              <w:jc w:val="left"/>
              <w:rPr>
                <w:rFonts w:ascii="Times New Roman" w:hAnsi="Times New Roman" w:cs="Times New Roman" w:eastAsia="Times New Roman" w:hint="default"/>
                <w:sz w:val="18"/>
                <w:szCs w:val="18"/>
              </w:rPr>
            </w:pPr>
            <w:r>
              <w:rPr>
                <w:rFonts w:ascii="Times New Roman" w:hAnsi="Times New Roman"/>
                <w:sz w:val="18"/>
              </w:rPr>
              <w:t>Група конта </w:t>
            </w:r>
            <w:r>
              <w:rPr>
                <w:rFonts w:ascii="Times New Roman" w:hAnsi="Times New Roman"/>
                <w:sz w:val="18"/>
              </w:rPr>
              <w:t>421</w:t>
            </w:r>
          </w:p>
        </w:tc>
      </w:tr>
      <w:tr>
        <w:trPr>
          <w:trHeight w:val="216" w:hRule="exact"/>
        </w:trPr>
        <w:tc>
          <w:tcPr>
            <w:tcW w:w="368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0" w:right="0"/>
              <w:jc w:val="left"/>
              <w:rPr>
                <w:rFonts w:ascii="Times New Roman" w:hAnsi="Times New Roman" w:cs="Times New Roman" w:eastAsia="Times New Roman" w:hint="default"/>
                <w:sz w:val="18"/>
                <w:szCs w:val="18"/>
              </w:rPr>
            </w:pPr>
            <w:r>
              <w:rPr>
                <w:rFonts w:ascii="Times New Roman" w:hAnsi="Times New Roman"/>
                <w:sz w:val="18"/>
              </w:rPr>
              <w:t>План</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91.628</w:t>
            </w:r>
          </w:p>
        </w:tc>
      </w:tr>
      <w:tr>
        <w:trPr>
          <w:trHeight w:val="218" w:hRule="exact"/>
        </w:trPr>
        <w:tc>
          <w:tcPr>
            <w:tcW w:w="368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0" w:right="0"/>
              <w:jc w:val="left"/>
              <w:rPr>
                <w:rFonts w:ascii="Times New Roman" w:hAnsi="Times New Roman" w:cs="Times New Roman" w:eastAsia="Times New Roman" w:hint="default"/>
                <w:sz w:val="18"/>
                <w:szCs w:val="18"/>
              </w:rPr>
            </w:pPr>
            <w:r>
              <w:rPr>
                <w:rFonts w:ascii="Times New Roman" w:hAnsi="Times New Roman"/>
                <w:sz w:val="18"/>
              </w:rPr>
              <w:t>Извршење</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0"/>
              <w:jc w:val="right"/>
              <w:rPr>
                <w:rFonts w:ascii="Times New Roman" w:hAnsi="Times New Roman" w:cs="Times New Roman" w:eastAsia="Times New Roman" w:hint="default"/>
                <w:sz w:val="18"/>
                <w:szCs w:val="18"/>
              </w:rPr>
            </w:pPr>
            <w:r>
              <w:rPr>
                <w:rFonts w:ascii="Times New Roman"/>
                <w:spacing w:val="-1"/>
                <w:sz w:val="18"/>
              </w:rPr>
              <w:t>60.804</w:t>
            </w:r>
          </w:p>
        </w:tc>
      </w:tr>
      <w:tr>
        <w:trPr>
          <w:trHeight w:val="216" w:hRule="exact"/>
        </w:trPr>
        <w:tc>
          <w:tcPr>
            <w:tcW w:w="3685"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left="100" w:right="0"/>
              <w:jc w:val="left"/>
              <w:rPr>
                <w:rFonts w:ascii="Times New Roman" w:hAnsi="Times New Roman" w:cs="Times New Roman" w:eastAsia="Times New Roman" w:hint="default"/>
                <w:sz w:val="18"/>
                <w:szCs w:val="18"/>
              </w:rPr>
            </w:pPr>
            <w:r>
              <w:rPr>
                <w:rFonts w:ascii="Times New Roman" w:hAnsi="Times New Roman"/>
                <w:sz w:val="18"/>
              </w:rPr>
              <w:t>Разлика</w:t>
            </w:r>
            <w:r>
              <w:rPr>
                <w:rFonts w:ascii="Times New Roman" w:hAnsi="Times New Roman"/>
                <w:spacing w:val="-4"/>
                <w:sz w:val="18"/>
              </w:rPr>
              <w:t> </w:t>
            </w:r>
            <w:r>
              <w:rPr>
                <w:rFonts w:ascii="Times New Roman" w:hAnsi="Times New Roman"/>
                <w:sz w:val="18"/>
              </w:rPr>
              <w:t>1</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03" w:lineRule="exact"/>
              <w:ind w:right="100"/>
              <w:jc w:val="right"/>
              <w:rPr>
                <w:rFonts w:ascii="Times New Roman" w:hAnsi="Times New Roman" w:cs="Times New Roman" w:eastAsia="Times New Roman" w:hint="default"/>
                <w:sz w:val="18"/>
                <w:szCs w:val="18"/>
              </w:rPr>
            </w:pPr>
            <w:r>
              <w:rPr>
                <w:rFonts w:ascii="Times New Roman"/>
                <w:spacing w:val="-1"/>
                <w:sz w:val="18"/>
              </w:rPr>
              <w:t>30.824</w:t>
            </w:r>
          </w:p>
        </w:tc>
      </w:tr>
      <w:tr>
        <w:trPr>
          <w:trHeight w:val="218" w:hRule="exact"/>
        </w:trPr>
        <w:tc>
          <w:tcPr>
            <w:tcW w:w="368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0" w:right="0"/>
              <w:jc w:val="left"/>
              <w:rPr>
                <w:rFonts w:ascii="Times New Roman" w:hAnsi="Times New Roman" w:cs="Times New Roman" w:eastAsia="Times New Roman" w:hint="default"/>
                <w:sz w:val="18"/>
                <w:szCs w:val="18"/>
              </w:rPr>
            </w:pPr>
            <w:r>
              <w:rPr>
                <w:rFonts w:ascii="Times New Roman" w:hAnsi="Times New Roman"/>
                <w:sz w:val="18"/>
              </w:rPr>
              <w:t>Преузете обавезе по</w:t>
            </w:r>
            <w:r>
              <w:rPr>
                <w:rFonts w:ascii="Times New Roman" w:hAnsi="Times New Roman"/>
                <w:spacing w:val="-11"/>
                <w:sz w:val="18"/>
              </w:rPr>
              <w:t> </w:t>
            </w:r>
            <w:r>
              <w:rPr>
                <w:rFonts w:ascii="Times New Roman" w:hAnsi="Times New Roman"/>
                <w:sz w:val="18"/>
              </w:rPr>
              <w:t>рачунима</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37.012</w:t>
            </w:r>
          </w:p>
        </w:tc>
      </w:tr>
      <w:tr>
        <w:trPr>
          <w:trHeight w:val="216" w:hRule="exact"/>
        </w:trPr>
        <w:tc>
          <w:tcPr>
            <w:tcW w:w="368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0" w:right="0"/>
              <w:jc w:val="left"/>
              <w:rPr>
                <w:rFonts w:ascii="Times New Roman" w:hAnsi="Times New Roman" w:cs="Times New Roman" w:eastAsia="Times New Roman" w:hint="default"/>
                <w:sz w:val="18"/>
                <w:szCs w:val="18"/>
              </w:rPr>
            </w:pPr>
            <w:r>
              <w:rPr>
                <w:rFonts w:ascii="Times New Roman" w:hAnsi="Times New Roman"/>
                <w:sz w:val="18"/>
              </w:rPr>
              <w:t>Преузете обавезе по</w:t>
            </w:r>
            <w:r>
              <w:rPr>
                <w:rFonts w:ascii="Times New Roman" w:hAnsi="Times New Roman"/>
                <w:spacing w:val="-10"/>
                <w:sz w:val="18"/>
              </w:rPr>
              <w:t> </w:t>
            </w:r>
            <w:r>
              <w:rPr>
                <w:rFonts w:ascii="Times New Roman" w:hAnsi="Times New Roman"/>
                <w:sz w:val="18"/>
              </w:rPr>
              <w:t>уговорима</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r>
      <w:tr>
        <w:trPr>
          <w:trHeight w:val="218" w:hRule="exact"/>
        </w:trPr>
        <w:tc>
          <w:tcPr>
            <w:tcW w:w="36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0" w:right="0"/>
              <w:jc w:val="left"/>
              <w:rPr>
                <w:rFonts w:ascii="Times New Roman" w:hAnsi="Times New Roman" w:cs="Times New Roman" w:eastAsia="Times New Roman" w:hint="default"/>
                <w:sz w:val="18"/>
                <w:szCs w:val="18"/>
              </w:rPr>
            </w:pPr>
            <w:r>
              <w:rPr>
                <w:rFonts w:ascii="Times New Roman" w:hAnsi="Times New Roman"/>
                <w:b/>
                <w:sz w:val="18"/>
              </w:rPr>
              <w:t>Разлика</w:t>
            </w:r>
            <w:r>
              <w:rPr>
                <w:rFonts w:ascii="Times New Roman" w:hAnsi="Times New Roman"/>
                <w:b/>
                <w:spacing w:val="-4"/>
                <w:sz w:val="18"/>
              </w:rPr>
              <w:t> </w:t>
            </w:r>
            <w:r>
              <w:rPr>
                <w:rFonts w:ascii="Times New Roman" w:hAnsi="Times New Roman"/>
                <w:b/>
                <w:sz w:val="18"/>
              </w:rPr>
              <w:t>2</w:t>
            </w:r>
            <w:r>
              <w:rPr>
                <w:rFonts w:ascii="Times New Roman" w:hAnsi="Times New Roman"/>
                <w:sz w:val="18"/>
              </w:rPr>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z w:val="18"/>
              </w:rPr>
              <w:t>-6.188</w:t>
            </w:r>
            <w:r>
              <w:rPr>
                <w:rFonts w:ascii="Times New Roman"/>
                <w:sz w:val="18"/>
              </w:rPr>
            </w:r>
          </w:p>
        </w:tc>
      </w:tr>
    </w:tbl>
    <w:p>
      <w:pPr>
        <w:pStyle w:val="BodyText"/>
        <w:spacing w:line="240" w:lineRule="auto"/>
        <w:ind w:right="175" w:firstLine="566"/>
        <w:jc w:val="both"/>
      </w:pPr>
      <w:r>
        <w:rPr/>
        <w:t>На функционалној класификацији 130 – опште услуге, на економској класификацији 421000 – стални трошкови преузете су обавезе више од одобрене апропријације у износу од 6.188 хиљада динара по основу трошкова за услуге електричне енергије, централног грејања, поште, телефона, воду, смеће, еко таксу, од којих се износ целокупан износ односи на преузете обавезе по рачунима за децембар 2014. године</w:t>
      </w:r>
      <w:r>
        <w:rPr>
          <w:rFonts w:ascii="Times New Roman" w:hAnsi="Times New Roman" w:cs="Times New Roman" w:eastAsia="Times New Roman" w:hint="default"/>
        </w:rPr>
        <w:t>. </w:t>
      </w:r>
      <w:r>
        <w:rPr/>
        <w:t>Одлуком о изменама и допунама Одлуке о буџету града Ниша за 2015. годину од 18.11.2015. године предвиђена су средства за плаћање преузетих обавеза из претходног периода и за плаћање обавеза за период од 12 месеци текуће буџетске</w:t>
      </w:r>
      <w:r>
        <w:rPr>
          <w:spacing w:val="-23"/>
        </w:rPr>
        <w:t> </w:t>
      </w:r>
      <w:r>
        <w:rPr/>
        <w:t>године.</w:t>
      </w:r>
    </w:p>
    <w:p>
      <w:pPr>
        <w:pStyle w:val="Heading2"/>
        <w:spacing w:line="240" w:lineRule="auto"/>
        <w:ind w:right="173"/>
        <w:jc w:val="both"/>
        <w:rPr>
          <w:rFonts w:ascii="Times New Roman" w:hAnsi="Times New Roman" w:cs="Times New Roman" w:eastAsia="Times New Roman" w:hint="default"/>
          <w:b w:val="0"/>
          <w:bCs w:val="0"/>
          <w:i w:val="0"/>
        </w:rPr>
      </w:pPr>
      <w:r>
        <w:rPr>
          <w:i/>
        </w:rPr>
        <w:t>Препоручује се одговорним лицима да правилно исказују обавезе и да обавезе преузимају до износа апропријације одобрене буџетом у тој години за ту</w:t>
      </w:r>
      <w:r>
        <w:rPr>
          <w:i/>
          <w:spacing w:val="-18"/>
        </w:rPr>
        <w:t> </w:t>
      </w:r>
      <w:r>
        <w:rPr>
          <w:i/>
        </w:rPr>
        <w:t>намену</w:t>
      </w:r>
      <w:r>
        <w:rPr>
          <w:rFonts w:ascii="Times New Roman" w:hAnsi="Times New Roman"/>
          <w:i/>
        </w:rPr>
        <w:t>.</w:t>
      </w:r>
      <w:r>
        <w:rPr>
          <w:rFonts w:ascii="Times New Roman" w:hAnsi="Times New Roman"/>
          <w:b w:val="0"/>
          <w:i w:val="0"/>
        </w:rPr>
      </w:r>
    </w:p>
    <w:p>
      <w:pPr>
        <w:pStyle w:val="ListParagraph"/>
        <w:numPr>
          <w:ilvl w:val="0"/>
          <w:numId w:val="88"/>
        </w:numPr>
        <w:tabs>
          <w:tab w:pos="588" w:val="left" w:leader="none"/>
        </w:tabs>
        <w:spacing w:line="240" w:lineRule="auto" w:before="132" w:after="0"/>
        <w:ind w:left="587" w:right="0" w:hanging="427"/>
        <w:jc w:val="both"/>
        <w:rPr>
          <w:rFonts w:ascii="Times New Roman" w:hAnsi="Times New Roman" w:cs="Times New Roman" w:eastAsia="Times New Roman" w:hint="default"/>
          <w:sz w:val="24"/>
          <w:szCs w:val="24"/>
        </w:rPr>
      </w:pPr>
      <w:r>
        <w:rPr>
          <w:rFonts w:ascii="Times New Roman" w:hAnsi="Times New Roman"/>
          <w:spacing w:val="-60"/>
          <w:sz w:val="24"/>
          <w:u w:val="single" w:color="000000"/>
        </w:rPr>
        <w:t> </w:t>
      </w:r>
      <w:r>
        <w:rPr>
          <w:rFonts w:ascii="Times New Roman" w:hAnsi="Times New Roman"/>
          <w:sz w:val="24"/>
          <w:u w:val="single" w:color="000000"/>
        </w:rPr>
        <w:t>Заштитник грађана </w:t>
      </w:r>
      <w:r>
        <w:rPr>
          <w:rFonts w:ascii="Times New Roman" w:hAnsi="Times New Roman"/>
          <w:sz w:val="24"/>
        </w:rPr>
        <w:t>у укупном износу од 119 хиљада</w:t>
      </w:r>
      <w:r>
        <w:rPr>
          <w:rFonts w:ascii="Times New Roman" w:hAnsi="Times New Roman"/>
          <w:spacing w:val="-15"/>
          <w:sz w:val="24"/>
        </w:rPr>
        <w:t> </w:t>
      </w:r>
      <w:r>
        <w:rPr>
          <w:rFonts w:ascii="Times New Roman" w:hAnsi="Times New Roman"/>
          <w:sz w:val="24"/>
        </w:rPr>
        <w:t>динара</w:t>
      </w:r>
      <w:r>
        <w:rPr>
          <w:rFonts w:ascii="Times New Roman" w:hAnsi="Times New Roman"/>
          <w:sz w:val="24"/>
        </w:rPr>
        <w:t>.</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Мање су исказане обавезе код Заштитника грађана у износу од најмање 326 хиљада динара јер исте нису евидентиране и то део плате за децембар 2014. године, социјалне доприносе за децембар 2014. године, обавеза за умањење основице зараде од 10% за децембар 2014. године, обавеза за накнаде у натури. Истовремено, за исти износ мање је исказана позиција </w:t>
      </w:r>
      <w:r>
        <w:rPr>
          <w:rFonts w:ascii="Times New Roman" w:hAnsi="Times New Roman" w:cs="Times New Roman" w:eastAsia="Times New Roman" w:hint="default"/>
          <w:sz w:val="24"/>
          <w:szCs w:val="24"/>
        </w:rPr>
        <w:t>131200 </w:t>
      </w:r>
      <w:r>
        <w:rPr>
          <w:rFonts w:ascii="Times New Roman" w:hAnsi="Times New Roman" w:cs="Times New Roman" w:eastAsia="Times New Roman" w:hint="default"/>
          <w:sz w:val="24"/>
          <w:szCs w:val="24"/>
        </w:rPr>
        <w:t>– обрачунати неплаћени расходи и</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издаци</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74" w:lineRule="exact" w:before="24" w:after="0"/>
        <w:ind w:left="160" w:right="183" w:firstLine="0"/>
        <w:jc w:val="both"/>
        <w:rPr>
          <w:rFonts w:ascii="Times New Roman" w:hAnsi="Times New Roman" w:cs="Times New Roman" w:eastAsia="Times New Roman" w:hint="default"/>
          <w:sz w:val="24"/>
          <w:szCs w:val="24"/>
        </w:rPr>
      </w:pPr>
      <w:r>
        <w:rPr>
          <w:rFonts w:ascii="Times New Roman" w:hAnsi="Times New Roman"/>
          <w:sz w:val="24"/>
        </w:rPr>
        <w:t>Пасивна временска разграничења више су исказана у износу од 42 хиљаде динара због неправилног</w:t>
      </w:r>
      <w:r>
        <w:rPr>
          <w:rFonts w:ascii="Times New Roman" w:hAnsi="Times New Roman"/>
          <w:spacing w:val="-12"/>
          <w:sz w:val="24"/>
        </w:rPr>
        <w:t> </w:t>
      </w:r>
      <w:r>
        <w:rPr>
          <w:rFonts w:ascii="Times New Roman" w:hAnsi="Times New Roman"/>
          <w:sz w:val="24"/>
        </w:rPr>
        <w:t>евидентирања.</w:t>
      </w:r>
    </w:p>
    <w:p>
      <w:pPr>
        <w:pStyle w:val="ListParagraph"/>
        <w:numPr>
          <w:ilvl w:val="0"/>
          <w:numId w:val="9"/>
        </w:numPr>
        <w:tabs>
          <w:tab w:pos="303" w:val="left" w:leader="none"/>
        </w:tabs>
        <w:spacing w:line="274" w:lineRule="exact" w:before="21"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Заштитник грађана је преузео обавезе преко одобрених апропријација у укупном износу од 153 хиљаде динара</w:t>
      </w:r>
      <w:r>
        <w:rPr>
          <w:rFonts w:ascii="Times New Roman" w:hAnsi="Times New Roman"/>
          <w:sz w:val="24"/>
        </w:rPr>
        <w:t>, </w:t>
      </w:r>
      <w:r>
        <w:rPr>
          <w:rFonts w:ascii="Times New Roman" w:hAnsi="Times New Roman"/>
          <w:sz w:val="24"/>
        </w:rPr>
        <w:t>што је супротно члану 54. Закона о буџетском систему и</w:t>
      </w:r>
      <w:r>
        <w:rPr>
          <w:rFonts w:ascii="Times New Roman" w:hAnsi="Times New Roman"/>
          <w:spacing w:val="-15"/>
          <w:sz w:val="24"/>
        </w:rPr>
        <w:t> </w:t>
      </w:r>
      <w:r>
        <w:rPr>
          <w:rFonts w:ascii="Times New Roman" w:hAnsi="Times New Roman"/>
          <w:sz w:val="24"/>
        </w:rPr>
        <w:t>то</w:t>
      </w:r>
      <w:r>
        <w:rPr>
          <w:rFonts w:ascii="Times New Roman" w:hAnsi="Times New Roman"/>
          <w:sz w:val="24"/>
        </w:rPr>
        <w:t>:</w:t>
      </w:r>
    </w:p>
    <w:p>
      <w:pPr>
        <w:spacing w:after="0" w:line="274" w:lineRule="exact"/>
        <w:jc w:val="both"/>
        <w:rPr>
          <w:rFonts w:ascii="Times New Roman" w:hAnsi="Times New Roman" w:cs="Times New Roman" w:eastAsia="Times New Roman" w:hint="default"/>
          <w:sz w:val="24"/>
          <w:szCs w:val="24"/>
        </w:rPr>
        <w:sectPr>
          <w:pgSz w:w="12240" w:h="15840"/>
          <w:pgMar w:header="740" w:footer="1274" w:top="1280" w:bottom="1460" w:left="1400" w:right="1260"/>
        </w:sectPr>
      </w:pPr>
    </w:p>
    <w:p>
      <w:pPr>
        <w:spacing w:before="125" w:after="4"/>
        <w:ind w:left="0" w:right="175" w:firstLine="0"/>
        <w:jc w:val="right"/>
        <w:rPr>
          <w:rFonts w:ascii="Times New Roman" w:hAnsi="Times New Roman" w:cs="Times New Roman" w:eastAsia="Times New Roman" w:hint="default"/>
          <w:sz w:val="18"/>
          <w:szCs w:val="18"/>
        </w:rPr>
      </w:pPr>
      <w:r>
        <w:rPr>
          <w:rFonts w:ascii="Times New Roman" w:hAnsi="Times New Roman"/>
          <w:sz w:val="18"/>
        </w:rPr>
        <w:t>(</w:t>
      </w:r>
      <w:r>
        <w:rPr>
          <w:rFonts w:ascii="Times New Roman" w:hAnsi="Times New Roman"/>
          <w:sz w:val="18"/>
        </w:rPr>
        <w:t>у хиљадама</w:t>
      </w:r>
      <w:r>
        <w:rPr>
          <w:rFonts w:ascii="Times New Roman" w:hAnsi="Times New Roman"/>
          <w:spacing w:val="-8"/>
          <w:sz w:val="18"/>
        </w:rPr>
        <w:t> </w:t>
      </w:r>
      <w:r>
        <w:rPr>
          <w:rFonts w:ascii="Times New Roman" w:hAnsi="Times New Roman"/>
          <w:sz w:val="18"/>
        </w:rPr>
        <w:t>динара</w:t>
      </w:r>
      <w:r>
        <w:rPr>
          <w:rFonts w:ascii="Times New Roman" w:hAnsi="Times New Roman"/>
          <w:sz w:val="18"/>
        </w:rPr>
        <w:t>)</w:t>
      </w:r>
    </w:p>
    <w:tbl>
      <w:tblPr>
        <w:tblW w:w="0" w:type="auto"/>
        <w:jc w:val="left"/>
        <w:tblInd w:w="438" w:type="dxa"/>
        <w:tblLayout w:type="fixed"/>
        <w:tblCellMar>
          <w:top w:w="0" w:type="dxa"/>
          <w:left w:w="0" w:type="dxa"/>
          <w:bottom w:w="0" w:type="dxa"/>
          <w:right w:w="0" w:type="dxa"/>
        </w:tblCellMar>
        <w:tblLook w:val="01E0"/>
      </w:tblPr>
      <w:tblGrid>
        <w:gridCol w:w="3262"/>
        <w:gridCol w:w="1419"/>
        <w:gridCol w:w="1417"/>
        <w:gridCol w:w="1560"/>
        <w:gridCol w:w="1275"/>
      </w:tblGrid>
      <w:tr>
        <w:trPr>
          <w:trHeight w:val="216" w:hRule="exact"/>
        </w:trPr>
        <w:tc>
          <w:tcPr>
            <w:tcW w:w="3262" w:type="dxa"/>
            <w:vMerge w:val="restart"/>
            <w:tcBorders>
              <w:top w:val="single" w:sz="4" w:space="0" w:color="000000"/>
              <w:left w:val="single" w:sz="4" w:space="0" w:color="000000"/>
              <w:right w:val="single" w:sz="4" w:space="0" w:color="000000"/>
            </w:tcBorders>
          </w:tcPr>
          <w:p>
            <w:pPr>
              <w:pStyle w:val="TableParagraph"/>
              <w:spacing w:line="202" w:lineRule="exact"/>
              <w:ind w:left="887" w:right="0"/>
              <w:jc w:val="left"/>
              <w:rPr>
                <w:rFonts w:ascii="Times New Roman" w:hAnsi="Times New Roman" w:cs="Times New Roman" w:eastAsia="Times New Roman" w:hint="default"/>
                <w:sz w:val="18"/>
                <w:szCs w:val="18"/>
              </w:rPr>
            </w:pPr>
            <w:r>
              <w:rPr>
                <w:rFonts w:ascii="Times New Roman" w:hAnsi="Times New Roman"/>
                <w:sz w:val="18"/>
              </w:rPr>
              <w:t>Заштитник</w:t>
            </w:r>
            <w:r>
              <w:rPr>
                <w:rFonts w:ascii="Times New Roman" w:hAnsi="Times New Roman"/>
                <w:spacing w:val="-3"/>
                <w:sz w:val="18"/>
              </w:rPr>
              <w:t> </w:t>
            </w:r>
            <w:r>
              <w:rPr>
                <w:rFonts w:ascii="Times New Roman" w:hAnsi="Times New Roman"/>
                <w:sz w:val="18"/>
              </w:rPr>
              <w:t>грађана</w:t>
            </w:r>
          </w:p>
        </w:tc>
        <w:tc>
          <w:tcPr>
            <w:tcW w:w="5670" w:type="dxa"/>
            <w:gridSpan w:val="4"/>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509" w:right="0"/>
              <w:jc w:val="left"/>
              <w:rPr>
                <w:rFonts w:ascii="Times New Roman" w:hAnsi="Times New Roman" w:cs="Times New Roman" w:eastAsia="Times New Roman" w:hint="default"/>
                <w:sz w:val="18"/>
                <w:szCs w:val="18"/>
              </w:rPr>
            </w:pPr>
            <w:r>
              <w:rPr>
                <w:rFonts w:ascii="Times New Roman" w:hAnsi="Times New Roman"/>
                <w:sz w:val="18"/>
              </w:rPr>
              <w:t>Функционална класификација</w:t>
            </w:r>
            <w:r>
              <w:rPr>
                <w:rFonts w:ascii="Times New Roman" w:hAnsi="Times New Roman"/>
                <w:spacing w:val="-12"/>
                <w:sz w:val="18"/>
              </w:rPr>
              <w:t> </w:t>
            </w:r>
            <w:r>
              <w:rPr>
                <w:rFonts w:ascii="Times New Roman" w:hAnsi="Times New Roman"/>
                <w:sz w:val="18"/>
              </w:rPr>
              <w:t>330</w:t>
            </w:r>
          </w:p>
        </w:tc>
      </w:tr>
      <w:tr>
        <w:trPr>
          <w:trHeight w:val="425" w:hRule="exact"/>
        </w:trPr>
        <w:tc>
          <w:tcPr>
            <w:tcW w:w="3262" w:type="dxa"/>
            <w:vMerge/>
            <w:tcBorders>
              <w:left w:val="single" w:sz="4" w:space="0" w:color="000000"/>
              <w:bottom w:val="single" w:sz="4" w:space="0" w:color="000000"/>
              <w:right w:val="single" w:sz="4" w:space="0" w:color="000000"/>
            </w:tcBorders>
          </w:tcPr>
          <w:p>
            <w:pP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before="1"/>
              <w:ind w:left="569" w:right="226" w:hanging="334"/>
              <w:jc w:val="left"/>
              <w:rPr>
                <w:rFonts w:ascii="Times New Roman" w:hAnsi="Times New Roman" w:cs="Times New Roman" w:eastAsia="Times New Roman" w:hint="default"/>
                <w:sz w:val="18"/>
                <w:szCs w:val="18"/>
              </w:rPr>
            </w:pPr>
            <w:r>
              <w:rPr>
                <w:rFonts w:ascii="Times New Roman" w:hAnsi="Times New Roman"/>
                <w:sz w:val="18"/>
              </w:rPr>
              <w:t>Група конта </w:t>
            </w:r>
            <w:r>
              <w:rPr>
                <w:rFonts w:ascii="Times New Roman" w:hAnsi="Times New Roman"/>
                <w:sz w:val="18"/>
              </w:rPr>
              <w:t>411</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before="1"/>
              <w:ind w:left="566" w:right="225" w:hanging="332"/>
              <w:jc w:val="left"/>
              <w:rPr>
                <w:rFonts w:ascii="Times New Roman" w:hAnsi="Times New Roman" w:cs="Times New Roman" w:eastAsia="Times New Roman" w:hint="default"/>
                <w:sz w:val="18"/>
                <w:szCs w:val="18"/>
              </w:rPr>
            </w:pPr>
            <w:r>
              <w:rPr>
                <w:rFonts w:ascii="Times New Roman" w:hAnsi="Times New Roman"/>
                <w:sz w:val="18"/>
              </w:rPr>
              <w:t>Група конта </w:t>
            </w:r>
            <w:r>
              <w:rPr>
                <w:rFonts w:ascii="Times New Roman" w:hAnsi="Times New Roman"/>
                <w:sz w:val="18"/>
              </w:rPr>
              <w:t>412</w:t>
            </w:r>
          </w:p>
        </w:tc>
        <w:tc>
          <w:tcPr>
            <w:tcW w:w="1560"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before="1"/>
              <w:ind w:left="662" w:right="298" w:hanging="358"/>
              <w:jc w:val="left"/>
              <w:rPr>
                <w:rFonts w:ascii="Times New Roman" w:hAnsi="Times New Roman" w:cs="Times New Roman" w:eastAsia="Times New Roman" w:hint="default"/>
                <w:sz w:val="18"/>
                <w:szCs w:val="18"/>
              </w:rPr>
            </w:pPr>
            <w:r>
              <w:rPr>
                <w:rFonts w:ascii="Times New Roman" w:hAnsi="Times New Roman"/>
                <w:sz w:val="18"/>
              </w:rPr>
              <w:t>Група конта </w:t>
            </w:r>
            <w:r>
              <w:rPr>
                <w:rFonts w:ascii="Times New Roman" w:hAnsi="Times New Roman"/>
                <w:sz w:val="18"/>
              </w:rPr>
              <w:t>413</w:t>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before="1"/>
              <w:ind w:left="497" w:right="154" w:hanging="334"/>
              <w:jc w:val="left"/>
              <w:rPr>
                <w:rFonts w:ascii="Times New Roman" w:hAnsi="Times New Roman" w:cs="Times New Roman" w:eastAsia="Times New Roman" w:hint="default"/>
                <w:sz w:val="18"/>
                <w:szCs w:val="18"/>
              </w:rPr>
            </w:pPr>
            <w:r>
              <w:rPr>
                <w:rFonts w:ascii="Times New Roman" w:hAnsi="Times New Roman"/>
                <w:sz w:val="18"/>
              </w:rPr>
              <w:t>Група конта </w:t>
            </w:r>
            <w:r>
              <w:rPr>
                <w:rFonts w:ascii="Times New Roman" w:hAnsi="Times New Roman"/>
                <w:sz w:val="18"/>
              </w:rPr>
              <w:t>465</w:t>
            </w:r>
          </w:p>
        </w:tc>
      </w:tr>
      <w:tr>
        <w:trPr>
          <w:trHeight w:val="218" w:hRule="exact"/>
        </w:trPr>
        <w:tc>
          <w:tcPr>
            <w:tcW w:w="326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План</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4.218</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756</w:t>
            </w:r>
          </w:p>
        </w:tc>
        <w:tc>
          <w:tcPr>
            <w:tcW w:w="15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91</w:t>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38</w:t>
            </w:r>
          </w:p>
        </w:tc>
      </w:tr>
      <w:tr>
        <w:trPr>
          <w:trHeight w:val="216" w:hRule="exact"/>
        </w:trPr>
        <w:tc>
          <w:tcPr>
            <w:tcW w:w="326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Извршење</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4.052</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728</w:t>
            </w:r>
          </w:p>
        </w:tc>
        <w:tc>
          <w:tcPr>
            <w:tcW w:w="15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35</w:t>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38</w:t>
            </w:r>
          </w:p>
        </w:tc>
      </w:tr>
      <w:tr>
        <w:trPr>
          <w:trHeight w:val="216" w:hRule="exact"/>
        </w:trPr>
        <w:tc>
          <w:tcPr>
            <w:tcW w:w="326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Разлика</w:t>
            </w:r>
            <w:r>
              <w:rPr>
                <w:rFonts w:ascii="Times New Roman" w:hAnsi="Times New Roman"/>
                <w:spacing w:val="-4"/>
                <w:sz w:val="18"/>
              </w:rPr>
              <w:t> </w:t>
            </w:r>
            <w:r>
              <w:rPr>
                <w:rFonts w:ascii="Times New Roman" w:hAnsi="Times New Roman"/>
                <w:sz w:val="18"/>
              </w:rPr>
              <w:t>1</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166</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9"/>
              <w:jc w:val="right"/>
              <w:rPr>
                <w:rFonts w:ascii="Times New Roman" w:hAnsi="Times New Roman" w:cs="Times New Roman" w:eastAsia="Times New Roman" w:hint="default"/>
                <w:sz w:val="18"/>
                <w:szCs w:val="18"/>
              </w:rPr>
            </w:pPr>
            <w:r>
              <w:rPr>
                <w:rFonts w:ascii="Times New Roman"/>
                <w:sz w:val="18"/>
              </w:rPr>
              <w:t>28</w:t>
            </w:r>
          </w:p>
        </w:tc>
        <w:tc>
          <w:tcPr>
            <w:tcW w:w="15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56</w:t>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2"/>
              <w:jc w:val="right"/>
              <w:rPr>
                <w:rFonts w:ascii="Times New Roman" w:hAnsi="Times New Roman" w:cs="Times New Roman" w:eastAsia="Times New Roman" w:hint="default"/>
                <w:sz w:val="18"/>
                <w:szCs w:val="18"/>
              </w:rPr>
            </w:pPr>
            <w:r>
              <w:rPr>
                <w:rFonts w:ascii="Times New Roman"/>
                <w:sz w:val="18"/>
              </w:rPr>
              <w:t>0</w:t>
            </w:r>
          </w:p>
        </w:tc>
      </w:tr>
      <w:tr>
        <w:trPr>
          <w:trHeight w:val="218" w:hRule="exact"/>
        </w:trPr>
        <w:tc>
          <w:tcPr>
            <w:tcW w:w="3262"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Times New Roman" w:hAnsi="Times New Roman" w:cs="Times New Roman" w:eastAsia="Times New Roman" w:hint="default"/>
                <w:sz w:val="18"/>
                <w:szCs w:val="18"/>
              </w:rPr>
            </w:pPr>
            <w:r>
              <w:rPr>
                <w:rFonts w:ascii="Times New Roman" w:hAnsi="Times New Roman"/>
                <w:sz w:val="18"/>
              </w:rPr>
              <w:t>Преузете обавезе по</w:t>
            </w:r>
            <w:r>
              <w:rPr>
                <w:rFonts w:ascii="Times New Roman" w:hAnsi="Times New Roman"/>
                <w:spacing w:val="-11"/>
                <w:sz w:val="18"/>
              </w:rPr>
              <w:t> </w:t>
            </w:r>
            <w:r>
              <w:rPr>
                <w:rFonts w:ascii="Times New Roman" w:hAnsi="Times New Roman"/>
                <w:sz w:val="18"/>
              </w:rPr>
              <w:t>рачунима</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244</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9"/>
              <w:jc w:val="right"/>
              <w:rPr>
                <w:rFonts w:ascii="Times New Roman" w:hAnsi="Times New Roman" w:cs="Times New Roman" w:eastAsia="Times New Roman" w:hint="default"/>
                <w:sz w:val="18"/>
                <w:szCs w:val="18"/>
              </w:rPr>
            </w:pPr>
            <w:r>
              <w:rPr>
                <w:rFonts w:ascii="Times New Roman"/>
                <w:sz w:val="18"/>
              </w:rPr>
              <w:t>39</w:t>
            </w:r>
          </w:p>
        </w:tc>
        <w:tc>
          <w:tcPr>
            <w:tcW w:w="15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77</w:t>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43</w:t>
            </w:r>
          </w:p>
        </w:tc>
      </w:tr>
      <w:tr>
        <w:trPr>
          <w:trHeight w:val="216" w:hRule="exact"/>
        </w:trPr>
        <w:tc>
          <w:tcPr>
            <w:tcW w:w="3262"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0"/>
              <w:jc w:val="left"/>
              <w:rPr>
                <w:rFonts w:ascii="Times New Roman" w:hAnsi="Times New Roman" w:cs="Times New Roman" w:eastAsia="Times New Roman" w:hint="default"/>
                <w:sz w:val="18"/>
                <w:szCs w:val="18"/>
              </w:rPr>
            </w:pPr>
            <w:r>
              <w:rPr>
                <w:rFonts w:ascii="Times New Roman" w:hAnsi="Times New Roman"/>
                <w:sz w:val="18"/>
              </w:rPr>
              <w:t>Преузете обавезе по</w:t>
            </w:r>
            <w:r>
              <w:rPr>
                <w:rFonts w:ascii="Times New Roman" w:hAnsi="Times New Roman"/>
                <w:spacing w:val="-10"/>
                <w:sz w:val="18"/>
              </w:rPr>
              <w:t> </w:t>
            </w:r>
            <w:r>
              <w:rPr>
                <w:rFonts w:ascii="Times New Roman" w:hAnsi="Times New Roman"/>
                <w:sz w:val="18"/>
              </w:rPr>
              <w:t>уговорима</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5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r>
      <w:tr>
        <w:trPr>
          <w:trHeight w:val="218" w:hRule="exact"/>
        </w:trPr>
        <w:tc>
          <w:tcPr>
            <w:tcW w:w="32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0"/>
              <w:jc w:val="left"/>
              <w:rPr>
                <w:rFonts w:ascii="Times New Roman" w:hAnsi="Times New Roman" w:cs="Times New Roman" w:eastAsia="Times New Roman" w:hint="default"/>
                <w:sz w:val="18"/>
                <w:szCs w:val="18"/>
              </w:rPr>
            </w:pPr>
            <w:r>
              <w:rPr>
                <w:rFonts w:ascii="Times New Roman" w:hAnsi="Times New Roman"/>
                <w:b/>
                <w:sz w:val="18"/>
              </w:rPr>
              <w:t>Разлика</w:t>
            </w:r>
            <w:r>
              <w:rPr>
                <w:rFonts w:ascii="Times New Roman" w:hAnsi="Times New Roman"/>
                <w:b/>
                <w:spacing w:val="-4"/>
                <w:sz w:val="18"/>
              </w:rPr>
              <w:t> </w:t>
            </w:r>
            <w:r>
              <w:rPr>
                <w:rFonts w:ascii="Times New Roman" w:hAnsi="Times New Roman"/>
                <w:b/>
                <w:sz w:val="18"/>
              </w:rPr>
              <w:t>2</w:t>
            </w:r>
            <w:r>
              <w:rPr>
                <w:rFonts w:ascii="Times New Roman" w:hAnsi="Times New Roman"/>
                <w:sz w:val="18"/>
              </w:rPr>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98"/>
              <w:jc w:val="right"/>
              <w:rPr>
                <w:rFonts w:ascii="Times New Roman" w:hAnsi="Times New Roman" w:cs="Times New Roman" w:eastAsia="Times New Roman" w:hint="default"/>
                <w:sz w:val="18"/>
                <w:szCs w:val="18"/>
              </w:rPr>
            </w:pPr>
            <w:r>
              <w:rPr>
                <w:rFonts w:ascii="Times New Roman"/>
                <w:b/>
                <w:sz w:val="18"/>
              </w:rPr>
              <w:t>-78</w:t>
            </w:r>
            <w:r>
              <w:rPr>
                <w:rFonts w:ascii="Times New Roman"/>
                <w:sz w:val="18"/>
              </w:rPr>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99"/>
              <w:jc w:val="right"/>
              <w:rPr>
                <w:rFonts w:ascii="Times New Roman" w:hAnsi="Times New Roman" w:cs="Times New Roman" w:eastAsia="Times New Roman" w:hint="default"/>
                <w:sz w:val="18"/>
                <w:szCs w:val="18"/>
              </w:rPr>
            </w:pPr>
            <w:r>
              <w:rPr>
                <w:rFonts w:ascii="Times New Roman"/>
                <w:b/>
                <w:sz w:val="18"/>
              </w:rPr>
              <w:t>-11</w:t>
            </w:r>
            <w:r>
              <w:rPr>
                <w:rFonts w:ascii="Times New Roman"/>
                <w:sz w:val="18"/>
              </w:rPr>
            </w:r>
          </w:p>
        </w:tc>
        <w:tc>
          <w:tcPr>
            <w:tcW w:w="15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98"/>
              <w:jc w:val="right"/>
              <w:rPr>
                <w:rFonts w:ascii="Times New Roman" w:hAnsi="Times New Roman" w:cs="Times New Roman" w:eastAsia="Times New Roman" w:hint="default"/>
                <w:sz w:val="18"/>
                <w:szCs w:val="18"/>
              </w:rPr>
            </w:pPr>
            <w:r>
              <w:rPr>
                <w:rFonts w:ascii="Times New Roman"/>
                <w:b/>
                <w:sz w:val="18"/>
              </w:rPr>
              <w:t>-21</w:t>
            </w:r>
            <w:r>
              <w:rPr>
                <w:rFonts w:ascii="Times New Roman"/>
                <w:sz w:val="18"/>
              </w:rPr>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98"/>
              <w:jc w:val="right"/>
              <w:rPr>
                <w:rFonts w:ascii="Times New Roman" w:hAnsi="Times New Roman" w:cs="Times New Roman" w:eastAsia="Times New Roman" w:hint="default"/>
                <w:sz w:val="18"/>
                <w:szCs w:val="18"/>
              </w:rPr>
            </w:pPr>
            <w:r>
              <w:rPr>
                <w:rFonts w:ascii="Times New Roman"/>
                <w:b/>
                <w:sz w:val="18"/>
              </w:rPr>
              <w:t>-43</w:t>
            </w:r>
            <w:r>
              <w:rPr>
                <w:rFonts w:ascii="Times New Roman"/>
                <w:sz w:val="18"/>
              </w:rPr>
            </w:r>
          </w:p>
        </w:tc>
      </w:tr>
    </w:tbl>
    <w:p>
      <w:pPr>
        <w:pStyle w:val="BodyText"/>
        <w:spacing w:line="268" w:lineRule="exact"/>
        <w:ind w:left="726" w:right="141"/>
        <w:jc w:val="left"/>
      </w:pPr>
      <w:r>
        <w:rPr/>
        <w:t>На функционалној класификацији 330 –</w:t>
      </w:r>
      <w:r>
        <w:rPr>
          <w:spacing w:val="-13"/>
        </w:rPr>
        <w:t> </w:t>
      </w:r>
      <w:r>
        <w:rPr/>
        <w:t>судови:</w:t>
      </w:r>
    </w:p>
    <w:p>
      <w:pPr>
        <w:pStyle w:val="ListParagraph"/>
        <w:numPr>
          <w:ilvl w:val="0"/>
          <w:numId w:val="95"/>
        </w:numPr>
        <w:tabs>
          <w:tab w:pos="943" w:val="left" w:leader="none"/>
        </w:tabs>
        <w:spacing w:line="240" w:lineRule="auto" w:before="0" w:after="0"/>
        <w:ind w:left="160" w:right="176"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 економској класификацији 411000 – плате, додаци и накнаде запослених (зараде) преузете су обавезе више од одобрене апропријације у износу од 78 хиљада динара, по основу неисплаћене плате за децембар 2014.</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године</w:t>
      </w:r>
      <w:r>
        <w:rPr>
          <w:rFonts w:ascii="Times New Roman" w:hAnsi="Times New Roman" w:cs="Times New Roman" w:eastAsia="Times New Roman" w:hint="default"/>
          <w:sz w:val="24"/>
          <w:szCs w:val="24"/>
        </w:rPr>
        <w:t>,</w:t>
      </w:r>
    </w:p>
    <w:p>
      <w:pPr>
        <w:pStyle w:val="ListParagraph"/>
        <w:numPr>
          <w:ilvl w:val="0"/>
          <w:numId w:val="95"/>
        </w:numPr>
        <w:tabs>
          <w:tab w:pos="929" w:val="left" w:leader="none"/>
        </w:tabs>
        <w:spacing w:line="240" w:lineRule="auto" w:before="0" w:after="0"/>
        <w:ind w:left="160" w:right="173" w:firstLine="62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 економској класификацији 412000 – социјални доприноси на терет послодавца, преузете су обавезе више од одобрене апропријације у износу од 11 хиљада динара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по основу социјалних доприноса на неисплаћене плате за децембар 2014.</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године</w:t>
      </w:r>
      <w:r>
        <w:rPr>
          <w:rFonts w:ascii="Times New Roman" w:hAnsi="Times New Roman" w:cs="Times New Roman" w:eastAsia="Times New Roman" w:hint="default"/>
          <w:sz w:val="24"/>
          <w:szCs w:val="24"/>
        </w:rPr>
        <w:t>,</w:t>
      </w:r>
    </w:p>
    <w:p>
      <w:pPr>
        <w:pStyle w:val="ListParagraph"/>
        <w:numPr>
          <w:ilvl w:val="0"/>
          <w:numId w:val="95"/>
        </w:numPr>
        <w:tabs>
          <w:tab w:pos="919" w:val="left" w:leader="none"/>
        </w:tabs>
        <w:spacing w:line="240" w:lineRule="auto" w:before="0" w:after="0"/>
        <w:ind w:left="160" w:right="177"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 економској класификацији 413000 – накнаде у натури, преузете су обавезе више од одобрене апропријације у износу од 21 хиљаде динара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по основу неплаћених рачуна за превоз радника на посао и са</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посла</w:t>
      </w:r>
      <w:r>
        <w:rPr>
          <w:rFonts w:ascii="Times New Roman" w:hAnsi="Times New Roman" w:cs="Times New Roman" w:eastAsia="Times New Roman" w:hint="default"/>
          <w:sz w:val="24"/>
          <w:szCs w:val="24"/>
        </w:rPr>
        <w:t>,</w:t>
      </w:r>
    </w:p>
    <w:p>
      <w:pPr>
        <w:pStyle w:val="ListParagraph"/>
        <w:numPr>
          <w:ilvl w:val="0"/>
          <w:numId w:val="95"/>
        </w:numPr>
        <w:tabs>
          <w:tab w:pos="888" w:val="left" w:leader="none"/>
        </w:tabs>
        <w:spacing w:line="240" w:lineRule="auto" w:before="0" w:after="0"/>
        <w:ind w:left="160" w:right="172"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 економској класификацији 465000 – остале дотације и трансфери, преузете су обавезе више од одобрене апропријације у износу од 43 хиљаде динара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по основу повраћаја 10% неисплаћене плате за децембар 2014. године у буџет</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Републике</w:t>
      </w:r>
      <w:r>
        <w:rPr>
          <w:rFonts w:ascii="Times New Roman" w:hAnsi="Times New Roman" w:cs="Times New Roman" w:eastAsia="Times New Roman" w:hint="default"/>
          <w:sz w:val="24"/>
          <w:szCs w:val="24"/>
        </w:rPr>
        <w:t>.</w:t>
      </w:r>
    </w:p>
    <w:p>
      <w:pPr>
        <w:pStyle w:val="Heading2"/>
        <w:spacing w:line="240" w:lineRule="auto"/>
        <w:ind w:right="172"/>
        <w:jc w:val="both"/>
        <w:rPr>
          <w:rFonts w:ascii="Times New Roman" w:hAnsi="Times New Roman" w:cs="Times New Roman" w:eastAsia="Times New Roman" w:hint="default"/>
          <w:b w:val="0"/>
          <w:bCs w:val="0"/>
          <w:i w:val="0"/>
        </w:rPr>
      </w:pPr>
      <w:r>
        <w:rPr>
          <w:i/>
        </w:rPr>
        <w:t>Препоручује се одговорним лицима да правилно исказују обавезе</w:t>
      </w:r>
      <w:r>
        <w:rPr>
          <w:rFonts w:ascii="Times New Roman" w:hAnsi="Times New Roman"/>
          <w:i/>
        </w:rPr>
        <w:t>, </w:t>
      </w:r>
      <w:r>
        <w:rPr>
          <w:i/>
        </w:rPr>
        <w:t>обезбеде правилну примену одредби Уредбе о буџетском рачуноводству и Правилника о стандардном класификационом оквиру и контном плану за буџетски систем и да обавезе преузимају до износа апропријације одобрене буџетом у тој години за ту намену</w:t>
      </w:r>
      <w:r>
        <w:rPr>
          <w:rFonts w:ascii="Times New Roman" w:hAnsi="Times New Roman"/>
          <w:i/>
        </w:rPr>
        <w:t>.</w:t>
      </w:r>
      <w:r>
        <w:rPr>
          <w:rFonts w:ascii="Times New Roman" w:hAnsi="Times New Roman"/>
          <w:b w:val="0"/>
          <w:i w:val="0"/>
        </w:rPr>
      </w:r>
    </w:p>
    <w:p>
      <w:pPr>
        <w:pStyle w:val="ListParagraph"/>
        <w:numPr>
          <w:ilvl w:val="0"/>
          <w:numId w:val="88"/>
        </w:numPr>
        <w:tabs>
          <w:tab w:pos="521" w:val="left" w:leader="none"/>
        </w:tabs>
        <w:spacing w:line="240" w:lineRule="auto" w:before="132" w:after="0"/>
        <w:ind w:left="520" w:right="0" w:hanging="360"/>
        <w:jc w:val="both"/>
        <w:rPr>
          <w:rFonts w:ascii="Times New Roman" w:hAnsi="Times New Roman" w:cs="Times New Roman" w:eastAsia="Times New Roman" w:hint="default"/>
          <w:sz w:val="24"/>
          <w:szCs w:val="24"/>
        </w:rPr>
      </w:pPr>
      <w:r>
        <w:rPr>
          <w:rFonts w:ascii="Times New Roman" w:hAnsi="Times New Roman"/>
          <w:spacing w:val="-60"/>
          <w:sz w:val="24"/>
          <w:u w:val="single" w:color="000000"/>
        </w:rPr>
        <w:t> </w:t>
      </w:r>
      <w:r>
        <w:rPr>
          <w:rFonts w:ascii="Times New Roman" w:hAnsi="Times New Roman"/>
          <w:sz w:val="24"/>
          <w:u w:val="single" w:color="000000"/>
        </w:rPr>
        <w:t>Градско јавно правобранилаштво </w:t>
      </w:r>
      <w:r>
        <w:rPr>
          <w:rFonts w:ascii="Times New Roman" w:hAnsi="Times New Roman"/>
          <w:sz w:val="24"/>
        </w:rPr>
        <w:t>у укупном износу од 482 хиљаде</w:t>
      </w:r>
      <w:r>
        <w:rPr>
          <w:rFonts w:ascii="Times New Roman" w:hAnsi="Times New Roman"/>
          <w:spacing w:val="-23"/>
          <w:sz w:val="24"/>
        </w:rPr>
        <w:t> </w:t>
      </w:r>
      <w:r>
        <w:rPr>
          <w:rFonts w:ascii="Times New Roman" w:hAnsi="Times New Roman"/>
          <w:sz w:val="24"/>
        </w:rPr>
        <w:t>динара.</w:t>
      </w:r>
    </w:p>
    <w:p>
      <w:pPr>
        <w:pStyle w:val="Heading1"/>
        <w:spacing w:line="275" w:lineRule="exact"/>
        <w:ind w:left="786"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91"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Мање су исказане обавезе код Градског јавног правобранилаштва у износу од  </w:t>
      </w:r>
      <w:r>
        <w:rPr>
          <w:rFonts w:ascii="Times New Roman" w:hAnsi="Times New Roman"/>
          <w:spacing w:val="48"/>
          <w:sz w:val="24"/>
        </w:rPr>
        <w:t> </w:t>
      </w:r>
      <w:r>
        <w:rPr>
          <w:rFonts w:ascii="Times New Roman" w:hAnsi="Times New Roman"/>
          <w:sz w:val="24"/>
        </w:rPr>
        <w:t>најмање</w:t>
      </w:r>
    </w:p>
    <w:p>
      <w:pPr>
        <w:pStyle w:val="BodyText"/>
        <w:spacing w:line="240" w:lineRule="auto"/>
        <w:ind w:right="176"/>
        <w:jc w:val="both"/>
        <w:rPr>
          <w:rFonts w:ascii="Times New Roman" w:hAnsi="Times New Roman" w:cs="Times New Roman" w:eastAsia="Times New Roman" w:hint="default"/>
        </w:rPr>
      </w:pPr>
      <w:r>
        <w:rPr>
          <w:rFonts w:ascii="Times New Roman" w:hAnsi="Times New Roman" w:cs="Times New Roman" w:eastAsia="Times New Roman" w:hint="default"/>
        </w:rPr>
        <w:t>1.505 </w:t>
      </w:r>
      <w:r>
        <w:rPr/>
        <w:t>хиљада динара јер исте нису евидентиране и то део плате за децембар 2014. године, социјалне доприносе за децембар 2014. године, обавеза за умањење основице зараде од 10% за децембар 2014. године, обавеза за накнаде у натури, обавезе за судске трошкове. Истовремено, за исти износ мање је исказана позиција 131200 – обрачунати неплаћени расходи и</w:t>
      </w:r>
      <w:r>
        <w:rPr>
          <w:spacing w:val="-2"/>
        </w:rPr>
        <w:t> </w:t>
      </w:r>
      <w:r>
        <w:rPr/>
        <w:t>издаци</w:t>
      </w:r>
      <w:r>
        <w:rPr>
          <w:rFonts w:ascii="Times New Roman" w:hAnsi="Times New Roman" w:cs="Times New Roman" w:eastAsia="Times New Roman" w:hint="default"/>
        </w:rPr>
        <w:t>.</w:t>
      </w:r>
    </w:p>
    <w:p>
      <w:pPr>
        <w:pStyle w:val="ListParagraph"/>
        <w:numPr>
          <w:ilvl w:val="0"/>
          <w:numId w:val="9"/>
        </w:numPr>
        <w:tabs>
          <w:tab w:pos="303" w:val="left" w:leader="none"/>
        </w:tabs>
        <w:spacing w:line="274" w:lineRule="exact" w:before="24" w:after="0"/>
        <w:ind w:left="160" w:right="187" w:firstLine="0"/>
        <w:jc w:val="both"/>
        <w:rPr>
          <w:rFonts w:ascii="Times New Roman" w:hAnsi="Times New Roman" w:cs="Times New Roman" w:eastAsia="Times New Roman" w:hint="default"/>
          <w:sz w:val="24"/>
          <w:szCs w:val="24"/>
        </w:rPr>
      </w:pPr>
      <w:r>
        <w:rPr>
          <w:rFonts w:ascii="Times New Roman" w:hAnsi="Times New Roman"/>
          <w:sz w:val="24"/>
        </w:rPr>
        <w:t>Пасивна временска разграничења више су исказана у износу од 170 хиљада динара због неправилног</w:t>
      </w:r>
      <w:r>
        <w:rPr>
          <w:rFonts w:ascii="Times New Roman" w:hAnsi="Times New Roman"/>
          <w:spacing w:val="-12"/>
          <w:sz w:val="24"/>
        </w:rPr>
        <w:t> </w:t>
      </w:r>
      <w:r>
        <w:rPr>
          <w:rFonts w:ascii="Times New Roman" w:hAnsi="Times New Roman"/>
          <w:sz w:val="24"/>
        </w:rPr>
        <w:t>евидентирања.</w:t>
      </w:r>
    </w:p>
    <w:p>
      <w:pPr>
        <w:pStyle w:val="ListParagraph"/>
        <w:numPr>
          <w:ilvl w:val="0"/>
          <w:numId w:val="9"/>
        </w:numPr>
        <w:tabs>
          <w:tab w:pos="303" w:val="left" w:leader="none"/>
        </w:tabs>
        <w:spacing w:line="237" w:lineRule="auto" w:before="1"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Градско јавно правобранилаштво је преузело обавезе преко одобрених апропријација у укупном износу од 742 хиљаде динара</w:t>
      </w:r>
      <w:r>
        <w:rPr>
          <w:rFonts w:ascii="Times New Roman" w:hAnsi="Times New Roman"/>
          <w:sz w:val="24"/>
        </w:rPr>
        <w:t>, </w:t>
      </w:r>
      <w:r>
        <w:rPr>
          <w:rFonts w:ascii="Times New Roman" w:hAnsi="Times New Roman"/>
          <w:sz w:val="24"/>
        </w:rPr>
        <w:t>што је супротно члану 54. Закона о буџетском систему и</w:t>
      </w:r>
      <w:r>
        <w:rPr>
          <w:rFonts w:ascii="Times New Roman" w:hAnsi="Times New Roman"/>
          <w:spacing w:val="-5"/>
          <w:sz w:val="24"/>
        </w:rPr>
        <w:t> </w:t>
      </w:r>
      <w:r>
        <w:rPr>
          <w:rFonts w:ascii="Times New Roman" w:hAnsi="Times New Roman"/>
          <w:sz w:val="24"/>
        </w:rPr>
        <w:t>то</w:t>
      </w:r>
      <w:r>
        <w:rPr>
          <w:rFonts w:ascii="Times New Roman" w:hAnsi="Times New Roman"/>
          <w:sz w:val="24"/>
        </w:rPr>
        <w:t>:</w:t>
      </w:r>
    </w:p>
    <w:p>
      <w:pPr>
        <w:spacing w:before="3" w:after="7"/>
        <w:ind w:left="0" w:right="178" w:firstLine="0"/>
        <w:jc w:val="right"/>
        <w:rPr>
          <w:rFonts w:ascii="Times New Roman" w:hAnsi="Times New Roman" w:cs="Times New Roman" w:eastAsia="Times New Roman" w:hint="default"/>
          <w:sz w:val="18"/>
          <w:szCs w:val="18"/>
        </w:rPr>
      </w:pPr>
      <w:r>
        <w:rPr>
          <w:rFonts w:ascii="Times New Roman" w:hAnsi="Times New Roman"/>
          <w:sz w:val="18"/>
        </w:rPr>
        <w:t>( </w:t>
      </w:r>
      <w:r>
        <w:rPr>
          <w:rFonts w:ascii="Times New Roman" w:hAnsi="Times New Roman"/>
          <w:sz w:val="18"/>
        </w:rPr>
        <w:t>у хиљадама</w:t>
      </w:r>
      <w:r>
        <w:rPr>
          <w:rFonts w:ascii="Times New Roman" w:hAnsi="Times New Roman"/>
          <w:spacing w:val="-8"/>
          <w:sz w:val="18"/>
        </w:rPr>
        <w:t> </w:t>
      </w:r>
      <w:r>
        <w:rPr>
          <w:rFonts w:ascii="Times New Roman" w:hAnsi="Times New Roman"/>
          <w:sz w:val="18"/>
        </w:rPr>
        <w:t>динара</w:t>
      </w:r>
      <w:r>
        <w:rPr>
          <w:rFonts w:ascii="Times New Roman" w:hAnsi="Times New Roman"/>
          <w:sz w:val="18"/>
        </w:rPr>
        <w:t>)</w:t>
      </w:r>
    </w:p>
    <w:tbl>
      <w:tblPr>
        <w:tblW w:w="0" w:type="auto"/>
        <w:jc w:val="left"/>
        <w:tblInd w:w="155" w:type="dxa"/>
        <w:tblLayout w:type="fixed"/>
        <w:tblCellMar>
          <w:top w:w="0" w:type="dxa"/>
          <w:left w:w="0" w:type="dxa"/>
          <w:bottom w:w="0" w:type="dxa"/>
          <w:right w:w="0" w:type="dxa"/>
        </w:tblCellMar>
        <w:tblLook w:val="01E0"/>
      </w:tblPr>
      <w:tblGrid>
        <w:gridCol w:w="2977"/>
        <w:gridCol w:w="1560"/>
        <w:gridCol w:w="1560"/>
        <w:gridCol w:w="1517"/>
        <w:gridCol w:w="1601"/>
      </w:tblGrid>
      <w:tr>
        <w:trPr>
          <w:trHeight w:val="216" w:hRule="exact"/>
        </w:trPr>
        <w:tc>
          <w:tcPr>
            <w:tcW w:w="2977" w:type="dxa"/>
            <w:vMerge w:val="restart"/>
            <w:tcBorders>
              <w:top w:val="single" w:sz="4" w:space="0" w:color="000000"/>
              <w:left w:val="single" w:sz="4" w:space="0" w:color="000000"/>
              <w:right w:val="single" w:sz="4" w:space="0" w:color="000000"/>
            </w:tcBorders>
          </w:tcPr>
          <w:p>
            <w:pPr>
              <w:pStyle w:val="TableParagraph"/>
              <w:spacing w:line="202" w:lineRule="exact"/>
              <w:ind w:left="1066" w:right="1068"/>
              <w:jc w:val="center"/>
              <w:rPr>
                <w:rFonts w:ascii="Times New Roman" w:hAnsi="Times New Roman" w:cs="Times New Roman" w:eastAsia="Times New Roman" w:hint="default"/>
                <w:sz w:val="18"/>
                <w:szCs w:val="18"/>
              </w:rPr>
            </w:pPr>
            <w:r>
              <w:rPr>
                <w:rFonts w:ascii="Times New Roman" w:hAnsi="Times New Roman"/>
                <w:sz w:val="18"/>
              </w:rPr>
              <w:t>ГЈП</w:t>
            </w:r>
          </w:p>
        </w:tc>
        <w:tc>
          <w:tcPr>
            <w:tcW w:w="6239" w:type="dxa"/>
            <w:gridSpan w:val="4"/>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795" w:right="0"/>
              <w:jc w:val="left"/>
              <w:rPr>
                <w:rFonts w:ascii="Times New Roman" w:hAnsi="Times New Roman" w:cs="Times New Roman" w:eastAsia="Times New Roman" w:hint="default"/>
                <w:sz w:val="18"/>
                <w:szCs w:val="18"/>
              </w:rPr>
            </w:pPr>
            <w:r>
              <w:rPr>
                <w:rFonts w:ascii="Times New Roman" w:hAnsi="Times New Roman"/>
                <w:sz w:val="18"/>
              </w:rPr>
              <w:t>Функционална класификација</w:t>
            </w:r>
            <w:r>
              <w:rPr>
                <w:rFonts w:ascii="Times New Roman" w:hAnsi="Times New Roman"/>
                <w:spacing w:val="-12"/>
                <w:sz w:val="18"/>
              </w:rPr>
              <w:t> </w:t>
            </w:r>
            <w:r>
              <w:rPr>
                <w:rFonts w:ascii="Times New Roman" w:hAnsi="Times New Roman"/>
                <w:sz w:val="18"/>
              </w:rPr>
              <w:t>330</w:t>
            </w:r>
          </w:p>
        </w:tc>
      </w:tr>
      <w:tr>
        <w:trPr>
          <w:trHeight w:val="218" w:hRule="exact"/>
        </w:trPr>
        <w:tc>
          <w:tcPr>
            <w:tcW w:w="2977" w:type="dxa"/>
            <w:vMerge/>
            <w:tcBorders>
              <w:left w:val="single" w:sz="4" w:space="0" w:color="000000"/>
              <w:bottom w:val="single" w:sz="4" w:space="0" w:color="000000"/>
              <w:right w:val="single" w:sz="4" w:space="0" w:color="000000"/>
            </w:tcBorders>
          </w:tcPr>
          <w:p>
            <w:pPr/>
          </w:p>
        </w:tc>
        <w:tc>
          <w:tcPr>
            <w:tcW w:w="15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44"/>
              <w:jc w:val="right"/>
              <w:rPr>
                <w:rFonts w:ascii="Times New Roman" w:hAnsi="Times New Roman" w:cs="Times New Roman" w:eastAsia="Times New Roman" w:hint="default"/>
                <w:sz w:val="18"/>
                <w:szCs w:val="18"/>
              </w:rPr>
            </w:pPr>
            <w:r>
              <w:rPr>
                <w:rFonts w:ascii="Times New Roman" w:hAnsi="Times New Roman"/>
                <w:sz w:val="18"/>
              </w:rPr>
              <w:t>Група конта</w:t>
            </w:r>
            <w:r>
              <w:rPr>
                <w:rFonts w:ascii="Times New Roman" w:hAnsi="Times New Roman"/>
                <w:spacing w:val="-1"/>
                <w:sz w:val="18"/>
              </w:rPr>
              <w:t> </w:t>
            </w:r>
            <w:r>
              <w:rPr>
                <w:rFonts w:ascii="Times New Roman" w:hAnsi="Times New Roman"/>
                <w:sz w:val="18"/>
              </w:rPr>
              <w:t>411</w:t>
            </w:r>
          </w:p>
        </w:tc>
        <w:tc>
          <w:tcPr>
            <w:tcW w:w="15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44"/>
              <w:jc w:val="right"/>
              <w:rPr>
                <w:rFonts w:ascii="Times New Roman" w:hAnsi="Times New Roman" w:cs="Times New Roman" w:eastAsia="Times New Roman" w:hint="default"/>
                <w:sz w:val="18"/>
                <w:szCs w:val="18"/>
              </w:rPr>
            </w:pPr>
            <w:r>
              <w:rPr>
                <w:rFonts w:ascii="Times New Roman" w:hAnsi="Times New Roman"/>
                <w:sz w:val="18"/>
              </w:rPr>
              <w:t>Група конта</w:t>
            </w:r>
            <w:r>
              <w:rPr>
                <w:rFonts w:ascii="Times New Roman" w:hAnsi="Times New Roman"/>
                <w:spacing w:val="-1"/>
                <w:sz w:val="18"/>
              </w:rPr>
              <w:t> </w:t>
            </w:r>
            <w:r>
              <w:rPr>
                <w:rFonts w:ascii="Times New Roman" w:hAnsi="Times New Roman"/>
                <w:sz w:val="18"/>
              </w:rPr>
              <w:t>412</w:t>
            </w:r>
          </w:p>
        </w:tc>
        <w:tc>
          <w:tcPr>
            <w:tcW w:w="151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22"/>
              <w:jc w:val="right"/>
              <w:rPr>
                <w:rFonts w:ascii="Times New Roman" w:hAnsi="Times New Roman" w:cs="Times New Roman" w:eastAsia="Times New Roman" w:hint="default"/>
                <w:sz w:val="18"/>
                <w:szCs w:val="18"/>
              </w:rPr>
            </w:pPr>
            <w:r>
              <w:rPr>
                <w:rFonts w:ascii="Times New Roman" w:hAnsi="Times New Roman"/>
                <w:sz w:val="18"/>
              </w:rPr>
              <w:t>Група конта</w:t>
            </w:r>
            <w:r>
              <w:rPr>
                <w:rFonts w:ascii="Times New Roman" w:hAnsi="Times New Roman"/>
                <w:spacing w:val="-1"/>
                <w:sz w:val="18"/>
              </w:rPr>
              <w:t> </w:t>
            </w:r>
            <w:r>
              <w:rPr>
                <w:rFonts w:ascii="Times New Roman" w:hAnsi="Times New Roman"/>
                <w:sz w:val="18"/>
              </w:rPr>
              <w:t>413</w:t>
            </w:r>
          </w:p>
        </w:tc>
        <w:tc>
          <w:tcPr>
            <w:tcW w:w="16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67"/>
              <w:jc w:val="right"/>
              <w:rPr>
                <w:rFonts w:ascii="Times New Roman" w:hAnsi="Times New Roman" w:cs="Times New Roman" w:eastAsia="Times New Roman" w:hint="default"/>
                <w:sz w:val="18"/>
                <w:szCs w:val="18"/>
              </w:rPr>
            </w:pPr>
            <w:r>
              <w:rPr>
                <w:rFonts w:ascii="Times New Roman" w:hAnsi="Times New Roman"/>
                <w:sz w:val="18"/>
              </w:rPr>
              <w:t>Група конта</w:t>
            </w:r>
            <w:r>
              <w:rPr>
                <w:rFonts w:ascii="Times New Roman" w:hAnsi="Times New Roman"/>
                <w:spacing w:val="-1"/>
                <w:sz w:val="18"/>
              </w:rPr>
              <w:t> </w:t>
            </w:r>
            <w:r>
              <w:rPr>
                <w:rFonts w:ascii="Times New Roman" w:hAnsi="Times New Roman"/>
                <w:sz w:val="18"/>
              </w:rPr>
              <w:t>465</w:t>
            </w:r>
          </w:p>
        </w:tc>
      </w:tr>
      <w:tr>
        <w:trPr>
          <w:trHeight w:val="216" w:hRule="exact"/>
        </w:trPr>
        <w:tc>
          <w:tcPr>
            <w:tcW w:w="297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89"/>
              <w:jc w:val="left"/>
              <w:rPr>
                <w:rFonts w:ascii="Times New Roman" w:hAnsi="Times New Roman" w:cs="Times New Roman" w:eastAsia="Times New Roman" w:hint="default"/>
                <w:sz w:val="18"/>
                <w:szCs w:val="18"/>
              </w:rPr>
            </w:pPr>
            <w:r>
              <w:rPr>
                <w:rFonts w:ascii="Times New Roman" w:hAnsi="Times New Roman"/>
                <w:sz w:val="18"/>
              </w:rPr>
              <w:t>План</w:t>
            </w:r>
          </w:p>
        </w:tc>
        <w:tc>
          <w:tcPr>
            <w:tcW w:w="15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10.316</w:t>
            </w:r>
          </w:p>
        </w:tc>
        <w:tc>
          <w:tcPr>
            <w:tcW w:w="15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1.847</w:t>
            </w:r>
          </w:p>
        </w:tc>
        <w:tc>
          <w:tcPr>
            <w:tcW w:w="151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300</w:t>
            </w:r>
          </w:p>
        </w:tc>
        <w:tc>
          <w:tcPr>
            <w:tcW w:w="16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90</w:t>
            </w:r>
          </w:p>
        </w:tc>
      </w:tr>
      <w:tr>
        <w:trPr>
          <w:trHeight w:val="216" w:hRule="exact"/>
        </w:trPr>
        <w:tc>
          <w:tcPr>
            <w:tcW w:w="297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89"/>
              <w:jc w:val="left"/>
              <w:rPr>
                <w:rFonts w:ascii="Times New Roman" w:hAnsi="Times New Roman" w:cs="Times New Roman" w:eastAsia="Times New Roman" w:hint="default"/>
                <w:sz w:val="18"/>
                <w:szCs w:val="18"/>
              </w:rPr>
            </w:pPr>
            <w:r>
              <w:rPr>
                <w:rFonts w:ascii="Times New Roman" w:hAnsi="Times New Roman"/>
                <w:sz w:val="18"/>
              </w:rPr>
              <w:t>Извршење</w:t>
            </w:r>
          </w:p>
        </w:tc>
        <w:tc>
          <w:tcPr>
            <w:tcW w:w="15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pacing w:val="-1"/>
                <w:sz w:val="18"/>
              </w:rPr>
              <w:t>10.226</w:t>
            </w:r>
          </w:p>
        </w:tc>
        <w:tc>
          <w:tcPr>
            <w:tcW w:w="15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0"/>
              <w:jc w:val="right"/>
              <w:rPr>
                <w:rFonts w:ascii="Times New Roman" w:hAnsi="Times New Roman" w:cs="Times New Roman" w:eastAsia="Times New Roman" w:hint="default"/>
                <w:sz w:val="18"/>
                <w:szCs w:val="18"/>
              </w:rPr>
            </w:pPr>
            <w:r>
              <w:rPr>
                <w:rFonts w:ascii="Times New Roman"/>
                <w:sz w:val="18"/>
              </w:rPr>
              <w:t>1.834</w:t>
            </w:r>
          </w:p>
        </w:tc>
        <w:tc>
          <w:tcPr>
            <w:tcW w:w="151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166</w:t>
            </w:r>
          </w:p>
        </w:tc>
        <w:tc>
          <w:tcPr>
            <w:tcW w:w="16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89</w:t>
            </w:r>
          </w:p>
        </w:tc>
      </w:tr>
      <w:tr>
        <w:trPr>
          <w:trHeight w:val="218" w:hRule="exact"/>
        </w:trPr>
        <w:tc>
          <w:tcPr>
            <w:tcW w:w="297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189"/>
              <w:jc w:val="left"/>
              <w:rPr>
                <w:rFonts w:ascii="Times New Roman" w:hAnsi="Times New Roman" w:cs="Times New Roman" w:eastAsia="Times New Roman" w:hint="default"/>
                <w:sz w:val="18"/>
                <w:szCs w:val="18"/>
              </w:rPr>
            </w:pPr>
            <w:r>
              <w:rPr>
                <w:rFonts w:ascii="Times New Roman" w:hAnsi="Times New Roman"/>
                <w:sz w:val="18"/>
              </w:rPr>
              <w:t>Разлика</w:t>
            </w:r>
            <w:r>
              <w:rPr>
                <w:rFonts w:ascii="Times New Roman" w:hAnsi="Times New Roman"/>
                <w:spacing w:val="-4"/>
                <w:sz w:val="18"/>
              </w:rPr>
              <w:t> </w:t>
            </w:r>
            <w:r>
              <w:rPr>
                <w:rFonts w:ascii="Times New Roman" w:hAnsi="Times New Roman"/>
                <w:sz w:val="18"/>
              </w:rPr>
              <w:t>1</w:t>
            </w:r>
          </w:p>
        </w:tc>
        <w:tc>
          <w:tcPr>
            <w:tcW w:w="15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90</w:t>
            </w:r>
          </w:p>
        </w:tc>
        <w:tc>
          <w:tcPr>
            <w:tcW w:w="156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13</w:t>
            </w:r>
          </w:p>
        </w:tc>
        <w:tc>
          <w:tcPr>
            <w:tcW w:w="1517"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98"/>
              <w:jc w:val="right"/>
              <w:rPr>
                <w:rFonts w:ascii="Times New Roman" w:hAnsi="Times New Roman" w:cs="Times New Roman" w:eastAsia="Times New Roman" w:hint="default"/>
                <w:sz w:val="18"/>
                <w:szCs w:val="18"/>
              </w:rPr>
            </w:pPr>
            <w:r>
              <w:rPr>
                <w:rFonts w:ascii="Times New Roman"/>
                <w:sz w:val="18"/>
              </w:rPr>
              <w:t>134</w:t>
            </w:r>
          </w:p>
        </w:tc>
        <w:tc>
          <w:tcPr>
            <w:tcW w:w="160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102"/>
              <w:jc w:val="right"/>
              <w:rPr>
                <w:rFonts w:ascii="Times New Roman" w:hAnsi="Times New Roman" w:cs="Times New Roman" w:eastAsia="Times New Roman" w:hint="default"/>
                <w:sz w:val="18"/>
                <w:szCs w:val="18"/>
              </w:rPr>
            </w:pPr>
            <w:r>
              <w:rPr>
                <w:rFonts w:ascii="Times New Roman"/>
                <w:sz w:val="18"/>
              </w:rPr>
              <w:t>1</w:t>
            </w:r>
          </w:p>
        </w:tc>
      </w:tr>
      <w:tr>
        <w:trPr>
          <w:trHeight w:val="216" w:hRule="exact"/>
        </w:trPr>
        <w:tc>
          <w:tcPr>
            <w:tcW w:w="297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89"/>
              <w:jc w:val="left"/>
              <w:rPr>
                <w:rFonts w:ascii="Times New Roman" w:hAnsi="Times New Roman" w:cs="Times New Roman" w:eastAsia="Times New Roman" w:hint="default"/>
                <w:sz w:val="18"/>
                <w:szCs w:val="18"/>
              </w:rPr>
            </w:pPr>
            <w:r>
              <w:rPr>
                <w:rFonts w:ascii="Times New Roman" w:hAnsi="Times New Roman"/>
                <w:sz w:val="18"/>
              </w:rPr>
              <w:t>Преузете обавезе по</w:t>
            </w:r>
            <w:r>
              <w:rPr>
                <w:rFonts w:ascii="Times New Roman" w:hAnsi="Times New Roman"/>
                <w:spacing w:val="-11"/>
                <w:sz w:val="18"/>
              </w:rPr>
              <w:t> </w:t>
            </w:r>
            <w:r>
              <w:rPr>
                <w:rFonts w:ascii="Times New Roman" w:hAnsi="Times New Roman"/>
                <w:sz w:val="18"/>
              </w:rPr>
              <w:t>рачунима</w:t>
            </w:r>
          </w:p>
        </w:tc>
        <w:tc>
          <w:tcPr>
            <w:tcW w:w="15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531</w:t>
            </w:r>
          </w:p>
        </w:tc>
        <w:tc>
          <w:tcPr>
            <w:tcW w:w="15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82</w:t>
            </w:r>
          </w:p>
        </w:tc>
        <w:tc>
          <w:tcPr>
            <w:tcW w:w="151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275</w:t>
            </w:r>
          </w:p>
        </w:tc>
        <w:tc>
          <w:tcPr>
            <w:tcW w:w="16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98"/>
              <w:jc w:val="right"/>
              <w:rPr>
                <w:rFonts w:ascii="Times New Roman" w:hAnsi="Times New Roman" w:cs="Times New Roman" w:eastAsia="Times New Roman" w:hint="default"/>
                <w:sz w:val="18"/>
                <w:szCs w:val="18"/>
              </w:rPr>
            </w:pPr>
            <w:r>
              <w:rPr>
                <w:rFonts w:ascii="Times New Roman"/>
                <w:sz w:val="18"/>
              </w:rPr>
              <w:t>92</w:t>
            </w:r>
          </w:p>
        </w:tc>
      </w:tr>
      <w:tr>
        <w:trPr>
          <w:trHeight w:val="218" w:hRule="exact"/>
        </w:trPr>
        <w:tc>
          <w:tcPr>
            <w:tcW w:w="297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left="103" w:right="189"/>
              <w:jc w:val="left"/>
              <w:rPr>
                <w:rFonts w:ascii="Times New Roman" w:hAnsi="Times New Roman" w:cs="Times New Roman" w:eastAsia="Times New Roman" w:hint="default"/>
                <w:sz w:val="18"/>
                <w:szCs w:val="18"/>
              </w:rPr>
            </w:pPr>
            <w:r>
              <w:rPr>
                <w:rFonts w:ascii="Times New Roman" w:hAnsi="Times New Roman"/>
                <w:sz w:val="18"/>
              </w:rPr>
              <w:t>Преузете обавезе по</w:t>
            </w:r>
            <w:r>
              <w:rPr>
                <w:rFonts w:ascii="Times New Roman" w:hAnsi="Times New Roman"/>
                <w:spacing w:val="-10"/>
                <w:sz w:val="18"/>
              </w:rPr>
              <w:t> </w:t>
            </w:r>
            <w:r>
              <w:rPr>
                <w:rFonts w:ascii="Times New Roman" w:hAnsi="Times New Roman"/>
                <w:sz w:val="18"/>
              </w:rPr>
              <w:t>уговорима</w:t>
            </w:r>
          </w:p>
        </w:tc>
        <w:tc>
          <w:tcPr>
            <w:tcW w:w="15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560"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517"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c>
          <w:tcPr>
            <w:tcW w:w="1601"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101"/>
              <w:jc w:val="right"/>
              <w:rPr>
                <w:rFonts w:ascii="Times New Roman" w:hAnsi="Times New Roman" w:cs="Times New Roman" w:eastAsia="Times New Roman" w:hint="default"/>
                <w:sz w:val="18"/>
                <w:szCs w:val="18"/>
              </w:rPr>
            </w:pPr>
            <w:r>
              <w:rPr>
                <w:rFonts w:ascii="Times New Roman"/>
                <w:w w:val="99"/>
                <w:sz w:val="18"/>
              </w:rPr>
              <w:t>-</w:t>
            </w:r>
            <w:r>
              <w:rPr>
                <w:rFonts w:ascii="Times New Roman"/>
                <w:sz w:val="18"/>
              </w:rPr>
            </w:r>
          </w:p>
        </w:tc>
      </w:tr>
      <w:tr>
        <w:trPr>
          <w:trHeight w:val="216" w:hRule="exact"/>
        </w:trPr>
        <w:tc>
          <w:tcPr>
            <w:tcW w:w="29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66" w:right="1068"/>
              <w:jc w:val="center"/>
              <w:rPr>
                <w:rFonts w:ascii="Times New Roman" w:hAnsi="Times New Roman" w:cs="Times New Roman" w:eastAsia="Times New Roman" w:hint="default"/>
                <w:sz w:val="18"/>
                <w:szCs w:val="18"/>
              </w:rPr>
            </w:pPr>
            <w:r>
              <w:rPr>
                <w:rFonts w:ascii="Times New Roman" w:hAnsi="Times New Roman"/>
                <w:b/>
                <w:sz w:val="18"/>
              </w:rPr>
              <w:t>Разлика</w:t>
            </w:r>
            <w:r>
              <w:rPr>
                <w:rFonts w:ascii="Times New Roman" w:hAnsi="Times New Roman"/>
                <w:b/>
                <w:spacing w:val="-4"/>
                <w:sz w:val="18"/>
              </w:rPr>
              <w:t> </w:t>
            </w:r>
            <w:r>
              <w:rPr>
                <w:rFonts w:ascii="Times New Roman" w:hAnsi="Times New Roman"/>
                <w:b/>
                <w:sz w:val="18"/>
              </w:rPr>
              <w:t>2</w:t>
            </w:r>
            <w:r>
              <w:rPr>
                <w:rFonts w:ascii="Times New Roman" w:hAnsi="Times New Roman"/>
                <w:sz w:val="18"/>
              </w:rPr>
            </w:r>
          </w:p>
        </w:tc>
        <w:tc>
          <w:tcPr>
            <w:tcW w:w="15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-441</w:t>
            </w:r>
            <w:r>
              <w:rPr>
                <w:rFonts w:ascii="Times New Roman"/>
                <w:spacing w:val="-1"/>
                <w:sz w:val="18"/>
              </w:rPr>
            </w:r>
          </w:p>
        </w:tc>
        <w:tc>
          <w:tcPr>
            <w:tcW w:w="15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98"/>
              <w:jc w:val="right"/>
              <w:rPr>
                <w:rFonts w:ascii="Times New Roman" w:hAnsi="Times New Roman" w:cs="Times New Roman" w:eastAsia="Times New Roman" w:hint="default"/>
                <w:sz w:val="18"/>
                <w:szCs w:val="18"/>
              </w:rPr>
            </w:pPr>
            <w:r>
              <w:rPr>
                <w:rFonts w:ascii="Times New Roman"/>
                <w:b/>
                <w:sz w:val="18"/>
              </w:rPr>
              <w:t>-69</w:t>
            </w:r>
            <w:r>
              <w:rPr>
                <w:rFonts w:ascii="Times New Roman"/>
                <w:sz w:val="18"/>
              </w:rPr>
            </w:r>
          </w:p>
        </w:tc>
        <w:tc>
          <w:tcPr>
            <w:tcW w:w="151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00"/>
              <w:jc w:val="right"/>
              <w:rPr>
                <w:rFonts w:ascii="Times New Roman" w:hAnsi="Times New Roman" w:cs="Times New Roman" w:eastAsia="Times New Roman" w:hint="default"/>
                <w:sz w:val="18"/>
                <w:szCs w:val="18"/>
              </w:rPr>
            </w:pPr>
            <w:r>
              <w:rPr>
                <w:rFonts w:ascii="Times New Roman"/>
                <w:b/>
                <w:spacing w:val="-1"/>
                <w:sz w:val="18"/>
              </w:rPr>
              <w:t>-141</w:t>
            </w:r>
            <w:r>
              <w:rPr>
                <w:rFonts w:ascii="Times New Roman"/>
                <w:spacing w:val="-1"/>
                <w:sz w:val="18"/>
              </w:rPr>
            </w:r>
          </w:p>
        </w:tc>
        <w:tc>
          <w:tcPr>
            <w:tcW w:w="16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98"/>
              <w:jc w:val="right"/>
              <w:rPr>
                <w:rFonts w:ascii="Times New Roman" w:hAnsi="Times New Roman" w:cs="Times New Roman" w:eastAsia="Times New Roman" w:hint="default"/>
                <w:sz w:val="18"/>
                <w:szCs w:val="18"/>
              </w:rPr>
            </w:pPr>
            <w:r>
              <w:rPr>
                <w:rFonts w:ascii="Times New Roman"/>
                <w:b/>
                <w:sz w:val="18"/>
              </w:rPr>
              <w:t>-91</w:t>
            </w:r>
            <w:r>
              <w:rPr>
                <w:rFonts w:ascii="Times New Roman"/>
                <w:sz w:val="18"/>
              </w:rPr>
            </w:r>
          </w:p>
        </w:tc>
      </w:tr>
    </w:tbl>
    <w:p>
      <w:pPr>
        <w:spacing w:after="0" w:line="240" w:lineRule="auto"/>
        <w:jc w:val="right"/>
        <w:rPr>
          <w:rFonts w:ascii="Times New Roman" w:hAnsi="Times New Roman" w:cs="Times New Roman" w:eastAsia="Times New Roman" w:hint="default"/>
          <w:sz w:val="18"/>
          <w:szCs w:val="18"/>
        </w:rPr>
        <w:sectPr>
          <w:pgSz w:w="12240" w:h="15840"/>
          <w:pgMar w:header="740" w:footer="1274" w:top="1280" w:bottom="1460" w:left="1400" w:right="1260"/>
        </w:sectPr>
      </w:pPr>
    </w:p>
    <w:p>
      <w:pPr>
        <w:pStyle w:val="BodyText"/>
        <w:spacing w:line="240" w:lineRule="auto" w:before="122"/>
        <w:ind w:left="726" w:right="141"/>
        <w:jc w:val="left"/>
      </w:pPr>
      <w:r>
        <w:rPr/>
        <w:t>На функционалној класификацији 330 –</w:t>
      </w:r>
      <w:r>
        <w:rPr>
          <w:spacing w:val="-13"/>
        </w:rPr>
        <w:t> </w:t>
      </w:r>
      <w:r>
        <w:rPr/>
        <w:t>судови:</w:t>
      </w:r>
    </w:p>
    <w:p>
      <w:pPr>
        <w:pStyle w:val="ListParagraph"/>
        <w:numPr>
          <w:ilvl w:val="0"/>
          <w:numId w:val="96"/>
        </w:numPr>
        <w:tabs>
          <w:tab w:pos="943" w:val="left" w:leader="none"/>
        </w:tabs>
        <w:spacing w:line="240" w:lineRule="auto" w:before="0" w:after="0"/>
        <w:ind w:left="160" w:right="177"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 економској класификацији 411000 – плате, додаци и накнаде запослених (зараде), преузете су обавезе више од одобрене апропријације у износу од 441 хиљаде динара, по основу неисплаћене плате за децембар 2014.</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године</w:t>
      </w:r>
      <w:r>
        <w:rPr>
          <w:rFonts w:ascii="Times New Roman" w:hAnsi="Times New Roman" w:cs="Times New Roman" w:eastAsia="Times New Roman" w:hint="default"/>
          <w:sz w:val="24"/>
          <w:szCs w:val="24"/>
        </w:rPr>
        <w:t>,</w:t>
      </w:r>
    </w:p>
    <w:p>
      <w:pPr>
        <w:pStyle w:val="ListParagraph"/>
        <w:numPr>
          <w:ilvl w:val="0"/>
          <w:numId w:val="96"/>
        </w:numPr>
        <w:tabs>
          <w:tab w:pos="874" w:val="left" w:leader="none"/>
        </w:tabs>
        <w:spacing w:line="240" w:lineRule="auto" w:before="0" w:after="0"/>
        <w:ind w:left="160" w:right="182"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 економској класификацији 412000 – социјални доприноси на терет послодавца, преузете су обавезе више од одобрене апропријације у износу од 69 хиљада динара по основу социјалних доприноса на неисплаћене плате за децембар 2014.</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године,</w:t>
      </w:r>
    </w:p>
    <w:p>
      <w:pPr>
        <w:pStyle w:val="ListParagraph"/>
        <w:numPr>
          <w:ilvl w:val="0"/>
          <w:numId w:val="96"/>
        </w:numPr>
        <w:tabs>
          <w:tab w:pos="919" w:val="left" w:leader="none"/>
        </w:tabs>
        <w:spacing w:line="240" w:lineRule="auto" w:before="0" w:after="0"/>
        <w:ind w:left="160" w:right="177"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 економској класификацији 413000 – накнаде у натури, преузете су обавезе више од одобрене апропријације у износу од 141 хиљаде динара по основу неплаћених рачуна за превоз радника на посао и са</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посла</w:t>
      </w:r>
      <w:r>
        <w:rPr>
          <w:rFonts w:ascii="Times New Roman" w:hAnsi="Times New Roman" w:cs="Times New Roman" w:eastAsia="Times New Roman" w:hint="default"/>
          <w:sz w:val="24"/>
          <w:szCs w:val="24"/>
        </w:rPr>
        <w:t>,</w:t>
      </w:r>
    </w:p>
    <w:p>
      <w:pPr>
        <w:pStyle w:val="ListParagraph"/>
        <w:numPr>
          <w:ilvl w:val="0"/>
          <w:numId w:val="96"/>
        </w:numPr>
        <w:tabs>
          <w:tab w:pos="893" w:val="left" w:leader="none"/>
        </w:tabs>
        <w:spacing w:line="240" w:lineRule="auto" w:before="0" w:after="0"/>
        <w:ind w:left="160" w:right="172"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на економској класификацији 465000 – остале дотације и трансфери преузете су обавезе више од одобрене апропријације у износу од 91 хиљаде динара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по основу повраћаја 10% у буџет Републике за неисплаћену плату за децембар 2014.</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године</w:t>
      </w:r>
      <w:r>
        <w:rPr>
          <w:rFonts w:ascii="Times New Roman" w:hAnsi="Times New Roman" w:cs="Times New Roman" w:eastAsia="Times New Roman" w:hint="default"/>
          <w:sz w:val="24"/>
          <w:szCs w:val="24"/>
        </w:rPr>
        <w:t>.</w:t>
      </w:r>
    </w:p>
    <w:p>
      <w:pPr>
        <w:pStyle w:val="Heading2"/>
        <w:spacing w:line="240" w:lineRule="auto"/>
        <w:ind w:right="172"/>
        <w:jc w:val="both"/>
        <w:rPr>
          <w:rFonts w:ascii="Times New Roman" w:hAnsi="Times New Roman" w:cs="Times New Roman" w:eastAsia="Times New Roman" w:hint="default"/>
          <w:b w:val="0"/>
          <w:bCs w:val="0"/>
          <w:i w:val="0"/>
        </w:rPr>
      </w:pPr>
      <w:r>
        <w:rPr>
          <w:i/>
        </w:rPr>
        <w:t>Препоручује се одговорним лицима да правилно исказују обавезе</w:t>
      </w:r>
      <w:r>
        <w:rPr>
          <w:rFonts w:ascii="Times New Roman" w:hAnsi="Times New Roman"/>
          <w:i/>
        </w:rPr>
        <w:t>, </w:t>
      </w:r>
      <w:r>
        <w:rPr>
          <w:i/>
        </w:rPr>
        <w:t>обезбеде правилну примену одредби Уредбе о буџетском рачуноводству и Правилника о стандардном класификационом оквиру и контном плану за буџетски систем и да обавезе преузимају до износа апропријације одобрене буџетом у тој години за ту намену</w:t>
      </w:r>
      <w:r>
        <w:rPr>
          <w:rFonts w:ascii="Times New Roman" w:hAnsi="Times New Roman"/>
          <w:i/>
        </w:rPr>
        <w:t>.</w:t>
      </w:r>
      <w:r>
        <w:rPr>
          <w:rFonts w:ascii="Times New Roman" w:hAnsi="Times New Roman"/>
          <w:b w:val="0"/>
          <w:i w:val="0"/>
        </w:rPr>
      </w:r>
    </w:p>
    <w:p>
      <w:pPr>
        <w:pStyle w:val="ListParagraph"/>
        <w:numPr>
          <w:ilvl w:val="0"/>
          <w:numId w:val="88"/>
        </w:numPr>
        <w:tabs>
          <w:tab w:pos="588" w:val="left" w:leader="none"/>
        </w:tabs>
        <w:spacing w:line="240" w:lineRule="auto" w:before="13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У </w:t>
      </w:r>
      <w:r>
        <w:rPr>
          <w:rFonts w:ascii="Times New Roman" w:hAnsi="Times New Roman"/>
          <w:sz w:val="24"/>
        </w:rPr>
      </w:r>
      <w:r>
        <w:rPr>
          <w:rFonts w:ascii="Times New Roman" w:hAnsi="Times New Roman"/>
          <w:sz w:val="24"/>
          <w:u w:val="single" w:color="000000"/>
        </w:rPr>
      </w:r>
      <w:r>
        <w:rPr>
          <w:rFonts w:ascii="Times New Roman" w:hAnsi="Times New Roman"/>
          <w:sz w:val="24"/>
          <w:u w:val="single" w:color="000000"/>
        </w:rPr>
        <w:t>буџету града Ниша </w:t>
      </w:r>
      <w:r>
        <w:rPr>
          <w:rFonts w:ascii="Times New Roman" w:hAnsi="Times New Roman"/>
          <w:sz w:val="24"/>
        </w:rPr>
        <w:t>исказане су обавезе у укупном износу од 1.571.274 хиљаде </w:t>
      </w:r>
      <w:r>
        <w:rPr>
          <w:rFonts w:ascii="Times New Roman" w:hAnsi="Times New Roman"/>
          <w:sz w:val="24"/>
        </w:rPr>
        <w:t>динара и то: за домаће дугорочне обавезе у износу од 1.226.635 хиљада динара</w:t>
      </w:r>
      <w:r>
        <w:rPr>
          <w:rFonts w:ascii="Times New Roman" w:hAnsi="Times New Roman"/>
          <w:sz w:val="24"/>
        </w:rPr>
        <w:t>, </w:t>
      </w:r>
      <w:r>
        <w:rPr>
          <w:rFonts w:ascii="Times New Roman" w:hAnsi="Times New Roman"/>
          <w:sz w:val="24"/>
        </w:rPr>
        <w:t>обавезе по основу отплате камата и пратећих трошкова задуживања у износу од 43.978 хиљада динара и пасивна временска разграничења у износу од 300.661 хиљаде</w:t>
      </w:r>
      <w:r>
        <w:rPr>
          <w:rFonts w:ascii="Times New Roman" w:hAnsi="Times New Roman"/>
          <w:spacing w:val="-21"/>
          <w:sz w:val="24"/>
        </w:rPr>
        <w:t> </w:t>
      </w:r>
      <w:r>
        <w:rPr>
          <w:rFonts w:ascii="Times New Roman" w:hAnsi="Times New Roman"/>
          <w:sz w:val="24"/>
        </w:rPr>
        <w:t>динара.</w:t>
      </w:r>
    </w:p>
    <w:p>
      <w:pPr>
        <w:pStyle w:val="BodyText"/>
        <w:spacing w:line="240" w:lineRule="auto"/>
        <w:ind w:right="174" w:firstLine="566"/>
        <w:jc w:val="both"/>
      </w:pPr>
      <w:r>
        <w:rPr>
          <w:rFonts w:ascii="Times New Roman" w:hAnsi="Times New Roman"/>
          <w:b/>
        </w:rPr>
        <w:t>На основу ревизије узорковане документације утврђено је </w:t>
      </w:r>
      <w:r>
        <w:rPr/>
        <w:t>да су неправилно исказане обавезе у билансу стања за буџет града који није везан ни за једног корисника буџета у укупном износу од 1.571.274 хиљаде динара и то: у износу од 1.270.613 хиљада динара за обавезу за узете кредите у износу од 1.226.635 хиљада динара и за камате на узете кредите у износу од 43.978 хиљада динара, уместо у билансу стања Управе за финансије, изворне приходе локалне самоуправе и јавне набавке и у износу од 300.661 хиљаде динара за пасивна временска разграничења уместо у билансима стања надлежних управа.</w:t>
      </w:r>
    </w:p>
    <w:p>
      <w:pPr>
        <w:pStyle w:val="Heading2"/>
        <w:spacing w:line="240" w:lineRule="auto"/>
        <w:ind w:right="174"/>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i/>
        </w:rPr>
        <w:t>.</w:t>
      </w:r>
      <w:r>
        <w:rPr>
          <w:rFonts w:ascii="Times New Roman" w:hAnsi="Times New Roman"/>
          <w:b w:val="0"/>
          <w:i w:val="0"/>
        </w:rPr>
      </w:r>
    </w:p>
    <w:p>
      <w:pPr>
        <w:spacing w:line="240" w:lineRule="auto" w:before="7"/>
        <w:rPr>
          <w:rFonts w:ascii="Times New Roman" w:hAnsi="Times New Roman" w:cs="Times New Roman" w:eastAsia="Times New Roman" w:hint="default"/>
          <w:b/>
          <w:bCs/>
          <w:i/>
          <w:sz w:val="23"/>
          <w:szCs w:val="23"/>
        </w:rPr>
      </w:pPr>
    </w:p>
    <w:p>
      <w:pPr>
        <w:pStyle w:val="BodyText"/>
        <w:spacing w:line="240" w:lineRule="auto"/>
        <w:ind w:right="176" w:firstLine="566"/>
        <w:jc w:val="both"/>
      </w:pPr>
      <w:r>
        <w:rPr/>
        <w:t>У наредној табели дат је приказ планираних и извршених апропријација и  преузетих обавеза преко одобрених апропријација код индиректних буџетских корисника и то:</w:t>
      </w:r>
    </w:p>
    <w:p>
      <w:pPr>
        <w:spacing w:after="0" w:line="240" w:lineRule="auto"/>
        <w:jc w:val="both"/>
        <w:sectPr>
          <w:pgSz w:w="12240" w:h="15840"/>
          <w:pgMar w:header="740" w:footer="1274" w:top="1280" w:bottom="1460" w:left="1400" w:right="1260"/>
        </w:sectPr>
      </w:pPr>
    </w:p>
    <w:p>
      <w:pPr>
        <w:spacing w:line="240" w:lineRule="auto" w:before="7"/>
        <w:rPr>
          <w:rFonts w:ascii="Times New Roman" w:hAnsi="Times New Roman" w:cs="Times New Roman" w:eastAsia="Times New Roman" w:hint="default"/>
          <w:sz w:val="23"/>
          <w:szCs w:val="23"/>
        </w:rPr>
      </w:pPr>
    </w:p>
    <w:tbl>
      <w:tblPr>
        <w:tblW w:w="0" w:type="auto"/>
        <w:jc w:val="left"/>
        <w:tblInd w:w="118" w:type="dxa"/>
        <w:tblLayout w:type="fixed"/>
        <w:tblCellMar>
          <w:top w:w="0" w:type="dxa"/>
          <w:left w:w="0" w:type="dxa"/>
          <w:bottom w:w="0" w:type="dxa"/>
          <w:right w:w="0" w:type="dxa"/>
        </w:tblCellMar>
        <w:tblLook w:val="01E0"/>
      </w:tblPr>
      <w:tblGrid>
        <w:gridCol w:w="626"/>
        <w:gridCol w:w="1359"/>
        <w:gridCol w:w="658"/>
        <w:gridCol w:w="679"/>
        <w:gridCol w:w="927"/>
        <w:gridCol w:w="955"/>
        <w:gridCol w:w="986"/>
        <w:gridCol w:w="900"/>
        <w:gridCol w:w="759"/>
        <w:gridCol w:w="792"/>
        <w:gridCol w:w="821"/>
        <w:gridCol w:w="747"/>
        <w:gridCol w:w="708"/>
        <w:gridCol w:w="852"/>
        <w:gridCol w:w="761"/>
        <w:gridCol w:w="816"/>
        <w:gridCol w:w="691"/>
        <w:gridCol w:w="658"/>
        <w:gridCol w:w="785"/>
      </w:tblGrid>
      <w:tr>
        <w:trPr>
          <w:trHeight w:val="425" w:hRule="exact"/>
        </w:trPr>
        <w:tc>
          <w:tcPr>
            <w:tcW w:w="6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2"/>
              <w:ind w:left="115" w:right="94" w:hanging="12"/>
              <w:jc w:val="left"/>
              <w:rPr>
                <w:rFonts w:ascii="Times New Roman" w:hAnsi="Times New Roman" w:cs="Times New Roman" w:eastAsia="Times New Roman" w:hint="default"/>
                <w:sz w:val="16"/>
                <w:szCs w:val="16"/>
              </w:rPr>
            </w:pPr>
            <w:r>
              <w:rPr>
                <w:rFonts w:ascii="Times New Roman" w:hAnsi="Times New Roman"/>
                <w:sz w:val="16"/>
              </w:rPr>
              <w:t>Група конта</w:t>
            </w:r>
          </w:p>
        </w:tc>
        <w:tc>
          <w:tcPr>
            <w:tcW w:w="1359" w:type="dxa"/>
            <w:tcBorders>
              <w:top w:val="single" w:sz="4" w:space="0" w:color="000000"/>
              <w:left w:val="single" w:sz="4" w:space="0" w:color="000000"/>
              <w:bottom w:val="single" w:sz="4" w:space="0" w:color="000000"/>
              <w:right w:val="single" w:sz="4" w:space="0" w:color="000000"/>
            </w:tcBorders>
          </w:tcPr>
          <w:p>
            <w:pP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before="42"/>
              <w:ind w:left="149" w:right="150"/>
              <w:jc w:val="center"/>
              <w:rPr>
                <w:rFonts w:ascii="Times New Roman" w:hAnsi="Times New Roman" w:cs="Times New Roman" w:eastAsia="Times New Roman" w:hint="default"/>
                <w:sz w:val="16"/>
                <w:szCs w:val="16"/>
              </w:rPr>
            </w:pPr>
            <w:r>
              <w:rPr>
                <w:rFonts w:ascii="Times New Roman" w:hAnsi="Times New Roman"/>
                <w:sz w:val="16"/>
              </w:rPr>
              <w:t>ЈП</w:t>
            </w:r>
          </w:p>
          <w:p>
            <w:pPr>
              <w:pStyle w:val="TableParagraph"/>
              <w:spacing w:line="183" w:lineRule="exact"/>
              <w:ind w:left="151" w:right="150"/>
              <w:jc w:val="center"/>
              <w:rPr>
                <w:rFonts w:ascii="Times New Roman" w:hAnsi="Times New Roman" w:cs="Times New Roman" w:eastAsia="Times New Roman" w:hint="default"/>
                <w:sz w:val="16"/>
                <w:szCs w:val="16"/>
              </w:rPr>
            </w:pPr>
            <w:r>
              <w:rPr>
                <w:rFonts w:ascii="Times New Roman" w:hAnsi="Times New Roman"/>
                <w:sz w:val="16"/>
              </w:rPr>
              <w:t>ГСА</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2"/>
              <w:ind w:left="136" w:right="100" w:hanging="34"/>
              <w:jc w:val="left"/>
              <w:rPr>
                <w:rFonts w:ascii="Times New Roman" w:hAnsi="Times New Roman" w:cs="Times New Roman" w:eastAsia="Times New Roman" w:hint="default"/>
                <w:sz w:val="16"/>
                <w:szCs w:val="16"/>
              </w:rPr>
            </w:pPr>
            <w:r>
              <w:rPr>
                <w:rFonts w:ascii="Times New Roman" w:hAnsi="Times New Roman"/>
                <w:sz w:val="16"/>
              </w:rPr>
              <w:t>Истор. архив</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before="42"/>
              <w:ind w:left="88" w:right="88"/>
              <w:jc w:val="center"/>
              <w:rPr>
                <w:rFonts w:ascii="Times New Roman" w:hAnsi="Times New Roman" w:cs="Times New Roman" w:eastAsia="Times New Roman" w:hint="default"/>
                <w:sz w:val="16"/>
                <w:szCs w:val="16"/>
              </w:rPr>
            </w:pPr>
            <w:r>
              <w:rPr>
                <w:rFonts w:ascii="Times New Roman" w:hAnsi="Times New Roman"/>
                <w:sz w:val="16"/>
              </w:rPr>
              <w:t>ЈП</w:t>
            </w:r>
          </w:p>
          <w:p>
            <w:pPr>
              <w:pStyle w:val="TableParagraph"/>
              <w:spacing w:line="183" w:lineRule="exact"/>
              <w:ind w:left="88" w:right="88"/>
              <w:jc w:val="center"/>
              <w:rPr>
                <w:rFonts w:ascii="Times New Roman" w:hAnsi="Times New Roman" w:cs="Times New Roman" w:eastAsia="Times New Roman" w:hint="default"/>
                <w:sz w:val="16"/>
                <w:szCs w:val="16"/>
              </w:rPr>
            </w:pPr>
            <w:r>
              <w:rPr>
                <w:rFonts w:ascii="Times New Roman" w:hAnsi="Times New Roman"/>
                <w:sz w:val="16"/>
              </w:rPr>
              <w:t>Дирекција</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2"/>
              <w:ind w:left="103" w:right="93" w:firstLine="72"/>
              <w:jc w:val="left"/>
              <w:rPr>
                <w:rFonts w:ascii="Times New Roman" w:hAnsi="Times New Roman" w:cs="Times New Roman" w:eastAsia="Times New Roman" w:hint="default"/>
                <w:sz w:val="16"/>
                <w:szCs w:val="16"/>
              </w:rPr>
            </w:pPr>
            <w:r>
              <w:rPr>
                <w:rFonts w:ascii="Times New Roman" w:hAnsi="Times New Roman"/>
                <w:sz w:val="16"/>
              </w:rPr>
              <w:t>Народно позориште</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2"/>
              <w:ind w:left="261" w:right="95" w:hanging="159"/>
              <w:jc w:val="left"/>
              <w:rPr>
                <w:rFonts w:ascii="Times New Roman" w:hAnsi="Times New Roman" w:cs="Times New Roman" w:eastAsia="Times New Roman" w:hint="default"/>
                <w:sz w:val="16"/>
                <w:szCs w:val="16"/>
              </w:rPr>
            </w:pPr>
            <w:r>
              <w:rPr>
                <w:rFonts w:ascii="Times New Roman" w:hAnsi="Times New Roman"/>
                <w:sz w:val="16"/>
              </w:rPr>
              <w:t>Позориште лутака</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2"/>
              <w:ind w:left="141" w:right="136"/>
              <w:jc w:val="left"/>
              <w:rPr>
                <w:rFonts w:ascii="Times New Roman" w:hAnsi="Times New Roman" w:cs="Times New Roman" w:eastAsia="Times New Roman" w:hint="default"/>
                <w:sz w:val="16"/>
                <w:szCs w:val="16"/>
              </w:rPr>
            </w:pPr>
            <w:r>
              <w:rPr>
                <w:rFonts w:ascii="Times New Roman" w:hAnsi="Times New Roman"/>
                <w:sz w:val="16"/>
              </w:rPr>
              <w:t>Симфон</w:t>
            </w:r>
            <w:r>
              <w:rPr>
                <w:rFonts w:ascii="Times New Roman" w:hAnsi="Times New Roman"/>
                <w:sz w:val="16"/>
              </w:rPr>
              <w:t>. </w:t>
            </w:r>
            <w:r>
              <w:rPr>
                <w:rFonts w:ascii="Times New Roman" w:hAnsi="Times New Roman"/>
                <w:sz w:val="16"/>
              </w:rPr>
              <w:t>оркестар</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Times New Roman" w:hAnsi="Times New Roman" w:cs="Times New Roman" w:eastAsia="Times New Roman" w:hint="default"/>
                <w:sz w:val="19"/>
                <w:szCs w:val="19"/>
              </w:rPr>
            </w:pPr>
          </w:p>
          <w:p>
            <w:pPr>
              <w:pStyle w:val="TableParagraph"/>
              <w:spacing w:line="240" w:lineRule="auto"/>
              <w:ind w:left="189" w:right="0"/>
              <w:jc w:val="left"/>
              <w:rPr>
                <w:rFonts w:ascii="Times New Roman" w:hAnsi="Times New Roman" w:cs="Times New Roman" w:eastAsia="Times New Roman" w:hint="default"/>
                <w:sz w:val="16"/>
                <w:szCs w:val="16"/>
              </w:rPr>
            </w:pPr>
            <w:r>
              <w:rPr>
                <w:rFonts w:ascii="Times New Roman" w:hAnsi="Times New Roman"/>
                <w:sz w:val="16"/>
              </w:rPr>
              <w:t>Мара</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2"/>
              <w:ind w:left="235" w:right="94" w:hanging="132"/>
              <w:jc w:val="left"/>
              <w:rPr>
                <w:rFonts w:ascii="Times New Roman" w:hAnsi="Times New Roman" w:cs="Times New Roman" w:eastAsia="Times New Roman" w:hint="default"/>
                <w:sz w:val="16"/>
                <w:szCs w:val="16"/>
              </w:rPr>
            </w:pPr>
            <w:r>
              <w:rPr>
                <w:rFonts w:ascii="Times New Roman" w:hAnsi="Times New Roman"/>
                <w:sz w:val="16"/>
              </w:rPr>
              <w:t>Сигурна кућа</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before="42"/>
              <w:ind w:left="92" w:right="97"/>
              <w:jc w:val="center"/>
              <w:rPr>
                <w:rFonts w:ascii="Times New Roman" w:hAnsi="Times New Roman" w:cs="Times New Roman" w:eastAsia="Times New Roman" w:hint="default"/>
                <w:sz w:val="16"/>
                <w:szCs w:val="16"/>
              </w:rPr>
            </w:pPr>
            <w:r>
              <w:rPr>
                <w:rFonts w:ascii="Times New Roman" w:hAnsi="Times New Roman"/>
                <w:sz w:val="16"/>
              </w:rPr>
              <w:t>ПУ</w:t>
            </w:r>
          </w:p>
          <w:p>
            <w:pPr>
              <w:pStyle w:val="TableParagraph"/>
              <w:spacing w:line="183" w:lineRule="exact"/>
              <w:ind w:left="94" w:right="97"/>
              <w:jc w:val="center"/>
              <w:rPr>
                <w:rFonts w:ascii="Times New Roman" w:hAnsi="Times New Roman" w:cs="Times New Roman" w:eastAsia="Times New Roman" w:hint="default"/>
                <w:sz w:val="16"/>
                <w:szCs w:val="16"/>
              </w:rPr>
            </w:pPr>
            <w:r>
              <w:rPr>
                <w:rFonts w:ascii="Times New Roman" w:hAnsi="Times New Roman"/>
                <w:sz w:val="16"/>
              </w:rPr>
              <w:t>Пчелица</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before="42"/>
              <w:ind w:left="181" w:right="183"/>
              <w:jc w:val="center"/>
              <w:rPr>
                <w:rFonts w:ascii="Times New Roman" w:hAnsi="Times New Roman" w:cs="Times New Roman" w:eastAsia="Times New Roman" w:hint="default"/>
                <w:sz w:val="16"/>
                <w:szCs w:val="16"/>
              </w:rPr>
            </w:pPr>
            <w:r>
              <w:rPr>
                <w:rFonts w:ascii="Times New Roman" w:hAnsi="Times New Roman"/>
                <w:sz w:val="16"/>
              </w:rPr>
              <w:t>СЦ</w:t>
            </w:r>
          </w:p>
          <w:p>
            <w:pPr>
              <w:pStyle w:val="TableParagraph"/>
              <w:spacing w:line="183" w:lineRule="exact"/>
              <w:ind w:left="183" w:right="183"/>
              <w:jc w:val="center"/>
              <w:rPr>
                <w:rFonts w:ascii="Times New Roman" w:hAnsi="Times New Roman" w:cs="Times New Roman" w:eastAsia="Times New Roman" w:hint="default"/>
                <w:sz w:val="16"/>
                <w:szCs w:val="16"/>
              </w:rPr>
            </w:pPr>
            <w:r>
              <w:rPr>
                <w:rFonts w:ascii="Times New Roman" w:hAnsi="Times New Roman"/>
                <w:sz w:val="16"/>
              </w:rPr>
              <w:t>Чаир</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Times New Roman" w:hAnsi="Times New Roman" w:cs="Times New Roman" w:eastAsia="Times New Roman" w:hint="default"/>
                <w:sz w:val="19"/>
                <w:szCs w:val="19"/>
              </w:rPr>
            </w:pPr>
          </w:p>
          <w:p>
            <w:pPr>
              <w:pStyle w:val="TableParagraph"/>
              <w:spacing w:line="240" w:lineRule="auto"/>
              <w:ind w:right="177"/>
              <w:jc w:val="right"/>
              <w:rPr>
                <w:rFonts w:ascii="Times New Roman" w:hAnsi="Times New Roman" w:cs="Times New Roman" w:eastAsia="Times New Roman" w:hint="default"/>
                <w:sz w:val="16"/>
                <w:szCs w:val="16"/>
              </w:rPr>
            </w:pPr>
            <w:r>
              <w:rPr>
                <w:rFonts w:ascii="Times New Roman" w:hAnsi="Times New Roman"/>
                <w:spacing w:val="-1"/>
                <w:sz w:val="16"/>
              </w:rPr>
              <w:t>НКЦ</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Times New Roman" w:hAnsi="Times New Roman" w:cs="Times New Roman" w:eastAsia="Times New Roman" w:hint="default"/>
                <w:sz w:val="19"/>
                <w:szCs w:val="19"/>
              </w:rPr>
            </w:pPr>
          </w:p>
          <w:p>
            <w:pPr>
              <w:pStyle w:val="TableParagraph"/>
              <w:spacing w:line="240" w:lineRule="auto"/>
              <w:ind w:left="232" w:right="123"/>
              <w:jc w:val="left"/>
              <w:rPr>
                <w:rFonts w:ascii="Times New Roman" w:hAnsi="Times New Roman" w:cs="Times New Roman" w:eastAsia="Times New Roman" w:hint="default"/>
                <w:sz w:val="16"/>
                <w:szCs w:val="16"/>
              </w:rPr>
            </w:pPr>
            <w:r>
              <w:rPr>
                <w:rFonts w:ascii="Times New Roman" w:hAnsi="Times New Roman"/>
                <w:sz w:val="16"/>
              </w:rPr>
              <w:t>ЗЗСК</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Times New Roman" w:hAnsi="Times New Roman" w:cs="Times New Roman" w:eastAsia="Times New Roman" w:hint="default"/>
                <w:sz w:val="19"/>
                <w:szCs w:val="19"/>
              </w:rPr>
            </w:pPr>
          </w:p>
          <w:p>
            <w:pPr>
              <w:pStyle w:val="TableParagraph"/>
              <w:spacing w:line="240" w:lineRule="auto"/>
              <w:ind w:left="208" w:right="0"/>
              <w:jc w:val="left"/>
              <w:rPr>
                <w:rFonts w:ascii="Times New Roman" w:hAnsi="Times New Roman" w:cs="Times New Roman" w:eastAsia="Times New Roman" w:hint="default"/>
                <w:sz w:val="16"/>
                <w:szCs w:val="16"/>
              </w:rPr>
            </w:pPr>
            <w:r>
              <w:rPr>
                <w:rFonts w:ascii="Times New Roman" w:hAnsi="Times New Roman"/>
                <w:sz w:val="16"/>
              </w:rPr>
              <w:t>ТОН</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2"/>
              <w:ind w:left="220" w:right="97" w:hanging="120"/>
              <w:jc w:val="left"/>
              <w:rPr>
                <w:rFonts w:ascii="Times New Roman" w:hAnsi="Times New Roman" w:cs="Times New Roman" w:eastAsia="Times New Roman" w:hint="default"/>
                <w:sz w:val="16"/>
                <w:szCs w:val="16"/>
              </w:rPr>
            </w:pPr>
            <w:r>
              <w:rPr>
                <w:rFonts w:ascii="Times New Roman" w:hAnsi="Times New Roman"/>
                <w:sz w:val="16"/>
              </w:rPr>
              <w:t>Народни музеј</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2"/>
              <w:ind w:left="107" w:right="95" w:hanging="8"/>
              <w:jc w:val="left"/>
              <w:rPr>
                <w:rFonts w:ascii="Times New Roman" w:hAnsi="Times New Roman" w:cs="Times New Roman" w:eastAsia="Times New Roman" w:hint="default"/>
                <w:sz w:val="16"/>
                <w:szCs w:val="16"/>
              </w:rPr>
            </w:pPr>
            <w:r>
              <w:rPr>
                <w:rFonts w:ascii="Times New Roman" w:hAnsi="Times New Roman"/>
                <w:sz w:val="16"/>
              </w:rPr>
              <w:t>Дечији центар</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Times New Roman" w:hAnsi="Times New Roman" w:cs="Times New Roman" w:eastAsia="Times New Roman" w:hint="default"/>
                <w:sz w:val="19"/>
                <w:szCs w:val="19"/>
              </w:rPr>
            </w:pPr>
          </w:p>
          <w:p>
            <w:pPr>
              <w:pStyle w:val="TableParagraph"/>
              <w:spacing w:line="240" w:lineRule="auto"/>
              <w:ind w:right="109"/>
              <w:jc w:val="right"/>
              <w:rPr>
                <w:rFonts w:ascii="Times New Roman" w:hAnsi="Times New Roman" w:cs="Times New Roman" w:eastAsia="Times New Roman" w:hint="default"/>
                <w:sz w:val="16"/>
                <w:szCs w:val="16"/>
              </w:rPr>
            </w:pPr>
            <w:r>
              <w:rPr>
                <w:rFonts w:ascii="Times New Roman" w:hAnsi="Times New Roman"/>
                <w:spacing w:val="-1"/>
                <w:sz w:val="16"/>
              </w:rPr>
              <w:t>ГСЛУ</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2"/>
              <w:ind w:left="158" w:right="146" w:hanging="8"/>
              <w:jc w:val="left"/>
              <w:rPr>
                <w:rFonts w:ascii="Times New Roman" w:hAnsi="Times New Roman" w:cs="Times New Roman" w:eastAsia="Times New Roman" w:hint="default"/>
                <w:sz w:val="16"/>
                <w:szCs w:val="16"/>
              </w:rPr>
            </w:pPr>
            <w:r>
              <w:rPr>
                <w:rFonts w:ascii="Times New Roman" w:hAnsi="Times New Roman"/>
                <w:sz w:val="16"/>
              </w:rPr>
              <w:t>Народ</w:t>
            </w:r>
            <w:r>
              <w:rPr>
                <w:rFonts w:ascii="Times New Roman" w:hAnsi="Times New Roman"/>
                <w:sz w:val="16"/>
              </w:rPr>
              <w:t>. </w:t>
            </w:r>
            <w:r>
              <w:rPr>
                <w:rFonts w:ascii="Times New Roman" w:hAnsi="Times New Roman"/>
                <w:sz w:val="16"/>
              </w:rPr>
              <w:t>библи</w:t>
            </w:r>
            <w:r>
              <w:rPr>
                <w:rFonts w:ascii="Times New Roman" w:hAnsi="Times New Roman"/>
                <w:sz w:val="16"/>
              </w:rPr>
              <w:t>.</w:t>
            </w:r>
          </w:p>
        </w:tc>
      </w:tr>
      <w:tr>
        <w:trPr>
          <w:trHeight w:val="250" w:hRule="exact"/>
        </w:trPr>
        <w:tc>
          <w:tcPr>
            <w:tcW w:w="626"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0" w:lineRule="auto"/>
              <w:ind w:left="187" w:right="94"/>
              <w:jc w:val="left"/>
              <w:rPr>
                <w:rFonts w:ascii="Times New Roman" w:hAnsi="Times New Roman" w:cs="Times New Roman" w:eastAsia="Times New Roman" w:hint="default"/>
                <w:sz w:val="16"/>
                <w:szCs w:val="16"/>
              </w:rPr>
            </w:pPr>
            <w:r>
              <w:rPr>
                <w:rFonts w:ascii="Times New Roman"/>
                <w:sz w:val="16"/>
              </w:rPr>
              <w:t>411</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2"/>
              <w:ind w:left="103" w:right="0"/>
              <w:jc w:val="left"/>
              <w:rPr>
                <w:rFonts w:ascii="Times New Roman" w:hAnsi="Times New Roman" w:cs="Times New Roman" w:eastAsia="Times New Roman" w:hint="default"/>
                <w:sz w:val="16"/>
                <w:szCs w:val="16"/>
              </w:rPr>
            </w:pPr>
            <w:r>
              <w:rPr>
                <w:rFonts w:ascii="Times New Roman" w:hAnsi="Times New Roman"/>
                <w:sz w:val="16"/>
              </w:rPr>
              <w:t>Укупна</w:t>
            </w:r>
            <w:r>
              <w:rPr>
                <w:rFonts w:ascii="Times New Roman" w:hAnsi="Times New Roman"/>
                <w:spacing w:val="-5"/>
                <w:sz w:val="16"/>
              </w:rPr>
              <w:t> </w:t>
            </w:r>
            <w:r>
              <w:rPr>
                <w:rFonts w:ascii="Times New Roman" w:hAnsi="Times New Roman"/>
                <w:sz w:val="16"/>
              </w:rPr>
              <w:t>апроп</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2"/>
              <w:ind w:right="102"/>
              <w:jc w:val="right"/>
              <w:rPr>
                <w:rFonts w:ascii="Times New Roman" w:hAnsi="Times New Roman" w:cs="Times New Roman" w:eastAsia="Times New Roman" w:hint="default"/>
                <w:sz w:val="16"/>
                <w:szCs w:val="16"/>
              </w:rPr>
            </w:pPr>
            <w:r>
              <w:rPr>
                <w:rFonts w:ascii="Times New Roman"/>
                <w:spacing w:val="-1"/>
                <w:sz w:val="16"/>
              </w:rPr>
              <w:t>15.877</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2"/>
              <w:ind w:right="102"/>
              <w:jc w:val="right"/>
              <w:rPr>
                <w:rFonts w:ascii="Times New Roman" w:hAnsi="Times New Roman" w:cs="Times New Roman" w:eastAsia="Times New Roman" w:hint="default"/>
                <w:sz w:val="16"/>
                <w:szCs w:val="16"/>
              </w:rPr>
            </w:pPr>
            <w:r>
              <w:rPr>
                <w:rFonts w:ascii="Times New Roman"/>
                <w:spacing w:val="-1"/>
                <w:sz w:val="16"/>
              </w:rPr>
              <w:t>17.663</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2"/>
              <w:ind w:right="101"/>
              <w:jc w:val="right"/>
              <w:rPr>
                <w:rFonts w:ascii="Times New Roman" w:hAnsi="Times New Roman" w:cs="Times New Roman" w:eastAsia="Times New Roman" w:hint="default"/>
                <w:sz w:val="16"/>
                <w:szCs w:val="16"/>
              </w:rPr>
            </w:pPr>
            <w:r>
              <w:rPr>
                <w:rFonts w:ascii="Times New Roman"/>
                <w:spacing w:val="-1"/>
                <w:sz w:val="16"/>
              </w:rPr>
              <w:t>113.741</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2"/>
              <w:ind w:right="100"/>
              <w:jc w:val="right"/>
              <w:rPr>
                <w:rFonts w:ascii="Times New Roman" w:hAnsi="Times New Roman" w:cs="Times New Roman" w:eastAsia="Times New Roman" w:hint="default"/>
                <w:sz w:val="16"/>
                <w:szCs w:val="16"/>
              </w:rPr>
            </w:pPr>
            <w:r>
              <w:rPr>
                <w:rFonts w:ascii="Times New Roman"/>
                <w:spacing w:val="-1"/>
                <w:sz w:val="16"/>
              </w:rPr>
              <w:t>65.892</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2"/>
              <w:ind w:right="102"/>
              <w:jc w:val="right"/>
              <w:rPr>
                <w:rFonts w:ascii="Times New Roman" w:hAnsi="Times New Roman" w:cs="Times New Roman" w:eastAsia="Times New Roman" w:hint="default"/>
                <w:sz w:val="16"/>
                <w:szCs w:val="16"/>
              </w:rPr>
            </w:pPr>
            <w:r>
              <w:rPr>
                <w:rFonts w:ascii="Times New Roman"/>
                <w:spacing w:val="-1"/>
                <w:sz w:val="16"/>
              </w:rPr>
              <w:t>33.978</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2"/>
              <w:ind w:right="102"/>
              <w:jc w:val="right"/>
              <w:rPr>
                <w:rFonts w:ascii="Times New Roman" w:hAnsi="Times New Roman" w:cs="Times New Roman" w:eastAsia="Times New Roman" w:hint="default"/>
                <w:sz w:val="16"/>
                <w:szCs w:val="16"/>
              </w:rPr>
            </w:pPr>
            <w:r>
              <w:rPr>
                <w:rFonts w:ascii="Times New Roman"/>
                <w:spacing w:val="-1"/>
                <w:sz w:val="16"/>
              </w:rPr>
              <w:t>42.465</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2"/>
              <w:ind w:right="100"/>
              <w:jc w:val="right"/>
              <w:rPr>
                <w:rFonts w:ascii="Times New Roman" w:hAnsi="Times New Roman" w:cs="Times New Roman" w:eastAsia="Times New Roman" w:hint="default"/>
                <w:sz w:val="16"/>
                <w:szCs w:val="16"/>
              </w:rPr>
            </w:pPr>
            <w:r>
              <w:rPr>
                <w:rFonts w:ascii="Times New Roman"/>
                <w:spacing w:val="-1"/>
                <w:sz w:val="16"/>
              </w:rPr>
              <w:t>21.395</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2"/>
              <w:ind w:right="100"/>
              <w:jc w:val="right"/>
              <w:rPr>
                <w:rFonts w:ascii="Times New Roman" w:hAnsi="Times New Roman" w:cs="Times New Roman" w:eastAsia="Times New Roman" w:hint="default"/>
                <w:sz w:val="16"/>
                <w:szCs w:val="16"/>
              </w:rPr>
            </w:pPr>
            <w:r>
              <w:rPr>
                <w:rFonts w:ascii="Times New Roman"/>
                <w:spacing w:val="-1"/>
                <w:sz w:val="16"/>
              </w:rPr>
              <w:t>7.792</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2"/>
              <w:ind w:right="102"/>
              <w:jc w:val="right"/>
              <w:rPr>
                <w:rFonts w:ascii="Times New Roman" w:hAnsi="Times New Roman" w:cs="Times New Roman" w:eastAsia="Times New Roman" w:hint="default"/>
                <w:sz w:val="16"/>
                <w:szCs w:val="16"/>
              </w:rPr>
            </w:pPr>
            <w:r>
              <w:rPr>
                <w:rFonts w:ascii="Times New Roman"/>
                <w:spacing w:val="-1"/>
                <w:sz w:val="16"/>
              </w:rPr>
              <w:t>541.539</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2"/>
              <w:ind w:right="100"/>
              <w:jc w:val="right"/>
              <w:rPr>
                <w:rFonts w:ascii="Times New Roman" w:hAnsi="Times New Roman" w:cs="Times New Roman" w:eastAsia="Times New Roman" w:hint="default"/>
                <w:sz w:val="16"/>
                <w:szCs w:val="16"/>
              </w:rPr>
            </w:pPr>
            <w:r>
              <w:rPr>
                <w:rFonts w:ascii="Times New Roman"/>
                <w:spacing w:val="-1"/>
                <w:sz w:val="16"/>
              </w:rPr>
              <w:t>77.863</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2"/>
              <w:ind w:right="100"/>
              <w:jc w:val="right"/>
              <w:rPr>
                <w:rFonts w:ascii="Times New Roman" w:hAnsi="Times New Roman" w:cs="Times New Roman" w:eastAsia="Times New Roman" w:hint="default"/>
                <w:sz w:val="16"/>
                <w:szCs w:val="16"/>
              </w:rPr>
            </w:pPr>
            <w:r>
              <w:rPr>
                <w:rFonts w:ascii="Times New Roman"/>
                <w:spacing w:val="-1"/>
                <w:sz w:val="16"/>
              </w:rPr>
              <w:t>29.970</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2"/>
              <w:ind w:right="100"/>
              <w:jc w:val="right"/>
              <w:rPr>
                <w:rFonts w:ascii="Times New Roman" w:hAnsi="Times New Roman" w:cs="Times New Roman" w:eastAsia="Times New Roman" w:hint="default"/>
                <w:sz w:val="16"/>
                <w:szCs w:val="16"/>
              </w:rPr>
            </w:pPr>
            <w:r>
              <w:rPr>
                <w:rFonts w:ascii="Times New Roman"/>
                <w:spacing w:val="-1"/>
                <w:sz w:val="16"/>
              </w:rPr>
              <w:t>19.850</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2"/>
              <w:ind w:left="206" w:right="0"/>
              <w:jc w:val="left"/>
              <w:rPr>
                <w:rFonts w:ascii="Times New Roman" w:hAnsi="Times New Roman" w:cs="Times New Roman" w:eastAsia="Times New Roman" w:hint="default"/>
                <w:sz w:val="16"/>
                <w:szCs w:val="16"/>
              </w:rPr>
            </w:pPr>
            <w:r>
              <w:rPr>
                <w:rFonts w:ascii="Times New Roman"/>
                <w:sz w:val="16"/>
              </w:rPr>
              <w:t>15.893</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2"/>
              <w:ind w:right="102"/>
              <w:jc w:val="right"/>
              <w:rPr>
                <w:rFonts w:ascii="Times New Roman" w:hAnsi="Times New Roman" w:cs="Times New Roman" w:eastAsia="Times New Roman" w:hint="default"/>
                <w:sz w:val="16"/>
                <w:szCs w:val="16"/>
              </w:rPr>
            </w:pPr>
            <w:r>
              <w:rPr>
                <w:rFonts w:ascii="Times New Roman"/>
                <w:spacing w:val="-1"/>
                <w:sz w:val="16"/>
              </w:rPr>
              <w:t>42.893</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2"/>
              <w:ind w:right="100"/>
              <w:jc w:val="right"/>
              <w:rPr>
                <w:rFonts w:ascii="Times New Roman" w:hAnsi="Times New Roman" w:cs="Times New Roman" w:eastAsia="Times New Roman" w:hint="default"/>
                <w:sz w:val="16"/>
                <w:szCs w:val="16"/>
              </w:rPr>
            </w:pPr>
            <w:r>
              <w:rPr>
                <w:rFonts w:ascii="Times New Roman"/>
                <w:spacing w:val="-1"/>
                <w:sz w:val="16"/>
              </w:rPr>
              <w:t>29.321</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2"/>
              <w:ind w:right="102"/>
              <w:jc w:val="right"/>
              <w:rPr>
                <w:rFonts w:ascii="Times New Roman" w:hAnsi="Times New Roman" w:cs="Times New Roman" w:eastAsia="Times New Roman" w:hint="default"/>
                <w:sz w:val="16"/>
                <w:szCs w:val="16"/>
              </w:rPr>
            </w:pPr>
            <w:r>
              <w:rPr>
                <w:rFonts w:ascii="Times New Roman"/>
                <w:spacing w:val="-1"/>
                <w:sz w:val="16"/>
              </w:rPr>
              <w:t>17.784</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2"/>
              <w:ind w:right="100"/>
              <w:jc w:val="right"/>
              <w:rPr>
                <w:rFonts w:ascii="Times New Roman" w:hAnsi="Times New Roman" w:cs="Times New Roman" w:eastAsia="Times New Roman" w:hint="default"/>
                <w:sz w:val="16"/>
                <w:szCs w:val="16"/>
              </w:rPr>
            </w:pPr>
            <w:r>
              <w:rPr>
                <w:rFonts w:ascii="Times New Roman"/>
                <w:spacing w:val="-1"/>
                <w:sz w:val="16"/>
              </w:rPr>
              <w:t>45.809</w:t>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sz w:val="16"/>
              </w:rPr>
              <w:t>Исказано</w:t>
            </w:r>
            <w:r>
              <w:rPr>
                <w:rFonts w:ascii="Times New Roman" w:hAnsi="Times New Roman"/>
                <w:spacing w:val="-5"/>
                <w:sz w:val="16"/>
              </w:rPr>
              <w:t> </w:t>
            </w:r>
            <w:r>
              <w:rPr>
                <w:rFonts w:ascii="Times New Roman" w:hAnsi="Times New Roman"/>
                <w:sz w:val="16"/>
              </w:rPr>
              <w:t>изврш</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15.058</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17.274</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spacing w:val="-1"/>
                <w:sz w:val="16"/>
              </w:rPr>
              <w:t>111.707</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65.825</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33.105</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41.768</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21.485</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6.754</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499.294</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71.931</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29.483</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16.292</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206" w:right="0"/>
              <w:jc w:val="left"/>
              <w:rPr>
                <w:rFonts w:ascii="Times New Roman" w:hAnsi="Times New Roman" w:cs="Times New Roman" w:eastAsia="Times New Roman" w:hint="default"/>
                <w:sz w:val="16"/>
                <w:szCs w:val="16"/>
              </w:rPr>
            </w:pPr>
            <w:r>
              <w:rPr>
                <w:rFonts w:ascii="Times New Roman"/>
                <w:sz w:val="16"/>
              </w:rPr>
              <w:t>12.636</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42.733</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28.625</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17.284</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45.187</w:t>
            </w:r>
          </w:p>
        </w:tc>
      </w:tr>
      <w:tr>
        <w:trPr>
          <w:trHeight w:val="216"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(1)</w:t>
            </w:r>
            <w:r>
              <w:rPr>
                <w:rFonts w:ascii="Times New Roman" w:hAnsi="Times New Roman"/>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819</w:t>
            </w:r>
            <w:r>
              <w:rPr>
                <w:rFonts w:ascii="Times New Roman"/>
                <w:spacing w:val="-1"/>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389</w:t>
            </w:r>
            <w:r>
              <w:rPr>
                <w:rFonts w:ascii="Times New Roman"/>
                <w:spacing w:val="-1"/>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2.034</w:t>
            </w:r>
            <w:r>
              <w:rPr>
                <w:rFonts w:ascii="Times New Roman"/>
                <w:spacing w:val="-1"/>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98"/>
              <w:jc w:val="right"/>
              <w:rPr>
                <w:rFonts w:ascii="Times New Roman" w:hAnsi="Times New Roman" w:cs="Times New Roman" w:eastAsia="Times New Roman" w:hint="default"/>
                <w:sz w:val="16"/>
                <w:szCs w:val="16"/>
              </w:rPr>
            </w:pPr>
            <w:r>
              <w:rPr>
                <w:rFonts w:ascii="Times New Roman"/>
                <w:b/>
                <w:sz w:val="16"/>
              </w:rPr>
              <w:t>67</w:t>
            </w:r>
            <w:r>
              <w:rPr>
                <w:rFonts w:ascii="Times New Roman"/>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873</w:t>
            </w:r>
            <w:r>
              <w:rPr>
                <w:rFonts w:ascii="Times New Roman"/>
                <w:spacing w:val="-1"/>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697</w:t>
            </w:r>
            <w:r>
              <w:rPr>
                <w:rFonts w:ascii="Times New Roman"/>
                <w:spacing w:val="-1"/>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98"/>
              <w:jc w:val="right"/>
              <w:rPr>
                <w:rFonts w:ascii="Times New Roman" w:hAnsi="Times New Roman" w:cs="Times New Roman" w:eastAsia="Times New Roman" w:hint="default"/>
                <w:sz w:val="16"/>
                <w:szCs w:val="16"/>
              </w:rPr>
            </w:pPr>
            <w:r>
              <w:rPr>
                <w:rFonts w:ascii="Times New Roman"/>
                <w:b/>
                <w:sz w:val="16"/>
              </w:rPr>
              <w:t>-90</w:t>
            </w:r>
            <w:r>
              <w:rPr>
                <w:rFonts w:ascii="Times New Roman"/>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1.038</w:t>
            </w:r>
            <w:r>
              <w:rPr>
                <w:rFonts w:ascii="Times New Roman"/>
                <w:spacing w:val="-1"/>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42.245</w:t>
            </w:r>
            <w:r>
              <w:rPr>
                <w:rFonts w:ascii="Times New Roman"/>
                <w:spacing w:val="-1"/>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5.932</w:t>
            </w:r>
            <w:r>
              <w:rPr>
                <w:rFonts w:ascii="Times New Roman"/>
                <w:spacing w:val="-1"/>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487</w:t>
            </w:r>
            <w:r>
              <w:rPr>
                <w:rFonts w:ascii="Times New Roman"/>
                <w:spacing w:val="-1"/>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3.558</w:t>
            </w:r>
            <w:r>
              <w:rPr>
                <w:rFonts w:ascii="Times New Roman"/>
                <w:spacing w:val="-1"/>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3.257</w:t>
            </w:r>
            <w:r>
              <w:rPr>
                <w:rFonts w:ascii="Times New Roman"/>
                <w:spacing w:val="-1"/>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160</w:t>
            </w:r>
            <w:r>
              <w:rPr>
                <w:rFonts w:ascii="Times New Roman"/>
                <w:spacing w:val="-1"/>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696</w:t>
            </w:r>
            <w:r>
              <w:rPr>
                <w:rFonts w:ascii="Times New Roman"/>
                <w:spacing w:val="-1"/>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500</w:t>
            </w:r>
            <w:r>
              <w:rPr>
                <w:rFonts w:ascii="Times New Roman"/>
                <w:spacing w:val="-1"/>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622</w:t>
            </w:r>
            <w:r>
              <w:rPr>
                <w:rFonts w:ascii="Times New Roman"/>
                <w:spacing w:val="-1"/>
                <w:sz w:val="16"/>
              </w:rPr>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3"/>
                <w:sz w:val="16"/>
              </w:rPr>
              <w:t> </w:t>
            </w:r>
            <w:r>
              <w:rPr>
                <w:rFonts w:ascii="Times New Roman" w:hAnsi="Times New Roman"/>
                <w:sz w:val="16"/>
              </w:rPr>
              <w:t>рач</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589</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1.643</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9.151</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6.591</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3.609</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3.972</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2.710</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278</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37.718</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6.835</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3.086</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1.534</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436</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3"/>
              <w:jc w:val="right"/>
              <w:rPr>
                <w:rFonts w:ascii="Times New Roman" w:hAnsi="Times New Roman" w:cs="Times New Roman" w:eastAsia="Times New Roman" w:hint="default"/>
                <w:sz w:val="16"/>
                <w:szCs w:val="16"/>
              </w:rPr>
            </w:pPr>
            <w:r>
              <w:rPr>
                <w:rFonts w:ascii="Times New Roman"/>
                <w:spacing w:val="-1"/>
                <w:sz w:val="16"/>
              </w:rPr>
              <w:t>3.929</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2.330</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1.724</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4.171</w:t>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7"/>
                <w:sz w:val="16"/>
              </w:rPr>
              <w:t> </w:t>
            </w:r>
            <w:r>
              <w:rPr>
                <w:rFonts w:ascii="Times New Roman" w:hAnsi="Times New Roman"/>
                <w:sz w:val="16"/>
              </w:rPr>
              <w:t>угов</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43"/>
              <w:jc w:val="right"/>
              <w:rPr>
                <w:rFonts w:ascii="Times New Roman" w:hAnsi="Times New Roman" w:cs="Times New Roman" w:eastAsia="Times New Roman" w:hint="default"/>
                <w:sz w:val="16"/>
                <w:szCs w:val="16"/>
              </w:rPr>
            </w:pPr>
            <w:r>
              <w:rPr>
                <w:rFonts w:ascii="Times New Roman"/>
                <w:w w:val="100"/>
                <w:sz w:val="16"/>
              </w:rPr>
              <w:t>-</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w w:val="100"/>
                <w:sz w:val="16"/>
              </w:rPr>
              <w:t>-</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1"/>
              <w:jc w:val="right"/>
              <w:rPr>
                <w:rFonts w:ascii="Times New Roman" w:hAnsi="Times New Roman" w:cs="Times New Roman" w:eastAsia="Times New Roman" w:hint="default"/>
                <w:sz w:val="16"/>
                <w:szCs w:val="16"/>
              </w:rPr>
            </w:pPr>
            <w:r>
              <w:rPr>
                <w:rFonts w:ascii="Times New Roman"/>
                <w:w w:val="100"/>
                <w:sz w:val="16"/>
              </w:rPr>
              <w:t>-</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w w:val="100"/>
                <w:sz w:val="16"/>
              </w:rPr>
              <w:t>-</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w w:val="100"/>
                <w:sz w:val="16"/>
              </w:rPr>
              <w:t>-</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w w:val="100"/>
                <w:sz w:val="16"/>
              </w:rPr>
              <w:t>-</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w w:val="100"/>
                <w:sz w:val="16"/>
              </w:rPr>
              <w:t>-</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w w:val="100"/>
                <w:sz w:val="16"/>
              </w:rPr>
              <w:t>-</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w w:val="100"/>
                <w:sz w:val="16"/>
              </w:rPr>
              <w:t>-</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1"/>
              <w:jc w:val="right"/>
              <w:rPr>
                <w:rFonts w:ascii="Times New Roman" w:hAnsi="Times New Roman" w:cs="Times New Roman" w:eastAsia="Times New Roman" w:hint="default"/>
                <w:sz w:val="16"/>
                <w:szCs w:val="16"/>
              </w:rPr>
            </w:pPr>
            <w:r>
              <w:rPr>
                <w:rFonts w:ascii="Times New Roman"/>
                <w:w w:val="100"/>
                <w:sz w:val="16"/>
              </w:rPr>
              <w:t>-</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w w:val="100"/>
                <w:sz w:val="16"/>
              </w:rPr>
              <w:t>-</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w w:val="100"/>
                <w:sz w:val="16"/>
              </w:rPr>
              <w:t>-</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w w:val="100"/>
                <w:sz w:val="16"/>
              </w:rPr>
              <w:t>-</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w w:val="100"/>
                <w:sz w:val="16"/>
              </w:rPr>
              <w:t>-</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w w:val="100"/>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w w:val="100"/>
                <w:sz w:val="16"/>
              </w:rPr>
              <w:t>-</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w w:val="100"/>
                <w:sz w:val="16"/>
              </w:rPr>
              <w:t>-</w:t>
            </w:r>
          </w:p>
        </w:tc>
      </w:tr>
      <w:tr>
        <w:trPr>
          <w:trHeight w:val="224" w:hRule="exact"/>
        </w:trPr>
        <w:tc>
          <w:tcPr>
            <w:tcW w:w="626" w:type="dxa"/>
            <w:vMerge/>
            <w:tcBorders>
              <w:left w:val="single" w:sz="4" w:space="0" w:color="000000"/>
              <w:bottom w:val="single" w:sz="12" w:space="0" w:color="000000"/>
              <w:right w:val="single" w:sz="4" w:space="0" w:color="000000"/>
            </w:tcBorders>
          </w:tcPr>
          <w:p>
            <w:pPr/>
          </w:p>
        </w:tc>
        <w:tc>
          <w:tcPr>
            <w:tcW w:w="13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(2)</w:t>
            </w:r>
            <w:r>
              <w:rPr>
                <w:rFonts w:ascii="Times New Roman" w:hAnsi="Times New Roman"/>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230</w:t>
            </w:r>
            <w:r>
              <w:rPr>
                <w:rFonts w:ascii="Times New Roman"/>
                <w:spacing w:val="-1"/>
                <w:sz w:val="16"/>
              </w:rPr>
            </w:r>
          </w:p>
        </w:tc>
        <w:tc>
          <w:tcPr>
            <w:tcW w:w="67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-1.254</w:t>
            </w:r>
            <w:r>
              <w:rPr>
                <w:rFonts w:ascii="Times New Roman"/>
                <w:spacing w:val="-1"/>
                <w:sz w:val="16"/>
              </w:rPr>
            </w:r>
          </w:p>
        </w:tc>
        <w:tc>
          <w:tcPr>
            <w:tcW w:w="92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-7.117</w:t>
            </w:r>
            <w:r>
              <w:rPr>
                <w:rFonts w:ascii="Times New Roman"/>
                <w:spacing w:val="-1"/>
                <w:sz w:val="16"/>
              </w:rPr>
            </w:r>
          </w:p>
        </w:tc>
        <w:tc>
          <w:tcPr>
            <w:tcW w:w="95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-6.524</w:t>
            </w:r>
            <w:r>
              <w:rPr>
                <w:rFonts w:ascii="Times New Roman"/>
                <w:spacing w:val="-1"/>
                <w:sz w:val="16"/>
              </w:rPr>
            </w:r>
          </w:p>
        </w:tc>
        <w:tc>
          <w:tcPr>
            <w:tcW w:w="98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-2.736</w:t>
            </w:r>
            <w:r>
              <w:rPr>
                <w:rFonts w:ascii="Times New Roman"/>
                <w:spacing w:val="-1"/>
                <w:sz w:val="16"/>
              </w:rPr>
            </w:r>
          </w:p>
        </w:tc>
        <w:tc>
          <w:tcPr>
            <w:tcW w:w="900"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-3.275</w:t>
            </w:r>
            <w:r>
              <w:rPr>
                <w:rFonts w:ascii="Times New Roman"/>
                <w:spacing w:val="-1"/>
                <w:sz w:val="16"/>
              </w:rPr>
            </w:r>
          </w:p>
        </w:tc>
        <w:tc>
          <w:tcPr>
            <w:tcW w:w="7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-2.800</w:t>
            </w:r>
            <w:r>
              <w:rPr>
                <w:rFonts w:ascii="Times New Roman"/>
                <w:spacing w:val="-1"/>
                <w:sz w:val="16"/>
              </w:rPr>
            </w:r>
          </w:p>
        </w:tc>
        <w:tc>
          <w:tcPr>
            <w:tcW w:w="79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760</w:t>
            </w:r>
            <w:r>
              <w:rPr>
                <w:rFonts w:ascii="Times New Roman"/>
                <w:spacing w:val="-1"/>
                <w:sz w:val="16"/>
              </w:rPr>
            </w:r>
          </w:p>
        </w:tc>
        <w:tc>
          <w:tcPr>
            <w:tcW w:w="82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4.465</w:t>
            </w:r>
            <w:r>
              <w:rPr>
                <w:rFonts w:ascii="Times New Roman"/>
                <w:spacing w:val="-1"/>
                <w:sz w:val="16"/>
              </w:rPr>
            </w:r>
          </w:p>
        </w:tc>
        <w:tc>
          <w:tcPr>
            <w:tcW w:w="74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-903</w:t>
            </w:r>
            <w:r>
              <w:rPr>
                <w:rFonts w:ascii="Times New Roman"/>
                <w:spacing w:val="-1"/>
                <w:sz w:val="16"/>
              </w:rPr>
            </w:r>
          </w:p>
        </w:tc>
        <w:tc>
          <w:tcPr>
            <w:tcW w:w="70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-2.599</w:t>
            </w:r>
            <w:r>
              <w:rPr>
                <w:rFonts w:ascii="Times New Roman"/>
                <w:spacing w:val="-1"/>
                <w:sz w:val="16"/>
              </w:rPr>
            </w:r>
          </w:p>
        </w:tc>
        <w:tc>
          <w:tcPr>
            <w:tcW w:w="85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2.024</w:t>
            </w:r>
            <w:r>
              <w:rPr>
                <w:rFonts w:ascii="Times New Roman"/>
                <w:spacing w:val="-1"/>
                <w:sz w:val="16"/>
              </w:rPr>
            </w:r>
          </w:p>
        </w:tc>
        <w:tc>
          <w:tcPr>
            <w:tcW w:w="76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2.821</w:t>
            </w:r>
            <w:r>
              <w:rPr>
                <w:rFonts w:ascii="Times New Roman"/>
                <w:spacing w:val="-1"/>
                <w:sz w:val="16"/>
              </w:rPr>
            </w:r>
          </w:p>
        </w:tc>
        <w:tc>
          <w:tcPr>
            <w:tcW w:w="81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3"/>
              <w:jc w:val="right"/>
              <w:rPr>
                <w:rFonts w:ascii="Times New Roman" w:hAnsi="Times New Roman" w:cs="Times New Roman" w:eastAsia="Times New Roman" w:hint="default"/>
                <w:sz w:val="16"/>
                <w:szCs w:val="16"/>
              </w:rPr>
            </w:pPr>
            <w:r>
              <w:rPr>
                <w:rFonts w:ascii="Times New Roman"/>
                <w:b/>
                <w:spacing w:val="-1"/>
                <w:sz w:val="16"/>
              </w:rPr>
              <w:t>-3.769</w:t>
            </w:r>
            <w:r>
              <w:rPr>
                <w:rFonts w:ascii="Times New Roman"/>
                <w:spacing w:val="-1"/>
                <w:sz w:val="16"/>
              </w:rPr>
            </w:r>
          </w:p>
        </w:tc>
        <w:tc>
          <w:tcPr>
            <w:tcW w:w="69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-1.634</w:t>
            </w:r>
            <w:r>
              <w:rPr>
                <w:rFonts w:ascii="Times New Roman"/>
                <w:spacing w:val="-1"/>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-1.224</w:t>
            </w:r>
            <w:r>
              <w:rPr>
                <w:rFonts w:ascii="Times New Roman"/>
                <w:spacing w:val="-1"/>
                <w:sz w:val="16"/>
              </w:rPr>
            </w:r>
          </w:p>
        </w:tc>
        <w:tc>
          <w:tcPr>
            <w:tcW w:w="78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-3.549</w:t>
            </w:r>
            <w:r>
              <w:rPr>
                <w:rFonts w:ascii="Times New Roman"/>
                <w:spacing w:val="-1"/>
                <w:sz w:val="16"/>
              </w:rPr>
            </w:r>
          </w:p>
        </w:tc>
      </w:tr>
      <w:tr>
        <w:trPr>
          <w:trHeight w:val="262" w:hRule="exact"/>
        </w:trPr>
        <w:tc>
          <w:tcPr>
            <w:tcW w:w="626" w:type="dxa"/>
            <w:vMerge w:val="restart"/>
            <w:tcBorders>
              <w:top w:val="single" w:sz="12"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0" w:lineRule="auto"/>
              <w:ind w:left="187" w:right="94"/>
              <w:jc w:val="left"/>
              <w:rPr>
                <w:rFonts w:ascii="Times New Roman" w:hAnsi="Times New Roman" w:cs="Times New Roman" w:eastAsia="Times New Roman" w:hint="default"/>
                <w:sz w:val="16"/>
                <w:szCs w:val="16"/>
              </w:rPr>
            </w:pPr>
            <w:r>
              <w:rPr>
                <w:rFonts w:ascii="Times New Roman"/>
                <w:sz w:val="16"/>
              </w:rPr>
              <w:t>412</w:t>
            </w:r>
          </w:p>
        </w:tc>
        <w:tc>
          <w:tcPr>
            <w:tcW w:w="135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2"/>
              <w:ind w:left="103" w:right="0"/>
              <w:jc w:val="left"/>
              <w:rPr>
                <w:rFonts w:ascii="Times New Roman" w:hAnsi="Times New Roman" w:cs="Times New Roman" w:eastAsia="Times New Roman" w:hint="default"/>
                <w:sz w:val="16"/>
                <w:szCs w:val="16"/>
              </w:rPr>
            </w:pPr>
            <w:r>
              <w:rPr>
                <w:rFonts w:ascii="Times New Roman" w:hAnsi="Times New Roman"/>
                <w:sz w:val="16"/>
              </w:rPr>
              <w:t>Укупна</w:t>
            </w:r>
            <w:r>
              <w:rPr>
                <w:rFonts w:ascii="Times New Roman" w:hAnsi="Times New Roman"/>
                <w:spacing w:val="-5"/>
                <w:sz w:val="16"/>
              </w:rPr>
              <w:t> </w:t>
            </w:r>
            <w:r>
              <w:rPr>
                <w:rFonts w:ascii="Times New Roman" w:hAnsi="Times New Roman"/>
                <w:sz w:val="16"/>
              </w:rPr>
              <w:t>апроп</w:t>
            </w:r>
            <w:r>
              <w:rPr>
                <w:rFonts w:ascii="Times New Roman" w:hAnsi="Times New Roman"/>
                <w:sz w:val="16"/>
              </w:rPr>
              <w:t>.</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2"/>
              <w:ind w:right="102"/>
              <w:jc w:val="right"/>
              <w:rPr>
                <w:rFonts w:ascii="Times New Roman" w:hAnsi="Times New Roman" w:cs="Times New Roman" w:eastAsia="Times New Roman" w:hint="default"/>
                <w:sz w:val="16"/>
                <w:szCs w:val="16"/>
              </w:rPr>
            </w:pPr>
            <w:r>
              <w:rPr>
                <w:rFonts w:ascii="Times New Roman"/>
                <w:spacing w:val="-1"/>
                <w:sz w:val="16"/>
              </w:rPr>
              <w:t>2.842</w:t>
            </w:r>
          </w:p>
        </w:tc>
        <w:tc>
          <w:tcPr>
            <w:tcW w:w="67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2"/>
              <w:ind w:right="102"/>
              <w:jc w:val="right"/>
              <w:rPr>
                <w:rFonts w:ascii="Times New Roman" w:hAnsi="Times New Roman" w:cs="Times New Roman" w:eastAsia="Times New Roman" w:hint="default"/>
                <w:sz w:val="16"/>
                <w:szCs w:val="16"/>
              </w:rPr>
            </w:pPr>
            <w:r>
              <w:rPr>
                <w:rFonts w:ascii="Times New Roman"/>
                <w:spacing w:val="-1"/>
                <w:sz w:val="16"/>
              </w:rPr>
              <w:t>3.162</w:t>
            </w:r>
          </w:p>
        </w:tc>
        <w:tc>
          <w:tcPr>
            <w:tcW w:w="92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2"/>
              <w:ind w:right="100"/>
              <w:jc w:val="right"/>
              <w:rPr>
                <w:rFonts w:ascii="Times New Roman" w:hAnsi="Times New Roman" w:cs="Times New Roman" w:eastAsia="Times New Roman" w:hint="default"/>
                <w:sz w:val="16"/>
                <w:szCs w:val="16"/>
              </w:rPr>
            </w:pPr>
            <w:r>
              <w:rPr>
                <w:rFonts w:ascii="Times New Roman"/>
                <w:spacing w:val="-1"/>
                <w:sz w:val="16"/>
              </w:rPr>
              <w:t>20.360</w:t>
            </w:r>
          </w:p>
        </w:tc>
        <w:tc>
          <w:tcPr>
            <w:tcW w:w="95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2"/>
              <w:ind w:right="100"/>
              <w:jc w:val="right"/>
              <w:rPr>
                <w:rFonts w:ascii="Times New Roman" w:hAnsi="Times New Roman" w:cs="Times New Roman" w:eastAsia="Times New Roman" w:hint="default"/>
                <w:sz w:val="16"/>
                <w:szCs w:val="16"/>
              </w:rPr>
            </w:pPr>
            <w:r>
              <w:rPr>
                <w:rFonts w:ascii="Times New Roman"/>
                <w:spacing w:val="-1"/>
                <w:sz w:val="16"/>
              </w:rPr>
              <w:t>11.819</w:t>
            </w:r>
          </w:p>
        </w:tc>
        <w:tc>
          <w:tcPr>
            <w:tcW w:w="986"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2"/>
              <w:ind w:right="102"/>
              <w:jc w:val="right"/>
              <w:rPr>
                <w:rFonts w:ascii="Times New Roman" w:hAnsi="Times New Roman" w:cs="Times New Roman" w:eastAsia="Times New Roman" w:hint="default"/>
                <w:sz w:val="16"/>
                <w:szCs w:val="16"/>
              </w:rPr>
            </w:pPr>
            <w:r>
              <w:rPr>
                <w:rFonts w:ascii="Times New Roman"/>
                <w:spacing w:val="-1"/>
                <w:sz w:val="16"/>
              </w:rPr>
              <w:t>6.082</w:t>
            </w:r>
          </w:p>
        </w:tc>
        <w:tc>
          <w:tcPr>
            <w:tcW w:w="900"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2"/>
              <w:ind w:right="102"/>
              <w:jc w:val="right"/>
              <w:rPr>
                <w:rFonts w:ascii="Times New Roman" w:hAnsi="Times New Roman" w:cs="Times New Roman" w:eastAsia="Times New Roman" w:hint="default"/>
                <w:sz w:val="16"/>
                <w:szCs w:val="16"/>
              </w:rPr>
            </w:pPr>
            <w:r>
              <w:rPr>
                <w:rFonts w:ascii="Times New Roman"/>
                <w:spacing w:val="-1"/>
                <w:sz w:val="16"/>
              </w:rPr>
              <w:t>7.602</w:t>
            </w:r>
          </w:p>
        </w:tc>
        <w:tc>
          <w:tcPr>
            <w:tcW w:w="75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2"/>
              <w:ind w:right="100"/>
              <w:jc w:val="right"/>
              <w:rPr>
                <w:rFonts w:ascii="Times New Roman" w:hAnsi="Times New Roman" w:cs="Times New Roman" w:eastAsia="Times New Roman" w:hint="default"/>
                <w:sz w:val="16"/>
                <w:szCs w:val="16"/>
              </w:rPr>
            </w:pPr>
            <w:r>
              <w:rPr>
                <w:rFonts w:ascii="Times New Roman"/>
                <w:spacing w:val="-1"/>
                <w:sz w:val="16"/>
              </w:rPr>
              <w:t>3.830</w:t>
            </w:r>
          </w:p>
        </w:tc>
        <w:tc>
          <w:tcPr>
            <w:tcW w:w="79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2"/>
              <w:ind w:right="100"/>
              <w:jc w:val="right"/>
              <w:rPr>
                <w:rFonts w:ascii="Times New Roman" w:hAnsi="Times New Roman" w:cs="Times New Roman" w:eastAsia="Times New Roman" w:hint="default"/>
                <w:sz w:val="16"/>
                <w:szCs w:val="16"/>
              </w:rPr>
            </w:pPr>
            <w:r>
              <w:rPr>
                <w:rFonts w:ascii="Times New Roman"/>
                <w:spacing w:val="-1"/>
                <w:sz w:val="16"/>
              </w:rPr>
              <w:t>1.733</w:t>
            </w:r>
          </w:p>
        </w:tc>
        <w:tc>
          <w:tcPr>
            <w:tcW w:w="82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2"/>
              <w:ind w:right="102"/>
              <w:jc w:val="right"/>
              <w:rPr>
                <w:rFonts w:ascii="Times New Roman" w:hAnsi="Times New Roman" w:cs="Times New Roman" w:eastAsia="Times New Roman" w:hint="default"/>
                <w:sz w:val="16"/>
                <w:szCs w:val="16"/>
              </w:rPr>
            </w:pPr>
            <w:r>
              <w:rPr>
                <w:rFonts w:ascii="Times New Roman"/>
                <w:spacing w:val="-1"/>
                <w:sz w:val="16"/>
              </w:rPr>
              <w:t>96.935</w:t>
            </w:r>
          </w:p>
        </w:tc>
        <w:tc>
          <w:tcPr>
            <w:tcW w:w="74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2"/>
              <w:ind w:right="100"/>
              <w:jc w:val="right"/>
              <w:rPr>
                <w:rFonts w:ascii="Times New Roman" w:hAnsi="Times New Roman" w:cs="Times New Roman" w:eastAsia="Times New Roman" w:hint="default"/>
                <w:sz w:val="16"/>
                <w:szCs w:val="16"/>
              </w:rPr>
            </w:pPr>
            <w:r>
              <w:rPr>
                <w:rFonts w:ascii="Times New Roman"/>
                <w:spacing w:val="-1"/>
                <w:sz w:val="16"/>
              </w:rPr>
              <w:t>14.175</w:t>
            </w:r>
          </w:p>
        </w:tc>
        <w:tc>
          <w:tcPr>
            <w:tcW w:w="708"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5.366</w:t>
            </w:r>
          </w:p>
        </w:tc>
        <w:tc>
          <w:tcPr>
            <w:tcW w:w="85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2"/>
              <w:ind w:right="100"/>
              <w:jc w:val="right"/>
              <w:rPr>
                <w:rFonts w:ascii="Times New Roman" w:hAnsi="Times New Roman" w:cs="Times New Roman" w:eastAsia="Times New Roman" w:hint="default"/>
                <w:sz w:val="16"/>
                <w:szCs w:val="16"/>
              </w:rPr>
            </w:pPr>
            <w:r>
              <w:rPr>
                <w:rFonts w:ascii="Times New Roman"/>
                <w:spacing w:val="-1"/>
                <w:sz w:val="16"/>
              </w:rPr>
              <w:t>3.727</w:t>
            </w:r>
          </w:p>
        </w:tc>
        <w:tc>
          <w:tcPr>
            <w:tcW w:w="76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2"/>
              <w:ind w:right="102"/>
              <w:jc w:val="right"/>
              <w:rPr>
                <w:rFonts w:ascii="Times New Roman" w:hAnsi="Times New Roman" w:cs="Times New Roman" w:eastAsia="Times New Roman" w:hint="default"/>
                <w:sz w:val="16"/>
                <w:szCs w:val="16"/>
              </w:rPr>
            </w:pPr>
            <w:r>
              <w:rPr>
                <w:rFonts w:ascii="Times New Roman"/>
                <w:spacing w:val="-1"/>
                <w:sz w:val="16"/>
              </w:rPr>
              <w:t>2.845</w:t>
            </w:r>
          </w:p>
        </w:tc>
        <w:tc>
          <w:tcPr>
            <w:tcW w:w="816"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2"/>
              <w:ind w:right="103"/>
              <w:jc w:val="right"/>
              <w:rPr>
                <w:rFonts w:ascii="Times New Roman" w:hAnsi="Times New Roman" w:cs="Times New Roman" w:eastAsia="Times New Roman" w:hint="default"/>
                <w:sz w:val="16"/>
                <w:szCs w:val="16"/>
              </w:rPr>
            </w:pPr>
            <w:r>
              <w:rPr>
                <w:rFonts w:ascii="Times New Roman"/>
                <w:spacing w:val="-1"/>
                <w:sz w:val="16"/>
              </w:rPr>
              <w:t>7.678</w:t>
            </w:r>
          </w:p>
        </w:tc>
        <w:tc>
          <w:tcPr>
            <w:tcW w:w="69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2"/>
              <w:ind w:right="100"/>
              <w:jc w:val="right"/>
              <w:rPr>
                <w:rFonts w:ascii="Times New Roman" w:hAnsi="Times New Roman" w:cs="Times New Roman" w:eastAsia="Times New Roman" w:hint="default"/>
                <w:sz w:val="16"/>
                <w:szCs w:val="16"/>
              </w:rPr>
            </w:pPr>
            <w:r>
              <w:rPr>
                <w:rFonts w:ascii="Times New Roman"/>
                <w:spacing w:val="-1"/>
                <w:sz w:val="16"/>
              </w:rPr>
              <w:t>5.248</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2"/>
              <w:ind w:right="102"/>
              <w:jc w:val="right"/>
              <w:rPr>
                <w:rFonts w:ascii="Times New Roman" w:hAnsi="Times New Roman" w:cs="Times New Roman" w:eastAsia="Times New Roman" w:hint="default"/>
                <w:sz w:val="16"/>
                <w:szCs w:val="16"/>
              </w:rPr>
            </w:pPr>
            <w:r>
              <w:rPr>
                <w:rFonts w:ascii="Times New Roman"/>
                <w:spacing w:val="-1"/>
                <w:sz w:val="16"/>
              </w:rPr>
              <w:t>3.184</w:t>
            </w:r>
          </w:p>
        </w:tc>
        <w:tc>
          <w:tcPr>
            <w:tcW w:w="78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2"/>
              <w:ind w:right="100"/>
              <w:jc w:val="right"/>
              <w:rPr>
                <w:rFonts w:ascii="Times New Roman" w:hAnsi="Times New Roman" w:cs="Times New Roman" w:eastAsia="Times New Roman" w:hint="default"/>
                <w:sz w:val="16"/>
                <w:szCs w:val="16"/>
              </w:rPr>
            </w:pPr>
            <w:r>
              <w:rPr>
                <w:rFonts w:ascii="Times New Roman"/>
                <w:spacing w:val="-1"/>
                <w:sz w:val="16"/>
              </w:rPr>
              <w:t>8.254</w:t>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left="103" w:right="0"/>
              <w:jc w:val="left"/>
              <w:rPr>
                <w:rFonts w:ascii="Times New Roman" w:hAnsi="Times New Roman" w:cs="Times New Roman" w:eastAsia="Times New Roman" w:hint="default"/>
                <w:sz w:val="16"/>
                <w:szCs w:val="16"/>
              </w:rPr>
            </w:pPr>
            <w:r>
              <w:rPr>
                <w:rFonts w:ascii="Times New Roman" w:hAnsi="Times New Roman"/>
                <w:sz w:val="16"/>
              </w:rPr>
              <w:t>Исказано</w:t>
            </w:r>
            <w:r>
              <w:rPr>
                <w:rFonts w:ascii="Times New Roman" w:hAnsi="Times New Roman"/>
                <w:spacing w:val="-5"/>
                <w:sz w:val="16"/>
              </w:rPr>
              <w:t> </w:t>
            </w:r>
            <w:r>
              <w:rPr>
                <w:rFonts w:ascii="Times New Roman" w:hAnsi="Times New Roman"/>
                <w:sz w:val="16"/>
              </w:rPr>
              <w:t>изврш</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2.695</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3.118</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19.995</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11.781</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5.926</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7.476</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3.796</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1.220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89.920</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12.995</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5.429</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2.913</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2.261</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3"/>
              <w:jc w:val="right"/>
              <w:rPr>
                <w:rFonts w:ascii="Times New Roman" w:hAnsi="Times New Roman" w:cs="Times New Roman" w:eastAsia="Times New Roman" w:hint="default"/>
                <w:sz w:val="16"/>
                <w:szCs w:val="16"/>
              </w:rPr>
            </w:pPr>
            <w:r>
              <w:rPr>
                <w:rFonts w:ascii="Times New Roman"/>
                <w:spacing w:val="-1"/>
                <w:sz w:val="16"/>
              </w:rPr>
              <w:t>7.648</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5.188</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3.032</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8.090</w:t>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(1)</w:t>
            </w:r>
            <w:r>
              <w:rPr>
                <w:rFonts w:ascii="Times New Roman" w:hAnsi="Times New Roman"/>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147</w:t>
            </w:r>
            <w:r>
              <w:rPr>
                <w:rFonts w:ascii="Times New Roman"/>
                <w:spacing w:val="-1"/>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z w:val="16"/>
              </w:rPr>
              <w:t>44</w:t>
            </w:r>
            <w:r>
              <w:rPr>
                <w:rFonts w:ascii="Times New Roman"/>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365</w:t>
            </w:r>
            <w:r>
              <w:rPr>
                <w:rFonts w:ascii="Times New Roman"/>
                <w:spacing w:val="-1"/>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b/>
                <w:sz w:val="16"/>
              </w:rPr>
              <w:t>38</w:t>
            </w:r>
            <w:r>
              <w:rPr>
                <w:rFonts w:ascii="Times New Roman"/>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156</w:t>
            </w:r>
            <w:r>
              <w:rPr>
                <w:rFonts w:ascii="Times New Roman"/>
                <w:spacing w:val="-1"/>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126</w:t>
            </w:r>
            <w:r>
              <w:rPr>
                <w:rFonts w:ascii="Times New Roman"/>
                <w:spacing w:val="-1"/>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b/>
                <w:sz w:val="16"/>
              </w:rPr>
              <w:t>34</w:t>
            </w:r>
            <w:r>
              <w:rPr>
                <w:rFonts w:ascii="Times New Roman"/>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513</w:t>
            </w:r>
            <w:r>
              <w:rPr>
                <w:rFonts w:ascii="Times New Roman"/>
                <w:spacing w:val="-1"/>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7.015</w:t>
            </w:r>
            <w:r>
              <w:rPr>
                <w:rFonts w:ascii="Times New Roman"/>
                <w:spacing w:val="-1"/>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1.180</w:t>
            </w:r>
            <w:r>
              <w:rPr>
                <w:rFonts w:ascii="Times New Roman"/>
                <w:spacing w:val="-1"/>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b/>
                <w:sz w:val="16"/>
              </w:rPr>
              <w:t>-63</w:t>
            </w:r>
            <w:r>
              <w:rPr>
                <w:rFonts w:ascii="Times New Roman"/>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814</w:t>
            </w:r>
            <w:r>
              <w:rPr>
                <w:rFonts w:ascii="Times New Roman"/>
                <w:spacing w:val="-1"/>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584</w:t>
            </w:r>
            <w:r>
              <w:rPr>
                <w:rFonts w:ascii="Times New Roman"/>
                <w:spacing w:val="-1"/>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z w:val="16"/>
              </w:rPr>
              <w:t>30</w:t>
            </w:r>
            <w:r>
              <w:rPr>
                <w:rFonts w:ascii="Times New Roman"/>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b/>
                <w:sz w:val="16"/>
              </w:rPr>
              <w:t>60</w:t>
            </w:r>
            <w:r>
              <w:rPr>
                <w:rFonts w:ascii="Times New Roman"/>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152</w:t>
            </w:r>
            <w:r>
              <w:rPr>
                <w:rFonts w:ascii="Times New Roman"/>
                <w:spacing w:val="-1"/>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164</w:t>
            </w:r>
            <w:r>
              <w:rPr>
                <w:rFonts w:ascii="Times New Roman"/>
                <w:spacing w:val="-1"/>
                <w:sz w:val="16"/>
              </w:rPr>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3"/>
                <w:sz w:val="16"/>
              </w:rPr>
              <w:t> </w:t>
            </w:r>
            <w:r>
              <w:rPr>
                <w:rFonts w:ascii="Times New Roman" w:hAnsi="Times New Roman"/>
                <w:sz w:val="16"/>
              </w:rPr>
              <w:t>рач</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105</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292</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1.638</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1.180</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646</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711</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965</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98"/>
              <w:jc w:val="right"/>
              <w:rPr>
                <w:rFonts w:ascii="Times New Roman" w:hAnsi="Times New Roman" w:cs="Times New Roman" w:eastAsia="Times New Roman" w:hint="default"/>
                <w:sz w:val="16"/>
                <w:szCs w:val="16"/>
              </w:rPr>
            </w:pPr>
            <w:r>
              <w:rPr>
                <w:rFonts w:ascii="Times New Roman"/>
                <w:sz w:val="16"/>
              </w:rPr>
              <w:t>46</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6.228</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1.317</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401</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275</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1"/>
              <w:jc w:val="right"/>
              <w:rPr>
                <w:rFonts w:ascii="Times New Roman" w:hAnsi="Times New Roman" w:cs="Times New Roman" w:eastAsia="Times New Roman" w:hint="default"/>
                <w:sz w:val="16"/>
                <w:szCs w:val="16"/>
              </w:rPr>
            </w:pPr>
            <w:r>
              <w:rPr>
                <w:rFonts w:ascii="Times New Roman"/>
                <w:sz w:val="16"/>
              </w:rPr>
              <w:t>78</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703</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380</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307</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745</w:t>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7"/>
                <w:sz w:val="16"/>
              </w:rPr>
              <w:t> </w:t>
            </w:r>
            <w:r>
              <w:rPr>
                <w:rFonts w:ascii="Times New Roman" w:hAnsi="Times New Roman"/>
                <w:sz w:val="16"/>
              </w:rPr>
              <w:t>угов</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w w:val="100"/>
                <w:sz w:val="16"/>
              </w:rPr>
              <w:t>-</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w w:val="100"/>
                <w:sz w:val="16"/>
              </w:rPr>
              <w:t>-</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w w:val="100"/>
                <w:sz w:val="16"/>
              </w:rPr>
              <w:t>-</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w w:val="100"/>
                <w:sz w:val="16"/>
              </w:rPr>
              <w:t>-</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w w:val="100"/>
                <w:sz w:val="16"/>
              </w:rPr>
              <w:t>-</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w w:val="100"/>
                <w:sz w:val="16"/>
              </w:rPr>
              <w:t>-</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w w:val="100"/>
                <w:sz w:val="16"/>
              </w:rPr>
              <w:t>-</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w w:val="100"/>
                <w:sz w:val="16"/>
              </w:rPr>
              <w:t>-</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w w:val="100"/>
                <w:sz w:val="16"/>
              </w:rPr>
              <w:t>-</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w w:val="100"/>
                <w:sz w:val="16"/>
              </w:rPr>
              <w:t>-</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w w:val="100"/>
                <w:sz w:val="16"/>
              </w:rPr>
              <w:t>-</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w w:val="100"/>
                <w:sz w:val="16"/>
              </w:rPr>
              <w:t>-</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w w:val="100"/>
                <w:sz w:val="16"/>
              </w:rPr>
              <w:t>-</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w w:val="100"/>
                <w:sz w:val="16"/>
              </w:rPr>
              <w:t>-</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w w:val="100"/>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w w:val="100"/>
                <w:sz w:val="16"/>
              </w:rPr>
              <w:t>-</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w w:val="100"/>
                <w:sz w:val="16"/>
              </w:rPr>
              <w:t>-</w:t>
            </w:r>
          </w:p>
        </w:tc>
      </w:tr>
      <w:tr>
        <w:trPr>
          <w:trHeight w:val="223" w:hRule="exact"/>
        </w:trPr>
        <w:tc>
          <w:tcPr>
            <w:tcW w:w="626" w:type="dxa"/>
            <w:vMerge/>
            <w:tcBorders>
              <w:left w:val="single" w:sz="4" w:space="0" w:color="000000"/>
              <w:bottom w:val="single" w:sz="12" w:space="0" w:color="000000"/>
              <w:right w:val="single" w:sz="4" w:space="0" w:color="000000"/>
            </w:tcBorders>
          </w:tcPr>
          <w:p>
            <w:pPr/>
          </w:p>
        </w:tc>
        <w:tc>
          <w:tcPr>
            <w:tcW w:w="13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(2)</w:t>
            </w:r>
            <w:r>
              <w:rPr>
                <w:rFonts w:ascii="Times New Roman" w:hAnsi="Times New Roman"/>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z w:val="16"/>
              </w:rPr>
              <w:t>42</w:t>
            </w:r>
            <w:r>
              <w:rPr>
                <w:rFonts w:ascii="Times New Roman"/>
                <w:sz w:val="16"/>
              </w:rPr>
            </w:r>
          </w:p>
        </w:tc>
        <w:tc>
          <w:tcPr>
            <w:tcW w:w="67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-248</w:t>
            </w:r>
            <w:r>
              <w:rPr>
                <w:rFonts w:ascii="Times New Roman"/>
                <w:spacing w:val="-1"/>
                <w:sz w:val="16"/>
              </w:rPr>
            </w:r>
          </w:p>
        </w:tc>
        <w:tc>
          <w:tcPr>
            <w:tcW w:w="92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-1.273</w:t>
            </w:r>
            <w:r>
              <w:rPr>
                <w:rFonts w:ascii="Times New Roman"/>
                <w:spacing w:val="-1"/>
                <w:sz w:val="16"/>
              </w:rPr>
            </w:r>
          </w:p>
        </w:tc>
        <w:tc>
          <w:tcPr>
            <w:tcW w:w="95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-1.142</w:t>
            </w:r>
            <w:r>
              <w:rPr>
                <w:rFonts w:ascii="Times New Roman"/>
                <w:spacing w:val="-1"/>
                <w:sz w:val="16"/>
              </w:rPr>
            </w:r>
          </w:p>
        </w:tc>
        <w:tc>
          <w:tcPr>
            <w:tcW w:w="98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-490</w:t>
            </w:r>
            <w:r>
              <w:rPr>
                <w:rFonts w:ascii="Times New Roman"/>
                <w:spacing w:val="-1"/>
                <w:sz w:val="16"/>
              </w:rPr>
            </w:r>
          </w:p>
        </w:tc>
        <w:tc>
          <w:tcPr>
            <w:tcW w:w="900"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-585</w:t>
            </w:r>
            <w:r>
              <w:rPr>
                <w:rFonts w:ascii="Times New Roman"/>
                <w:spacing w:val="-1"/>
                <w:sz w:val="16"/>
              </w:rPr>
            </w:r>
          </w:p>
        </w:tc>
        <w:tc>
          <w:tcPr>
            <w:tcW w:w="7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-931</w:t>
            </w:r>
            <w:r>
              <w:rPr>
                <w:rFonts w:ascii="Times New Roman"/>
                <w:spacing w:val="-1"/>
                <w:sz w:val="16"/>
              </w:rPr>
            </w:r>
          </w:p>
        </w:tc>
        <w:tc>
          <w:tcPr>
            <w:tcW w:w="79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467</w:t>
            </w:r>
            <w:r>
              <w:rPr>
                <w:rFonts w:ascii="Times New Roman"/>
                <w:spacing w:val="-1"/>
                <w:sz w:val="16"/>
              </w:rPr>
            </w:r>
          </w:p>
        </w:tc>
        <w:tc>
          <w:tcPr>
            <w:tcW w:w="82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787</w:t>
            </w:r>
            <w:r>
              <w:rPr>
                <w:rFonts w:ascii="Times New Roman"/>
                <w:spacing w:val="-1"/>
                <w:sz w:val="16"/>
              </w:rPr>
            </w:r>
          </w:p>
        </w:tc>
        <w:tc>
          <w:tcPr>
            <w:tcW w:w="74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-137</w:t>
            </w:r>
            <w:r>
              <w:rPr>
                <w:rFonts w:ascii="Times New Roman"/>
                <w:spacing w:val="-1"/>
                <w:sz w:val="16"/>
              </w:rPr>
            </w:r>
          </w:p>
        </w:tc>
        <w:tc>
          <w:tcPr>
            <w:tcW w:w="70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-464</w:t>
            </w:r>
            <w:r>
              <w:rPr>
                <w:rFonts w:ascii="Times New Roman"/>
                <w:spacing w:val="-1"/>
                <w:sz w:val="16"/>
              </w:rPr>
            </w:r>
          </w:p>
        </w:tc>
        <w:tc>
          <w:tcPr>
            <w:tcW w:w="85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539</w:t>
            </w:r>
            <w:r>
              <w:rPr>
                <w:rFonts w:ascii="Times New Roman"/>
                <w:spacing w:val="-1"/>
                <w:sz w:val="16"/>
              </w:rPr>
            </w:r>
          </w:p>
        </w:tc>
        <w:tc>
          <w:tcPr>
            <w:tcW w:w="76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506</w:t>
            </w:r>
            <w:r>
              <w:rPr>
                <w:rFonts w:ascii="Times New Roman"/>
                <w:spacing w:val="-1"/>
                <w:sz w:val="16"/>
              </w:rPr>
            </w:r>
          </w:p>
        </w:tc>
        <w:tc>
          <w:tcPr>
            <w:tcW w:w="81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-673</w:t>
            </w:r>
            <w:r>
              <w:rPr>
                <w:rFonts w:ascii="Times New Roman"/>
                <w:spacing w:val="-1"/>
                <w:sz w:val="16"/>
              </w:rPr>
            </w:r>
          </w:p>
        </w:tc>
        <w:tc>
          <w:tcPr>
            <w:tcW w:w="69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-320</w:t>
            </w:r>
            <w:r>
              <w:rPr>
                <w:rFonts w:ascii="Times New Roman"/>
                <w:spacing w:val="-1"/>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-155</w:t>
            </w:r>
            <w:r>
              <w:rPr>
                <w:rFonts w:ascii="Times New Roman"/>
                <w:spacing w:val="-1"/>
                <w:sz w:val="16"/>
              </w:rPr>
            </w:r>
          </w:p>
        </w:tc>
        <w:tc>
          <w:tcPr>
            <w:tcW w:w="78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-581</w:t>
            </w:r>
            <w:r>
              <w:rPr>
                <w:rFonts w:ascii="Times New Roman"/>
                <w:spacing w:val="-1"/>
                <w:sz w:val="16"/>
              </w:rPr>
            </w:r>
          </w:p>
        </w:tc>
      </w:tr>
      <w:tr>
        <w:trPr>
          <w:trHeight w:val="216" w:hRule="exact"/>
        </w:trPr>
        <w:tc>
          <w:tcPr>
            <w:tcW w:w="626" w:type="dxa"/>
            <w:vMerge w:val="restart"/>
            <w:tcBorders>
              <w:top w:val="single" w:sz="12"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8"/>
              <w:ind w:right="0"/>
              <w:jc w:val="left"/>
              <w:rPr>
                <w:rFonts w:ascii="Times New Roman" w:hAnsi="Times New Roman" w:cs="Times New Roman" w:eastAsia="Times New Roman" w:hint="default"/>
                <w:sz w:val="14"/>
                <w:szCs w:val="14"/>
              </w:rPr>
            </w:pPr>
          </w:p>
          <w:p>
            <w:pPr>
              <w:pStyle w:val="TableParagraph"/>
              <w:spacing w:line="240" w:lineRule="auto"/>
              <w:ind w:left="187" w:right="94"/>
              <w:jc w:val="left"/>
              <w:rPr>
                <w:rFonts w:ascii="Times New Roman" w:hAnsi="Times New Roman" w:cs="Times New Roman" w:eastAsia="Times New Roman" w:hint="default"/>
                <w:sz w:val="16"/>
                <w:szCs w:val="16"/>
              </w:rPr>
            </w:pPr>
            <w:r>
              <w:rPr>
                <w:rFonts w:ascii="Times New Roman"/>
                <w:sz w:val="16"/>
              </w:rPr>
              <w:t>413</w:t>
            </w:r>
          </w:p>
        </w:tc>
        <w:tc>
          <w:tcPr>
            <w:tcW w:w="135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left="103" w:right="0"/>
              <w:jc w:val="left"/>
              <w:rPr>
                <w:rFonts w:ascii="Times New Roman" w:hAnsi="Times New Roman" w:cs="Times New Roman" w:eastAsia="Times New Roman" w:hint="default"/>
                <w:sz w:val="16"/>
                <w:szCs w:val="16"/>
              </w:rPr>
            </w:pPr>
            <w:r>
              <w:rPr>
                <w:rFonts w:ascii="Times New Roman" w:hAnsi="Times New Roman"/>
                <w:sz w:val="16"/>
              </w:rPr>
              <w:t>Укупна</w:t>
            </w:r>
            <w:r>
              <w:rPr>
                <w:rFonts w:ascii="Times New Roman" w:hAnsi="Times New Roman"/>
                <w:spacing w:val="-5"/>
                <w:sz w:val="16"/>
              </w:rPr>
              <w:t> </w:t>
            </w:r>
            <w:r>
              <w:rPr>
                <w:rFonts w:ascii="Times New Roman" w:hAnsi="Times New Roman"/>
                <w:sz w:val="16"/>
              </w:rPr>
              <w:t>апроп</w:t>
            </w:r>
            <w:r>
              <w:rPr>
                <w:rFonts w:ascii="Times New Roman" w:hAnsi="Times New Roman"/>
                <w:sz w:val="16"/>
              </w:rPr>
              <w:t>.</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102"/>
              <w:jc w:val="right"/>
              <w:rPr>
                <w:rFonts w:ascii="Times New Roman" w:hAnsi="Times New Roman" w:cs="Times New Roman" w:eastAsia="Times New Roman" w:hint="default"/>
                <w:sz w:val="16"/>
                <w:szCs w:val="16"/>
              </w:rPr>
            </w:pPr>
            <w:r>
              <w:rPr>
                <w:rFonts w:ascii="Times New Roman"/>
                <w:spacing w:val="-1"/>
                <w:sz w:val="16"/>
              </w:rPr>
              <w:t>400</w:t>
            </w:r>
          </w:p>
        </w:tc>
        <w:tc>
          <w:tcPr>
            <w:tcW w:w="67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102"/>
              <w:jc w:val="right"/>
              <w:rPr>
                <w:rFonts w:ascii="Times New Roman" w:hAnsi="Times New Roman" w:cs="Times New Roman" w:eastAsia="Times New Roman" w:hint="default"/>
                <w:sz w:val="16"/>
                <w:szCs w:val="16"/>
              </w:rPr>
            </w:pPr>
            <w:r>
              <w:rPr>
                <w:rFonts w:ascii="Times New Roman"/>
                <w:spacing w:val="-1"/>
                <w:sz w:val="16"/>
              </w:rPr>
              <w:t>1.322</w:t>
            </w:r>
          </w:p>
        </w:tc>
        <w:tc>
          <w:tcPr>
            <w:tcW w:w="92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100"/>
              <w:jc w:val="right"/>
              <w:rPr>
                <w:rFonts w:ascii="Times New Roman" w:hAnsi="Times New Roman" w:cs="Times New Roman" w:eastAsia="Times New Roman" w:hint="default"/>
                <w:sz w:val="16"/>
                <w:szCs w:val="16"/>
              </w:rPr>
            </w:pPr>
            <w:r>
              <w:rPr>
                <w:rFonts w:ascii="Times New Roman"/>
                <w:spacing w:val="-1"/>
                <w:sz w:val="16"/>
              </w:rPr>
              <w:t>2.700</w:t>
            </w:r>
          </w:p>
        </w:tc>
        <w:tc>
          <w:tcPr>
            <w:tcW w:w="95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100"/>
              <w:jc w:val="right"/>
              <w:rPr>
                <w:rFonts w:ascii="Times New Roman" w:hAnsi="Times New Roman" w:cs="Times New Roman" w:eastAsia="Times New Roman" w:hint="default"/>
                <w:sz w:val="16"/>
                <w:szCs w:val="16"/>
              </w:rPr>
            </w:pPr>
            <w:r>
              <w:rPr>
                <w:rFonts w:ascii="Times New Roman"/>
                <w:spacing w:val="-1"/>
                <w:sz w:val="16"/>
              </w:rPr>
              <w:t>4.612</w:t>
            </w:r>
          </w:p>
        </w:tc>
        <w:tc>
          <w:tcPr>
            <w:tcW w:w="986"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102"/>
              <w:jc w:val="right"/>
              <w:rPr>
                <w:rFonts w:ascii="Times New Roman" w:hAnsi="Times New Roman" w:cs="Times New Roman" w:eastAsia="Times New Roman" w:hint="default"/>
                <w:sz w:val="16"/>
                <w:szCs w:val="16"/>
              </w:rPr>
            </w:pPr>
            <w:r>
              <w:rPr>
                <w:rFonts w:ascii="Times New Roman"/>
                <w:spacing w:val="-1"/>
                <w:sz w:val="16"/>
              </w:rPr>
              <w:t>2.656</w:t>
            </w:r>
          </w:p>
        </w:tc>
        <w:tc>
          <w:tcPr>
            <w:tcW w:w="900"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102"/>
              <w:jc w:val="right"/>
              <w:rPr>
                <w:rFonts w:ascii="Times New Roman" w:hAnsi="Times New Roman" w:cs="Times New Roman" w:eastAsia="Times New Roman" w:hint="default"/>
                <w:sz w:val="16"/>
                <w:szCs w:val="16"/>
              </w:rPr>
            </w:pPr>
            <w:r>
              <w:rPr>
                <w:rFonts w:ascii="Times New Roman"/>
                <w:spacing w:val="-1"/>
                <w:sz w:val="16"/>
              </w:rPr>
              <w:t>2.682</w:t>
            </w:r>
          </w:p>
        </w:tc>
        <w:tc>
          <w:tcPr>
            <w:tcW w:w="75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100"/>
              <w:jc w:val="right"/>
              <w:rPr>
                <w:rFonts w:ascii="Times New Roman" w:hAnsi="Times New Roman" w:cs="Times New Roman" w:eastAsia="Times New Roman" w:hint="default"/>
                <w:sz w:val="16"/>
                <w:szCs w:val="16"/>
              </w:rPr>
            </w:pPr>
            <w:r>
              <w:rPr>
                <w:rFonts w:ascii="Times New Roman"/>
                <w:spacing w:val="-1"/>
                <w:sz w:val="16"/>
              </w:rPr>
              <w:t>740</w:t>
            </w:r>
          </w:p>
        </w:tc>
        <w:tc>
          <w:tcPr>
            <w:tcW w:w="79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100"/>
              <w:jc w:val="right"/>
              <w:rPr>
                <w:rFonts w:ascii="Times New Roman" w:hAnsi="Times New Roman" w:cs="Times New Roman" w:eastAsia="Times New Roman" w:hint="default"/>
                <w:sz w:val="16"/>
                <w:szCs w:val="16"/>
              </w:rPr>
            </w:pPr>
            <w:r>
              <w:rPr>
                <w:rFonts w:ascii="Times New Roman"/>
                <w:spacing w:val="-1"/>
                <w:sz w:val="16"/>
              </w:rPr>
              <w:t>275</w:t>
            </w:r>
          </w:p>
        </w:tc>
        <w:tc>
          <w:tcPr>
            <w:tcW w:w="82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102"/>
              <w:jc w:val="right"/>
              <w:rPr>
                <w:rFonts w:ascii="Times New Roman" w:hAnsi="Times New Roman" w:cs="Times New Roman" w:eastAsia="Times New Roman" w:hint="default"/>
                <w:sz w:val="16"/>
                <w:szCs w:val="16"/>
              </w:rPr>
            </w:pPr>
            <w:r>
              <w:rPr>
                <w:rFonts w:ascii="Times New Roman"/>
                <w:spacing w:val="-1"/>
                <w:sz w:val="16"/>
              </w:rPr>
              <w:t>41.000</w:t>
            </w:r>
          </w:p>
        </w:tc>
        <w:tc>
          <w:tcPr>
            <w:tcW w:w="74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99"/>
              <w:jc w:val="right"/>
              <w:rPr>
                <w:rFonts w:ascii="Times New Roman" w:hAnsi="Times New Roman" w:cs="Times New Roman" w:eastAsia="Times New Roman" w:hint="default"/>
                <w:sz w:val="16"/>
                <w:szCs w:val="16"/>
              </w:rPr>
            </w:pPr>
            <w:r>
              <w:rPr>
                <w:rFonts w:ascii="Times New Roman"/>
                <w:sz w:val="16"/>
              </w:rPr>
              <w:t>54</w:t>
            </w:r>
          </w:p>
        </w:tc>
        <w:tc>
          <w:tcPr>
            <w:tcW w:w="708"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2.848</w:t>
            </w:r>
          </w:p>
        </w:tc>
        <w:tc>
          <w:tcPr>
            <w:tcW w:w="85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100"/>
              <w:jc w:val="right"/>
              <w:rPr>
                <w:rFonts w:ascii="Times New Roman" w:hAnsi="Times New Roman" w:cs="Times New Roman" w:eastAsia="Times New Roman" w:hint="default"/>
                <w:sz w:val="16"/>
                <w:szCs w:val="16"/>
              </w:rPr>
            </w:pPr>
            <w:r>
              <w:rPr>
                <w:rFonts w:ascii="Times New Roman"/>
                <w:spacing w:val="-1"/>
                <w:sz w:val="16"/>
              </w:rPr>
              <w:t>100</w:t>
            </w:r>
          </w:p>
        </w:tc>
        <w:tc>
          <w:tcPr>
            <w:tcW w:w="76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102"/>
              <w:jc w:val="right"/>
              <w:rPr>
                <w:rFonts w:ascii="Times New Roman" w:hAnsi="Times New Roman" w:cs="Times New Roman" w:eastAsia="Times New Roman" w:hint="default"/>
                <w:sz w:val="16"/>
                <w:szCs w:val="16"/>
              </w:rPr>
            </w:pPr>
            <w:r>
              <w:rPr>
                <w:rFonts w:ascii="Times New Roman"/>
                <w:spacing w:val="-1"/>
                <w:sz w:val="16"/>
              </w:rPr>
              <w:t>382</w:t>
            </w:r>
          </w:p>
        </w:tc>
        <w:tc>
          <w:tcPr>
            <w:tcW w:w="816"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103"/>
              <w:jc w:val="right"/>
              <w:rPr>
                <w:rFonts w:ascii="Times New Roman" w:hAnsi="Times New Roman" w:cs="Times New Roman" w:eastAsia="Times New Roman" w:hint="default"/>
                <w:sz w:val="16"/>
                <w:szCs w:val="16"/>
              </w:rPr>
            </w:pPr>
            <w:r>
              <w:rPr>
                <w:rFonts w:ascii="Times New Roman"/>
                <w:spacing w:val="-1"/>
                <w:sz w:val="16"/>
              </w:rPr>
              <w:t>4.024</w:t>
            </w:r>
          </w:p>
        </w:tc>
        <w:tc>
          <w:tcPr>
            <w:tcW w:w="69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100"/>
              <w:jc w:val="right"/>
              <w:rPr>
                <w:rFonts w:ascii="Times New Roman" w:hAnsi="Times New Roman" w:cs="Times New Roman" w:eastAsia="Times New Roman" w:hint="default"/>
                <w:sz w:val="16"/>
                <w:szCs w:val="16"/>
              </w:rPr>
            </w:pPr>
            <w:r>
              <w:rPr>
                <w:rFonts w:ascii="Times New Roman"/>
                <w:spacing w:val="-1"/>
                <w:sz w:val="16"/>
              </w:rPr>
              <w:t>3.050</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102"/>
              <w:jc w:val="right"/>
              <w:rPr>
                <w:rFonts w:ascii="Times New Roman" w:hAnsi="Times New Roman" w:cs="Times New Roman" w:eastAsia="Times New Roman" w:hint="default"/>
                <w:sz w:val="16"/>
                <w:szCs w:val="16"/>
              </w:rPr>
            </w:pPr>
            <w:r>
              <w:rPr>
                <w:rFonts w:ascii="Times New Roman"/>
                <w:spacing w:val="-1"/>
                <w:sz w:val="16"/>
              </w:rPr>
              <w:t>958</w:t>
            </w:r>
          </w:p>
        </w:tc>
        <w:tc>
          <w:tcPr>
            <w:tcW w:w="78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100"/>
              <w:jc w:val="right"/>
              <w:rPr>
                <w:rFonts w:ascii="Times New Roman" w:hAnsi="Times New Roman" w:cs="Times New Roman" w:eastAsia="Times New Roman" w:hint="default"/>
                <w:sz w:val="16"/>
                <w:szCs w:val="16"/>
              </w:rPr>
            </w:pPr>
            <w:r>
              <w:rPr>
                <w:rFonts w:ascii="Times New Roman"/>
                <w:spacing w:val="-1"/>
                <w:sz w:val="16"/>
              </w:rPr>
              <w:t>3.702</w:t>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sz w:val="16"/>
              </w:rPr>
              <w:t>Исказано</w:t>
            </w:r>
            <w:r>
              <w:rPr>
                <w:rFonts w:ascii="Times New Roman" w:hAnsi="Times New Roman"/>
                <w:spacing w:val="-5"/>
                <w:sz w:val="16"/>
              </w:rPr>
              <w:t> </w:t>
            </w:r>
            <w:r>
              <w:rPr>
                <w:rFonts w:ascii="Times New Roman" w:hAnsi="Times New Roman"/>
                <w:sz w:val="16"/>
              </w:rPr>
              <w:t>изврш</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241</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1.169</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700</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3.992</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2.230</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2.383</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593</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218</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23.895</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w w:val="100"/>
                <w:sz w:val="16"/>
              </w:rPr>
              <w:t>-</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1.975</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sz w:val="16"/>
              </w:rPr>
              <w:t>85</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315</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3"/>
              <w:jc w:val="right"/>
              <w:rPr>
                <w:rFonts w:ascii="Times New Roman" w:hAnsi="Times New Roman" w:cs="Times New Roman" w:eastAsia="Times New Roman" w:hint="default"/>
                <w:sz w:val="16"/>
                <w:szCs w:val="16"/>
              </w:rPr>
            </w:pPr>
            <w:r>
              <w:rPr>
                <w:rFonts w:ascii="Times New Roman"/>
                <w:spacing w:val="-1"/>
                <w:sz w:val="16"/>
              </w:rPr>
              <w:t>3.436</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901</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903</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3.153</w:t>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(1)</w:t>
            </w:r>
            <w:r>
              <w:rPr>
                <w:rFonts w:ascii="Times New Roman" w:hAnsi="Times New Roman"/>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159</w:t>
            </w:r>
            <w:r>
              <w:rPr>
                <w:rFonts w:ascii="Times New Roman"/>
                <w:spacing w:val="-1"/>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153</w:t>
            </w:r>
            <w:r>
              <w:rPr>
                <w:rFonts w:ascii="Times New Roman"/>
                <w:spacing w:val="-1"/>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2.000</w:t>
            </w:r>
            <w:r>
              <w:rPr>
                <w:rFonts w:ascii="Times New Roman"/>
                <w:spacing w:val="-1"/>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620</w:t>
            </w:r>
            <w:r>
              <w:rPr>
                <w:rFonts w:ascii="Times New Roman"/>
                <w:spacing w:val="-1"/>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426</w:t>
            </w:r>
            <w:r>
              <w:rPr>
                <w:rFonts w:ascii="Times New Roman"/>
                <w:spacing w:val="-1"/>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299</w:t>
            </w:r>
            <w:r>
              <w:rPr>
                <w:rFonts w:ascii="Times New Roman"/>
                <w:spacing w:val="-1"/>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147</w:t>
            </w:r>
            <w:r>
              <w:rPr>
                <w:rFonts w:ascii="Times New Roman"/>
                <w:spacing w:val="-1"/>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98"/>
              <w:jc w:val="right"/>
              <w:rPr>
                <w:rFonts w:ascii="Times New Roman" w:hAnsi="Times New Roman" w:cs="Times New Roman" w:eastAsia="Times New Roman" w:hint="default"/>
                <w:sz w:val="16"/>
                <w:szCs w:val="16"/>
              </w:rPr>
            </w:pPr>
            <w:r>
              <w:rPr>
                <w:rFonts w:ascii="Times New Roman"/>
                <w:b/>
                <w:sz w:val="16"/>
              </w:rPr>
              <w:t>57</w:t>
            </w:r>
            <w:r>
              <w:rPr>
                <w:rFonts w:ascii="Times New Roman"/>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17.105</w:t>
            </w:r>
            <w:r>
              <w:rPr>
                <w:rFonts w:ascii="Times New Roman"/>
                <w:spacing w:val="-1"/>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99"/>
              <w:jc w:val="right"/>
              <w:rPr>
                <w:rFonts w:ascii="Times New Roman" w:hAnsi="Times New Roman" w:cs="Times New Roman" w:eastAsia="Times New Roman" w:hint="default"/>
                <w:sz w:val="16"/>
                <w:szCs w:val="16"/>
              </w:rPr>
            </w:pPr>
            <w:r>
              <w:rPr>
                <w:rFonts w:ascii="Times New Roman"/>
                <w:b/>
                <w:sz w:val="16"/>
              </w:rPr>
              <w:t>54</w:t>
            </w:r>
            <w:r>
              <w:rPr>
                <w:rFonts w:ascii="Times New Roman"/>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873</w:t>
            </w:r>
            <w:r>
              <w:rPr>
                <w:rFonts w:ascii="Times New Roman"/>
                <w:spacing w:val="-1"/>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98"/>
              <w:jc w:val="right"/>
              <w:rPr>
                <w:rFonts w:ascii="Times New Roman" w:hAnsi="Times New Roman" w:cs="Times New Roman" w:eastAsia="Times New Roman" w:hint="default"/>
                <w:sz w:val="16"/>
                <w:szCs w:val="16"/>
              </w:rPr>
            </w:pPr>
            <w:r>
              <w:rPr>
                <w:rFonts w:ascii="Times New Roman"/>
                <w:b/>
                <w:sz w:val="16"/>
              </w:rPr>
              <w:t>15</w:t>
            </w:r>
            <w:r>
              <w:rPr>
                <w:rFonts w:ascii="Times New Roman"/>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z w:val="16"/>
              </w:rPr>
              <w:t>67</w:t>
            </w:r>
            <w:r>
              <w:rPr>
                <w:rFonts w:ascii="Times New Roman"/>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588</w:t>
            </w:r>
            <w:r>
              <w:rPr>
                <w:rFonts w:ascii="Times New Roman"/>
                <w:spacing w:val="-1"/>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2.149</w:t>
            </w:r>
            <w:r>
              <w:rPr>
                <w:rFonts w:ascii="Times New Roman"/>
                <w:spacing w:val="-1"/>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z w:val="16"/>
              </w:rPr>
              <w:t>55</w:t>
            </w:r>
            <w:r>
              <w:rPr>
                <w:rFonts w:ascii="Times New Roman"/>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549</w:t>
            </w:r>
            <w:r>
              <w:rPr>
                <w:rFonts w:ascii="Times New Roman"/>
                <w:spacing w:val="-1"/>
                <w:sz w:val="16"/>
              </w:rPr>
            </w:r>
          </w:p>
        </w:tc>
      </w:tr>
      <w:tr>
        <w:trPr>
          <w:trHeight w:val="216"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3"/>
                <w:sz w:val="16"/>
              </w:rPr>
              <w:t> </w:t>
            </w:r>
            <w:r>
              <w:rPr>
                <w:rFonts w:ascii="Times New Roman" w:hAnsi="Times New Roman"/>
                <w:sz w:val="16"/>
              </w:rPr>
              <w:t>рач</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sz w:val="16"/>
              </w:rPr>
              <w:t>54</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215</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4.777</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825</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412</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433</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w w:val="100"/>
                <w:sz w:val="16"/>
              </w:rPr>
              <w:t>-</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w w:val="100"/>
                <w:sz w:val="16"/>
              </w:rPr>
              <w:t>-</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30.908</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w w:val="100"/>
                <w:sz w:val="16"/>
              </w:rPr>
              <w:t>-</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961</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w w:val="100"/>
                <w:sz w:val="16"/>
              </w:rPr>
              <w:t>-</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sz w:val="16"/>
              </w:rPr>
              <w:t>24</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550</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2.647</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204</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562</w:t>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7"/>
                <w:sz w:val="16"/>
              </w:rPr>
              <w:t> </w:t>
            </w:r>
            <w:r>
              <w:rPr>
                <w:rFonts w:ascii="Times New Roman" w:hAnsi="Times New Roman"/>
                <w:sz w:val="16"/>
              </w:rPr>
              <w:t>угов</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43"/>
              <w:jc w:val="right"/>
              <w:rPr>
                <w:rFonts w:ascii="Times New Roman" w:hAnsi="Times New Roman" w:cs="Times New Roman" w:eastAsia="Times New Roman" w:hint="default"/>
                <w:sz w:val="16"/>
                <w:szCs w:val="16"/>
              </w:rPr>
            </w:pPr>
            <w:r>
              <w:rPr>
                <w:rFonts w:ascii="Times New Roman"/>
                <w:w w:val="100"/>
                <w:sz w:val="16"/>
              </w:rPr>
              <w:t>-</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w w:val="100"/>
                <w:sz w:val="16"/>
              </w:rPr>
              <w:t>-</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1"/>
              <w:jc w:val="right"/>
              <w:rPr>
                <w:rFonts w:ascii="Times New Roman" w:hAnsi="Times New Roman" w:cs="Times New Roman" w:eastAsia="Times New Roman" w:hint="default"/>
                <w:sz w:val="16"/>
                <w:szCs w:val="16"/>
              </w:rPr>
            </w:pPr>
            <w:r>
              <w:rPr>
                <w:rFonts w:ascii="Times New Roman"/>
                <w:w w:val="100"/>
                <w:sz w:val="16"/>
              </w:rPr>
              <w:t>-</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w w:val="100"/>
                <w:sz w:val="16"/>
              </w:rPr>
              <w:t>-</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w w:val="100"/>
                <w:sz w:val="16"/>
              </w:rPr>
              <w:t>-</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w w:val="100"/>
                <w:sz w:val="16"/>
              </w:rPr>
              <w:t>-</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w w:val="100"/>
                <w:sz w:val="16"/>
              </w:rPr>
              <w:t>-</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w w:val="100"/>
                <w:sz w:val="16"/>
              </w:rPr>
              <w:t>-</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w w:val="100"/>
                <w:sz w:val="16"/>
              </w:rPr>
              <w:t>-</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1"/>
              <w:jc w:val="right"/>
              <w:rPr>
                <w:rFonts w:ascii="Times New Roman" w:hAnsi="Times New Roman" w:cs="Times New Roman" w:eastAsia="Times New Roman" w:hint="default"/>
                <w:sz w:val="16"/>
                <w:szCs w:val="16"/>
              </w:rPr>
            </w:pPr>
            <w:r>
              <w:rPr>
                <w:rFonts w:ascii="Times New Roman"/>
                <w:w w:val="100"/>
                <w:sz w:val="16"/>
              </w:rPr>
              <w:t>-</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w w:val="100"/>
                <w:sz w:val="16"/>
              </w:rPr>
              <w:t>-</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w w:val="100"/>
                <w:sz w:val="16"/>
              </w:rPr>
              <w:t>-</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w w:val="100"/>
                <w:sz w:val="16"/>
              </w:rPr>
              <w:t>-</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w w:val="100"/>
                <w:sz w:val="16"/>
              </w:rPr>
              <w:t>-</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w w:val="100"/>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w w:val="100"/>
                <w:sz w:val="16"/>
              </w:rPr>
              <w:t>-</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w w:val="100"/>
                <w:sz w:val="16"/>
              </w:rPr>
              <w:t>-</w:t>
            </w:r>
          </w:p>
        </w:tc>
      </w:tr>
      <w:tr>
        <w:trPr>
          <w:trHeight w:val="223" w:hRule="exact"/>
        </w:trPr>
        <w:tc>
          <w:tcPr>
            <w:tcW w:w="626" w:type="dxa"/>
            <w:vMerge/>
            <w:tcBorders>
              <w:left w:val="single" w:sz="4" w:space="0" w:color="000000"/>
              <w:bottom w:val="single" w:sz="12" w:space="0" w:color="000000"/>
              <w:right w:val="single" w:sz="4" w:space="0" w:color="000000"/>
            </w:tcBorders>
          </w:tcPr>
          <w:p>
            <w:pPr/>
          </w:p>
        </w:tc>
        <w:tc>
          <w:tcPr>
            <w:tcW w:w="13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(2)</w:t>
            </w:r>
            <w:r>
              <w:rPr>
                <w:rFonts w:ascii="Times New Roman" w:hAnsi="Times New Roman"/>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105</w:t>
            </w:r>
            <w:r>
              <w:rPr>
                <w:rFonts w:ascii="Times New Roman"/>
                <w:spacing w:val="-1"/>
                <w:sz w:val="16"/>
              </w:rPr>
            </w:r>
          </w:p>
        </w:tc>
        <w:tc>
          <w:tcPr>
            <w:tcW w:w="67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z w:val="16"/>
              </w:rPr>
              <w:t>-62</w:t>
            </w:r>
            <w:r>
              <w:rPr>
                <w:rFonts w:ascii="Times New Roman"/>
                <w:sz w:val="16"/>
              </w:rPr>
            </w:r>
          </w:p>
        </w:tc>
        <w:tc>
          <w:tcPr>
            <w:tcW w:w="92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-2.777</w:t>
            </w:r>
            <w:r>
              <w:rPr>
                <w:rFonts w:ascii="Times New Roman"/>
                <w:spacing w:val="-1"/>
                <w:sz w:val="16"/>
              </w:rPr>
            </w:r>
          </w:p>
        </w:tc>
        <w:tc>
          <w:tcPr>
            <w:tcW w:w="95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-205</w:t>
            </w:r>
            <w:r>
              <w:rPr>
                <w:rFonts w:ascii="Times New Roman"/>
                <w:spacing w:val="-1"/>
                <w:sz w:val="16"/>
              </w:rPr>
            </w:r>
          </w:p>
        </w:tc>
        <w:tc>
          <w:tcPr>
            <w:tcW w:w="98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z w:val="16"/>
              </w:rPr>
              <w:t>14</w:t>
            </w:r>
            <w:r>
              <w:rPr>
                <w:rFonts w:ascii="Times New Roman"/>
                <w:sz w:val="16"/>
              </w:rPr>
            </w:r>
          </w:p>
        </w:tc>
        <w:tc>
          <w:tcPr>
            <w:tcW w:w="900"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-134</w:t>
            </w:r>
            <w:r>
              <w:rPr>
                <w:rFonts w:ascii="Times New Roman"/>
                <w:spacing w:val="-1"/>
                <w:sz w:val="16"/>
              </w:rPr>
            </w:r>
          </w:p>
        </w:tc>
        <w:tc>
          <w:tcPr>
            <w:tcW w:w="7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147</w:t>
            </w:r>
            <w:r>
              <w:rPr>
                <w:rFonts w:ascii="Times New Roman"/>
                <w:spacing w:val="-1"/>
                <w:sz w:val="16"/>
              </w:rPr>
            </w:r>
          </w:p>
        </w:tc>
        <w:tc>
          <w:tcPr>
            <w:tcW w:w="79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b/>
                <w:sz w:val="16"/>
              </w:rPr>
              <w:t>57</w:t>
            </w:r>
            <w:r>
              <w:rPr>
                <w:rFonts w:ascii="Times New Roman"/>
                <w:sz w:val="16"/>
              </w:rPr>
            </w:r>
          </w:p>
        </w:tc>
        <w:tc>
          <w:tcPr>
            <w:tcW w:w="82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4"/>
              <w:jc w:val="right"/>
              <w:rPr>
                <w:rFonts w:ascii="Times New Roman" w:hAnsi="Times New Roman" w:cs="Times New Roman" w:eastAsia="Times New Roman" w:hint="default"/>
                <w:sz w:val="16"/>
                <w:szCs w:val="16"/>
              </w:rPr>
            </w:pPr>
            <w:r>
              <w:rPr>
                <w:rFonts w:ascii="Times New Roman"/>
                <w:b/>
                <w:spacing w:val="-1"/>
                <w:sz w:val="16"/>
              </w:rPr>
              <w:t>-13.803</w:t>
            </w:r>
            <w:r>
              <w:rPr>
                <w:rFonts w:ascii="Times New Roman"/>
                <w:spacing w:val="-1"/>
                <w:sz w:val="16"/>
              </w:rPr>
            </w:r>
          </w:p>
        </w:tc>
        <w:tc>
          <w:tcPr>
            <w:tcW w:w="74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99"/>
              <w:jc w:val="right"/>
              <w:rPr>
                <w:rFonts w:ascii="Times New Roman" w:hAnsi="Times New Roman" w:cs="Times New Roman" w:eastAsia="Times New Roman" w:hint="default"/>
                <w:sz w:val="16"/>
                <w:szCs w:val="16"/>
              </w:rPr>
            </w:pPr>
            <w:r>
              <w:rPr>
                <w:rFonts w:ascii="Times New Roman"/>
                <w:b/>
                <w:sz w:val="16"/>
              </w:rPr>
              <w:t>54</w:t>
            </w:r>
            <w:r>
              <w:rPr>
                <w:rFonts w:ascii="Times New Roman"/>
                <w:sz w:val="16"/>
              </w:rPr>
            </w:r>
          </w:p>
        </w:tc>
        <w:tc>
          <w:tcPr>
            <w:tcW w:w="70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b/>
                <w:sz w:val="16"/>
              </w:rPr>
              <w:t>-88</w:t>
            </w:r>
            <w:r>
              <w:rPr>
                <w:rFonts w:ascii="Times New Roman"/>
                <w:sz w:val="16"/>
              </w:rPr>
            </w:r>
          </w:p>
        </w:tc>
        <w:tc>
          <w:tcPr>
            <w:tcW w:w="85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37"/>
              <w:jc w:val="right"/>
              <w:rPr>
                <w:rFonts w:ascii="Times New Roman" w:hAnsi="Times New Roman" w:cs="Times New Roman" w:eastAsia="Times New Roman" w:hint="default"/>
                <w:sz w:val="16"/>
                <w:szCs w:val="16"/>
              </w:rPr>
            </w:pPr>
            <w:r>
              <w:rPr>
                <w:rFonts w:ascii="Times New Roman"/>
                <w:b/>
                <w:sz w:val="16"/>
              </w:rPr>
              <w:t>15</w:t>
            </w:r>
            <w:r>
              <w:rPr>
                <w:rFonts w:ascii="Times New Roman"/>
                <w:sz w:val="16"/>
              </w:rPr>
            </w:r>
          </w:p>
        </w:tc>
        <w:tc>
          <w:tcPr>
            <w:tcW w:w="76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z w:val="16"/>
              </w:rPr>
              <w:t>43</w:t>
            </w:r>
            <w:r>
              <w:rPr>
                <w:rFonts w:ascii="Times New Roman"/>
                <w:sz w:val="16"/>
              </w:rPr>
            </w:r>
          </w:p>
        </w:tc>
        <w:tc>
          <w:tcPr>
            <w:tcW w:w="81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z w:val="16"/>
              </w:rPr>
              <w:t>38</w:t>
            </w:r>
            <w:r>
              <w:rPr>
                <w:rFonts w:ascii="Times New Roman"/>
                <w:sz w:val="16"/>
              </w:rPr>
            </w:r>
          </w:p>
        </w:tc>
        <w:tc>
          <w:tcPr>
            <w:tcW w:w="69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-498</w:t>
            </w:r>
            <w:r>
              <w:rPr>
                <w:rFonts w:ascii="Times New Roman"/>
                <w:spacing w:val="-1"/>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-149</w:t>
            </w:r>
            <w:r>
              <w:rPr>
                <w:rFonts w:ascii="Times New Roman"/>
                <w:spacing w:val="-1"/>
                <w:sz w:val="16"/>
              </w:rPr>
            </w:r>
          </w:p>
        </w:tc>
        <w:tc>
          <w:tcPr>
            <w:tcW w:w="78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b/>
                <w:sz w:val="16"/>
              </w:rPr>
              <w:t>-13</w:t>
            </w:r>
            <w:r>
              <w:rPr>
                <w:rFonts w:ascii="Times New Roman"/>
                <w:sz w:val="16"/>
              </w:rPr>
            </w:r>
          </w:p>
        </w:tc>
      </w:tr>
      <w:tr>
        <w:trPr>
          <w:trHeight w:val="204" w:hRule="exact"/>
        </w:trPr>
        <w:tc>
          <w:tcPr>
            <w:tcW w:w="626" w:type="dxa"/>
            <w:vMerge w:val="restart"/>
            <w:tcBorders>
              <w:top w:val="single" w:sz="12"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4"/>
                <w:szCs w:val="14"/>
              </w:rPr>
            </w:pPr>
          </w:p>
          <w:p>
            <w:pPr>
              <w:pStyle w:val="TableParagraph"/>
              <w:spacing w:line="240" w:lineRule="auto"/>
              <w:ind w:left="187" w:right="94"/>
              <w:jc w:val="left"/>
              <w:rPr>
                <w:rFonts w:ascii="Times New Roman" w:hAnsi="Times New Roman" w:cs="Times New Roman" w:eastAsia="Times New Roman" w:hint="default"/>
                <w:sz w:val="16"/>
                <w:szCs w:val="16"/>
              </w:rPr>
            </w:pPr>
            <w:r>
              <w:rPr>
                <w:rFonts w:ascii="Times New Roman"/>
                <w:sz w:val="16"/>
              </w:rPr>
              <w:t>414</w:t>
            </w:r>
          </w:p>
        </w:tc>
        <w:tc>
          <w:tcPr>
            <w:tcW w:w="1359"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hAnsi="Times New Roman"/>
                <w:sz w:val="16"/>
              </w:rPr>
              <w:t>Укупна</w:t>
            </w:r>
            <w:r>
              <w:rPr>
                <w:rFonts w:ascii="Times New Roman" w:hAnsi="Times New Roman"/>
                <w:spacing w:val="-5"/>
                <w:sz w:val="16"/>
              </w:rPr>
              <w:t> </w:t>
            </w:r>
            <w:r>
              <w:rPr>
                <w:rFonts w:ascii="Times New Roman" w:hAnsi="Times New Roman"/>
                <w:sz w:val="16"/>
              </w:rPr>
              <w:t>апроп</w:t>
            </w:r>
            <w:r>
              <w:rPr>
                <w:rFonts w:ascii="Times New Roman" w:hAnsi="Times New Roman"/>
                <w:sz w:val="16"/>
              </w:rPr>
              <w:t>.</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360</w:t>
            </w:r>
          </w:p>
        </w:tc>
        <w:tc>
          <w:tcPr>
            <w:tcW w:w="679"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1"/>
              <w:jc w:val="right"/>
              <w:rPr>
                <w:rFonts w:ascii="Times New Roman" w:hAnsi="Times New Roman" w:cs="Times New Roman" w:eastAsia="Times New Roman" w:hint="default"/>
                <w:sz w:val="16"/>
                <w:szCs w:val="16"/>
              </w:rPr>
            </w:pPr>
            <w:r>
              <w:rPr>
                <w:rFonts w:ascii="Times New Roman"/>
                <w:sz w:val="16"/>
              </w:rPr>
              <w:t>40</w:t>
            </w:r>
          </w:p>
        </w:tc>
        <w:tc>
          <w:tcPr>
            <w:tcW w:w="927"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1.625</w:t>
            </w:r>
          </w:p>
        </w:tc>
        <w:tc>
          <w:tcPr>
            <w:tcW w:w="955"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540</w:t>
            </w:r>
          </w:p>
        </w:tc>
        <w:tc>
          <w:tcPr>
            <w:tcW w:w="986"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900</w:t>
            </w:r>
          </w:p>
        </w:tc>
        <w:tc>
          <w:tcPr>
            <w:tcW w:w="900"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743</w:t>
            </w:r>
          </w:p>
        </w:tc>
        <w:tc>
          <w:tcPr>
            <w:tcW w:w="759"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307</w:t>
            </w:r>
          </w:p>
        </w:tc>
        <w:tc>
          <w:tcPr>
            <w:tcW w:w="792"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1"/>
              <w:jc w:val="right"/>
              <w:rPr>
                <w:rFonts w:ascii="Times New Roman" w:hAnsi="Times New Roman" w:cs="Times New Roman" w:eastAsia="Times New Roman" w:hint="default"/>
                <w:sz w:val="16"/>
                <w:szCs w:val="16"/>
              </w:rPr>
            </w:pPr>
            <w:r>
              <w:rPr>
                <w:rFonts w:ascii="Times New Roman"/>
                <w:w w:val="100"/>
                <w:sz w:val="16"/>
              </w:rPr>
              <w:t>0</w:t>
            </w:r>
          </w:p>
        </w:tc>
        <w:tc>
          <w:tcPr>
            <w:tcW w:w="821"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13.058</w:t>
            </w:r>
          </w:p>
        </w:tc>
        <w:tc>
          <w:tcPr>
            <w:tcW w:w="747"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3.645</w:t>
            </w:r>
          </w:p>
        </w:tc>
        <w:tc>
          <w:tcPr>
            <w:tcW w:w="708"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250</w:t>
            </w:r>
          </w:p>
        </w:tc>
        <w:tc>
          <w:tcPr>
            <w:tcW w:w="852"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828</w:t>
            </w:r>
          </w:p>
        </w:tc>
        <w:tc>
          <w:tcPr>
            <w:tcW w:w="761"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390</w:t>
            </w:r>
          </w:p>
        </w:tc>
        <w:tc>
          <w:tcPr>
            <w:tcW w:w="816"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481</w:t>
            </w:r>
          </w:p>
        </w:tc>
        <w:tc>
          <w:tcPr>
            <w:tcW w:w="691"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1.314</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220</w:t>
            </w:r>
          </w:p>
        </w:tc>
        <w:tc>
          <w:tcPr>
            <w:tcW w:w="785"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2.159</w:t>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sz w:val="16"/>
              </w:rPr>
              <w:t>Исказано</w:t>
            </w:r>
            <w:r>
              <w:rPr>
                <w:rFonts w:ascii="Times New Roman" w:hAnsi="Times New Roman"/>
                <w:spacing w:val="-5"/>
                <w:sz w:val="16"/>
              </w:rPr>
              <w:t> </w:t>
            </w:r>
            <w:r>
              <w:rPr>
                <w:rFonts w:ascii="Times New Roman" w:hAnsi="Times New Roman"/>
                <w:sz w:val="16"/>
              </w:rPr>
              <w:t>изврш</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298</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584</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1.290</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455</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992</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1.321</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sz w:val="16"/>
              </w:rPr>
              <w:t>30</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5.871</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949</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560</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451</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146</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3"/>
              <w:jc w:val="right"/>
              <w:rPr>
                <w:rFonts w:ascii="Times New Roman" w:hAnsi="Times New Roman" w:cs="Times New Roman" w:eastAsia="Times New Roman" w:hint="default"/>
                <w:sz w:val="16"/>
                <w:szCs w:val="16"/>
              </w:rPr>
            </w:pPr>
            <w:r>
              <w:rPr>
                <w:rFonts w:ascii="Times New Roman"/>
                <w:spacing w:val="-1"/>
                <w:sz w:val="16"/>
              </w:rPr>
              <w:t>1.042</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1.514</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w w:val="100"/>
                <w:sz w:val="16"/>
              </w:rPr>
              <w:t>-</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1.336</w:t>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(1)</w:t>
            </w:r>
            <w:r>
              <w:rPr>
                <w:rFonts w:ascii="Times New Roman" w:hAnsi="Times New Roman"/>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z w:val="16"/>
              </w:rPr>
              <w:t>62</w:t>
            </w:r>
            <w:r>
              <w:rPr>
                <w:rFonts w:ascii="Times New Roman"/>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z w:val="16"/>
              </w:rPr>
              <w:t>40</w:t>
            </w:r>
            <w:r>
              <w:rPr>
                <w:rFonts w:ascii="Times New Roman"/>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1.041</w:t>
            </w:r>
            <w:r>
              <w:rPr>
                <w:rFonts w:ascii="Times New Roman"/>
                <w:spacing w:val="-1"/>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-750</w:t>
            </w:r>
            <w:r>
              <w:rPr>
                <w:rFonts w:ascii="Times New Roman"/>
                <w:spacing w:val="-1"/>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445</w:t>
            </w:r>
            <w:r>
              <w:rPr>
                <w:rFonts w:ascii="Times New Roman"/>
                <w:spacing w:val="-1"/>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-249</w:t>
            </w:r>
            <w:r>
              <w:rPr>
                <w:rFonts w:ascii="Times New Roman"/>
                <w:spacing w:val="-1"/>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-1.014</w:t>
            </w:r>
            <w:r>
              <w:rPr>
                <w:rFonts w:ascii="Times New Roman"/>
                <w:spacing w:val="-1"/>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98"/>
              <w:jc w:val="right"/>
              <w:rPr>
                <w:rFonts w:ascii="Times New Roman" w:hAnsi="Times New Roman" w:cs="Times New Roman" w:eastAsia="Times New Roman" w:hint="default"/>
                <w:sz w:val="16"/>
                <w:szCs w:val="16"/>
              </w:rPr>
            </w:pPr>
            <w:r>
              <w:rPr>
                <w:rFonts w:ascii="Times New Roman"/>
                <w:b/>
                <w:sz w:val="16"/>
              </w:rPr>
              <w:t>-30</w:t>
            </w:r>
            <w:r>
              <w:rPr>
                <w:rFonts w:ascii="Times New Roman"/>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7.187</w:t>
            </w:r>
            <w:r>
              <w:rPr>
                <w:rFonts w:ascii="Times New Roman"/>
                <w:spacing w:val="-1"/>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2.696</w:t>
            </w:r>
            <w:r>
              <w:rPr>
                <w:rFonts w:ascii="Times New Roman"/>
                <w:spacing w:val="-1"/>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-310</w:t>
            </w:r>
            <w:r>
              <w:rPr>
                <w:rFonts w:ascii="Times New Roman"/>
                <w:spacing w:val="-1"/>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377</w:t>
            </w:r>
            <w:r>
              <w:rPr>
                <w:rFonts w:ascii="Times New Roman"/>
                <w:spacing w:val="-1"/>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244</w:t>
            </w:r>
            <w:r>
              <w:rPr>
                <w:rFonts w:ascii="Times New Roman"/>
                <w:spacing w:val="-1"/>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-561</w:t>
            </w:r>
            <w:r>
              <w:rPr>
                <w:rFonts w:ascii="Times New Roman"/>
                <w:spacing w:val="-1"/>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-200</w:t>
            </w:r>
            <w:r>
              <w:rPr>
                <w:rFonts w:ascii="Times New Roman"/>
                <w:spacing w:val="-1"/>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220</w:t>
            </w:r>
            <w:r>
              <w:rPr>
                <w:rFonts w:ascii="Times New Roman"/>
                <w:spacing w:val="-1"/>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823</w:t>
            </w:r>
            <w:r>
              <w:rPr>
                <w:rFonts w:ascii="Times New Roman"/>
                <w:spacing w:val="-1"/>
                <w:sz w:val="16"/>
              </w:rPr>
            </w:r>
          </w:p>
        </w:tc>
      </w:tr>
      <w:tr>
        <w:trPr>
          <w:trHeight w:val="216"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3"/>
                <w:sz w:val="16"/>
              </w:rPr>
              <w:t> </w:t>
            </w:r>
            <w:r>
              <w:rPr>
                <w:rFonts w:ascii="Times New Roman" w:hAnsi="Times New Roman"/>
                <w:sz w:val="16"/>
              </w:rPr>
              <w:t>рач</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w w:val="100"/>
                <w:sz w:val="16"/>
              </w:rPr>
              <w:t>-</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w w:val="100"/>
                <w:sz w:val="16"/>
              </w:rPr>
              <w:t>-</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1.033</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w w:val="100"/>
                <w:sz w:val="16"/>
              </w:rPr>
              <w:t>-</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w w:val="100"/>
                <w:sz w:val="16"/>
              </w:rPr>
              <w:t>-</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1.166</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307</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w w:val="100"/>
                <w:sz w:val="16"/>
              </w:rPr>
              <w:t>-</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2.740</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963</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w w:val="100"/>
                <w:sz w:val="16"/>
              </w:rPr>
              <w:t>-</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w w:val="100"/>
                <w:sz w:val="16"/>
              </w:rPr>
              <w:t>-</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w w:val="100"/>
                <w:sz w:val="16"/>
              </w:rPr>
              <w:t>-</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195</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w w:val="100"/>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w w:val="100"/>
                <w:sz w:val="16"/>
              </w:rPr>
              <w:t>-</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sz w:val="16"/>
              </w:rPr>
              <w:t>73</w:t>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7"/>
                <w:sz w:val="16"/>
              </w:rPr>
              <w:t> </w:t>
            </w:r>
            <w:r>
              <w:rPr>
                <w:rFonts w:ascii="Times New Roman" w:hAnsi="Times New Roman"/>
                <w:sz w:val="16"/>
              </w:rPr>
              <w:t>угов</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43"/>
              <w:jc w:val="right"/>
              <w:rPr>
                <w:rFonts w:ascii="Times New Roman" w:hAnsi="Times New Roman" w:cs="Times New Roman" w:eastAsia="Times New Roman" w:hint="default"/>
                <w:sz w:val="16"/>
                <w:szCs w:val="16"/>
              </w:rPr>
            </w:pPr>
            <w:r>
              <w:rPr>
                <w:rFonts w:ascii="Times New Roman"/>
                <w:w w:val="100"/>
                <w:sz w:val="16"/>
              </w:rPr>
              <w:t>-</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w w:val="100"/>
                <w:sz w:val="16"/>
              </w:rPr>
              <w:t>-</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1"/>
              <w:jc w:val="right"/>
              <w:rPr>
                <w:rFonts w:ascii="Times New Roman" w:hAnsi="Times New Roman" w:cs="Times New Roman" w:eastAsia="Times New Roman" w:hint="default"/>
                <w:sz w:val="16"/>
                <w:szCs w:val="16"/>
              </w:rPr>
            </w:pPr>
            <w:r>
              <w:rPr>
                <w:rFonts w:ascii="Times New Roman"/>
                <w:w w:val="100"/>
                <w:sz w:val="16"/>
              </w:rPr>
              <w:t>-</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w w:val="100"/>
                <w:sz w:val="16"/>
              </w:rPr>
              <w:t>-</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w w:val="100"/>
                <w:sz w:val="16"/>
              </w:rPr>
              <w:t>-</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w w:val="100"/>
                <w:sz w:val="16"/>
              </w:rPr>
              <w:t>-</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w w:val="100"/>
                <w:sz w:val="16"/>
              </w:rPr>
              <w:t>-</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w w:val="100"/>
                <w:sz w:val="16"/>
              </w:rPr>
              <w:t>-</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w w:val="100"/>
                <w:sz w:val="16"/>
              </w:rPr>
              <w:t>-</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1"/>
              <w:jc w:val="right"/>
              <w:rPr>
                <w:rFonts w:ascii="Times New Roman" w:hAnsi="Times New Roman" w:cs="Times New Roman" w:eastAsia="Times New Roman" w:hint="default"/>
                <w:sz w:val="16"/>
                <w:szCs w:val="16"/>
              </w:rPr>
            </w:pPr>
            <w:r>
              <w:rPr>
                <w:rFonts w:ascii="Times New Roman"/>
                <w:w w:val="100"/>
                <w:sz w:val="16"/>
              </w:rPr>
              <w:t>-</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w w:val="100"/>
                <w:sz w:val="16"/>
              </w:rPr>
              <w:t>-</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w w:val="100"/>
                <w:sz w:val="16"/>
              </w:rPr>
              <w:t>-</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w w:val="100"/>
                <w:sz w:val="16"/>
              </w:rPr>
              <w:t>-</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w w:val="100"/>
                <w:sz w:val="16"/>
              </w:rPr>
              <w:t>-</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w w:val="100"/>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w w:val="100"/>
                <w:sz w:val="16"/>
              </w:rPr>
              <w:t>-</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w w:val="100"/>
                <w:sz w:val="16"/>
              </w:rPr>
              <w:t>-</w:t>
            </w:r>
          </w:p>
        </w:tc>
      </w:tr>
      <w:tr>
        <w:trPr>
          <w:trHeight w:val="223" w:hRule="exact"/>
        </w:trPr>
        <w:tc>
          <w:tcPr>
            <w:tcW w:w="626" w:type="dxa"/>
            <w:vMerge/>
            <w:tcBorders>
              <w:left w:val="single" w:sz="4" w:space="0" w:color="000000"/>
              <w:bottom w:val="single" w:sz="12" w:space="0" w:color="000000"/>
              <w:right w:val="single" w:sz="4" w:space="0" w:color="000000"/>
            </w:tcBorders>
          </w:tcPr>
          <w:p>
            <w:pPr/>
          </w:p>
        </w:tc>
        <w:tc>
          <w:tcPr>
            <w:tcW w:w="13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(2)</w:t>
            </w:r>
            <w:r>
              <w:rPr>
                <w:rFonts w:ascii="Times New Roman" w:hAnsi="Times New Roman"/>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z w:val="16"/>
              </w:rPr>
              <w:t>62</w:t>
            </w:r>
            <w:r>
              <w:rPr>
                <w:rFonts w:ascii="Times New Roman"/>
                <w:sz w:val="16"/>
              </w:rPr>
            </w:r>
          </w:p>
        </w:tc>
        <w:tc>
          <w:tcPr>
            <w:tcW w:w="67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z w:val="16"/>
              </w:rPr>
              <w:t>40</w:t>
            </w:r>
            <w:r>
              <w:rPr>
                <w:rFonts w:ascii="Times New Roman"/>
                <w:sz w:val="16"/>
              </w:rPr>
            </w:r>
          </w:p>
        </w:tc>
        <w:tc>
          <w:tcPr>
            <w:tcW w:w="92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8</w:t>
            </w:r>
            <w:r>
              <w:rPr>
                <w:rFonts w:ascii="Times New Roman"/>
                <w:w w:val="100"/>
                <w:sz w:val="16"/>
              </w:rPr>
            </w:r>
          </w:p>
        </w:tc>
        <w:tc>
          <w:tcPr>
            <w:tcW w:w="95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-750</w:t>
            </w:r>
            <w:r>
              <w:rPr>
                <w:rFonts w:ascii="Times New Roman"/>
                <w:spacing w:val="-1"/>
                <w:sz w:val="16"/>
              </w:rPr>
            </w:r>
          </w:p>
        </w:tc>
        <w:tc>
          <w:tcPr>
            <w:tcW w:w="98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445</w:t>
            </w:r>
            <w:r>
              <w:rPr>
                <w:rFonts w:ascii="Times New Roman"/>
                <w:spacing w:val="-1"/>
                <w:sz w:val="16"/>
              </w:rPr>
            </w:r>
          </w:p>
        </w:tc>
        <w:tc>
          <w:tcPr>
            <w:tcW w:w="900"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-1.415</w:t>
            </w:r>
            <w:r>
              <w:rPr>
                <w:rFonts w:ascii="Times New Roman"/>
                <w:spacing w:val="-1"/>
                <w:sz w:val="16"/>
              </w:rPr>
            </w:r>
          </w:p>
        </w:tc>
        <w:tc>
          <w:tcPr>
            <w:tcW w:w="7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-1.321</w:t>
            </w:r>
            <w:r>
              <w:rPr>
                <w:rFonts w:ascii="Times New Roman"/>
                <w:spacing w:val="-1"/>
                <w:sz w:val="16"/>
              </w:rPr>
            </w:r>
          </w:p>
        </w:tc>
        <w:tc>
          <w:tcPr>
            <w:tcW w:w="79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b/>
                <w:sz w:val="16"/>
              </w:rPr>
              <w:t>-30</w:t>
            </w:r>
            <w:r>
              <w:rPr>
                <w:rFonts w:ascii="Times New Roman"/>
                <w:sz w:val="16"/>
              </w:rPr>
            </w:r>
          </w:p>
        </w:tc>
        <w:tc>
          <w:tcPr>
            <w:tcW w:w="82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4.447</w:t>
            </w:r>
            <w:r>
              <w:rPr>
                <w:rFonts w:ascii="Times New Roman"/>
                <w:spacing w:val="-1"/>
                <w:sz w:val="16"/>
              </w:rPr>
            </w:r>
          </w:p>
        </w:tc>
        <w:tc>
          <w:tcPr>
            <w:tcW w:w="74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1.733</w:t>
            </w:r>
            <w:r>
              <w:rPr>
                <w:rFonts w:ascii="Times New Roman"/>
                <w:spacing w:val="-1"/>
                <w:sz w:val="16"/>
              </w:rPr>
            </w:r>
          </w:p>
        </w:tc>
        <w:tc>
          <w:tcPr>
            <w:tcW w:w="70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-310</w:t>
            </w:r>
            <w:r>
              <w:rPr>
                <w:rFonts w:ascii="Times New Roman"/>
                <w:spacing w:val="-1"/>
                <w:sz w:val="16"/>
              </w:rPr>
            </w:r>
          </w:p>
        </w:tc>
        <w:tc>
          <w:tcPr>
            <w:tcW w:w="85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377</w:t>
            </w:r>
            <w:r>
              <w:rPr>
                <w:rFonts w:ascii="Times New Roman"/>
                <w:spacing w:val="-1"/>
                <w:sz w:val="16"/>
              </w:rPr>
            </w:r>
          </w:p>
        </w:tc>
        <w:tc>
          <w:tcPr>
            <w:tcW w:w="76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244</w:t>
            </w:r>
            <w:r>
              <w:rPr>
                <w:rFonts w:ascii="Times New Roman"/>
                <w:spacing w:val="-1"/>
                <w:sz w:val="16"/>
              </w:rPr>
            </w:r>
          </w:p>
        </w:tc>
        <w:tc>
          <w:tcPr>
            <w:tcW w:w="81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-756</w:t>
            </w:r>
            <w:r>
              <w:rPr>
                <w:rFonts w:ascii="Times New Roman"/>
                <w:spacing w:val="-1"/>
                <w:sz w:val="16"/>
              </w:rPr>
            </w:r>
          </w:p>
        </w:tc>
        <w:tc>
          <w:tcPr>
            <w:tcW w:w="69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-200</w:t>
            </w:r>
            <w:r>
              <w:rPr>
                <w:rFonts w:ascii="Times New Roman"/>
                <w:spacing w:val="-1"/>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220</w:t>
            </w:r>
            <w:r>
              <w:rPr>
                <w:rFonts w:ascii="Times New Roman"/>
                <w:spacing w:val="-1"/>
                <w:sz w:val="16"/>
              </w:rPr>
            </w:r>
          </w:p>
        </w:tc>
        <w:tc>
          <w:tcPr>
            <w:tcW w:w="78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750</w:t>
            </w:r>
            <w:r>
              <w:rPr>
                <w:rFonts w:ascii="Times New Roman"/>
                <w:spacing w:val="-1"/>
                <w:sz w:val="16"/>
              </w:rPr>
            </w:r>
          </w:p>
        </w:tc>
      </w:tr>
      <w:tr>
        <w:trPr>
          <w:trHeight w:val="204" w:hRule="exact"/>
        </w:trPr>
        <w:tc>
          <w:tcPr>
            <w:tcW w:w="626" w:type="dxa"/>
            <w:vMerge w:val="restart"/>
            <w:tcBorders>
              <w:top w:val="single" w:sz="12"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4"/>
                <w:szCs w:val="14"/>
              </w:rPr>
            </w:pPr>
          </w:p>
          <w:p>
            <w:pPr>
              <w:pStyle w:val="TableParagraph"/>
              <w:spacing w:line="240" w:lineRule="auto"/>
              <w:ind w:left="187" w:right="94"/>
              <w:jc w:val="left"/>
              <w:rPr>
                <w:rFonts w:ascii="Times New Roman" w:hAnsi="Times New Roman" w:cs="Times New Roman" w:eastAsia="Times New Roman" w:hint="default"/>
                <w:sz w:val="16"/>
                <w:szCs w:val="16"/>
              </w:rPr>
            </w:pPr>
            <w:r>
              <w:rPr>
                <w:rFonts w:ascii="Times New Roman"/>
                <w:sz w:val="16"/>
              </w:rPr>
              <w:t>415</w:t>
            </w:r>
          </w:p>
        </w:tc>
        <w:tc>
          <w:tcPr>
            <w:tcW w:w="1359"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hAnsi="Times New Roman"/>
                <w:sz w:val="16"/>
              </w:rPr>
              <w:t>Укупна</w:t>
            </w:r>
            <w:r>
              <w:rPr>
                <w:rFonts w:ascii="Times New Roman" w:hAnsi="Times New Roman"/>
                <w:spacing w:val="-5"/>
                <w:sz w:val="16"/>
              </w:rPr>
              <w:t> </w:t>
            </w:r>
            <w:r>
              <w:rPr>
                <w:rFonts w:ascii="Times New Roman" w:hAnsi="Times New Roman"/>
                <w:sz w:val="16"/>
              </w:rPr>
              <w:t>апроп</w:t>
            </w:r>
            <w:r>
              <w:rPr>
                <w:rFonts w:ascii="Times New Roman" w:hAnsi="Times New Roman"/>
                <w:sz w:val="16"/>
              </w:rPr>
              <w:t>.</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1.020</w:t>
            </w:r>
          </w:p>
        </w:tc>
        <w:tc>
          <w:tcPr>
            <w:tcW w:w="955"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w w:val="100"/>
                <w:sz w:val="16"/>
              </w:rPr>
              <w:t>-</w:t>
            </w:r>
          </w:p>
        </w:tc>
        <w:tc>
          <w:tcPr>
            <w:tcW w:w="986"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w w:val="100"/>
                <w:sz w:val="16"/>
              </w:rPr>
              <w:t>-</w:t>
            </w:r>
          </w:p>
        </w:tc>
        <w:tc>
          <w:tcPr>
            <w:tcW w:w="900"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w w:val="100"/>
                <w:sz w:val="16"/>
              </w:rPr>
              <w:t>-</w:t>
            </w:r>
          </w:p>
        </w:tc>
        <w:tc>
          <w:tcPr>
            <w:tcW w:w="759"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w w:val="100"/>
                <w:sz w:val="16"/>
              </w:rPr>
              <w:t>-</w:t>
            </w:r>
          </w:p>
        </w:tc>
        <w:tc>
          <w:tcPr>
            <w:tcW w:w="792"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w w:val="100"/>
                <w:sz w:val="16"/>
              </w:rPr>
              <w:t>-</w:t>
            </w:r>
          </w:p>
        </w:tc>
        <w:tc>
          <w:tcPr>
            <w:tcW w:w="821"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200</w:t>
            </w:r>
          </w:p>
        </w:tc>
        <w:tc>
          <w:tcPr>
            <w:tcW w:w="747"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4.556</w:t>
            </w:r>
          </w:p>
        </w:tc>
        <w:tc>
          <w:tcPr>
            <w:tcW w:w="708"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w w:val="100"/>
                <w:sz w:val="16"/>
              </w:rPr>
              <w:t>-</w:t>
            </w:r>
          </w:p>
        </w:tc>
        <w:tc>
          <w:tcPr>
            <w:tcW w:w="852"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490</w:t>
            </w:r>
          </w:p>
        </w:tc>
        <w:tc>
          <w:tcPr>
            <w:tcW w:w="761"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w w:val="100"/>
                <w:sz w:val="16"/>
              </w:rPr>
              <w:t>-</w:t>
            </w:r>
          </w:p>
        </w:tc>
        <w:tc>
          <w:tcPr>
            <w:tcW w:w="816"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150</w:t>
            </w:r>
          </w:p>
        </w:tc>
        <w:tc>
          <w:tcPr>
            <w:tcW w:w="691"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w w:val="100"/>
                <w:sz w:val="16"/>
              </w:rPr>
              <w:t>-</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w w:val="100"/>
                <w:sz w:val="16"/>
              </w:rPr>
              <w:t>-</w:t>
            </w:r>
          </w:p>
        </w:tc>
        <w:tc>
          <w:tcPr>
            <w:tcW w:w="785"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w w:val="100"/>
                <w:sz w:val="16"/>
              </w:rPr>
              <w:t>-</w:t>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sz w:val="16"/>
              </w:rPr>
              <w:t>Исказано</w:t>
            </w:r>
            <w:r>
              <w:rPr>
                <w:rFonts w:ascii="Times New Roman" w:hAnsi="Times New Roman"/>
                <w:spacing w:val="-5"/>
                <w:sz w:val="16"/>
              </w:rPr>
              <w:t> </w:t>
            </w:r>
            <w:r>
              <w:rPr>
                <w:rFonts w:ascii="Times New Roman" w:hAnsi="Times New Roman"/>
                <w:sz w:val="16"/>
              </w:rPr>
              <w:t>изврш</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960</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w w:val="100"/>
                <w:sz w:val="16"/>
              </w:rPr>
              <w:t>-</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4.418</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484</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129</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(1)</w:t>
            </w:r>
            <w:r>
              <w:rPr>
                <w:rFonts w:ascii="Times New Roman" w:hAnsi="Times New Roman"/>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9"/>
              <w:jc w:val="right"/>
              <w:rPr>
                <w:rFonts w:ascii="Times New Roman" w:hAnsi="Times New Roman" w:cs="Times New Roman" w:eastAsia="Times New Roman" w:hint="default"/>
                <w:sz w:val="16"/>
                <w:szCs w:val="16"/>
              </w:rPr>
            </w:pPr>
            <w:r>
              <w:rPr>
                <w:rFonts w:ascii="Times New Roman"/>
                <w:b/>
                <w:sz w:val="16"/>
              </w:rPr>
              <w:t>60</w:t>
            </w:r>
            <w:r>
              <w:rPr>
                <w:rFonts w:ascii="Times New Roman"/>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6"/>
                <w:szCs w:val="16"/>
              </w:rPr>
            </w:pPr>
            <w:r>
              <w:rPr>
                <w:rFonts w:ascii="Times New Roman"/>
                <w:b/>
                <w:spacing w:val="-1"/>
                <w:sz w:val="16"/>
              </w:rPr>
              <w:t>200</w:t>
            </w:r>
            <w:r>
              <w:rPr>
                <w:rFonts w:ascii="Times New Roman"/>
                <w:spacing w:val="-1"/>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6"/>
                <w:szCs w:val="16"/>
              </w:rPr>
            </w:pPr>
            <w:r>
              <w:rPr>
                <w:rFonts w:ascii="Times New Roman"/>
                <w:b/>
                <w:spacing w:val="-1"/>
                <w:sz w:val="16"/>
              </w:rPr>
              <w:t>138</w:t>
            </w:r>
            <w:r>
              <w:rPr>
                <w:rFonts w:ascii="Times New Roman"/>
                <w:spacing w:val="-1"/>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1"/>
              <w:jc w:val="right"/>
              <w:rPr>
                <w:rFonts w:ascii="Times New Roman" w:hAnsi="Times New Roman" w:cs="Times New Roman" w:eastAsia="Times New Roman" w:hint="default"/>
                <w:sz w:val="16"/>
                <w:szCs w:val="16"/>
              </w:rPr>
            </w:pPr>
            <w:r>
              <w:rPr>
                <w:rFonts w:ascii="Times New Roman"/>
                <w:b/>
                <w:w w:val="100"/>
                <w:sz w:val="16"/>
              </w:rPr>
              <w:t>6</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1"/>
              <w:jc w:val="right"/>
              <w:rPr>
                <w:rFonts w:ascii="Times New Roman" w:hAnsi="Times New Roman" w:cs="Times New Roman" w:eastAsia="Times New Roman" w:hint="default"/>
                <w:sz w:val="16"/>
                <w:szCs w:val="16"/>
              </w:rPr>
            </w:pPr>
            <w:r>
              <w:rPr>
                <w:rFonts w:ascii="Times New Roman"/>
                <w:b/>
                <w:sz w:val="16"/>
              </w:rPr>
              <w:t>21</w:t>
            </w:r>
            <w:r>
              <w:rPr>
                <w:rFonts w:ascii="Times New Roman"/>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16"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3"/>
                <w:sz w:val="16"/>
              </w:rPr>
              <w:t> </w:t>
            </w:r>
            <w:r>
              <w:rPr>
                <w:rFonts w:ascii="Times New Roman" w:hAnsi="Times New Roman"/>
                <w:sz w:val="16"/>
              </w:rPr>
              <w:t>рач</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315</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7"/>
                <w:sz w:val="16"/>
              </w:rPr>
              <w:t> </w:t>
            </w:r>
            <w:r>
              <w:rPr>
                <w:rFonts w:ascii="Times New Roman" w:hAnsi="Times New Roman"/>
                <w:sz w:val="16"/>
              </w:rPr>
              <w:t>угов</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23" w:hRule="exact"/>
        </w:trPr>
        <w:tc>
          <w:tcPr>
            <w:tcW w:w="626" w:type="dxa"/>
            <w:vMerge/>
            <w:tcBorders>
              <w:left w:val="single" w:sz="4" w:space="0" w:color="000000"/>
              <w:bottom w:val="single" w:sz="12" w:space="0" w:color="000000"/>
              <w:right w:val="single" w:sz="4" w:space="0" w:color="000000"/>
            </w:tcBorders>
          </w:tcPr>
          <w:p>
            <w:pPr/>
          </w:p>
        </w:tc>
        <w:tc>
          <w:tcPr>
            <w:tcW w:w="13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(2)</w:t>
            </w:r>
            <w:r>
              <w:rPr>
                <w:rFonts w:ascii="Times New Roman" w:hAnsi="Times New Roman"/>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99"/>
              <w:jc w:val="right"/>
              <w:rPr>
                <w:rFonts w:ascii="Times New Roman" w:hAnsi="Times New Roman" w:cs="Times New Roman" w:eastAsia="Times New Roman" w:hint="default"/>
                <w:sz w:val="16"/>
                <w:szCs w:val="16"/>
              </w:rPr>
            </w:pPr>
            <w:r>
              <w:rPr>
                <w:rFonts w:ascii="Times New Roman"/>
                <w:b/>
                <w:sz w:val="16"/>
              </w:rPr>
              <w:t>60</w:t>
            </w:r>
            <w:r>
              <w:rPr>
                <w:rFonts w:ascii="Times New Roman"/>
                <w:sz w:val="16"/>
              </w:rPr>
            </w:r>
          </w:p>
        </w:tc>
        <w:tc>
          <w:tcPr>
            <w:tcW w:w="95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200</w:t>
            </w:r>
            <w:r>
              <w:rPr>
                <w:rFonts w:ascii="Times New Roman"/>
                <w:spacing w:val="-1"/>
                <w:sz w:val="16"/>
              </w:rPr>
            </w:r>
          </w:p>
        </w:tc>
        <w:tc>
          <w:tcPr>
            <w:tcW w:w="74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-177</w:t>
            </w:r>
            <w:r>
              <w:rPr>
                <w:rFonts w:ascii="Times New Roman"/>
                <w:spacing w:val="-1"/>
                <w:sz w:val="16"/>
              </w:rPr>
            </w:r>
          </w:p>
        </w:tc>
        <w:tc>
          <w:tcPr>
            <w:tcW w:w="70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40"/>
              <w:jc w:val="right"/>
              <w:rPr>
                <w:rFonts w:ascii="Times New Roman" w:hAnsi="Times New Roman" w:cs="Times New Roman" w:eastAsia="Times New Roman" w:hint="default"/>
                <w:sz w:val="16"/>
                <w:szCs w:val="16"/>
              </w:rPr>
            </w:pPr>
            <w:r>
              <w:rPr>
                <w:rFonts w:ascii="Times New Roman"/>
                <w:b/>
                <w:w w:val="100"/>
                <w:sz w:val="16"/>
              </w:rPr>
              <w:t>6</w:t>
            </w:r>
            <w:r>
              <w:rPr>
                <w:rFonts w:ascii="Times New Roman"/>
                <w:w w:val="100"/>
                <w:sz w:val="16"/>
              </w:rPr>
            </w:r>
          </w:p>
        </w:tc>
        <w:tc>
          <w:tcPr>
            <w:tcW w:w="76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z w:val="16"/>
              </w:rPr>
              <w:t>21</w:t>
            </w:r>
            <w:r>
              <w:rPr>
                <w:rFonts w:ascii="Times New Roman"/>
                <w:sz w:val="16"/>
              </w:rPr>
            </w:r>
          </w:p>
        </w:tc>
        <w:tc>
          <w:tcPr>
            <w:tcW w:w="69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04" w:hRule="exact"/>
        </w:trPr>
        <w:tc>
          <w:tcPr>
            <w:tcW w:w="626" w:type="dxa"/>
            <w:vMerge w:val="restart"/>
            <w:tcBorders>
              <w:top w:val="single" w:sz="12"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
              <w:ind w:right="0"/>
              <w:jc w:val="left"/>
              <w:rPr>
                <w:rFonts w:ascii="Times New Roman" w:hAnsi="Times New Roman" w:cs="Times New Roman" w:eastAsia="Times New Roman" w:hint="default"/>
                <w:sz w:val="14"/>
                <w:szCs w:val="14"/>
              </w:rPr>
            </w:pPr>
          </w:p>
          <w:p>
            <w:pPr>
              <w:pStyle w:val="TableParagraph"/>
              <w:spacing w:line="240" w:lineRule="auto"/>
              <w:ind w:left="187" w:right="94"/>
              <w:jc w:val="left"/>
              <w:rPr>
                <w:rFonts w:ascii="Times New Roman" w:hAnsi="Times New Roman" w:cs="Times New Roman" w:eastAsia="Times New Roman" w:hint="default"/>
                <w:sz w:val="16"/>
                <w:szCs w:val="16"/>
              </w:rPr>
            </w:pPr>
            <w:r>
              <w:rPr>
                <w:rFonts w:ascii="Times New Roman"/>
                <w:sz w:val="16"/>
              </w:rPr>
              <w:t>416</w:t>
            </w:r>
          </w:p>
        </w:tc>
        <w:tc>
          <w:tcPr>
            <w:tcW w:w="1359"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hAnsi="Times New Roman"/>
                <w:sz w:val="16"/>
              </w:rPr>
              <w:t>Укупна</w:t>
            </w:r>
            <w:r>
              <w:rPr>
                <w:rFonts w:ascii="Times New Roman" w:hAnsi="Times New Roman"/>
                <w:spacing w:val="-5"/>
                <w:sz w:val="16"/>
              </w:rPr>
              <w:t> </w:t>
            </w:r>
            <w:r>
              <w:rPr>
                <w:rFonts w:ascii="Times New Roman" w:hAnsi="Times New Roman"/>
                <w:sz w:val="16"/>
              </w:rPr>
              <w:t>апроп</w:t>
            </w:r>
            <w:r>
              <w:rPr>
                <w:rFonts w:ascii="Times New Roman" w:hAnsi="Times New Roman"/>
                <w:sz w:val="16"/>
              </w:rPr>
              <w:t>.</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500</w:t>
            </w:r>
          </w:p>
        </w:tc>
        <w:tc>
          <w:tcPr>
            <w:tcW w:w="679"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158</w:t>
            </w:r>
          </w:p>
        </w:tc>
        <w:tc>
          <w:tcPr>
            <w:tcW w:w="927"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600</w:t>
            </w:r>
          </w:p>
        </w:tc>
        <w:tc>
          <w:tcPr>
            <w:tcW w:w="955"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800</w:t>
            </w:r>
          </w:p>
        </w:tc>
        <w:tc>
          <w:tcPr>
            <w:tcW w:w="986"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845</w:t>
            </w:r>
          </w:p>
        </w:tc>
        <w:tc>
          <w:tcPr>
            <w:tcW w:w="900"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241</w:t>
            </w:r>
          </w:p>
        </w:tc>
        <w:tc>
          <w:tcPr>
            <w:tcW w:w="759"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213</w:t>
            </w:r>
          </w:p>
        </w:tc>
        <w:tc>
          <w:tcPr>
            <w:tcW w:w="792"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12.000</w:t>
            </w:r>
          </w:p>
        </w:tc>
        <w:tc>
          <w:tcPr>
            <w:tcW w:w="747"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360</w:t>
            </w:r>
          </w:p>
        </w:tc>
        <w:tc>
          <w:tcPr>
            <w:tcW w:w="852"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383</w:t>
            </w:r>
          </w:p>
        </w:tc>
        <w:tc>
          <w:tcPr>
            <w:tcW w:w="761"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250</w:t>
            </w:r>
          </w:p>
        </w:tc>
        <w:tc>
          <w:tcPr>
            <w:tcW w:w="691"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550</w:t>
            </w:r>
          </w:p>
        </w:tc>
        <w:tc>
          <w:tcPr>
            <w:tcW w:w="785"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678</w:t>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left="103" w:right="0"/>
              <w:jc w:val="left"/>
              <w:rPr>
                <w:rFonts w:ascii="Times New Roman" w:hAnsi="Times New Roman" w:cs="Times New Roman" w:eastAsia="Times New Roman" w:hint="default"/>
                <w:sz w:val="16"/>
                <w:szCs w:val="16"/>
              </w:rPr>
            </w:pPr>
            <w:r>
              <w:rPr>
                <w:rFonts w:ascii="Times New Roman" w:hAnsi="Times New Roman"/>
                <w:sz w:val="16"/>
              </w:rPr>
              <w:t>Исказано</w:t>
            </w:r>
            <w:r>
              <w:rPr>
                <w:rFonts w:ascii="Times New Roman" w:hAnsi="Times New Roman"/>
                <w:spacing w:val="-5"/>
                <w:sz w:val="16"/>
              </w:rPr>
              <w:t> </w:t>
            </w:r>
            <w:r>
              <w:rPr>
                <w:rFonts w:ascii="Times New Roman" w:hAnsi="Times New Roman"/>
                <w:sz w:val="16"/>
              </w:rPr>
              <w:t>изврш</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134</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141</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576</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425</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256</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212</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10.260</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188</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364</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176</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483</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444</w:t>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(1)</w:t>
            </w:r>
            <w:r>
              <w:rPr>
                <w:rFonts w:ascii="Times New Roman" w:hAnsi="Times New Roman"/>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500</w:t>
            </w:r>
            <w:r>
              <w:rPr>
                <w:rFonts w:ascii="Times New Roman"/>
                <w:spacing w:val="-1"/>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z w:val="16"/>
              </w:rPr>
              <w:t>24</w:t>
            </w:r>
            <w:r>
              <w:rPr>
                <w:rFonts w:ascii="Times New Roman"/>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459</w:t>
            </w:r>
            <w:r>
              <w:rPr>
                <w:rFonts w:ascii="Times New Roman"/>
                <w:spacing w:val="-1"/>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224</w:t>
            </w:r>
            <w:r>
              <w:rPr>
                <w:rFonts w:ascii="Times New Roman"/>
                <w:spacing w:val="-1"/>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420</w:t>
            </w:r>
            <w:r>
              <w:rPr>
                <w:rFonts w:ascii="Times New Roman"/>
                <w:spacing w:val="-1"/>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z w:val="16"/>
              </w:rPr>
              <w:t>-15</w:t>
            </w:r>
            <w:r>
              <w:rPr>
                <w:rFonts w:ascii="Times New Roman"/>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w w:val="100"/>
                <w:sz w:val="16"/>
              </w:rPr>
              <w:t>1</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1.740</w:t>
            </w:r>
            <w:r>
              <w:rPr>
                <w:rFonts w:ascii="Times New Roman"/>
                <w:spacing w:val="-1"/>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172</w:t>
            </w:r>
            <w:r>
              <w:rPr>
                <w:rFonts w:ascii="Times New Roman"/>
                <w:spacing w:val="-1"/>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98"/>
              <w:jc w:val="right"/>
              <w:rPr>
                <w:rFonts w:ascii="Times New Roman" w:hAnsi="Times New Roman" w:cs="Times New Roman" w:eastAsia="Times New Roman" w:hint="default"/>
                <w:sz w:val="16"/>
                <w:szCs w:val="16"/>
              </w:rPr>
            </w:pPr>
            <w:r>
              <w:rPr>
                <w:rFonts w:ascii="Times New Roman"/>
                <w:b/>
                <w:sz w:val="16"/>
              </w:rPr>
              <w:t>19</w:t>
            </w:r>
            <w:r>
              <w:rPr>
                <w:rFonts w:ascii="Times New Roman"/>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z w:val="16"/>
              </w:rPr>
              <w:t>74</w:t>
            </w:r>
            <w:r>
              <w:rPr>
                <w:rFonts w:ascii="Times New Roman"/>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z w:val="16"/>
              </w:rPr>
              <w:t>67</w:t>
            </w:r>
            <w:r>
              <w:rPr>
                <w:rFonts w:ascii="Times New Roman"/>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234</w:t>
            </w:r>
            <w:r>
              <w:rPr>
                <w:rFonts w:ascii="Times New Roman"/>
                <w:spacing w:val="-1"/>
                <w:sz w:val="16"/>
              </w:rPr>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3"/>
                <w:sz w:val="16"/>
              </w:rPr>
              <w:t> </w:t>
            </w:r>
            <w:r>
              <w:rPr>
                <w:rFonts w:ascii="Times New Roman" w:hAnsi="Times New Roman"/>
                <w:sz w:val="16"/>
              </w:rPr>
              <w:t>рач</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sz w:val="16"/>
              </w:rPr>
              <w:t>32</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1.104</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404</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278</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181</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1.724</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296</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w w:val="100"/>
                <w:sz w:val="16"/>
              </w:rPr>
              <w:t>-</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sz w:val="16"/>
              </w:rPr>
              <w:t>81</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16"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7"/>
                <w:sz w:val="16"/>
              </w:rPr>
              <w:t> </w:t>
            </w:r>
            <w:r>
              <w:rPr>
                <w:rFonts w:ascii="Times New Roman" w:hAnsi="Times New Roman"/>
                <w:sz w:val="16"/>
              </w:rPr>
              <w:t>угов</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23" w:hRule="exact"/>
        </w:trPr>
        <w:tc>
          <w:tcPr>
            <w:tcW w:w="626" w:type="dxa"/>
            <w:vMerge/>
            <w:tcBorders>
              <w:left w:val="single" w:sz="4" w:space="0" w:color="000000"/>
              <w:bottom w:val="single" w:sz="12" w:space="0" w:color="000000"/>
              <w:right w:val="single" w:sz="4" w:space="0" w:color="000000"/>
            </w:tcBorders>
          </w:tcPr>
          <w:p>
            <w:pPr/>
          </w:p>
        </w:tc>
        <w:tc>
          <w:tcPr>
            <w:tcW w:w="13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(2)</w:t>
            </w:r>
            <w:r>
              <w:rPr>
                <w:rFonts w:ascii="Times New Roman" w:hAnsi="Times New Roman"/>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468</w:t>
            </w:r>
            <w:r>
              <w:rPr>
                <w:rFonts w:ascii="Times New Roman"/>
                <w:spacing w:val="-1"/>
                <w:sz w:val="16"/>
              </w:rPr>
            </w:r>
          </w:p>
        </w:tc>
        <w:tc>
          <w:tcPr>
            <w:tcW w:w="67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z w:val="16"/>
              </w:rPr>
              <w:t>24</w:t>
            </w:r>
            <w:r>
              <w:rPr>
                <w:rFonts w:ascii="Times New Roman"/>
                <w:sz w:val="16"/>
              </w:rPr>
            </w:r>
          </w:p>
        </w:tc>
        <w:tc>
          <w:tcPr>
            <w:tcW w:w="92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-645</w:t>
            </w:r>
            <w:r>
              <w:rPr>
                <w:rFonts w:ascii="Times New Roman"/>
                <w:spacing w:val="-1"/>
                <w:sz w:val="16"/>
              </w:rPr>
            </w:r>
          </w:p>
        </w:tc>
        <w:tc>
          <w:tcPr>
            <w:tcW w:w="95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-180</w:t>
            </w:r>
            <w:r>
              <w:rPr>
                <w:rFonts w:ascii="Times New Roman"/>
                <w:spacing w:val="-1"/>
                <w:sz w:val="16"/>
              </w:rPr>
            </w:r>
          </w:p>
        </w:tc>
        <w:tc>
          <w:tcPr>
            <w:tcW w:w="98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142</w:t>
            </w:r>
            <w:r>
              <w:rPr>
                <w:rFonts w:ascii="Times New Roman"/>
                <w:spacing w:val="-1"/>
                <w:sz w:val="16"/>
              </w:rPr>
            </w:r>
          </w:p>
        </w:tc>
        <w:tc>
          <w:tcPr>
            <w:tcW w:w="900"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-196</w:t>
            </w:r>
            <w:r>
              <w:rPr>
                <w:rFonts w:ascii="Times New Roman"/>
                <w:spacing w:val="-1"/>
                <w:sz w:val="16"/>
              </w:rPr>
            </w:r>
          </w:p>
        </w:tc>
        <w:tc>
          <w:tcPr>
            <w:tcW w:w="7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w w:val="100"/>
                <w:sz w:val="16"/>
              </w:rPr>
              <w:t>1</w:t>
            </w:r>
            <w:r>
              <w:rPr>
                <w:rFonts w:ascii="Times New Roman"/>
                <w:w w:val="100"/>
                <w:sz w:val="16"/>
              </w:rPr>
            </w:r>
          </w:p>
        </w:tc>
        <w:tc>
          <w:tcPr>
            <w:tcW w:w="79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z w:val="16"/>
              </w:rPr>
              <w:t>16</w:t>
            </w:r>
            <w:r>
              <w:rPr>
                <w:rFonts w:ascii="Times New Roman"/>
                <w:sz w:val="16"/>
              </w:rPr>
            </w:r>
          </w:p>
        </w:tc>
        <w:tc>
          <w:tcPr>
            <w:tcW w:w="74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-124</w:t>
            </w:r>
            <w:r>
              <w:rPr>
                <w:rFonts w:ascii="Times New Roman"/>
                <w:spacing w:val="-1"/>
                <w:sz w:val="16"/>
              </w:rPr>
            </w:r>
          </w:p>
        </w:tc>
        <w:tc>
          <w:tcPr>
            <w:tcW w:w="85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pacing w:val="-3"/>
                <w:sz w:val="16"/>
              </w:rPr>
              <w:t>19</w:t>
            </w:r>
            <w:r>
              <w:rPr>
                <w:rFonts w:ascii="Times New Roman"/>
                <w:sz w:val="16"/>
              </w:rPr>
            </w:r>
          </w:p>
        </w:tc>
        <w:tc>
          <w:tcPr>
            <w:tcW w:w="76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z w:val="16"/>
              </w:rPr>
              <w:t>74</w:t>
            </w:r>
            <w:r>
              <w:rPr>
                <w:rFonts w:ascii="Times New Roman"/>
                <w:sz w:val="16"/>
              </w:rPr>
            </w:r>
          </w:p>
        </w:tc>
        <w:tc>
          <w:tcPr>
            <w:tcW w:w="69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z w:val="16"/>
              </w:rPr>
              <w:t>-14</w:t>
            </w:r>
            <w:r>
              <w:rPr>
                <w:rFonts w:ascii="Times New Roman"/>
                <w:sz w:val="16"/>
              </w:rPr>
            </w:r>
          </w:p>
        </w:tc>
        <w:tc>
          <w:tcPr>
            <w:tcW w:w="78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234</w:t>
            </w:r>
            <w:r>
              <w:rPr>
                <w:rFonts w:ascii="Times New Roman"/>
                <w:spacing w:val="-1"/>
                <w:sz w:val="16"/>
              </w:rPr>
            </w:r>
          </w:p>
        </w:tc>
      </w:tr>
      <w:tr>
        <w:trPr>
          <w:trHeight w:val="226" w:hRule="exact"/>
        </w:trPr>
        <w:tc>
          <w:tcPr>
            <w:tcW w:w="626" w:type="dxa"/>
            <w:vMerge w:val="restart"/>
            <w:tcBorders>
              <w:top w:val="single" w:sz="12"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42"/>
              <w:ind w:left="187" w:right="94"/>
              <w:jc w:val="left"/>
              <w:rPr>
                <w:rFonts w:ascii="Times New Roman" w:hAnsi="Times New Roman" w:cs="Times New Roman" w:eastAsia="Times New Roman" w:hint="default"/>
                <w:sz w:val="16"/>
                <w:szCs w:val="16"/>
              </w:rPr>
            </w:pPr>
            <w:r>
              <w:rPr>
                <w:rFonts w:ascii="Times New Roman"/>
                <w:sz w:val="16"/>
              </w:rPr>
              <w:t>421</w:t>
            </w:r>
          </w:p>
        </w:tc>
        <w:tc>
          <w:tcPr>
            <w:tcW w:w="135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sz w:val="16"/>
              </w:rPr>
              <w:t>Укупна</w:t>
            </w:r>
            <w:r>
              <w:rPr>
                <w:rFonts w:ascii="Times New Roman" w:hAnsi="Times New Roman"/>
                <w:spacing w:val="-5"/>
                <w:sz w:val="16"/>
              </w:rPr>
              <w:t> </w:t>
            </w:r>
            <w:r>
              <w:rPr>
                <w:rFonts w:ascii="Times New Roman" w:hAnsi="Times New Roman"/>
                <w:sz w:val="16"/>
              </w:rPr>
              <w:t>апроп</w:t>
            </w:r>
            <w:r>
              <w:rPr>
                <w:rFonts w:ascii="Times New Roman" w:hAnsi="Times New Roman"/>
                <w:sz w:val="16"/>
              </w:rPr>
              <w:t>.</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1.920</w:t>
            </w:r>
          </w:p>
        </w:tc>
        <w:tc>
          <w:tcPr>
            <w:tcW w:w="67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1.309</w:t>
            </w:r>
          </w:p>
        </w:tc>
        <w:tc>
          <w:tcPr>
            <w:tcW w:w="92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10.000</w:t>
            </w:r>
          </w:p>
        </w:tc>
        <w:tc>
          <w:tcPr>
            <w:tcW w:w="95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10.110</w:t>
            </w:r>
          </w:p>
        </w:tc>
        <w:tc>
          <w:tcPr>
            <w:tcW w:w="986"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4.878</w:t>
            </w:r>
          </w:p>
        </w:tc>
        <w:tc>
          <w:tcPr>
            <w:tcW w:w="900"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3.113</w:t>
            </w:r>
          </w:p>
        </w:tc>
        <w:tc>
          <w:tcPr>
            <w:tcW w:w="75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1.600</w:t>
            </w:r>
          </w:p>
        </w:tc>
        <w:tc>
          <w:tcPr>
            <w:tcW w:w="79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810</w:t>
            </w:r>
          </w:p>
        </w:tc>
        <w:tc>
          <w:tcPr>
            <w:tcW w:w="82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90.880</w:t>
            </w:r>
          </w:p>
        </w:tc>
        <w:tc>
          <w:tcPr>
            <w:tcW w:w="74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97.779</w:t>
            </w:r>
          </w:p>
        </w:tc>
        <w:tc>
          <w:tcPr>
            <w:tcW w:w="708"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9.780</w:t>
            </w:r>
          </w:p>
        </w:tc>
        <w:tc>
          <w:tcPr>
            <w:tcW w:w="85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2.562</w:t>
            </w:r>
          </w:p>
        </w:tc>
        <w:tc>
          <w:tcPr>
            <w:tcW w:w="76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3.600</w:t>
            </w:r>
          </w:p>
        </w:tc>
        <w:tc>
          <w:tcPr>
            <w:tcW w:w="816"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6"/>
              <w:ind w:right="103"/>
              <w:jc w:val="right"/>
              <w:rPr>
                <w:rFonts w:ascii="Times New Roman" w:hAnsi="Times New Roman" w:cs="Times New Roman" w:eastAsia="Times New Roman" w:hint="default"/>
                <w:sz w:val="16"/>
                <w:szCs w:val="16"/>
              </w:rPr>
            </w:pPr>
            <w:r>
              <w:rPr>
                <w:rFonts w:ascii="Times New Roman"/>
                <w:spacing w:val="-1"/>
                <w:sz w:val="16"/>
              </w:rPr>
              <w:t>4.753</w:t>
            </w:r>
          </w:p>
        </w:tc>
        <w:tc>
          <w:tcPr>
            <w:tcW w:w="69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6.750</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4.735</w:t>
            </w:r>
          </w:p>
        </w:tc>
        <w:tc>
          <w:tcPr>
            <w:tcW w:w="78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6.057</w:t>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left="103" w:right="0"/>
              <w:jc w:val="left"/>
              <w:rPr>
                <w:rFonts w:ascii="Times New Roman" w:hAnsi="Times New Roman" w:cs="Times New Roman" w:eastAsia="Times New Roman" w:hint="default"/>
                <w:sz w:val="16"/>
                <w:szCs w:val="16"/>
              </w:rPr>
            </w:pPr>
            <w:r>
              <w:rPr>
                <w:rFonts w:ascii="Times New Roman" w:hAnsi="Times New Roman"/>
                <w:sz w:val="16"/>
              </w:rPr>
              <w:t>Исказано</w:t>
            </w:r>
            <w:r>
              <w:rPr>
                <w:rFonts w:ascii="Times New Roman" w:hAnsi="Times New Roman"/>
                <w:spacing w:val="-5"/>
                <w:sz w:val="16"/>
              </w:rPr>
              <w:t> </w:t>
            </w:r>
            <w:r>
              <w:rPr>
                <w:rFonts w:ascii="Times New Roman" w:hAnsi="Times New Roman"/>
                <w:sz w:val="16"/>
              </w:rPr>
              <w:t>изврш</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1.026</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916</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6.742</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4.873</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1.884</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1.197</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567</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478</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57.055</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65.322</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6.560</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2.379</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2.965</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3"/>
              <w:jc w:val="right"/>
              <w:rPr>
                <w:rFonts w:ascii="Times New Roman" w:hAnsi="Times New Roman" w:cs="Times New Roman" w:eastAsia="Times New Roman" w:hint="default"/>
                <w:sz w:val="16"/>
                <w:szCs w:val="16"/>
              </w:rPr>
            </w:pPr>
            <w:r>
              <w:rPr>
                <w:rFonts w:ascii="Times New Roman"/>
                <w:spacing w:val="-1"/>
                <w:sz w:val="16"/>
              </w:rPr>
              <w:t>2.445</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1.123</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2.865</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1.894</w:t>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(1)</w:t>
            </w:r>
            <w:r>
              <w:rPr>
                <w:rFonts w:ascii="Times New Roman" w:hAnsi="Times New Roman"/>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894</w:t>
            </w:r>
            <w:r>
              <w:rPr>
                <w:rFonts w:ascii="Times New Roman"/>
                <w:spacing w:val="-1"/>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393</w:t>
            </w:r>
            <w:r>
              <w:rPr>
                <w:rFonts w:ascii="Times New Roman"/>
                <w:spacing w:val="-1"/>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3.258</w:t>
            </w:r>
            <w:r>
              <w:rPr>
                <w:rFonts w:ascii="Times New Roman"/>
                <w:spacing w:val="-1"/>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5.237</w:t>
            </w:r>
            <w:r>
              <w:rPr>
                <w:rFonts w:ascii="Times New Roman"/>
                <w:spacing w:val="-1"/>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2.994</w:t>
            </w:r>
            <w:r>
              <w:rPr>
                <w:rFonts w:ascii="Times New Roman"/>
                <w:spacing w:val="-1"/>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1.916</w:t>
            </w:r>
            <w:r>
              <w:rPr>
                <w:rFonts w:ascii="Times New Roman"/>
                <w:spacing w:val="-1"/>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1.033</w:t>
            </w:r>
            <w:r>
              <w:rPr>
                <w:rFonts w:ascii="Times New Roman"/>
                <w:spacing w:val="-1"/>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332</w:t>
            </w:r>
            <w:r>
              <w:rPr>
                <w:rFonts w:ascii="Times New Roman"/>
                <w:spacing w:val="-1"/>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33.825</w:t>
            </w:r>
            <w:r>
              <w:rPr>
                <w:rFonts w:ascii="Times New Roman"/>
                <w:spacing w:val="-1"/>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32.457</w:t>
            </w:r>
            <w:r>
              <w:rPr>
                <w:rFonts w:ascii="Times New Roman"/>
                <w:spacing w:val="-1"/>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3.220</w:t>
            </w:r>
            <w:r>
              <w:rPr>
                <w:rFonts w:ascii="Times New Roman"/>
                <w:spacing w:val="-1"/>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183</w:t>
            </w:r>
            <w:r>
              <w:rPr>
                <w:rFonts w:ascii="Times New Roman"/>
                <w:spacing w:val="-1"/>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635</w:t>
            </w:r>
            <w:r>
              <w:rPr>
                <w:rFonts w:ascii="Times New Roman"/>
                <w:spacing w:val="-1"/>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3"/>
              <w:jc w:val="right"/>
              <w:rPr>
                <w:rFonts w:ascii="Times New Roman" w:hAnsi="Times New Roman" w:cs="Times New Roman" w:eastAsia="Times New Roman" w:hint="default"/>
                <w:sz w:val="16"/>
                <w:szCs w:val="16"/>
              </w:rPr>
            </w:pPr>
            <w:r>
              <w:rPr>
                <w:rFonts w:ascii="Times New Roman"/>
                <w:b/>
                <w:spacing w:val="-1"/>
                <w:sz w:val="16"/>
              </w:rPr>
              <w:t>2.308</w:t>
            </w:r>
            <w:r>
              <w:rPr>
                <w:rFonts w:ascii="Times New Roman"/>
                <w:spacing w:val="-1"/>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5.627</w:t>
            </w:r>
            <w:r>
              <w:rPr>
                <w:rFonts w:ascii="Times New Roman"/>
                <w:spacing w:val="-1"/>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1.870</w:t>
            </w:r>
            <w:r>
              <w:rPr>
                <w:rFonts w:ascii="Times New Roman"/>
                <w:spacing w:val="-1"/>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4.163</w:t>
            </w:r>
            <w:r>
              <w:rPr>
                <w:rFonts w:ascii="Times New Roman"/>
                <w:spacing w:val="-1"/>
                <w:sz w:val="16"/>
              </w:rPr>
            </w:r>
          </w:p>
        </w:tc>
      </w:tr>
      <w:tr>
        <w:trPr>
          <w:trHeight w:val="216" w:hRule="exact"/>
        </w:trPr>
        <w:tc>
          <w:tcPr>
            <w:tcW w:w="626" w:type="dxa"/>
            <w:vMerge/>
            <w:tcBorders>
              <w:left w:val="single" w:sz="4" w:space="0" w:color="000000"/>
              <w:bottom w:val="single" w:sz="12"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3"/>
                <w:sz w:val="16"/>
              </w:rPr>
              <w:t> </w:t>
            </w:r>
            <w:r>
              <w:rPr>
                <w:rFonts w:ascii="Times New Roman" w:hAnsi="Times New Roman"/>
                <w:sz w:val="16"/>
              </w:rPr>
              <w:t>рач</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298</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5.164</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5.838</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2.733</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1.679</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1.260</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473</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65.438</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69.911</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3.779</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164</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252</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3"/>
              <w:jc w:val="right"/>
              <w:rPr>
                <w:rFonts w:ascii="Times New Roman" w:hAnsi="Times New Roman" w:cs="Times New Roman" w:eastAsia="Times New Roman" w:hint="default"/>
                <w:sz w:val="16"/>
                <w:szCs w:val="16"/>
              </w:rPr>
            </w:pPr>
            <w:r>
              <w:rPr>
                <w:rFonts w:ascii="Times New Roman"/>
                <w:spacing w:val="-1"/>
                <w:sz w:val="16"/>
              </w:rPr>
              <w:t>2.188</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2.974</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1.745</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3.732</w:t>
            </w:r>
          </w:p>
        </w:tc>
      </w:tr>
    </w:tbl>
    <w:p>
      <w:pPr>
        <w:spacing w:after="0" w:line="240" w:lineRule="auto"/>
        <w:jc w:val="right"/>
        <w:rPr>
          <w:rFonts w:ascii="Times New Roman" w:hAnsi="Times New Roman" w:cs="Times New Roman" w:eastAsia="Times New Roman" w:hint="default"/>
          <w:sz w:val="16"/>
          <w:szCs w:val="16"/>
        </w:rPr>
        <w:sectPr>
          <w:headerReference w:type="default" r:id="rId94"/>
          <w:footerReference w:type="default" r:id="rId95"/>
          <w:pgSz w:w="15840" w:h="12240" w:orient="landscape"/>
          <w:pgMar w:header="740" w:footer="1014" w:top="1280" w:bottom="1200" w:left="160" w:right="0"/>
        </w:sectPr>
      </w:pPr>
    </w:p>
    <w:p>
      <w:pPr>
        <w:spacing w:line="240" w:lineRule="auto" w:before="7"/>
        <w:rPr>
          <w:rFonts w:ascii="Times New Roman" w:hAnsi="Times New Roman" w:cs="Times New Roman" w:eastAsia="Times New Roman" w:hint="default"/>
          <w:sz w:val="23"/>
          <w:szCs w:val="23"/>
        </w:rPr>
      </w:pPr>
    </w:p>
    <w:tbl>
      <w:tblPr>
        <w:tblW w:w="0" w:type="auto"/>
        <w:jc w:val="left"/>
        <w:tblInd w:w="118" w:type="dxa"/>
        <w:tblLayout w:type="fixed"/>
        <w:tblCellMar>
          <w:top w:w="0" w:type="dxa"/>
          <w:left w:w="0" w:type="dxa"/>
          <w:bottom w:w="0" w:type="dxa"/>
          <w:right w:w="0" w:type="dxa"/>
        </w:tblCellMar>
        <w:tblLook w:val="01E0"/>
      </w:tblPr>
      <w:tblGrid>
        <w:gridCol w:w="626"/>
        <w:gridCol w:w="1359"/>
        <w:gridCol w:w="658"/>
        <w:gridCol w:w="679"/>
        <w:gridCol w:w="927"/>
        <w:gridCol w:w="955"/>
        <w:gridCol w:w="986"/>
        <w:gridCol w:w="900"/>
        <w:gridCol w:w="759"/>
        <w:gridCol w:w="792"/>
        <w:gridCol w:w="821"/>
        <w:gridCol w:w="747"/>
        <w:gridCol w:w="708"/>
        <w:gridCol w:w="852"/>
        <w:gridCol w:w="761"/>
        <w:gridCol w:w="816"/>
        <w:gridCol w:w="691"/>
        <w:gridCol w:w="658"/>
        <w:gridCol w:w="785"/>
      </w:tblGrid>
      <w:tr>
        <w:trPr>
          <w:trHeight w:val="192" w:hRule="exact"/>
        </w:trPr>
        <w:tc>
          <w:tcPr>
            <w:tcW w:w="626" w:type="dxa"/>
            <w:vMerge w:val="restart"/>
            <w:tcBorders>
              <w:top w:val="single" w:sz="4" w:space="0" w:color="000000"/>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7"/>
                <w:sz w:val="16"/>
              </w:rPr>
              <w:t> </w:t>
            </w:r>
            <w:r>
              <w:rPr>
                <w:rFonts w:ascii="Times New Roman" w:hAnsi="Times New Roman"/>
                <w:sz w:val="16"/>
              </w:rPr>
              <w:t>угов</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62" w:hRule="exact"/>
        </w:trPr>
        <w:tc>
          <w:tcPr>
            <w:tcW w:w="626" w:type="dxa"/>
            <w:vMerge/>
            <w:tcBorders>
              <w:left w:val="single" w:sz="4" w:space="0" w:color="000000"/>
              <w:bottom w:val="single" w:sz="12" w:space="0" w:color="000000"/>
              <w:right w:val="single" w:sz="4" w:space="0" w:color="000000"/>
            </w:tcBorders>
          </w:tcPr>
          <w:p>
            <w:pPr/>
          </w:p>
        </w:tc>
        <w:tc>
          <w:tcPr>
            <w:tcW w:w="13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57"/>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(2)</w:t>
            </w:r>
            <w:r>
              <w:rPr>
                <w:rFonts w:ascii="Times New Roman" w:hAnsi="Times New Roman"/>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57"/>
              <w:ind w:right="102"/>
              <w:jc w:val="right"/>
              <w:rPr>
                <w:rFonts w:ascii="Times New Roman" w:hAnsi="Times New Roman" w:cs="Times New Roman" w:eastAsia="Times New Roman" w:hint="default"/>
                <w:sz w:val="16"/>
                <w:szCs w:val="16"/>
              </w:rPr>
            </w:pPr>
            <w:r>
              <w:rPr>
                <w:rFonts w:ascii="Times New Roman"/>
                <w:b/>
                <w:spacing w:val="-1"/>
                <w:sz w:val="16"/>
              </w:rPr>
              <w:t>894</w:t>
            </w:r>
            <w:r>
              <w:rPr>
                <w:rFonts w:ascii="Times New Roman"/>
                <w:spacing w:val="-1"/>
                <w:sz w:val="16"/>
              </w:rPr>
            </w:r>
          </w:p>
        </w:tc>
        <w:tc>
          <w:tcPr>
            <w:tcW w:w="67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57"/>
              <w:ind w:right="101"/>
              <w:jc w:val="right"/>
              <w:rPr>
                <w:rFonts w:ascii="Times New Roman" w:hAnsi="Times New Roman" w:cs="Times New Roman" w:eastAsia="Times New Roman" w:hint="default"/>
                <w:sz w:val="16"/>
                <w:szCs w:val="16"/>
              </w:rPr>
            </w:pPr>
            <w:r>
              <w:rPr>
                <w:rFonts w:ascii="Times New Roman"/>
                <w:b/>
                <w:sz w:val="16"/>
              </w:rPr>
              <w:t>95</w:t>
            </w:r>
            <w:r>
              <w:rPr>
                <w:rFonts w:ascii="Times New Roman"/>
                <w:sz w:val="16"/>
              </w:rPr>
            </w:r>
          </w:p>
        </w:tc>
        <w:tc>
          <w:tcPr>
            <w:tcW w:w="92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57"/>
              <w:ind w:right="100"/>
              <w:jc w:val="right"/>
              <w:rPr>
                <w:rFonts w:ascii="Times New Roman" w:hAnsi="Times New Roman" w:cs="Times New Roman" w:eastAsia="Times New Roman" w:hint="default"/>
                <w:sz w:val="16"/>
                <w:szCs w:val="16"/>
              </w:rPr>
            </w:pPr>
            <w:r>
              <w:rPr>
                <w:rFonts w:ascii="Times New Roman"/>
                <w:b/>
                <w:spacing w:val="-1"/>
                <w:sz w:val="16"/>
              </w:rPr>
              <w:t>-1.906</w:t>
            </w:r>
            <w:r>
              <w:rPr>
                <w:rFonts w:ascii="Times New Roman"/>
                <w:spacing w:val="-1"/>
                <w:sz w:val="16"/>
              </w:rPr>
            </w:r>
          </w:p>
        </w:tc>
        <w:tc>
          <w:tcPr>
            <w:tcW w:w="95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57"/>
              <w:ind w:right="100"/>
              <w:jc w:val="right"/>
              <w:rPr>
                <w:rFonts w:ascii="Times New Roman" w:hAnsi="Times New Roman" w:cs="Times New Roman" w:eastAsia="Times New Roman" w:hint="default"/>
                <w:sz w:val="16"/>
                <w:szCs w:val="16"/>
              </w:rPr>
            </w:pPr>
            <w:r>
              <w:rPr>
                <w:rFonts w:ascii="Times New Roman"/>
                <w:b/>
                <w:spacing w:val="-1"/>
                <w:sz w:val="16"/>
              </w:rPr>
              <w:t>-601</w:t>
            </w:r>
            <w:r>
              <w:rPr>
                <w:rFonts w:ascii="Times New Roman"/>
                <w:spacing w:val="-1"/>
                <w:sz w:val="16"/>
              </w:rPr>
            </w:r>
          </w:p>
        </w:tc>
        <w:tc>
          <w:tcPr>
            <w:tcW w:w="98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57"/>
              <w:ind w:right="102"/>
              <w:jc w:val="right"/>
              <w:rPr>
                <w:rFonts w:ascii="Times New Roman" w:hAnsi="Times New Roman" w:cs="Times New Roman" w:eastAsia="Times New Roman" w:hint="default"/>
                <w:sz w:val="16"/>
                <w:szCs w:val="16"/>
              </w:rPr>
            </w:pPr>
            <w:r>
              <w:rPr>
                <w:rFonts w:ascii="Times New Roman"/>
                <w:b/>
                <w:spacing w:val="-1"/>
                <w:sz w:val="16"/>
              </w:rPr>
              <w:t>261</w:t>
            </w:r>
            <w:r>
              <w:rPr>
                <w:rFonts w:ascii="Times New Roman"/>
                <w:spacing w:val="-1"/>
                <w:sz w:val="16"/>
              </w:rPr>
            </w:r>
          </w:p>
        </w:tc>
        <w:tc>
          <w:tcPr>
            <w:tcW w:w="900"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57"/>
              <w:ind w:right="102"/>
              <w:jc w:val="right"/>
              <w:rPr>
                <w:rFonts w:ascii="Times New Roman" w:hAnsi="Times New Roman" w:cs="Times New Roman" w:eastAsia="Times New Roman" w:hint="default"/>
                <w:sz w:val="16"/>
                <w:szCs w:val="16"/>
              </w:rPr>
            </w:pPr>
            <w:r>
              <w:rPr>
                <w:rFonts w:ascii="Times New Roman"/>
                <w:b/>
                <w:spacing w:val="-1"/>
                <w:sz w:val="16"/>
              </w:rPr>
              <w:t>237</w:t>
            </w:r>
            <w:r>
              <w:rPr>
                <w:rFonts w:ascii="Times New Roman"/>
                <w:spacing w:val="-1"/>
                <w:sz w:val="16"/>
              </w:rPr>
            </w:r>
          </w:p>
        </w:tc>
        <w:tc>
          <w:tcPr>
            <w:tcW w:w="7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57"/>
              <w:ind w:right="100"/>
              <w:jc w:val="right"/>
              <w:rPr>
                <w:rFonts w:ascii="Times New Roman" w:hAnsi="Times New Roman" w:cs="Times New Roman" w:eastAsia="Times New Roman" w:hint="default"/>
                <w:sz w:val="16"/>
                <w:szCs w:val="16"/>
              </w:rPr>
            </w:pPr>
            <w:r>
              <w:rPr>
                <w:rFonts w:ascii="Times New Roman"/>
                <w:b/>
                <w:spacing w:val="-1"/>
                <w:sz w:val="16"/>
              </w:rPr>
              <w:t>-227</w:t>
            </w:r>
            <w:r>
              <w:rPr>
                <w:rFonts w:ascii="Times New Roman"/>
                <w:spacing w:val="-1"/>
                <w:sz w:val="16"/>
              </w:rPr>
            </w:r>
          </w:p>
        </w:tc>
        <w:tc>
          <w:tcPr>
            <w:tcW w:w="79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57"/>
              <w:ind w:right="100"/>
              <w:jc w:val="right"/>
              <w:rPr>
                <w:rFonts w:ascii="Times New Roman" w:hAnsi="Times New Roman" w:cs="Times New Roman" w:eastAsia="Times New Roman" w:hint="default"/>
                <w:sz w:val="16"/>
                <w:szCs w:val="16"/>
              </w:rPr>
            </w:pPr>
            <w:r>
              <w:rPr>
                <w:rFonts w:ascii="Times New Roman"/>
                <w:b/>
                <w:spacing w:val="-1"/>
                <w:sz w:val="16"/>
              </w:rPr>
              <w:t>-141</w:t>
            </w:r>
            <w:r>
              <w:rPr>
                <w:rFonts w:ascii="Times New Roman"/>
                <w:spacing w:val="-1"/>
                <w:sz w:val="16"/>
              </w:rPr>
            </w:r>
          </w:p>
        </w:tc>
        <w:tc>
          <w:tcPr>
            <w:tcW w:w="82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57"/>
              <w:ind w:right="104"/>
              <w:jc w:val="right"/>
              <w:rPr>
                <w:rFonts w:ascii="Times New Roman" w:hAnsi="Times New Roman" w:cs="Times New Roman" w:eastAsia="Times New Roman" w:hint="default"/>
                <w:sz w:val="16"/>
                <w:szCs w:val="16"/>
              </w:rPr>
            </w:pPr>
            <w:r>
              <w:rPr>
                <w:rFonts w:ascii="Times New Roman"/>
                <w:b/>
                <w:spacing w:val="-1"/>
                <w:sz w:val="16"/>
              </w:rPr>
              <w:t>-31.613</w:t>
            </w:r>
            <w:r>
              <w:rPr>
                <w:rFonts w:ascii="Times New Roman"/>
                <w:spacing w:val="-1"/>
                <w:sz w:val="16"/>
              </w:rPr>
            </w:r>
          </w:p>
        </w:tc>
        <w:tc>
          <w:tcPr>
            <w:tcW w:w="74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57"/>
              <w:ind w:right="101"/>
              <w:jc w:val="right"/>
              <w:rPr>
                <w:rFonts w:ascii="Times New Roman" w:hAnsi="Times New Roman" w:cs="Times New Roman" w:eastAsia="Times New Roman" w:hint="default"/>
                <w:sz w:val="16"/>
                <w:szCs w:val="16"/>
              </w:rPr>
            </w:pPr>
            <w:r>
              <w:rPr>
                <w:rFonts w:ascii="Times New Roman"/>
                <w:b/>
                <w:spacing w:val="-1"/>
                <w:sz w:val="16"/>
              </w:rPr>
              <w:t>-37.454</w:t>
            </w:r>
            <w:r>
              <w:rPr>
                <w:rFonts w:ascii="Times New Roman"/>
                <w:spacing w:val="-1"/>
                <w:sz w:val="16"/>
              </w:rPr>
            </w:r>
          </w:p>
        </w:tc>
        <w:tc>
          <w:tcPr>
            <w:tcW w:w="70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-559</w:t>
            </w:r>
            <w:r>
              <w:rPr>
                <w:rFonts w:ascii="Times New Roman"/>
                <w:spacing w:val="-1"/>
                <w:sz w:val="16"/>
              </w:rPr>
            </w:r>
          </w:p>
        </w:tc>
        <w:tc>
          <w:tcPr>
            <w:tcW w:w="85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57"/>
              <w:ind w:right="98"/>
              <w:jc w:val="right"/>
              <w:rPr>
                <w:rFonts w:ascii="Times New Roman" w:hAnsi="Times New Roman" w:cs="Times New Roman" w:eastAsia="Times New Roman" w:hint="default"/>
                <w:sz w:val="16"/>
                <w:szCs w:val="16"/>
              </w:rPr>
            </w:pPr>
            <w:r>
              <w:rPr>
                <w:rFonts w:ascii="Times New Roman"/>
                <w:b/>
                <w:sz w:val="16"/>
              </w:rPr>
              <w:t>19</w:t>
            </w:r>
            <w:r>
              <w:rPr>
                <w:rFonts w:ascii="Times New Roman"/>
                <w:sz w:val="16"/>
              </w:rPr>
            </w:r>
          </w:p>
        </w:tc>
        <w:tc>
          <w:tcPr>
            <w:tcW w:w="76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57"/>
              <w:ind w:right="102"/>
              <w:jc w:val="right"/>
              <w:rPr>
                <w:rFonts w:ascii="Times New Roman" w:hAnsi="Times New Roman" w:cs="Times New Roman" w:eastAsia="Times New Roman" w:hint="default"/>
                <w:sz w:val="16"/>
                <w:szCs w:val="16"/>
              </w:rPr>
            </w:pPr>
            <w:r>
              <w:rPr>
                <w:rFonts w:ascii="Times New Roman"/>
                <w:b/>
                <w:spacing w:val="-1"/>
                <w:sz w:val="16"/>
              </w:rPr>
              <w:t>383</w:t>
            </w:r>
            <w:r>
              <w:rPr>
                <w:rFonts w:ascii="Times New Roman"/>
                <w:spacing w:val="-1"/>
                <w:sz w:val="16"/>
              </w:rPr>
            </w:r>
          </w:p>
        </w:tc>
        <w:tc>
          <w:tcPr>
            <w:tcW w:w="81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57"/>
              <w:ind w:right="102"/>
              <w:jc w:val="right"/>
              <w:rPr>
                <w:rFonts w:ascii="Times New Roman" w:hAnsi="Times New Roman" w:cs="Times New Roman" w:eastAsia="Times New Roman" w:hint="default"/>
                <w:sz w:val="16"/>
                <w:szCs w:val="16"/>
              </w:rPr>
            </w:pPr>
            <w:r>
              <w:rPr>
                <w:rFonts w:ascii="Times New Roman"/>
                <w:b/>
                <w:spacing w:val="-1"/>
                <w:sz w:val="16"/>
              </w:rPr>
              <w:t>120</w:t>
            </w:r>
            <w:r>
              <w:rPr>
                <w:rFonts w:ascii="Times New Roman"/>
                <w:spacing w:val="-1"/>
                <w:sz w:val="16"/>
              </w:rPr>
            </w:r>
          </w:p>
        </w:tc>
        <w:tc>
          <w:tcPr>
            <w:tcW w:w="69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57"/>
              <w:ind w:right="100"/>
              <w:jc w:val="right"/>
              <w:rPr>
                <w:rFonts w:ascii="Times New Roman" w:hAnsi="Times New Roman" w:cs="Times New Roman" w:eastAsia="Times New Roman" w:hint="default"/>
                <w:sz w:val="16"/>
                <w:szCs w:val="16"/>
              </w:rPr>
            </w:pPr>
            <w:r>
              <w:rPr>
                <w:rFonts w:ascii="Times New Roman"/>
                <w:b/>
                <w:spacing w:val="-1"/>
                <w:sz w:val="16"/>
              </w:rPr>
              <w:t>2.653</w:t>
            </w:r>
            <w:r>
              <w:rPr>
                <w:rFonts w:ascii="Times New Roman"/>
                <w:spacing w:val="-1"/>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57"/>
              <w:ind w:right="102"/>
              <w:jc w:val="right"/>
              <w:rPr>
                <w:rFonts w:ascii="Times New Roman" w:hAnsi="Times New Roman" w:cs="Times New Roman" w:eastAsia="Times New Roman" w:hint="default"/>
                <w:sz w:val="16"/>
                <w:szCs w:val="16"/>
              </w:rPr>
            </w:pPr>
            <w:r>
              <w:rPr>
                <w:rFonts w:ascii="Times New Roman"/>
                <w:b/>
                <w:spacing w:val="-1"/>
                <w:sz w:val="16"/>
              </w:rPr>
              <w:t>125</w:t>
            </w:r>
            <w:r>
              <w:rPr>
                <w:rFonts w:ascii="Times New Roman"/>
                <w:spacing w:val="-1"/>
                <w:sz w:val="16"/>
              </w:rPr>
            </w:r>
          </w:p>
        </w:tc>
        <w:tc>
          <w:tcPr>
            <w:tcW w:w="78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57"/>
              <w:ind w:right="100"/>
              <w:jc w:val="right"/>
              <w:rPr>
                <w:rFonts w:ascii="Times New Roman" w:hAnsi="Times New Roman" w:cs="Times New Roman" w:eastAsia="Times New Roman" w:hint="default"/>
                <w:sz w:val="16"/>
                <w:szCs w:val="16"/>
              </w:rPr>
            </w:pPr>
            <w:r>
              <w:rPr>
                <w:rFonts w:ascii="Times New Roman"/>
                <w:b/>
                <w:spacing w:val="-1"/>
                <w:sz w:val="16"/>
              </w:rPr>
              <w:t>431</w:t>
            </w:r>
            <w:r>
              <w:rPr>
                <w:rFonts w:ascii="Times New Roman"/>
                <w:spacing w:val="-1"/>
                <w:sz w:val="16"/>
              </w:rPr>
            </w:r>
          </w:p>
        </w:tc>
      </w:tr>
      <w:tr>
        <w:trPr>
          <w:trHeight w:val="214" w:hRule="exact"/>
        </w:trPr>
        <w:tc>
          <w:tcPr>
            <w:tcW w:w="626" w:type="dxa"/>
            <w:vMerge w:val="restart"/>
            <w:tcBorders>
              <w:top w:val="single" w:sz="12"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4"/>
              <w:ind w:right="0"/>
              <w:jc w:val="left"/>
              <w:rPr>
                <w:rFonts w:ascii="Times New Roman" w:hAnsi="Times New Roman" w:cs="Times New Roman" w:eastAsia="Times New Roman" w:hint="default"/>
                <w:sz w:val="15"/>
                <w:szCs w:val="15"/>
              </w:rPr>
            </w:pPr>
          </w:p>
          <w:p>
            <w:pPr>
              <w:pStyle w:val="TableParagraph"/>
              <w:spacing w:line="240" w:lineRule="auto"/>
              <w:ind w:left="187" w:right="94"/>
              <w:jc w:val="left"/>
              <w:rPr>
                <w:rFonts w:ascii="Times New Roman" w:hAnsi="Times New Roman" w:cs="Times New Roman" w:eastAsia="Times New Roman" w:hint="default"/>
                <w:sz w:val="16"/>
                <w:szCs w:val="16"/>
              </w:rPr>
            </w:pPr>
            <w:r>
              <w:rPr>
                <w:rFonts w:ascii="Times New Roman"/>
                <w:sz w:val="16"/>
              </w:rPr>
              <w:t>422</w:t>
            </w:r>
          </w:p>
        </w:tc>
        <w:tc>
          <w:tcPr>
            <w:tcW w:w="135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left="103" w:right="0"/>
              <w:jc w:val="left"/>
              <w:rPr>
                <w:rFonts w:ascii="Times New Roman" w:hAnsi="Times New Roman" w:cs="Times New Roman" w:eastAsia="Times New Roman" w:hint="default"/>
                <w:sz w:val="16"/>
                <w:szCs w:val="16"/>
              </w:rPr>
            </w:pPr>
            <w:r>
              <w:rPr>
                <w:rFonts w:ascii="Times New Roman" w:hAnsi="Times New Roman"/>
                <w:sz w:val="16"/>
              </w:rPr>
              <w:t>Укупна</w:t>
            </w:r>
            <w:r>
              <w:rPr>
                <w:rFonts w:ascii="Times New Roman" w:hAnsi="Times New Roman"/>
                <w:spacing w:val="-5"/>
                <w:sz w:val="16"/>
              </w:rPr>
              <w:t> </w:t>
            </w:r>
            <w:r>
              <w:rPr>
                <w:rFonts w:ascii="Times New Roman" w:hAnsi="Times New Roman"/>
                <w:sz w:val="16"/>
              </w:rPr>
              <w:t>апроп</w:t>
            </w:r>
            <w:r>
              <w:rPr>
                <w:rFonts w:ascii="Times New Roman" w:hAnsi="Times New Roman"/>
                <w:sz w:val="16"/>
              </w:rPr>
              <w:t>.</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9"/>
              <w:ind w:right="102"/>
              <w:jc w:val="right"/>
              <w:rPr>
                <w:rFonts w:ascii="Times New Roman" w:hAnsi="Times New Roman" w:cs="Times New Roman" w:eastAsia="Times New Roman" w:hint="default"/>
                <w:sz w:val="16"/>
                <w:szCs w:val="16"/>
              </w:rPr>
            </w:pPr>
            <w:r>
              <w:rPr>
                <w:rFonts w:ascii="Times New Roman"/>
                <w:b/>
                <w:spacing w:val="-1"/>
                <w:sz w:val="16"/>
              </w:rPr>
              <w:t>100</w:t>
            </w:r>
            <w:r>
              <w:rPr>
                <w:rFonts w:ascii="Times New Roman"/>
                <w:spacing w:val="-1"/>
                <w:sz w:val="16"/>
              </w:rPr>
            </w:r>
          </w:p>
        </w:tc>
        <w:tc>
          <w:tcPr>
            <w:tcW w:w="67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101"/>
              <w:jc w:val="right"/>
              <w:rPr>
                <w:rFonts w:ascii="Times New Roman" w:hAnsi="Times New Roman" w:cs="Times New Roman" w:eastAsia="Times New Roman" w:hint="default"/>
                <w:sz w:val="16"/>
                <w:szCs w:val="16"/>
              </w:rPr>
            </w:pPr>
            <w:r>
              <w:rPr>
                <w:rFonts w:ascii="Times New Roman"/>
                <w:sz w:val="16"/>
              </w:rPr>
              <w:t>80</w:t>
            </w:r>
          </w:p>
        </w:tc>
        <w:tc>
          <w:tcPr>
            <w:tcW w:w="92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100"/>
              <w:jc w:val="right"/>
              <w:rPr>
                <w:rFonts w:ascii="Times New Roman" w:hAnsi="Times New Roman" w:cs="Times New Roman" w:eastAsia="Times New Roman" w:hint="default"/>
                <w:sz w:val="16"/>
                <w:szCs w:val="16"/>
              </w:rPr>
            </w:pPr>
            <w:r>
              <w:rPr>
                <w:rFonts w:ascii="Times New Roman"/>
                <w:spacing w:val="-1"/>
                <w:sz w:val="16"/>
              </w:rPr>
              <w:t>150</w:t>
            </w:r>
          </w:p>
        </w:tc>
        <w:tc>
          <w:tcPr>
            <w:tcW w:w="95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100"/>
              <w:jc w:val="right"/>
              <w:rPr>
                <w:rFonts w:ascii="Times New Roman" w:hAnsi="Times New Roman" w:cs="Times New Roman" w:eastAsia="Times New Roman" w:hint="default"/>
                <w:sz w:val="16"/>
                <w:szCs w:val="16"/>
              </w:rPr>
            </w:pPr>
            <w:r>
              <w:rPr>
                <w:rFonts w:ascii="Times New Roman"/>
                <w:spacing w:val="-1"/>
                <w:sz w:val="16"/>
              </w:rPr>
              <w:t>1.820</w:t>
            </w:r>
          </w:p>
        </w:tc>
        <w:tc>
          <w:tcPr>
            <w:tcW w:w="986"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102"/>
              <w:jc w:val="right"/>
              <w:rPr>
                <w:rFonts w:ascii="Times New Roman" w:hAnsi="Times New Roman" w:cs="Times New Roman" w:eastAsia="Times New Roman" w:hint="default"/>
                <w:sz w:val="16"/>
                <w:szCs w:val="16"/>
              </w:rPr>
            </w:pPr>
            <w:r>
              <w:rPr>
                <w:rFonts w:ascii="Times New Roman"/>
                <w:spacing w:val="-1"/>
                <w:sz w:val="16"/>
              </w:rPr>
              <w:t>1.650</w:t>
            </w:r>
          </w:p>
        </w:tc>
        <w:tc>
          <w:tcPr>
            <w:tcW w:w="900"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101"/>
              <w:jc w:val="right"/>
              <w:rPr>
                <w:rFonts w:ascii="Times New Roman" w:hAnsi="Times New Roman" w:cs="Times New Roman" w:eastAsia="Times New Roman" w:hint="default"/>
                <w:sz w:val="16"/>
                <w:szCs w:val="16"/>
              </w:rPr>
            </w:pPr>
            <w:r>
              <w:rPr>
                <w:rFonts w:ascii="Times New Roman"/>
                <w:sz w:val="16"/>
              </w:rPr>
              <w:t>80</w:t>
            </w:r>
          </w:p>
        </w:tc>
        <w:tc>
          <w:tcPr>
            <w:tcW w:w="75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100"/>
              <w:jc w:val="right"/>
              <w:rPr>
                <w:rFonts w:ascii="Times New Roman" w:hAnsi="Times New Roman" w:cs="Times New Roman" w:eastAsia="Times New Roman" w:hint="default"/>
                <w:sz w:val="16"/>
                <w:szCs w:val="16"/>
              </w:rPr>
            </w:pPr>
            <w:r>
              <w:rPr>
                <w:rFonts w:ascii="Times New Roman"/>
                <w:spacing w:val="-1"/>
                <w:sz w:val="16"/>
              </w:rPr>
              <w:t>110</w:t>
            </w:r>
          </w:p>
        </w:tc>
        <w:tc>
          <w:tcPr>
            <w:tcW w:w="79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100"/>
              <w:jc w:val="right"/>
              <w:rPr>
                <w:rFonts w:ascii="Times New Roman" w:hAnsi="Times New Roman" w:cs="Times New Roman" w:eastAsia="Times New Roman" w:hint="default"/>
                <w:sz w:val="16"/>
                <w:szCs w:val="16"/>
              </w:rPr>
            </w:pPr>
            <w:r>
              <w:rPr>
                <w:rFonts w:ascii="Times New Roman"/>
                <w:spacing w:val="-1"/>
                <w:sz w:val="16"/>
              </w:rPr>
              <w:t>135</w:t>
            </w:r>
          </w:p>
        </w:tc>
        <w:tc>
          <w:tcPr>
            <w:tcW w:w="82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102"/>
              <w:jc w:val="right"/>
              <w:rPr>
                <w:rFonts w:ascii="Times New Roman" w:hAnsi="Times New Roman" w:cs="Times New Roman" w:eastAsia="Times New Roman" w:hint="default"/>
                <w:sz w:val="16"/>
                <w:szCs w:val="16"/>
              </w:rPr>
            </w:pPr>
            <w:r>
              <w:rPr>
                <w:rFonts w:ascii="Times New Roman"/>
                <w:spacing w:val="-1"/>
                <w:sz w:val="16"/>
              </w:rPr>
              <w:t>900</w:t>
            </w:r>
          </w:p>
        </w:tc>
        <w:tc>
          <w:tcPr>
            <w:tcW w:w="74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100"/>
              <w:jc w:val="right"/>
              <w:rPr>
                <w:rFonts w:ascii="Times New Roman" w:hAnsi="Times New Roman" w:cs="Times New Roman" w:eastAsia="Times New Roman" w:hint="default"/>
                <w:sz w:val="16"/>
                <w:szCs w:val="16"/>
              </w:rPr>
            </w:pPr>
            <w:r>
              <w:rPr>
                <w:rFonts w:ascii="Times New Roman"/>
                <w:spacing w:val="-1"/>
                <w:sz w:val="16"/>
              </w:rPr>
              <w:t>934</w:t>
            </w:r>
          </w:p>
        </w:tc>
        <w:tc>
          <w:tcPr>
            <w:tcW w:w="708"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230</w:t>
            </w:r>
          </w:p>
        </w:tc>
        <w:tc>
          <w:tcPr>
            <w:tcW w:w="85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100"/>
              <w:jc w:val="right"/>
              <w:rPr>
                <w:rFonts w:ascii="Times New Roman" w:hAnsi="Times New Roman" w:cs="Times New Roman" w:eastAsia="Times New Roman" w:hint="default"/>
                <w:sz w:val="16"/>
                <w:szCs w:val="16"/>
              </w:rPr>
            </w:pPr>
            <w:r>
              <w:rPr>
                <w:rFonts w:ascii="Times New Roman"/>
                <w:spacing w:val="-1"/>
                <w:sz w:val="16"/>
              </w:rPr>
              <w:t>1.486</w:t>
            </w:r>
          </w:p>
        </w:tc>
        <w:tc>
          <w:tcPr>
            <w:tcW w:w="76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102"/>
              <w:jc w:val="right"/>
              <w:rPr>
                <w:rFonts w:ascii="Times New Roman" w:hAnsi="Times New Roman" w:cs="Times New Roman" w:eastAsia="Times New Roman" w:hint="default"/>
                <w:sz w:val="16"/>
                <w:szCs w:val="16"/>
              </w:rPr>
            </w:pPr>
            <w:r>
              <w:rPr>
                <w:rFonts w:ascii="Times New Roman"/>
                <w:spacing w:val="-1"/>
                <w:sz w:val="16"/>
              </w:rPr>
              <w:t>1.250</w:t>
            </w:r>
          </w:p>
        </w:tc>
        <w:tc>
          <w:tcPr>
            <w:tcW w:w="816"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102"/>
              <w:jc w:val="right"/>
              <w:rPr>
                <w:rFonts w:ascii="Times New Roman" w:hAnsi="Times New Roman" w:cs="Times New Roman" w:eastAsia="Times New Roman" w:hint="default"/>
                <w:sz w:val="16"/>
                <w:szCs w:val="16"/>
              </w:rPr>
            </w:pPr>
            <w:r>
              <w:rPr>
                <w:rFonts w:ascii="Times New Roman"/>
                <w:spacing w:val="-1"/>
                <w:sz w:val="16"/>
              </w:rPr>
              <w:t>755</w:t>
            </w:r>
          </w:p>
        </w:tc>
        <w:tc>
          <w:tcPr>
            <w:tcW w:w="69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100"/>
              <w:jc w:val="right"/>
              <w:rPr>
                <w:rFonts w:ascii="Times New Roman" w:hAnsi="Times New Roman" w:cs="Times New Roman" w:eastAsia="Times New Roman" w:hint="default"/>
                <w:sz w:val="16"/>
                <w:szCs w:val="16"/>
              </w:rPr>
            </w:pPr>
            <w:r>
              <w:rPr>
                <w:rFonts w:ascii="Times New Roman"/>
                <w:spacing w:val="-1"/>
                <w:sz w:val="16"/>
              </w:rPr>
              <w:t>100</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102"/>
              <w:jc w:val="right"/>
              <w:rPr>
                <w:rFonts w:ascii="Times New Roman" w:hAnsi="Times New Roman" w:cs="Times New Roman" w:eastAsia="Times New Roman" w:hint="default"/>
                <w:sz w:val="16"/>
                <w:szCs w:val="16"/>
              </w:rPr>
            </w:pPr>
            <w:r>
              <w:rPr>
                <w:rFonts w:ascii="Times New Roman"/>
                <w:spacing w:val="-1"/>
                <w:sz w:val="16"/>
              </w:rPr>
              <w:t>180</w:t>
            </w:r>
          </w:p>
        </w:tc>
        <w:tc>
          <w:tcPr>
            <w:tcW w:w="78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100"/>
              <w:jc w:val="right"/>
              <w:rPr>
                <w:rFonts w:ascii="Times New Roman" w:hAnsi="Times New Roman" w:cs="Times New Roman" w:eastAsia="Times New Roman" w:hint="default"/>
                <w:sz w:val="16"/>
                <w:szCs w:val="16"/>
              </w:rPr>
            </w:pPr>
            <w:r>
              <w:rPr>
                <w:rFonts w:ascii="Times New Roman"/>
                <w:spacing w:val="-1"/>
                <w:sz w:val="16"/>
              </w:rPr>
              <w:t>495</w:t>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sz w:val="16"/>
              </w:rPr>
              <w:t>Исказано</w:t>
            </w:r>
            <w:r>
              <w:rPr>
                <w:rFonts w:ascii="Times New Roman" w:hAnsi="Times New Roman"/>
                <w:spacing w:val="-5"/>
                <w:sz w:val="16"/>
              </w:rPr>
              <w:t> </w:t>
            </w:r>
            <w:r>
              <w:rPr>
                <w:rFonts w:ascii="Times New Roman" w:hAnsi="Times New Roman"/>
                <w:sz w:val="16"/>
              </w:rPr>
              <w:t>изврш</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z w:val="16"/>
              </w:rPr>
              <w:t>57</w:t>
            </w:r>
            <w:r>
              <w:rPr>
                <w:rFonts w:ascii="Times New Roman"/>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sz w:val="16"/>
              </w:rPr>
              <w:t>39</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99"/>
              <w:jc w:val="right"/>
              <w:rPr>
                <w:rFonts w:ascii="Times New Roman" w:hAnsi="Times New Roman" w:cs="Times New Roman" w:eastAsia="Times New Roman" w:hint="default"/>
                <w:sz w:val="16"/>
                <w:szCs w:val="16"/>
              </w:rPr>
            </w:pPr>
            <w:r>
              <w:rPr>
                <w:rFonts w:ascii="Times New Roman"/>
                <w:sz w:val="16"/>
              </w:rPr>
              <w:t>67</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1.625</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1.005</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sz w:val="16"/>
              </w:rPr>
              <w:t>90</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w w:val="100"/>
                <w:sz w:val="16"/>
              </w:rPr>
              <w:t>0</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sz w:val="16"/>
              </w:rPr>
              <w:t>15</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570</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164</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448</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1.730</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1.236</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339</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sz w:val="16"/>
              </w:rPr>
              <w:t>33</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sz w:val="16"/>
              </w:rPr>
              <w:t>42</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244</w:t>
            </w:r>
          </w:p>
        </w:tc>
      </w:tr>
      <w:tr>
        <w:trPr>
          <w:trHeight w:val="216"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(1)</w:t>
            </w:r>
            <w:r>
              <w:rPr>
                <w:rFonts w:ascii="Times New Roman" w:hAnsi="Times New Roman"/>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z w:val="16"/>
              </w:rPr>
              <w:t>43</w:t>
            </w:r>
            <w:r>
              <w:rPr>
                <w:rFonts w:ascii="Times New Roman"/>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z w:val="16"/>
              </w:rPr>
              <w:t>41</w:t>
            </w:r>
            <w:r>
              <w:rPr>
                <w:rFonts w:ascii="Times New Roman"/>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99"/>
              <w:jc w:val="right"/>
              <w:rPr>
                <w:rFonts w:ascii="Times New Roman" w:hAnsi="Times New Roman" w:cs="Times New Roman" w:eastAsia="Times New Roman" w:hint="default"/>
                <w:sz w:val="16"/>
                <w:szCs w:val="16"/>
              </w:rPr>
            </w:pPr>
            <w:r>
              <w:rPr>
                <w:rFonts w:ascii="Times New Roman"/>
                <w:b/>
                <w:sz w:val="16"/>
              </w:rPr>
              <w:t>83</w:t>
            </w:r>
            <w:r>
              <w:rPr>
                <w:rFonts w:ascii="Times New Roman"/>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195</w:t>
            </w:r>
            <w:r>
              <w:rPr>
                <w:rFonts w:ascii="Times New Roman"/>
                <w:spacing w:val="-1"/>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645</w:t>
            </w:r>
            <w:r>
              <w:rPr>
                <w:rFonts w:ascii="Times New Roman"/>
                <w:spacing w:val="-1"/>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z w:val="16"/>
              </w:rPr>
              <w:t>-10</w:t>
            </w:r>
            <w:r>
              <w:rPr>
                <w:rFonts w:ascii="Times New Roman"/>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110</w:t>
            </w:r>
            <w:r>
              <w:rPr>
                <w:rFonts w:ascii="Times New Roman"/>
                <w:spacing w:val="-1"/>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120</w:t>
            </w:r>
            <w:r>
              <w:rPr>
                <w:rFonts w:ascii="Times New Roman"/>
                <w:spacing w:val="-1"/>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330</w:t>
            </w:r>
            <w:r>
              <w:rPr>
                <w:rFonts w:ascii="Times New Roman"/>
                <w:spacing w:val="-1"/>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770</w:t>
            </w:r>
            <w:r>
              <w:rPr>
                <w:rFonts w:ascii="Times New Roman"/>
                <w:spacing w:val="-1"/>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-218</w:t>
            </w:r>
            <w:r>
              <w:rPr>
                <w:rFonts w:ascii="Times New Roman"/>
                <w:spacing w:val="-1"/>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-244</w:t>
            </w:r>
            <w:r>
              <w:rPr>
                <w:rFonts w:ascii="Times New Roman"/>
                <w:spacing w:val="-1"/>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z w:val="16"/>
              </w:rPr>
              <w:t>14</w:t>
            </w:r>
            <w:r>
              <w:rPr>
                <w:rFonts w:ascii="Times New Roman"/>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416</w:t>
            </w:r>
            <w:r>
              <w:rPr>
                <w:rFonts w:ascii="Times New Roman"/>
                <w:spacing w:val="-1"/>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98"/>
              <w:jc w:val="right"/>
              <w:rPr>
                <w:rFonts w:ascii="Times New Roman" w:hAnsi="Times New Roman" w:cs="Times New Roman" w:eastAsia="Times New Roman" w:hint="default"/>
                <w:sz w:val="16"/>
                <w:szCs w:val="16"/>
              </w:rPr>
            </w:pPr>
            <w:r>
              <w:rPr>
                <w:rFonts w:ascii="Times New Roman"/>
                <w:b/>
                <w:sz w:val="16"/>
              </w:rPr>
              <w:t>67</w:t>
            </w:r>
            <w:r>
              <w:rPr>
                <w:rFonts w:ascii="Times New Roman"/>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138</w:t>
            </w:r>
            <w:r>
              <w:rPr>
                <w:rFonts w:ascii="Times New Roman"/>
                <w:spacing w:val="-1"/>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251</w:t>
            </w:r>
            <w:r>
              <w:rPr>
                <w:rFonts w:ascii="Times New Roman"/>
                <w:spacing w:val="-1"/>
                <w:sz w:val="16"/>
              </w:rPr>
            </w:r>
          </w:p>
        </w:tc>
      </w:tr>
      <w:tr>
        <w:trPr>
          <w:trHeight w:val="230"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3"/>
                <w:sz w:val="16"/>
              </w:rPr>
              <w:t> </w:t>
            </w:r>
            <w:r>
              <w:rPr>
                <w:rFonts w:ascii="Times New Roman" w:hAnsi="Times New Roman"/>
                <w:sz w:val="16"/>
              </w:rPr>
              <w:t>рач</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3"/>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3"/>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100"/>
              <w:jc w:val="right"/>
              <w:rPr>
                <w:rFonts w:ascii="Times New Roman" w:hAnsi="Times New Roman" w:cs="Times New Roman" w:eastAsia="Times New Roman" w:hint="default"/>
                <w:sz w:val="16"/>
                <w:szCs w:val="16"/>
              </w:rPr>
            </w:pPr>
            <w:r>
              <w:rPr>
                <w:rFonts w:ascii="Times New Roman"/>
                <w:spacing w:val="-1"/>
                <w:sz w:val="16"/>
              </w:rPr>
              <w:t>142</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3"/>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3"/>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3"/>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3"/>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3"/>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3"/>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3"/>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3"/>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3"/>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102"/>
              <w:jc w:val="right"/>
              <w:rPr>
                <w:rFonts w:ascii="Times New Roman" w:hAnsi="Times New Roman" w:cs="Times New Roman" w:eastAsia="Times New Roman" w:hint="default"/>
                <w:sz w:val="16"/>
                <w:szCs w:val="16"/>
              </w:rPr>
            </w:pPr>
            <w:r>
              <w:rPr>
                <w:rFonts w:ascii="Times New Roman"/>
                <w:w w:val="100"/>
                <w:sz w:val="16"/>
              </w:rPr>
              <w:t>7</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3"/>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3"/>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101"/>
              <w:jc w:val="right"/>
              <w:rPr>
                <w:rFonts w:ascii="Times New Roman" w:hAnsi="Times New Roman" w:cs="Times New Roman" w:eastAsia="Times New Roman" w:hint="default"/>
                <w:sz w:val="16"/>
                <w:szCs w:val="16"/>
              </w:rPr>
            </w:pPr>
            <w:r>
              <w:rPr>
                <w:rFonts w:ascii="Times New Roman"/>
                <w:sz w:val="16"/>
              </w:rPr>
              <w:t>37</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98"/>
              <w:jc w:val="right"/>
              <w:rPr>
                <w:rFonts w:ascii="Times New Roman" w:hAnsi="Times New Roman" w:cs="Times New Roman" w:eastAsia="Times New Roman" w:hint="default"/>
                <w:sz w:val="16"/>
                <w:szCs w:val="16"/>
              </w:rPr>
            </w:pPr>
            <w:r>
              <w:rPr>
                <w:rFonts w:ascii="Times New Roman"/>
                <w:sz w:val="16"/>
              </w:rPr>
              <w:t>13</w:t>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7"/>
                <w:sz w:val="16"/>
              </w:rPr>
              <w:t> </w:t>
            </w:r>
            <w:r>
              <w:rPr>
                <w:rFonts w:ascii="Times New Roman" w:hAnsi="Times New Roman"/>
                <w:sz w:val="16"/>
              </w:rPr>
              <w:t>угов</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24" w:hRule="exact"/>
        </w:trPr>
        <w:tc>
          <w:tcPr>
            <w:tcW w:w="626" w:type="dxa"/>
            <w:vMerge/>
            <w:tcBorders>
              <w:left w:val="single" w:sz="4" w:space="0" w:color="000000"/>
              <w:bottom w:val="single" w:sz="12" w:space="0" w:color="000000"/>
              <w:right w:val="single" w:sz="4" w:space="0" w:color="000000"/>
            </w:tcBorders>
          </w:tcPr>
          <w:p>
            <w:pPr/>
          </w:p>
        </w:tc>
        <w:tc>
          <w:tcPr>
            <w:tcW w:w="13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(2)</w:t>
            </w:r>
            <w:r>
              <w:rPr>
                <w:rFonts w:ascii="Times New Roman" w:hAnsi="Times New Roman"/>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z w:val="16"/>
              </w:rPr>
              <w:t>43</w:t>
            </w:r>
            <w:r>
              <w:rPr>
                <w:rFonts w:ascii="Times New Roman"/>
                <w:sz w:val="16"/>
              </w:rPr>
            </w:r>
          </w:p>
        </w:tc>
        <w:tc>
          <w:tcPr>
            <w:tcW w:w="67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z w:val="16"/>
              </w:rPr>
              <w:t>41</w:t>
            </w:r>
            <w:r>
              <w:rPr>
                <w:rFonts w:ascii="Times New Roman"/>
                <w:sz w:val="16"/>
              </w:rPr>
            </w:r>
          </w:p>
        </w:tc>
        <w:tc>
          <w:tcPr>
            <w:tcW w:w="92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99"/>
              <w:jc w:val="right"/>
              <w:rPr>
                <w:rFonts w:ascii="Times New Roman" w:hAnsi="Times New Roman" w:cs="Times New Roman" w:eastAsia="Times New Roman" w:hint="default"/>
                <w:sz w:val="16"/>
                <w:szCs w:val="16"/>
              </w:rPr>
            </w:pPr>
            <w:r>
              <w:rPr>
                <w:rFonts w:ascii="Times New Roman"/>
                <w:b/>
                <w:sz w:val="16"/>
              </w:rPr>
              <w:t>-59</w:t>
            </w:r>
            <w:r>
              <w:rPr>
                <w:rFonts w:ascii="Times New Roman"/>
                <w:sz w:val="16"/>
              </w:rPr>
            </w:r>
          </w:p>
        </w:tc>
        <w:tc>
          <w:tcPr>
            <w:tcW w:w="95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195</w:t>
            </w:r>
            <w:r>
              <w:rPr>
                <w:rFonts w:ascii="Times New Roman"/>
                <w:spacing w:val="-1"/>
                <w:sz w:val="16"/>
              </w:rPr>
            </w:r>
          </w:p>
        </w:tc>
        <w:tc>
          <w:tcPr>
            <w:tcW w:w="98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645</w:t>
            </w:r>
            <w:r>
              <w:rPr>
                <w:rFonts w:ascii="Times New Roman"/>
                <w:spacing w:val="-1"/>
                <w:sz w:val="16"/>
              </w:rPr>
            </w:r>
          </w:p>
        </w:tc>
        <w:tc>
          <w:tcPr>
            <w:tcW w:w="900"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z w:val="16"/>
              </w:rPr>
              <w:t>-10</w:t>
            </w:r>
            <w:r>
              <w:rPr>
                <w:rFonts w:ascii="Times New Roman"/>
                <w:sz w:val="16"/>
              </w:rPr>
            </w:r>
          </w:p>
        </w:tc>
        <w:tc>
          <w:tcPr>
            <w:tcW w:w="7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110</w:t>
            </w:r>
            <w:r>
              <w:rPr>
                <w:rFonts w:ascii="Times New Roman"/>
                <w:spacing w:val="-1"/>
                <w:sz w:val="16"/>
              </w:rPr>
            </w:r>
          </w:p>
        </w:tc>
        <w:tc>
          <w:tcPr>
            <w:tcW w:w="79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120</w:t>
            </w:r>
            <w:r>
              <w:rPr>
                <w:rFonts w:ascii="Times New Roman"/>
                <w:spacing w:val="-1"/>
                <w:sz w:val="16"/>
              </w:rPr>
            </w:r>
          </w:p>
        </w:tc>
        <w:tc>
          <w:tcPr>
            <w:tcW w:w="82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330</w:t>
            </w:r>
            <w:r>
              <w:rPr>
                <w:rFonts w:ascii="Times New Roman"/>
                <w:spacing w:val="-1"/>
                <w:sz w:val="16"/>
              </w:rPr>
            </w:r>
          </w:p>
        </w:tc>
        <w:tc>
          <w:tcPr>
            <w:tcW w:w="74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770</w:t>
            </w:r>
            <w:r>
              <w:rPr>
                <w:rFonts w:ascii="Times New Roman"/>
                <w:spacing w:val="-1"/>
                <w:sz w:val="16"/>
              </w:rPr>
            </w:r>
          </w:p>
        </w:tc>
        <w:tc>
          <w:tcPr>
            <w:tcW w:w="70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-218</w:t>
            </w:r>
            <w:r>
              <w:rPr>
                <w:rFonts w:ascii="Times New Roman"/>
                <w:spacing w:val="-1"/>
                <w:sz w:val="16"/>
              </w:rPr>
            </w:r>
          </w:p>
        </w:tc>
        <w:tc>
          <w:tcPr>
            <w:tcW w:w="85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-244</w:t>
            </w:r>
            <w:r>
              <w:rPr>
                <w:rFonts w:ascii="Times New Roman"/>
                <w:spacing w:val="-1"/>
                <w:sz w:val="16"/>
              </w:rPr>
            </w:r>
          </w:p>
        </w:tc>
        <w:tc>
          <w:tcPr>
            <w:tcW w:w="76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w w:val="100"/>
                <w:sz w:val="16"/>
              </w:rPr>
              <w:t>7</w:t>
            </w:r>
            <w:r>
              <w:rPr>
                <w:rFonts w:ascii="Times New Roman"/>
                <w:w w:val="100"/>
                <w:sz w:val="16"/>
              </w:rPr>
            </w:r>
          </w:p>
        </w:tc>
        <w:tc>
          <w:tcPr>
            <w:tcW w:w="81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416</w:t>
            </w:r>
            <w:r>
              <w:rPr>
                <w:rFonts w:ascii="Times New Roman"/>
                <w:spacing w:val="-1"/>
                <w:sz w:val="16"/>
              </w:rPr>
            </w:r>
          </w:p>
        </w:tc>
        <w:tc>
          <w:tcPr>
            <w:tcW w:w="69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98"/>
              <w:jc w:val="right"/>
              <w:rPr>
                <w:rFonts w:ascii="Times New Roman" w:hAnsi="Times New Roman" w:cs="Times New Roman" w:eastAsia="Times New Roman" w:hint="default"/>
                <w:sz w:val="16"/>
                <w:szCs w:val="16"/>
              </w:rPr>
            </w:pPr>
            <w:r>
              <w:rPr>
                <w:rFonts w:ascii="Times New Roman"/>
                <w:b/>
                <w:sz w:val="16"/>
              </w:rPr>
              <w:t>67</w:t>
            </w:r>
            <w:r>
              <w:rPr>
                <w:rFonts w:ascii="Times New Roman"/>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101</w:t>
            </w:r>
            <w:r>
              <w:rPr>
                <w:rFonts w:ascii="Times New Roman"/>
                <w:spacing w:val="-1"/>
                <w:sz w:val="16"/>
              </w:rPr>
            </w:r>
          </w:p>
        </w:tc>
        <w:tc>
          <w:tcPr>
            <w:tcW w:w="78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238</w:t>
            </w:r>
            <w:r>
              <w:rPr>
                <w:rFonts w:ascii="Times New Roman"/>
                <w:spacing w:val="-1"/>
                <w:sz w:val="16"/>
              </w:rPr>
            </w:r>
          </w:p>
        </w:tc>
      </w:tr>
      <w:tr>
        <w:trPr>
          <w:trHeight w:val="216" w:hRule="exact"/>
        </w:trPr>
        <w:tc>
          <w:tcPr>
            <w:tcW w:w="626" w:type="dxa"/>
            <w:vMerge w:val="restart"/>
            <w:tcBorders>
              <w:top w:val="single" w:sz="12"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8"/>
              <w:ind w:right="0"/>
              <w:jc w:val="left"/>
              <w:rPr>
                <w:rFonts w:ascii="Times New Roman" w:hAnsi="Times New Roman" w:cs="Times New Roman" w:eastAsia="Times New Roman" w:hint="default"/>
                <w:sz w:val="14"/>
                <w:szCs w:val="14"/>
              </w:rPr>
            </w:pPr>
          </w:p>
          <w:p>
            <w:pPr>
              <w:pStyle w:val="TableParagraph"/>
              <w:spacing w:line="240" w:lineRule="auto"/>
              <w:ind w:left="187" w:right="94"/>
              <w:jc w:val="left"/>
              <w:rPr>
                <w:rFonts w:ascii="Times New Roman" w:hAnsi="Times New Roman" w:cs="Times New Roman" w:eastAsia="Times New Roman" w:hint="default"/>
                <w:sz w:val="16"/>
                <w:szCs w:val="16"/>
              </w:rPr>
            </w:pPr>
            <w:r>
              <w:rPr>
                <w:rFonts w:ascii="Times New Roman"/>
                <w:sz w:val="16"/>
              </w:rPr>
              <w:t>423</w:t>
            </w:r>
          </w:p>
        </w:tc>
        <w:tc>
          <w:tcPr>
            <w:tcW w:w="135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9"/>
              <w:ind w:left="103" w:right="0"/>
              <w:jc w:val="left"/>
              <w:rPr>
                <w:rFonts w:ascii="Times New Roman" w:hAnsi="Times New Roman" w:cs="Times New Roman" w:eastAsia="Times New Roman" w:hint="default"/>
                <w:sz w:val="16"/>
                <w:szCs w:val="16"/>
              </w:rPr>
            </w:pPr>
            <w:r>
              <w:rPr>
                <w:rFonts w:ascii="Times New Roman" w:hAnsi="Times New Roman"/>
                <w:sz w:val="16"/>
              </w:rPr>
              <w:t>Укупна</w:t>
            </w:r>
            <w:r>
              <w:rPr>
                <w:rFonts w:ascii="Times New Roman" w:hAnsi="Times New Roman"/>
                <w:spacing w:val="-5"/>
                <w:sz w:val="16"/>
              </w:rPr>
              <w:t> </w:t>
            </w:r>
            <w:r>
              <w:rPr>
                <w:rFonts w:ascii="Times New Roman" w:hAnsi="Times New Roman"/>
                <w:sz w:val="16"/>
              </w:rPr>
              <w:t>апроп</w:t>
            </w:r>
            <w:r>
              <w:rPr>
                <w:rFonts w:ascii="Times New Roman" w:hAnsi="Times New Roman"/>
                <w:sz w:val="16"/>
              </w:rPr>
              <w:t>.</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9"/>
              <w:ind w:right="102"/>
              <w:jc w:val="right"/>
              <w:rPr>
                <w:rFonts w:ascii="Times New Roman" w:hAnsi="Times New Roman" w:cs="Times New Roman" w:eastAsia="Times New Roman" w:hint="default"/>
                <w:sz w:val="16"/>
                <w:szCs w:val="16"/>
              </w:rPr>
            </w:pPr>
            <w:r>
              <w:rPr>
                <w:rFonts w:ascii="Times New Roman"/>
                <w:spacing w:val="-1"/>
                <w:sz w:val="16"/>
              </w:rPr>
              <w:t>1.940</w:t>
            </w:r>
          </w:p>
        </w:tc>
        <w:tc>
          <w:tcPr>
            <w:tcW w:w="67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9"/>
              <w:ind w:right="102"/>
              <w:jc w:val="right"/>
              <w:rPr>
                <w:rFonts w:ascii="Times New Roman" w:hAnsi="Times New Roman" w:cs="Times New Roman" w:eastAsia="Times New Roman" w:hint="default"/>
                <w:sz w:val="16"/>
                <w:szCs w:val="16"/>
              </w:rPr>
            </w:pPr>
            <w:r>
              <w:rPr>
                <w:rFonts w:ascii="Times New Roman"/>
                <w:spacing w:val="-1"/>
                <w:sz w:val="16"/>
              </w:rPr>
              <w:t>695</w:t>
            </w:r>
          </w:p>
        </w:tc>
        <w:tc>
          <w:tcPr>
            <w:tcW w:w="92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9"/>
              <w:ind w:right="100"/>
              <w:jc w:val="right"/>
              <w:rPr>
                <w:rFonts w:ascii="Times New Roman" w:hAnsi="Times New Roman" w:cs="Times New Roman" w:eastAsia="Times New Roman" w:hint="default"/>
                <w:sz w:val="16"/>
                <w:szCs w:val="16"/>
              </w:rPr>
            </w:pPr>
            <w:r>
              <w:rPr>
                <w:rFonts w:ascii="Times New Roman"/>
                <w:spacing w:val="-1"/>
                <w:sz w:val="16"/>
              </w:rPr>
              <w:t>3.000</w:t>
            </w:r>
          </w:p>
        </w:tc>
        <w:tc>
          <w:tcPr>
            <w:tcW w:w="95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9"/>
              <w:ind w:right="100"/>
              <w:jc w:val="right"/>
              <w:rPr>
                <w:rFonts w:ascii="Times New Roman" w:hAnsi="Times New Roman" w:cs="Times New Roman" w:eastAsia="Times New Roman" w:hint="default"/>
                <w:sz w:val="16"/>
                <w:szCs w:val="16"/>
              </w:rPr>
            </w:pPr>
            <w:r>
              <w:rPr>
                <w:rFonts w:ascii="Times New Roman"/>
                <w:spacing w:val="-1"/>
                <w:sz w:val="16"/>
              </w:rPr>
              <w:t>3.585</w:t>
            </w:r>
          </w:p>
        </w:tc>
        <w:tc>
          <w:tcPr>
            <w:tcW w:w="986"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9"/>
              <w:ind w:right="102"/>
              <w:jc w:val="right"/>
              <w:rPr>
                <w:rFonts w:ascii="Times New Roman" w:hAnsi="Times New Roman" w:cs="Times New Roman" w:eastAsia="Times New Roman" w:hint="default"/>
                <w:sz w:val="16"/>
                <w:szCs w:val="16"/>
              </w:rPr>
            </w:pPr>
            <w:r>
              <w:rPr>
                <w:rFonts w:ascii="Times New Roman"/>
                <w:spacing w:val="-1"/>
                <w:sz w:val="16"/>
              </w:rPr>
              <w:t>4.930</w:t>
            </w:r>
          </w:p>
        </w:tc>
        <w:tc>
          <w:tcPr>
            <w:tcW w:w="900"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9"/>
              <w:ind w:right="102"/>
              <w:jc w:val="right"/>
              <w:rPr>
                <w:rFonts w:ascii="Times New Roman" w:hAnsi="Times New Roman" w:cs="Times New Roman" w:eastAsia="Times New Roman" w:hint="default"/>
                <w:sz w:val="16"/>
                <w:szCs w:val="16"/>
              </w:rPr>
            </w:pPr>
            <w:r>
              <w:rPr>
                <w:rFonts w:ascii="Times New Roman"/>
                <w:spacing w:val="-1"/>
                <w:sz w:val="16"/>
              </w:rPr>
              <w:t>1.815</w:t>
            </w:r>
          </w:p>
        </w:tc>
        <w:tc>
          <w:tcPr>
            <w:tcW w:w="75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9"/>
              <w:ind w:right="100"/>
              <w:jc w:val="right"/>
              <w:rPr>
                <w:rFonts w:ascii="Times New Roman" w:hAnsi="Times New Roman" w:cs="Times New Roman" w:eastAsia="Times New Roman" w:hint="default"/>
                <w:sz w:val="16"/>
                <w:szCs w:val="16"/>
              </w:rPr>
            </w:pPr>
            <w:r>
              <w:rPr>
                <w:rFonts w:ascii="Times New Roman"/>
                <w:spacing w:val="-1"/>
                <w:sz w:val="16"/>
              </w:rPr>
              <w:t>807</w:t>
            </w:r>
          </w:p>
        </w:tc>
        <w:tc>
          <w:tcPr>
            <w:tcW w:w="79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9"/>
              <w:ind w:right="100"/>
              <w:jc w:val="right"/>
              <w:rPr>
                <w:rFonts w:ascii="Times New Roman" w:hAnsi="Times New Roman" w:cs="Times New Roman" w:eastAsia="Times New Roman" w:hint="default"/>
                <w:sz w:val="16"/>
                <w:szCs w:val="16"/>
              </w:rPr>
            </w:pPr>
            <w:r>
              <w:rPr>
                <w:rFonts w:ascii="Times New Roman"/>
                <w:spacing w:val="-1"/>
                <w:sz w:val="16"/>
              </w:rPr>
              <w:t>2.400</w:t>
            </w:r>
          </w:p>
        </w:tc>
        <w:tc>
          <w:tcPr>
            <w:tcW w:w="82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9"/>
              <w:ind w:right="102"/>
              <w:jc w:val="right"/>
              <w:rPr>
                <w:rFonts w:ascii="Times New Roman" w:hAnsi="Times New Roman" w:cs="Times New Roman" w:eastAsia="Times New Roman" w:hint="default"/>
                <w:sz w:val="16"/>
                <w:szCs w:val="16"/>
              </w:rPr>
            </w:pPr>
            <w:r>
              <w:rPr>
                <w:rFonts w:ascii="Times New Roman"/>
                <w:spacing w:val="-1"/>
                <w:sz w:val="16"/>
              </w:rPr>
              <w:t>12.285</w:t>
            </w:r>
          </w:p>
        </w:tc>
        <w:tc>
          <w:tcPr>
            <w:tcW w:w="74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9"/>
              <w:ind w:right="100"/>
              <w:jc w:val="right"/>
              <w:rPr>
                <w:rFonts w:ascii="Times New Roman" w:hAnsi="Times New Roman" w:cs="Times New Roman" w:eastAsia="Times New Roman" w:hint="default"/>
                <w:sz w:val="16"/>
                <w:szCs w:val="16"/>
              </w:rPr>
            </w:pPr>
            <w:r>
              <w:rPr>
                <w:rFonts w:ascii="Times New Roman"/>
                <w:spacing w:val="-1"/>
                <w:sz w:val="16"/>
              </w:rPr>
              <w:t>5.347</w:t>
            </w:r>
          </w:p>
        </w:tc>
        <w:tc>
          <w:tcPr>
            <w:tcW w:w="708"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28.144</w:t>
            </w:r>
          </w:p>
        </w:tc>
        <w:tc>
          <w:tcPr>
            <w:tcW w:w="85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9"/>
              <w:ind w:right="100"/>
              <w:jc w:val="right"/>
              <w:rPr>
                <w:rFonts w:ascii="Times New Roman" w:hAnsi="Times New Roman" w:cs="Times New Roman" w:eastAsia="Times New Roman" w:hint="default"/>
                <w:sz w:val="16"/>
                <w:szCs w:val="16"/>
              </w:rPr>
            </w:pPr>
            <w:r>
              <w:rPr>
                <w:rFonts w:ascii="Times New Roman"/>
                <w:spacing w:val="-1"/>
                <w:sz w:val="16"/>
              </w:rPr>
              <w:t>2.701</w:t>
            </w:r>
          </w:p>
        </w:tc>
        <w:tc>
          <w:tcPr>
            <w:tcW w:w="76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9"/>
              <w:ind w:right="102"/>
              <w:jc w:val="right"/>
              <w:rPr>
                <w:rFonts w:ascii="Times New Roman" w:hAnsi="Times New Roman" w:cs="Times New Roman" w:eastAsia="Times New Roman" w:hint="default"/>
                <w:sz w:val="16"/>
                <w:szCs w:val="16"/>
              </w:rPr>
            </w:pPr>
            <w:r>
              <w:rPr>
                <w:rFonts w:ascii="Times New Roman"/>
                <w:spacing w:val="-1"/>
                <w:sz w:val="16"/>
              </w:rPr>
              <w:t>14.585</w:t>
            </w:r>
          </w:p>
        </w:tc>
        <w:tc>
          <w:tcPr>
            <w:tcW w:w="816"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9"/>
              <w:ind w:left="340" w:right="0"/>
              <w:jc w:val="left"/>
              <w:rPr>
                <w:rFonts w:ascii="Times New Roman" w:hAnsi="Times New Roman" w:cs="Times New Roman" w:eastAsia="Times New Roman" w:hint="default"/>
                <w:sz w:val="16"/>
                <w:szCs w:val="16"/>
              </w:rPr>
            </w:pPr>
            <w:r>
              <w:rPr>
                <w:rFonts w:ascii="Times New Roman"/>
                <w:sz w:val="16"/>
              </w:rPr>
              <w:t>4.035</w:t>
            </w:r>
          </w:p>
        </w:tc>
        <w:tc>
          <w:tcPr>
            <w:tcW w:w="69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9"/>
              <w:ind w:right="100"/>
              <w:jc w:val="right"/>
              <w:rPr>
                <w:rFonts w:ascii="Times New Roman" w:hAnsi="Times New Roman" w:cs="Times New Roman" w:eastAsia="Times New Roman" w:hint="default"/>
                <w:sz w:val="16"/>
                <w:szCs w:val="16"/>
              </w:rPr>
            </w:pPr>
            <w:r>
              <w:rPr>
                <w:rFonts w:ascii="Times New Roman"/>
                <w:spacing w:val="-1"/>
                <w:sz w:val="16"/>
              </w:rPr>
              <w:t>600</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9"/>
              <w:ind w:right="102"/>
              <w:jc w:val="right"/>
              <w:rPr>
                <w:rFonts w:ascii="Times New Roman" w:hAnsi="Times New Roman" w:cs="Times New Roman" w:eastAsia="Times New Roman" w:hint="default"/>
                <w:sz w:val="16"/>
                <w:szCs w:val="16"/>
              </w:rPr>
            </w:pPr>
            <w:r>
              <w:rPr>
                <w:rFonts w:ascii="Times New Roman"/>
                <w:spacing w:val="-1"/>
                <w:sz w:val="16"/>
              </w:rPr>
              <w:t>2.126</w:t>
            </w:r>
          </w:p>
        </w:tc>
        <w:tc>
          <w:tcPr>
            <w:tcW w:w="78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9"/>
              <w:ind w:right="100"/>
              <w:jc w:val="right"/>
              <w:rPr>
                <w:rFonts w:ascii="Times New Roman" w:hAnsi="Times New Roman" w:cs="Times New Roman" w:eastAsia="Times New Roman" w:hint="default"/>
                <w:sz w:val="16"/>
                <w:szCs w:val="16"/>
              </w:rPr>
            </w:pPr>
            <w:r>
              <w:rPr>
                <w:rFonts w:ascii="Times New Roman"/>
                <w:spacing w:val="-1"/>
                <w:sz w:val="16"/>
              </w:rPr>
              <w:t>2.110</w:t>
            </w:r>
          </w:p>
        </w:tc>
      </w:tr>
      <w:tr>
        <w:trPr>
          <w:trHeight w:val="216"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sz w:val="16"/>
              </w:rPr>
              <w:t>Исказано</w:t>
            </w:r>
            <w:r>
              <w:rPr>
                <w:rFonts w:ascii="Times New Roman" w:hAnsi="Times New Roman"/>
                <w:spacing w:val="-5"/>
                <w:sz w:val="16"/>
              </w:rPr>
              <w:t> </w:t>
            </w:r>
            <w:r>
              <w:rPr>
                <w:rFonts w:ascii="Times New Roman" w:hAnsi="Times New Roman"/>
                <w:sz w:val="16"/>
              </w:rPr>
              <w:t>изврш</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949</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337</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995</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2.674</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3.096</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1.503</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282</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1.129</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4.410</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1.419</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21.598</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1.074</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40.232</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340" w:right="0"/>
              <w:jc w:val="left"/>
              <w:rPr>
                <w:rFonts w:ascii="Times New Roman" w:hAnsi="Times New Roman" w:cs="Times New Roman" w:eastAsia="Times New Roman" w:hint="default"/>
                <w:sz w:val="16"/>
                <w:szCs w:val="16"/>
              </w:rPr>
            </w:pPr>
            <w:r>
              <w:rPr>
                <w:rFonts w:ascii="Times New Roman"/>
                <w:sz w:val="16"/>
              </w:rPr>
              <w:t>2.315</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643</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1.236</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795</w:t>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(1)</w:t>
            </w:r>
            <w:r>
              <w:rPr>
                <w:rFonts w:ascii="Times New Roman" w:hAnsi="Times New Roman"/>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991</w:t>
            </w:r>
            <w:r>
              <w:rPr>
                <w:rFonts w:ascii="Times New Roman"/>
                <w:spacing w:val="-1"/>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358</w:t>
            </w:r>
            <w:r>
              <w:rPr>
                <w:rFonts w:ascii="Times New Roman"/>
                <w:spacing w:val="-1"/>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2.005</w:t>
            </w:r>
            <w:r>
              <w:rPr>
                <w:rFonts w:ascii="Times New Roman"/>
                <w:spacing w:val="-1"/>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911</w:t>
            </w:r>
            <w:r>
              <w:rPr>
                <w:rFonts w:ascii="Times New Roman"/>
                <w:spacing w:val="-1"/>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1.834</w:t>
            </w:r>
            <w:r>
              <w:rPr>
                <w:rFonts w:ascii="Times New Roman"/>
                <w:spacing w:val="-1"/>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312</w:t>
            </w:r>
            <w:r>
              <w:rPr>
                <w:rFonts w:ascii="Times New Roman"/>
                <w:spacing w:val="-1"/>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525</w:t>
            </w:r>
            <w:r>
              <w:rPr>
                <w:rFonts w:ascii="Times New Roman"/>
                <w:spacing w:val="-1"/>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1.271</w:t>
            </w:r>
            <w:r>
              <w:rPr>
                <w:rFonts w:ascii="Times New Roman"/>
                <w:spacing w:val="-1"/>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7.875</w:t>
            </w:r>
            <w:r>
              <w:rPr>
                <w:rFonts w:ascii="Times New Roman"/>
                <w:spacing w:val="-1"/>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3.928</w:t>
            </w:r>
            <w:r>
              <w:rPr>
                <w:rFonts w:ascii="Times New Roman"/>
                <w:spacing w:val="-1"/>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6.546</w:t>
            </w:r>
            <w:r>
              <w:rPr>
                <w:rFonts w:ascii="Times New Roman"/>
                <w:spacing w:val="-1"/>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1.627</w:t>
            </w:r>
            <w:r>
              <w:rPr>
                <w:rFonts w:ascii="Times New Roman"/>
                <w:spacing w:val="-1"/>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4"/>
              <w:jc w:val="right"/>
              <w:rPr>
                <w:rFonts w:ascii="Times New Roman" w:hAnsi="Times New Roman" w:cs="Times New Roman" w:eastAsia="Times New Roman" w:hint="default"/>
                <w:sz w:val="16"/>
                <w:szCs w:val="16"/>
              </w:rPr>
            </w:pPr>
            <w:r>
              <w:rPr>
                <w:rFonts w:ascii="Times New Roman"/>
                <w:b/>
                <w:spacing w:val="-1"/>
                <w:sz w:val="16"/>
              </w:rPr>
              <w:t>-25.647</w:t>
            </w:r>
            <w:r>
              <w:rPr>
                <w:rFonts w:ascii="Times New Roman"/>
                <w:spacing w:val="-1"/>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340" w:right="0"/>
              <w:jc w:val="left"/>
              <w:rPr>
                <w:rFonts w:ascii="Times New Roman" w:hAnsi="Times New Roman" w:cs="Times New Roman" w:eastAsia="Times New Roman" w:hint="default"/>
                <w:sz w:val="16"/>
                <w:szCs w:val="16"/>
              </w:rPr>
            </w:pPr>
            <w:r>
              <w:rPr>
                <w:rFonts w:ascii="Times New Roman"/>
                <w:b/>
                <w:sz w:val="16"/>
              </w:rPr>
              <w:t>1.720</w:t>
            </w:r>
            <w:r>
              <w:rPr>
                <w:rFonts w:ascii="Times New Roman"/>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b/>
                <w:sz w:val="16"/>
              </w:rPr>
              <w:t>-43</w:t>
            </w:r>
            <w:r>
              <w:rPr>
                <w:rFonts w:ascii="Times New Roman"/>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890</w:t>
            </w:r>
            <w:r>
              <w:rPr>
                <w:rFonts w:ascii="Times New Roman"/>
                <w:spacing w:val="-1"/>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1.315</w:t>
            </w:r>
            <w:r>
              <w:rPr>
                <w:rFonts w:ascii="Times New Roman"/>
                <w:spacing w:val="-1"/>
                <w:sz w:val="16"/>
              </w:rPr>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3"/>
                <w:sz w:val="16"/>
              </w:rPr>
              <w:t> </w:t>
            </w:r>
            <w:r>
              <w:rPr>
                <w:rFonts w:ascii="Times New Roman" w:hAnsi="Times New Roman"/>
                <w:sz w:val="16"/>
              </w:rPr>
              <w:t>рач</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316</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w w:val="100"/>
                <w:sz w:val="16"/>
              </w:rPr>
              <w:t>2</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2.422</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707</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1.150</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130</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2.609</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1.841</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154</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1.861</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1"/>
              <w:jc w:val="right"/>
              <w:rPr>
                <w:rFonts w:ascii="Times New Roman" w:hAnsi="Times New Roman" w:cs="Times New Roman" w:eastAsia="Times New Roman" w:hint="default"/>
                <w:sz w:val="16"/>
                <w:szCs w:val="16"/>
              </w:rPr>
            </w:pPr>
            <w:r>
              <w:rPr>
                <w:rFonts w:ascii="Times New Roman"/>
                <w:w w:val="100"/>
                <w:sz w:val="16"/>
              </w:rPr>
              <w:t>5</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756</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1"/>
              <w:jc w:val="right"/>
              <w:rPr>
                <w:rFonts w:ascii="Times New Roman" w:hAnsi="Times New Roman" w:cs="Times New Roman" w:eastAsia="Times New Roman" w:hint="default"/>
                <w:sz w:val="16"/>
                <w:szCs w:val="16"/>
              </w:rPr>
            </w:pPr>
            <w:r>
              <w:rPr>
                <w:rFonts w:ascii="Times New Roman"/>
                <w:sz w:val="16"/>
              </w:rPr>
              <w:t>67</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2.129</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1"/>
              <w:jc w:val="right"/>
              <w:rPr>
                <w:rFonts w:ascii="Times New Roman" w:hAnsi="Times New Roman" w:cs="Times New Roman" w:eastAsia="Times New Roman" w:hint="default"/>
                <w:sz w:val="16"/>
                <w:szCs w:val="16"/>
              </w:rPr>
            </w:pPr>
            <w:r>
              <w:rPr>
                <w:rFonts w:ascii="Times New Roman"/>
                <w:sz w:val="16"/>
              </w:rPr>
              <w:t>19</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231</w:t>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7"/>
                <w:sz w:val="16"/>
              </w:rPr>
              <w:t> </w:t>
            </w:r>
            <w:r>
              <w:rPr>
                <w:rFonts w:ascii="Times New Roman" w:hAnsi="Times New Roman"/>
                <w:sz w:val="16"/>
              </w:rPr>
              <w:t>угов</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512</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1.256</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468</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23" w:hRule="exact"/>
        </w:trPr>
        <w:tc>
          <w:tcPr>
            <w:tcW w:w="626" w:type="dxa"/>
            <w:vMerge/>
            <w:tcBorders>
              <w:left w:val="single" w:sz="4" w:space="0" w:color="000000"/>
              <w:bottom w:val="single" w:sz="12" w:space="0" w:color="000000"/>
              <w:right w:val="single" w:sz="4" w:space="0" w:color="000000"/>
            </w:tcBorders>
          </w:tcPr>
          <w:p>
            <w:pPr/>
          </w:p>
        </w:tc>
        <w:tc>
          <w:tcPr>
            <w:tcW w:w="13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(2)</w:t>
            </w:r>
            <w:r>
              <w:rPr>
                <w:rFonts w:ascii="Times New Roman" w:hAnsi="Times New Roman"/>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675</w:t>
            </w:r>
            <w:r>
              <w:rPr>
                <w:rFonts w:ascii="Times New Roman"/>
                <w:spacing w:val="-1"/>
                <w:sz w:val="16"/>
              </w:rPr>
            </w:r>
          </w:p>
        </w:tc>
        <w:tc>
          <w:tcPr>
            <w:tcW w:w="67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356</w:t>
            </w:r>
            <w:r>
              <w:rPr>
                <w:rFonts w:ascii="Times New Roman"/>
                <w:spacing w:val="-1"/>
                <w:sz w:val="16"/>
              </w:rPr>
            </w:r>
          </w:p>
        </w:tc>
        <w:tc>
          <w:tcPr>
            <w:tcW w:w="92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-417</w:t>
            </w:r>
            <w:r>
              <w:rPr>
                <w:rFonts w:ascii="Times New Roman"/>
                <w:spacing w:val="-1"/>
                <w:sz w:val="16"/>
              </w:rPr>
            </w:r>
          </w:p>
        </w:tc>
        <w:tc>
          <w:tcPr>
            <w:tcW w:w="95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204</w:t>
            </w:r>
            <w:r>
              <w:rPr>
                <w:rFonts w:ascii="Times New Roman"/>
                <w:spacing w:val="-1"/>
                <w:sz w:val="16"/>
              </w:rPr>
            </w:r>
          </w:p>
        </w:tc>
        <w:tc>
          <w:tcPr>
            <w:tcW w:w="98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684</w:t>
            </w:r>
            <w:r>
              <w:rPr>
                <w:rFonts w:ascii="Times New Roman"/>
                <w:spacing w:val="-1"/>
                <w:sz w:val="16"/>
              </w:rPr>
            </w:r>
          </w:p>
        </w:tc>
        <w:tc>
          <w:tcPr>
            <w:tcW w:w="900"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182</w:t>
            </w:r>
            <w:r>
              <w:rPr>
                <w:rFonts w:ascii="Times New Roman"/>
                <w:spacing w:val="-1"/>
                <w:sz w:val="16"/>
              </w:rPr>
            </w:r>
          </w:p>
        </w:tc>
        <w:tc>
          <w:tcPr>
            <w:tcW w:w="7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525</w:t>
            </w:r>
            <w:r>
              <w:rPr>
                <w:rFonts w:ascii="Times New Roman"/>
                <w:spacing w:val="-1"/>
                <w:sz w:val="16"/>
              </w:rPr>
            </w:r>
          </w:p>
        </w:tc>
        <w:tc>
          <w:tcPr>
            <w:tcW w:w="79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-1.850</w:t>
            </w:r>
            <w:r>
              <w:rPr>
                <w:rFonts w:ascii="Times New Roman"/>
                <w:spacing w:val="-1"/>
                <w:sz w:val="16"/>
              </w:rPr>
            </w:r>
          </w:p>
        </w:tc>
        <w:tc>
          <w:tcPr>
            <w:tcW w:w="82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6.034</w:t>
            </w:r>
            <w:r>
              <w:rPr>
                <w:rFonts w:ascii="Times New Roman"/>
                <w:spacing w:val="-1"/>
                <w:sz w:val="16"/>
              </w:rPr>
            </w:r>
          </w:p>
        </w:tc>
        <w:tc>
          <w:tcPr>
            <w:tcW w:w="74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2.518</w:t>
            </w:r>
            <w:r>
              <w:rPr>
                <w:rFonts w:ascii="Times New Roman"/>
                <w:spacing w:val="-1"/>
                <w:sz w:val="16"/>
              </w:rPr>
            </w:r>
          </w:p>
        </w:tc>
        <w:tc>
          <w:tcPr>
            <w:tcW w:w="70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4.217</w:t>
            </w:r>
            <w:r>
              <w:rPr>
                <w:rFonts w:ascii="Times New Roman"/>
                <w:spacing w:val="-1"/>
                <w:sz w:val="16"/>
              </w:rPr>
            </w:r>
          </w:p>
        </w:tc>
        <w:tc>
          <w:tcPr>
            <w:tcW w:w="85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1.622</w:t>
            </w:r>
            <w:r>
              <w:rPr>
                <w:rFonts w:ascii="Times New Roman"/>
                <w:spacing w:val="-1"/>
                <w:sz w:val="16"/>
              </w:rPr>
            </w:r>
          </w:p>
        </w:tc>
        <w:tc>
          <w:tcPr>
            <w:tcW w:w="76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4"/>
              <w:jc w:val="right"/>
              <w:rPr>
                <w:rFonts w:ascii="Times New Roman" w:hAnsi="Times New Roman" w:cs="Times New Roman" w:eastAsia="Times New Roman" w:hint="default"/>
                <w:sz w:val="16"/>
                <w:szCs w:val="16"/>
              </w:rPr>
            </w:pPr>
            <w:r>
              <w:rPr>
                <w:rFonts w:ascii="Times New Roman"/>
                <w:b/>
                <w:spacing w:val="-1"/>
                <w:sz w:val="16"/>
              </w:rPr>
              <w:t>-26.403</w:t>
            </w:r>
            <w:r>
              <w:rPr>
                <w:rFonts w:ascii="Times New Roman"/>
                <w:spacing w:val="-1"/>
                <w:sz w:val="16"/>
              </w:rPr>
            </w:r>
          </w:p>
        </w:tc>
        <w:tc>
          <w:tcPr>
            <w:tcW w:w="81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left="340" w:right="0"/>
              <w:jc w:val="left"/>
              <w:rPr>
                <w:rFonts w:ascii="Times New Roman" w:hAnsi="Times New Roman" w:cs="Times New Roman" w:eastAsia="Times New Roman" w:hint="default"/>
                <w:sz w:val="16"/>
                <w:szCs w:val="16"/>
              </w:rPr>
            </w:pPr>
            <w:r>
              <w:rPr>
                <w:rFonts w:ascii="Times New Roman"/>
                <w:b/>
                <w:sz w:val="16"/>
              </w:rPr>
              <w:t>1.653</w:t>
            </w:r>
            <w:r>
              <w:rPr>
                <w:rFonts w:ascii="Times New Roman"/>
                <w:sz w:val="16"/>
              </w:rPr>
            </w:r>
          </w:p>
        </w:tc>
        <w:tc>
          <w:tcPr>
            <w:tcW w:w="69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-2.172</w:t>
            </w:r>
            <w:r>
              <w:rPr>
                <w:rFonts w:ascii="Times New Roman"/>
                <w:spacing w:val="-1"/>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871</w:t>
            </w:r>
            <w:r>
              <w:rPr>
                <w:rFonts w:ascii="Times New Roman"/>
                <w:spacing w:val="-1"/>
                <w:sz w:val="16"/>
              </w:rPr>
            </w:r>
          </w:p>
        </w:tc>
        <w:tc>
          <w:tcPr>
            <w:tcW w:w="78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1.084</w:t>
            </w:r>
            <w:r>
              <w:rPr>
                <w:rFonts w:ascii="Times New Roman"/>
                <w:spacing w:val="-1"/>
                <w:sz w:val="16"/>
              </w:rPr>
            </w:r>
          </w:p>
        </w:tc>
      </w:tr>
      <w:tr>
        <w:trPr>
          <w:trHeight w:val="233" w:hRule="exact"/>
        </w:trPr>
        <w:tc>
          <w:tcPr>
            <w:tcW w:w="626" w:type="dxa"/>
            <w:vMerge w:val="restart"/>
            <w:tcBorders>
              <w:top w:val="single" w:sz="12"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8"/>
                <w:szCs w:val="18"/>
              </w:rPr>
            </w:pPr>
          </w:p>
          <w:p>
            <w:pPr>
              <w:pStyle w:val="TableParagraph"/>
              <w:spacing w:line="240" w:lineRule="auto"/>
              <w:ind w:left="187" w:right="94"/>
              <w:jc w:val="left"/>
              <w:rPr>
                <w:rFonts w:ascii="Times New Roman" w:hAnsi="Times New Roman" w:cs="Times New Roman" w:eastAsia="Times New Roman" w:hint="default"/>
                <w:sz w:val="16"/>
                <w:szCs w:val="16"/>
              </w:rPr>
            </w:pPr>
            <w:r>
              <w:rPr>
                <w:rFonts w:ascii="Times New Roman"/>
                <w:sz w:val="16"/>
              </w:rPr>
              <w:t>424</w:t>
            </w:r>
          </w:p>
        </w:tc>
        <w:tc>
          <w:tcPr>
            <w:tcW w:w="135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3"/>
              <w:ind w:left="103" w:right="0"/>
              <w:jc w:val="left"/>
              <w:rPr>
                <w:rFonts w:ascii="Times New Roman" w:hAnsi="Times New Roman" w:cs="Times New Roman" w:eastAsia="Times New Roman" w:hint="default"/>
                <w:sz w:val="16"/>
                <w:szCs w:val="16"/>
              </w:rPr>
            </w:pPr>
            <w:r>
              <w:rPr>
                <w:rFonts w:ascii="Times New Roman" w:hAnsi="Times New Roman"/>
                <w:sz w:val="16"/>
              </w:rPr>
              <w:t>Укупна</w:t>
            </w:r>
            <w:r>
              <w:rPr>
                <w:rFonts w:ascii="Times New Roman" w:hAnsi="Times New Roman"/>
                <w:spacing w:val="-5"/>
                <w:sz w:val="16"/>
              </w:rPr>
              <w:t> </w:t>
            </w:r>
            <w:r>
              <w:rPr>
                <w:rFonts w:ascii="Times New Roman" w:hAnsi="Times New Roman"/>
                <w:sz w:val="16"/>
              </w:rPr>
              <w:t>апроп</w:t>
            </w:r>
            <w:r>
              <w:rPr>
                <w:rFonts w:ascii="Times New Roman" w:hAnsi="Times New Roman"/>
                <w:sz w:val="16"/>
              </w:rPr>
              <w:t>.</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3"/>
              <w:ind w:right="101"/>
              <w:jc w:val="right"/>
              <w:rPr>
                <w:rFonts w:ascii="Times New Roman" w:hAnsi="Times New Roman" w:cs="Times New Roman" w:eastAsia="Times New Roman" w:hint="default"/>
                <w:sz w:val="16"/>
                <w:szCs w:val="16"/>
              </w:rPr>
            </w:pPr>
            <w:r>
              <w:rPr>
                <w:rFonts w:ascii="Times New Roman"/>
                <w:sz w:val="16"/>
              </w:rPr>
              <w:t>78</w:t>
            </w:r>
          </w:p>
        </w:tc>
        <w:tc>
          <w:tcPr>
            <w:tcW w:w="92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3"/>
              <w:ind w:right="100"/>
              <w:jc w:val="right"/>
              <w:rPr>
                <w:rFonts w:ascii="Times New Roman" w:hAnsi="Times New Roman" w:cs="Times New Roman" w:eastAsia="Times New Roman" w:hint="default"/>
                <w:sz w:val="16"/>
                <w:szCs w:val="16"/>
              </w:rPr>
            </w:pPr>
            <w:r>
              <w:rPr>
                <w:rFonts w:ascii="Times New Roman"/>
                <w:spacing w:val="-1"/>
                <w:sz w:val="16"/>
              </w:rPr>
              <w:t>200</w:t>
            </w:r>
          </w:p>
        </w:tc>
        <w:tc>
          <w:tcPr>
            <w:tcW w:w="95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3"/>
              <w:ind w:right="100"/>
              <w:jc w:val="right"/>
              <w:rPr>
                <w:rFonts w:ascii="Times New Roman" w:hAnsi="Times New Roman" w:cs="Times New Roman" w:eastAsia="Times New Roman" w:hint="default"/>
                <w:sz w:val="16"/>
                <w:szCs w:val="16"/>
              </w:rPr>
            </w:pPr>
            <w:r>
              <w:rPr>
                <w:rFonts w:ascii="Times New Roman"/>
                <w:spacing w:val="-1"/>
                <w:sz w:val="16"/>
              </w:rPr>
              <w:t>6.760</w:t>
            </w:r>
          </w:p>
        </w:tc>
        <w:tc>
          <w:tcPr>
            <w:tcW w:w="986"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3"/>
              <w:ind w:right="101"/>
              <w:jc w:val="right"/>
              <w:rPr>
                <w:rFonts w:ascii="Times New Roman" w:hAnsi="Times New Roman" w:cs="Times New Roman" w:eastAsia="Times New Roman" w:hint="default"/>
                <w:sz w:val="16"/>
                <w:szCs w:val="16"/>
              </w:rPr>
            </w:pPr>
            <w:r>
              <w:rPr>
                <w:rFonts w:ascii="Times New Roman"/>
                <w:sz w:val="16"/>
              </w:rPr>
              <w:t>70</w:t>
            </w:r>
          </w:p>
        </w:tc>
        <w:tc>
          <w:tcPr>
            <w:tcW w:w="900"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3"/>
              <w:ind w:right="102"/>
              <w:jc w:val="right"/>
              <w:rPr>
                <w:rFonts w:ascii="Times New Roman" w:hAnsi="Times New Roman" w:cs="Times New Roman" w:eastAsia="Times New Roman" w:hint="default"/>
                <w:sz w:val="16"/>
                <w:szCs w:val="16"/>
              </w:rPr>
            </w:pPr>
            <w:r>
              <w:rPr>
                <w:rFonts w:ascii="Times New Roman"/>
                <w:spacing w:val="-1"/>
                <w:sz w:val="16"/>
              </w:rPr>
              <w:t>5.574</w:t>
            </w:r>
          </w:p>
        </w:tc>
        <w:tc>
          <w:tcPr>
            <w:tcW w:w="75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3"/>
              <w:ind w:right="98"/>
              <w:jc w:val="right"/>
              <w:rPr>
                <w:rFonts w:ascii="Times New Roman" w:hAnsi="Times New Roman" w:cs="Times New Roman" w:eastAsia="Times New Roman" w:hint="default"/>
                <w:sz w:val="16"/>
                <w:szCs w:val="16"/>
              </w:rPr>
            </w:pPr>
            <w:r>
              <w:rPr>
                <w:rFonts w:ascii="Times New Roman"/>
                <w:sz w:val="16"/>
              </w:rPr>
              <w:t>60</w:t>
            </w:r>
          </w:p>
        </w:tc>
        <w:tc>
          <w:tcPr>
            <w:tcW w:w="79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3"/>
              <w:ind w:right="102"/>
              <w:jc w:val="right"/>
              <w:rPr>
                <w:rFonts w:ascii="Times New Roman" w:hAnsi="Times New Roman" w:cs="Times New Roman" w:eastAsia="Times New Roman" w:hint="default"/>
                <w:sz w:val="16"/>
                <w:szCs w:val="16"/>
              </w:rPr>
            </w:pPr>
            <w:r>
              <w:rPr>
                <w:rFonts w:ascii="Times New Roman"/>
                <w:spacing w:val="-1"/>
                <w:sz w:val="16"/>
              </w:rPr>
              <w:t>5.200</w:t>
            </w:r>
          </w:p>
        </w:tc>
        <w:tc>
          <w:tcPr>
            <w:tcW w:w="74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3"/>
              <w:ind w:right="100"/>
              <w:jc w:val="right"/>
              <w:rPr>
                <w:rFonts w:ascii="Times New Roman" w:hAnsi="Times New Roman" w:cs="Times New Roman" w:eastAsia="Times New Roman" w:hint="default"/>
                <w:sz w:val="16"/>
                <w:szCs w:val="16"/>
              </w:rPr>
            </w:pPr>
            <w:r>
              <w:rPr>
                <w:rFonts w:ascii="Times New Roman"/>
                <w:spacing w:val="-1"/>
                <w:sz w:val="16"/>
              </w:rPr>
              <w:t>3.769</w:t>
            </w:r>
          </w:p>
        </w:tc>
        <w:tc>
          <w:tcPr>
            <w:tcW w:w="708"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19.437</w:t>
            </w:r>
          </w:p>
        </w:tc>
        <w:tc>
          <w:tcPr>
            <w:tcW w:w="85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3"/>
              <w:ind w:right="100"/>
              <w:jc w:val="right"/>
              <w:rPr>
                <w:rFonts w:ascii="Times New Roman" w:hAnsi="Times New Roman" w:cs="Times New Roman" w:eastAsia="Times New Roman" w:hint="default"/>
                <w:sz w:val="16"/>
                <w:szCs w:val="16"/>
              </w:rPr>
            </w:pPr>
            <w:r>
              <w:rPr>
                <w:rFonts w:ascii="Times New Roman"/>
                <w:spacing w:val="-1"/>
                <w:sz w:val="16"/>
              </w:rPr>
              <w:t>176.156</w:t>
            </w:r>
          </w:p>
        </w:tc>
        <w:tc>
          <w:tcPr>
            <w:tcW w:w="76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3"/>
              <w:ind w:right="102"/>
              <w:jc w:val="right"/>
              <w:rPr>
                <w:rFonts w:ascii="Times New Roman" w:hAnsi="Times New Roman" w:cs="Times New Roman" w:eastAsia="Times New Roman" w:hint="default"/>
                <w:sz w:val="16"/>
                <w:szCs w:val="16"/>
              </w:rPr>
            </w:pPr>
            <w:r>
              <w:rPr>
                <w:rFonts w:ascii="Times New Roman"/>
                <w:spacing w:val="-1"/>
                <w:sz w:val="16"/>
              </w:rPr>
              <w:t>110</w:t>
            </w:r>
          </w:p>
        </w:tc>
        <w:tc>
          <w:tcPr>
            <w:tcW w:w="816"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3"/>
              <w:ind w:left="340" w:right="0"/>
              <w:jc w:val="left"/>
              <w:rPr>
                <w:rFonts w:ascii="Times New Roman" w:hAnsi="Times New Roman" w:cs="Times New Roman" w:eastAsia="Times New Roman" w:hint="default"/>
                <w:sz w:val="16"/>
                <w:szCs w:val="16"/>
              </w:rPr>
            </w:pPr>
            <w:r>
              <w:rPr>
                <w:rFonts w:ascii="Times New Roman"/>
                <w:sz w:val="16"/>
              </w:rPr>
              <w:t>9.602</w:t>
            </w:r>
          </w:p>
        </w:tc>
        <w:tc>
          <w:tcPr>
            <w:tcW w:w="69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3"/>
              <w:ind w:right="100"/>
              <w:jc w:val="right"/>
              <w:rPr>
                <w:rFonts w:ascii="Times New Roman" w:hAnsi="Times New Roman" w:cs="Times New Roman" w:eastAsia="Times New Roman" w:hint="default"/>
                <w:sz w:val="16"/>
                <w:szCs w:val="16"/>
              </w:rPr>
            </w:pPr>
            <w:r>
              <w:rPr>
                <w:rFonts w:ascii="Times New Roman"/>
                <w:spacing w:val="-1"/>
                <w:sz w:val="16"/>
              </w:rPr>
              <w:t>800</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3"/>
              <w:ind w:right="102"/>
              <w:jc w:val="right"/>
              <w:rPr>
                <w:rFonts w:ascii="Times New Roman" w:hAnsi="Times New Roman" w:cs="Times New Roman" w:eastAsia="Times New Roman" w:hint="default"/>
                <w:sz w:val="16"/>
                <w:szCs w:val="16"/>
              </w:rPr>
            </w:pPr>
            <w:r>
              <w:rPr>
                <w:rFonts w:ascii="Times New Roman"/>
                <w:spacing w:val="-1"/>
                <w:sz w:val="16"/>
              </w:rPr>
              <w:t>975</w:t>
            </w:r>
          </w:p>
        </w:tc>
        <w:tc>
          <w:tcPr>
            <w:tcW w:w="78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3"/>
              <w:ind w:right="98"/>
              <w:jc w:val="right"/>
              <w:rPr>
                <w:rFonts w:ascii="Times New Roman" w:hAnsi="Times New Roman" w:cs="Times New Roman" w:eastAsia="Times New Roman" w:hint="default"/>
                <w:sz w:val="16"/>
                <w:szCs w:val="16"/>
              </w:rPr>
            </w:pPr>
            <w:r>
              <w:rPr>
                <w:rFonts w:ascii="Times New Roman"/>
                <w:sz w:val="16"/>
              </w:rPr>
              <w:t>80</w:t>
            </w:r>
          </w:p>
        </w:tc>
      </w:tr>
      <w:tr>
        <w:trPr>
          <w:trHeight w:val="269"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left="103" w:right="0"/>
              <w:jc w:val="left"/>
              <w:rPr>
                <w:rFonts w:ascii="Times New Roman" w:hAnsi="Times New Roman" w:cs="Times New Roman" w:eastAsia="Times New Roman" w:hint="default"/>
                <w:sz w:val="16"/>
                <w:szCs w:val="16"/>
              </w:rPr>
            </w:pPr>
            <w:r>
              <w:rPr>
                <w:rFonts w:ascii="Times New Roman" w:hAnsi="Times New Roman"/>
                <w:sz w:val="16"/>
              </w:rPr>
              <w:t>Исказано</w:t>
            </w:r>
            <w:r>
              <w:rPr>
                <w:rFonts w:ascii="Times New Roman" w:hAnsi="Times New Roman"/>
                <w:spacing w:val="-5"/>
                <w:sz w:val="16"/>
              </w:rPr>
              <w:t> </w:t>
            </w:r>
            <w:r>
              <w:rPr>
                <w:rFonts w:ascii="Times New Roman" w:hAnsi="Times New Roman"/>
                <w:sz w:val="16"/>
              </w:rPr>
              <w:t>изврш</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1"/>
              <w:jc w:val="right"/>
              <w:rPr>
                <w:rFonts w:ascii="Times New Roman" w:hAnsi="Times New Roman" w:cs="Times New Roman" w:eastAsia="Times New Roman" w:hint="default"/>
                <w:sz w:val="16"/>
                <w:szCs w:val="16"/>
              </w:rPr>
            </w:pPr>
            <w:r>
              <w:rPr>
                <w:rFonts w:ascii="Times New Roman"/>
                <w:sz w:val="16"/>
              </w:rPr>
              <w:t>37</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99"/>
              <w:jc w:val="right"/>
              <w:rPr>
                <w:rFonts w:ascii="Times New Roman" w:hAnsi="Times New Roman" w:cs="Times New Roman" w:eastAsia="Times New Roman" w:hint="default"/>
                <w:sz w:val="16"/>
                <w:szCs w:val="16"/>
              </w:rPr>
            </w:pPr>
            <w:r>
              <w:rPr>
                <w:rFonts w:ascii="Times New Roman"/>
                <w:sz w:val="16"/>
              </w:rPr>
              <w:t>16</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0"/>
              <w:jc w:val="right"/>
              <w:rPr>
                <w:rFonts w:ascii="Times New Roman" w:hAnsi="Times New Roman" w:cs="Times New Roman" w:eastAsia="Times New Roman" w:hint="default"/>
                <w:sz w:val="16"/>
                <w:szCs w:val="16"/>
              </w:rPr>
            </w:pPr>
            <w:r>
              <w:rPr>
                <w:rFonts w:ascii="Times New Roman"/>
                <w:spacing w:val="-1"/>
                <w:sz w:val="16"/>
              </w:rPr>
              <w:t>4.369</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2"/>
              <w:jc w:val="right"/>
              <w:rPr>
                <w:rFonts w:ascii="Times New Roman" w:hAnsi="Times New Roman" w:cs="Times New Roman" w:eastAsia="Times New Roman" w:hint="default"/>
                <w:sz w:val="16"/>
                <w:szCs w:val="16"/>
              </w:rPr>
            </w:pPr>
            <w:r>
              <w:rPr>
                <w:rFonts w:ascii="Times New Roman"/>
                <w:w w:val="100"/>
                <w:sz w:val="16"/>
              </w:rPr>
              <w:t>5</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2"/>
              <w:jc w:val="right"/>
              <w:rPr>
                <w:rFonts w:ascii="Times New Roman" w:hAnsi="Times New Roman" w:cs="Times New Roman" w:eastAsia="Times New Roman" w:hint="default"/>
                <w:sz w:val="16"/>
                <w:szCs w:val="16"/>
              </w:rPr>
            </w:pPr>
            <w:r>
              <w:rPr>
                <w:rFonts w:ascii="Times New Roman"/>
                <w:spacing w:val="-1"/>
                <w:sz w:val="16"/>
              </w:rPr>
              <w:t>4.761</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98"/>
              <w:jc w:val="right"/>
              <w:rPr>
                <w:rFonts w:ascii="Times New Roman" w:hAnsi="Times New Roman" w:cs="Times New Roman" w:eastAsia="Times New Roman" w:hint="default"/>
                <w:sz w:val="16"/>
                <w:szCs w:val="16"/>
              </w:rPr>
            </w:pPr>
            <w:r>
              <w:rPr>
                <w:rFonts w:ascii="Times New Roman"/>
                <w:sz w:val="16"/>
              </w:rPr>
              <w:t>16</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2"/>
              <w:jc w:val="right"/>
              <w:rPr>
                <w:rFonts w:ascii="Times New Roman" w:hAnsi="Times New Roman" w:cs="Times New Roman" w:eastAsia="Times New Roman" w:hint="default"/>
                <w:sz w:val="16"/>
                <w:szCs w:val="16"/>
              </w:rPr>
            </w:pPr>
            <w:r>
              <w:rPr>
                <w:rFonts w:ascii="Times New Roman"/>
                <w:spacing w:val="-1"/>
                <w:sz w:val="16"/>
              </w:rPr>
              <w:t>5.162</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0"/>
              <w:jc w:val="right"/>
              <w:rPr>
                <w:rFonts w:ascii="Times New Roman" w:hAnsi="Times New Roman" w:cs="Times New Roman" w:eastAsia="Times New Roman" w:hint="default"/>
                <w:sz w:val="16"/>
                <w:szCs w:val="16"/>
              </w:rPr>
            </w:pPr>
            <w:r>
              <w:rPr>
                <w:rFonts w:ascii="Times New Roman"/>
                <w:spacing w:val="-1"/>
                <w:sz w:val="16"/>
              </w:rPr>
              <w:t>2.405</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13.809</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0"/>
              <w:jc w:val="right"/>
              <w:rPr>
                <w:rFonts w:ascii="Times New Roman" w:hAnsi="Times New Roman" w:cs="Times New Roman" w:eastAsia="Times New Roman" w:hint="default"/>
                <w:sz w:val="16"/>
                <w:szCs w:val="16"/>
              </w:rPr>
            </w:pPr>
            <w:r>
              <w:rPr>
                <w:rFonts w:ascii="Times New Roman"/>
                <w:spacing w:val="-1"/>
                <w:sz w:val="16"/>
              </w:rPr>
              <w:t>75.633</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2"/>
              <w:jc w:val="right"/>
              <w:rPr>
                <w:rFonts w:ascii="Times New Roman" w:hAnsi="Times New Roman" w:cs="Times New Roman" w:eastAsia="Times New Roman" w:hint="default"/>
                <w:sz w:val="16"/>
                <w:szCs w:val="16"/>
              </w:rPr>
            </w:pPr>
            <w:r>
              <w:rPr>
                <w:rFonts w:ascii="Times New Roman"/>
                <w:w w:val="100"/>
                <w:sz w:val="16"/>
              </w:rPr>
              <w:t>0</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left="340" w:right="0"/>
              <w:jc w:val="left"/>
              <w:rPr>
                <w:rFonts w:ascii="Times New Roman" w:hAnsi="Times New Roman" w:cs="Times New Roman" w:eastAsia="Times New Roman" w:hint="default"/>
                <w:sz w:val="16"/>
                <w:szCs w:val="16"/>
              </w:rPr>
            </w:pPr>
            <w:r>
              <w:rPr>
                <w:rFonts w:ascii="Times New Roman"/>
                <w:sz w:val="16"/>
              </w:rPr>
              <w:t>5.824</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0"/>
              <w:jc w:val="right"/>
              <w:rPr>
                <w:rFonts w:ascii="Times New Roman" w:hAnsi="Times New Roman" w:cs="Times New Roman" w:eastAsia="Times New Roman" w:hint="default"/>
                <w:sz w:val="16"/>
                <w:szCs w:val="16"/>
              </w:rPr>
            </w:pPr>
            <w:r>
              <w:rPr>
                <w:rFonts w:ascii="Times New Roman"/>
                <w:spacing w:val="-1"/>
                <w:sz w:val="16"/>
              </w:rPr>
              <w:t>460</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2"/>
              <w:jc w:val="right"/>
              <w:rPr>
                <w:rFonts w:ascii="Times New Roman" w:hAnsi="Times New Roman" w:cs="Times New Roman" w:eastAsia="Times New Roman" w:hint="default"/>
                <w:sz w:val="16"/>
                <w:szCs w:val="16"/>
              </w:rPr>
            </w:pPr>
            <w:r>
              <w:rPr>
                <w:rFonts w:ascii="Times New Roman"/>
                <w:spacing w:val="-1"/>
                <w:sz w:val="16"/>
              </w:rPr>
              <w:t>393</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(1)</w:t>
            </w:r>
            <w:r>
              <w:rPr>
                <w:rFonts w:ascii="Times New Roman" w:hAnsi="Times New Roman"/>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z w:val="16"/>
              </w:rPr>
              <w:t>41</w:t>
            </w:r>
            <w:r>
              <w:rPr>
                <w:rFonts w:ascii="Times New Roman"/>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184</w:t>
            </w:r>
            <w:r>
              <w:rPr>
                <w:rFonts w:ascii="Times New Roman"/>
                <w:spacing w:val="-1"/>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2.391</w:t>
            </w:r>
            <w:r>
              <w:rPr>
                <w:rFonts w:ascii="Times New Roman"/>
                <w:spacing w:val="-1"/>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z w:val="16"/>
              </w:rPr>
              <w:t>65</w:t>
            </w:r>
            <w:r>
              <w:rPr>
                <w:rFonts w:ascii="Times New Roman"/>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813</w:t>
            </w:r>
            <w:r>
              <w:rPr>
                <w:rFonts w:ascii="Times New Roman"/>
                <w:spacing w:val="-1"/>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98"/>
              <w:jc w:val="right"/>
              <w:rPr>
                <w:rFonts w:ascii="Times New Roman" w:hAnsi="Times New Roman" w:cs="Times New Roman" w:eastAsia="Times New Roman" w:hint="default"/>
                <w:sz w:val="16"/>
                <w:szCs w:val="16"/>
              </w:rPr>
            </w:pPr>
            <w:r>
              <w:rPr>
                <w:rFonts w:ascii="Times New Roman"/>
                <w:b/>
                <w:sz w:val="16"/>
              </w:rPr>
              <w:t>44</w:t>
            </w:r>
            <w:r>
              <w:rPr>
                <w:rFonts w:ascii="Times New Roman"/>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z w:val="16"/>
              </w:rPr>
              <w:t>38</w:t>
            </w:r>
            <w:r>
              <w:rPr>
                <w:rFonts w:ascii="Times New Roman"/>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1.364</w:t>
            </w:r>
            <w:r>
              <w:rPr>
                <w:rFonts w:ascii="Times New Roman"/>
                <w:spacing w:val="-1"/>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5.628</w:t>
            </w:r>
            <w:r>
              <w:rPr>
                <w:rFonts w:ascii="Times New Roman"/>
                <w:spacing w:val="-1"/>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100.523</w:t>
            </w:r>
            <w:r>
              <w:rPr>
                <w:rFonts w:ascii="Times New Roman"/>
                <w:spacing w:val="-1"/>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110</w:t>
            </w:r>
            <w:r>
              <w:rPr>
                <w:rFonts w:ascii="Times New Roman"/>
                <w:spacing w:val="-1"/>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left="340" w:right="0"/>
              <w:jc w:val="left"/>
              <w:rPr>
                <w:rFonts w:ascii="Times New Roman" w:hAnsi="Times New Roman" w:cs="Times New Roman" w:eastAsia="Times New Roman" w:hint="default"/>
                <w:sz w:val="16"/>
                <w:szCs w:val="16"/>
              </w:rPr>
            </w:pPr>
            <w:r>
              <w:rPr>
                <w:rFonts w:ascii="Times New Roman"/>
                <w:b/>
                <w:sz w:val="16"/>
              </w:rPr>
              <w:t>3.778</w:t>
            </w:r>
            <w:r>
              <w:rPr>
                <w:rFonts w:ascii="Times New Roman"/>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340</w:t>
            </w:r>
            <w:r>
              <w:rPr>
                <w:rFonts w:ascii="Times New Roman"/>
                <w:spacing w:val="-1"/>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582</w:t>
            </w:r>
            <w:r>
              <w:rPr>
                <w:rFonts w:ascii="Times New Roman"/>
                <w:spacing w:val="-1"/>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98"/>
              <w:jc w:val="right"/>
              <w:rPr>
                <w:rFonts w:ascii="Times New Roman" w:hAnsi="Times New Roman" w:cs="Times New Roman" w:eastAsia="Times New Roman" w:hint="default"/>
                <w:sz w:val="16"/>
                <w:szCs w:val="16"/>
              </w:rPr>
            </w:pPr>
            <w:r>
              <w:rPr>
                <w:rFonts w:ascii="Times New Roman"/>
                <w:b/>
                <w:sz w:val="16"/>
              </w:rPr>
              <w:t>80</w:t>
            </w:r>
            <w:r>
              <w:rPr>
                <w:rFonts w:ascii="Times New Roman"/>
                <w:sz w:val="16"/>
              </w:rPr>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3"/>
                <w:sz w:val="16"/>
              </w:rPr>
              <w:t> </w:t>
            </w:r>
            <w:r>
              <w:rPr>
                <w:rFonts w:ascii="Times New Roman" w:hAnsi="Times New Roman"/>
                <w:sz w:val="16"/>
              </w:rPr>
              <w:t>рач</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w w:val="100"/>
                <w:sz w:val="16"/>
              </w:rPr>
              <w:t>3</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1.718</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426</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w w:val="100"/>
                <w:sz w:val="16"/>
              </w:rPr>
              <w:t>-</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423</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1.762</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w w:val="100"/>
                <w:sz w:val="16"/>
              </w:rPr>
              <w:t>5</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340" w:right="0"/>
              <w:jc w:val="left"/>
              <w:rPr>
                <w:rFonts w:ascii="Times New Roman" w:hAnsi="Times New Roman" w:cs="Times New Roman" w:eastAsia="Times New Roman" w:hint="default"/>
                <w:sz w:val="16"/>
                <w:szCs w:val="16"/>
              </w:rPr>
            </w:pPr>
            <w:r>
              <w:rPr>
                <w:rFonts w:ascii="Times New Roman"/>
                <w:sz w:val="16"/>
              </w:rPr>
              <w:t>1.041</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sz w:val="16"/>
              </w:rPr>
              <w:t>37</w:t>
            </w:r>
          </w:p>
        </w:tc>
        <w:tc>
          <w:tcPr>
            <w:tcW w:w="658" w:type="dxa"/>
            <w:tcBorders>
              <w:top w:val="single" w:sz="4" w:space="0" w:color="000000"/>
              <w:left w:val="single" w:sz="4" w:space="0" w:color="000000"/>
              <w:bottom w:val="single" w:sz="4" w:space="0" w:color="000000"/>
              <w:right w:val="single" w:sz="4" w:space="0" w:color="000000"/>
            </w:tcBorders>
          </w:tcPr>
          <w:p>
            <w:pP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33"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3"/>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7"/>
                <w:sz w:val="16"/>
              </w:rPr>
              <w:t> </w:t>
            </w:r>
            <w:r>
              <w:rPr>
                <w:rFonts w:ascii="Times New Roman" w:hAnsi="Times New Roman"/>
                <w:sz w:val="16"/>
              </w:rPr>
              <w:t>угов</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5"/>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5"/>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5"/>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5"/>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5"/>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5"/>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5"/>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5"/>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3"/>
              <w:ind w:right="102"/>
              <w:jc w:val="right"/>
              <w:rPr>
                <w:rFonts w:ascii="Times New Roman" w:hAnsi="Times New Roman" w:cs="Times New Roman" w:eastAsia="Times New Roman" w:hint="default"/>
                <w:sz w:val="16"/>
                <w:szCs w:val="16"/>
              </w:rPr>
            </w:pPr>
            <w:r>
              <w:rPr>
                <w:rFonts w:ascii="Times New Roman"/>
                <w:spacing w:val="-1"/>
                <w:sz w:val="16"/>
              </w:rPr>
              <w:t>7.989</w:t>
            </w:r>
          </w:p>
        </w:tc>
        <w:tc>
          <w:tcPr>
            <w:tcW w:w="747" w:type="dxa"/>
            <w:tcBorders>
              <w:top w:val="single" w:sz="4" w:space="0" w:color="000000"/>
              <w:left w:val="single" w:sz="4" w:space="0" w:color="000000"/>
              <w:bottom w:val="single" w:sz="4" w:space="0" w:color="000000"/>
              <w:right w:val="single" w:sz="4" w:space="0" w:color="000000"/>
            </w:tcBorders>
          </w:tcPr>
          <w:p>
            <w:pP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208</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3"/>
              <w:ind w:right="100"/>
              <w:jc w:val="right"/>
              <w:rPr>
                <w:rFonts w:ascii="Times New Roman" w:hAnsi="Times New Roman" w:cs="Times New Roman" w:eastAsia="Times New Roman" w:hint="default"/>
                <w:sz w:val="16"/>
                <w:szCs w:val="16"/>
              </w:rPr>
            </w:pPr>
            <w:r>
              <w:rPr>
                <w:rFonts w:ascii="Times New Roman"/>
                <w:spacing w:val="-1"/>
                <w:sz w:val="16"/>
              </w:rPr>
              <w:t>56.909</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5"/>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5"/>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5"/>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3"/>
              <w:ind w:right="102"/>
              <w:jc w:val="right"/>
              <w:rPr>
                <w:rFonts w:ascii="Times New Roman" w:hAnsi="Times New Roman" w:cs="Times New Roman" w:eastAsia="Times New Roman" w:hint="default"/>
                <w:sz w:val="16"/>
                <w:szCs w:val="16"/>
              </w:rPr>
            </w:pPr>
            <w:r>
              <w:rPr>
                <w:rFonts w:ascii="Times New Roman"/>
                <w:spacing w:val="-1"/>
                <w:sz w:val="16"/>
              </w:rPr>
              <w:t>194</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5"/>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23" w:hRule="exact"/>
        </w:trPr>
        <w:tc>
          <w:tcPr>
            <w:tcW w:w="626" w:type="dxa"/>
            <w:vMerge/>
            <w:tcBorders>
              <w:left w:val="single" w:sz="4" w:space="0" w:color="000000"/>
              <w:bottom w:val="single" w:sz="12" w:space="0" w:color="000000"/>
              <w:right w:val="single" w:sz="4" w:space="0" w:color="000000"/>
            </w:tcBorders>
          </w:tcPr>
          <w:p>
            <w:pPr/>
          </w:p>
        </w:tc>
        <w:tc>
          <w:tcPr>
            <w:tcW w:w="13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(2)</w:t>
            </w:r>
            <w:r>
              <w:rPr>
                <w:rFonts w:ascii="Times New Roman" w:hAnsi="Times New Roman"/>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z w:val="16"/>
              </w:rPr>
              <w:t>38</w:t>
            </w:r>
            <w:r>
              <w:rPr>
                <w:rFonts w:ascii="Times New Roman"/>
                <w:sz w:val="16"/>
              </w:rPr>
            </w:r>
          </w:p>
        </w:tc>
        <w:tc>
          <w:tcPr>
            <w:tcW w:w="92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184</w:t>
            </w:r>
            <w:r>
              <w:rPr>
                <w:rFonts w:ascii="Times New Roman"/>
                <w:spacing w:val="-1"/>
                <w:sz w:val="16"/>
              </w:rPr>
            </w:r>
          </w:p>
        </w:tc>
        <w:tc>
          <w:tcPr>
            <w:tcW w:w="95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673</w:t>
            </w:r>
            <w:r>
              <w:rPr>
                <w:rFonts w:ascii="Times New Roman"/>
                <w:spacing w:val="-1"/>
                <w:sz w:val="16"/>
              </w:rPr>
            </w:r>
          </w:p>
        </w:tc>
        <w:tc>
          <w:tcPr>
            <w:tcW w:w="98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z w:val="16"/>
              </w:rPr>
              <w:t>65</w:t>
            </w:r>
            <w:r>
              <w:rPr>
                <w:rFonts w:ascii="Times New Roman"/>
                <w:sz w:val="16"/>
              </w:rPr>
            </w:r>
          </w:p>
        </w:tc>
        <w:tc>
          <w:tcPr>
            <w:tcW w:w="900"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387</w:t>
            </w:r>
            <w:r>
              <w:rPr>
                <w:rFonts w:ascii="Times New Roman"/>
                <w:spacing w:val="-1"/>
                <w:sz w:val="16"/>
              </w:rPr>
            </w:r>
          </w:p>
        </w:tc>
        <w:tc>
          <w:tcPr>
            <w:tcW w:w="7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b/>
                <w:sz w:val="16"/>
              </w:rPr>
              <w:t>44</w:t>
            </w:r>
            <w:r>
              <w:rPr>
                <w:rFonts w:ascii="Times New Roman"/>
                <w:sz w:val="16"/>
              </w:rPr>
            </w:r>
          </w:p>
        </w:tc>
        <w:tc>
          <w:tcPr>
            <w:tcW w:w="79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-7.951</w:t>
            </w:r>
            <w:r>
              <w:rPr>
                <w:rFonts w:ascii="Times New Roman"/>
                <w:spacing w:val="-1"/>
                <w:sz w:val="16"/>
              </w:rPr>
            </w:r>
          </w:p>
        </w:tc>
        <w:tc>
          <w:tcPr>
            <w:tcW w:w="74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941</w:t>
            </w:r>
            <w:r>
              <w:rPr>
                <w:rFonts w:ascii="Times New Roman"/>
                <w:spacing w:val="-1"/>
                <w:sz w:val="16"/>
              </w:rPr>
            </w:r>
          </w:p>
        </w:tc>
        <w:tc>
          <w:tcPr>
            <w:tcW w:w="70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3.658</w:t>
            </w:r>
            <w:r>
              <w:rPr>
                <w:rFonts w:ascii="Times New Roman"/>
                <w:spacing w:val="-1"/>
                <w:sz w:val="16"/>
              </w:rPr>
            </w:r>
          </w:p>
        </w:tc>
        <w:tc>
          <w:tcPr>
            <w:tcW w:w="85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43.609</w:t>
            </w:r>
            <w:r>
              <w:rPr>
                <w:rFonts w:ascii="Times New Roman"/>
                <w:spacing w:val="-1"/>
                <w:sz w:val="16"/>
              </w:rPr>
            </w:r>
          </w:p>
        </w:tc>
        <w:tc>
          <w:tcPr>
            <w:tcW w:w="76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110</w:t>
            </w:r>
            <w:r>
              <w:rPr>
                <w:rFonts w:ascii="Times New Roman"/>
                <w:spacing w:val="-1"/>
                <w:sz w:val="16"/>
              </w:rPr>
            </w:r>
          </w:p>
        </w:tc>
        <w:tc>
          <w:tcPr>
            <w:tcW w:w="81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left="340" w:right="0"/>
              <w:jc w:val="left"/>
              <w:rPr>
                <w:rFonts w:ascii="Times New Roman" w:hAnsi="Times New Roman" w:cs="Times New Roman" w:eastAsia="Times New Roman" w:hint="default"/>
                <w:sz w:val="16"/>
                <w:szCs w:val="16"/>
              </w:rPr>
            </w:pPr>
            <w:r>
              <w:rPr>
                <w:rFonts w:ascii="Times New Roman"/>
                <w:b/>
                <w:sz w:val="16"/>
              </w:rPr>
              <w:t>2.737</w:t>
            </w:r>
            <w:r>
              <w:rPr>
                <w:rFonts w:ascii="Times New Roman"/>
                <w:sz w:val="16"/>
              </w:rPr>
            </w:r>
          </w:p>
        </w:tc>
        <w:tc>
          <w:tcPr>
            <w:tcW w:w="69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303</w:t>
            </w:r>
            <w:r>
              <w:rPr>
                <w:rFonts w:ascii="Times New Roman"/>
                <w:spacing w:val="-1"/>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388</w:t>
            </w:r>
            <w:r>
              <w:rPr>
                <w:rFonts w:ascii="Times New Roman"/>
                <w:spacing w:val="-1"/>
                <w:sz w:val="16"/>
              </w:rPr>
            </w:r>
          </w:p>
        </w:tc>
        <w:tc>
          <w:tcPr>
            <w:tcW w:w="78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b/>
                <w:sz w:val="16"/>
              </w:rPr>
              <w:t>80</w:t>
            </w:r>
            <w:r>
              <w:rPr>
                <w:rFonts w:ascii="Times New Roman"/>
                <w:sz w:val="16"/>
              </w:rPr>
            </w:r>
          </w:p>
        </w:tc>
      </w:tr>
      <w:tr>
        <w:trPr>
          <w:trHeight w:val="276" w:hRule="exact"/>
        </w:trPr>
        <w:tc>
          <w:tcPr>
            <w:tcW w:w="626" w:type="dxa"/>
            <w:vMerge w:val="restart"/>
            <w:tcBorders>
              <w:top w:val="single" w:sz="12"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22"/>
                <w:szCs w:val="22"/>
              </w:rPr>
            </w:pPr>
          </w:p>
          <w:p>
            <w:pPr>
              <w:pStyle w:val="TableParagraph"/>
              <w:spacing w:line="240" w:lineRule="auto"/>
              <w:ind w:left="187" w:right="94"/>
              <w:jc w:val="left"/>
              <w:rPr>
                <w:rFonts w:ascii="Times New Roman" w:hAnsi="Times New Roman" w:cs="Times New Roman" w:eastAsia="Times New Roman" w:hint="default"/>
                <w:sz w:val="16"/>
                <w:szCs w:val="16"/>
              </w:rPr>
            </w:pPr>
            <w:r>
              <w:rPr>
                <w:rFonts w:ascii="Times New Roman"/>
                <w:sz w:val="16"/>
              </w:rPr>
              <w:t>425</w:t>
            </w:r>
          </w:p>
        </w:tc>
        <w:tc>
          <w:tcPr>
            <w:tcW w:w="135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left="103" w:right="0"/>
              <w:jc w:val="left"/>
              <w:rPr>
                <w:rFonts w:ascii="Times New Roman" w:hAnsi="Times New Roman" w:cs="Times New Roman" w:eastAsia="Times New Roman" w:hint="default"/>
                <w:sz w:val="16"/>
                <w:szCs w:val="16"/>
              </w:rPr>
            </w:pPr>
            <w:r>
              <w:rPr>
                <w:rFonts w:ascii="Times New Roman" w:hAnsi="Times New Roman"/>
                <w:sz w:val="16"/>
              </w:rPr>
              <w:t>Укупна</w:t>
            </w:r>
            <w:r>
              <w:rPr>
                <w:rFonts w:ascii="Times New Roman" w:hAnsi="Times New Roman"/>
                <w:spacing w:val="-5"/>
                <w:sz w:val="16"/>
              </w:rPr>
              <w:t> </w:t>
            </w:r>
            <w:r>
              <w:rPr>
                <w:rFonts w:ascii="Times New Roman" w:hAnsi="Times New Roman"/>
                <w:sz w:val="16"/>
              </w:rPr>
              <w:t>апроп</w:t>
            </w:r>
            <w:r>
              <w:rPr>
                <w:rFonts w:ascii="Times New Roman" w:hAnsi="Times New Roman"/>
                <w:sz w:val="16"/>
              </w:rPr>
              <w:t>.</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2"/>
              <w:jc w:val="right"/>
              <w:rPr>
                <w:rFonts w:ascii="Times New Roman" w:hAnsi="Times New Roman" w:cs="Times New Roman" w:eastAsia="Times New Roman" w:hint="default"/>
                <w:sz w:val="16"/>
                <w:szCs w:val="16"/>
              </w:rPr>
            </w:pPr>
            <w:r>
              <w:rPr>
                <w:rFonts w:ascii="Times New Roman"/>
                <w:spacing w:val="-1"/>
                <w:sz w:val="16"/>
              </w:rPr>
              <w:t>260</w:t>
            </w:r>
          </w:p>
        </w:tc>
        <w:tc>
          <w:tcPr>
            <w:tcW w:w="67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2"/>
              <w:jc w:val="right"/>
              <w:rPr>
                <w:rFonts w:ascii="Times New Roman" w:hAnsi="Times New Roman" w:cs="Times New Roman" w:eastAsia="Times New Roman" w:hint="default"/>
                <w:sz w:val="16"/>
                <w:szCs w:val="16"/>
              </w:rPr>
            </w:pPr>
            <w:r>
              <w:rPr>
                <w:rFonts w:ascii="Times New Roman"/>
                <w:spacing w:val="-1"/>
                <w:sz w:val="16"/>
              </w:rPr>
              <w:t>190</w:t>
            </w:r>
          </w:p>
        </w:tc>
        <w:tc>
          <w:tcPr>
            <w:tcW w:w="92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1"/>
              <w:jc w:val="right"/>
              <w:rPr>
                <w:rFonts w:ascii="Times New Roman" w:hAnsi="Times New Roman" w:cs="Times New Roman" w:eastAsia="Times New Roman" w:hint="default"/>
                <w:sz w:val="16"/>
                <w:szCs w:val="16"/>
              </w:rPr>
            </w:pPr>
            <w:r>
              <w:rPr>
                <w:rFonts w:ascii="Times New Roman"/>
                <w:spacing w:val="-1"/>
                <w:sz w:val="16"/>
              </w:rPr>
              <w:t>685.961</w:t>
            </w:r>
          </w:p>
        </w:tc>
        <w:tc>
          <w:tcPr>
            <w:tcW w:w="95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0"/>
              <w:jc w:val="right"/>
              <w:rPr>
                <w:rFonts w:ascii="Times New Roman" w:hAnsi="Times New Roman" w:cs="Times New Roman" w:eastAsia="Times New Roman" w:hint="default"/>
                <w:sz w:val="16"/>
                <w:szCs w:val="16"/>
              </w:rPr>
            </w:pPr>
            <w:r>
              <w:rPr>
                <w:rFonts w:ascii="Times New Roman"/>
                <w:spacing w:val="-1"/>
                <w:sz w:val="16"/>
              </w:rPr>
              <w:t>1.150</w:t>
            </w:r>
          </w:p>
        </w:tc>
        <w:tc>
          <w:tcPr>
            <w:tcW w:w="986"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2"/>
              <w:jc w:val="right"/>
              <w:rPr>
                <w:rFonts w:ascii="Times New Roman" w:hAnsi="Times New Roman" w:cs="Times New Roman" w:eastAsia="Times New Roman" w:hint="default"/>
                <w:sz w:val="16"/>
                <w:szCs w:val="16"/>
              </w:rPr>
            </w:pPr>
            <w:r>
              <w:rPr>
                <w:rFonts w:ascii="Times New Roman"/>
                <w:spacing w:val="-1"/>
                <w:sz w:val="16"/>
              </w:rPr>
              <w:t>760</w:t>
            </w:r>
          </w:p>
        </w:tc>
        <w:tc>
          <w:tcPr>
            <w:tcW w:w="900"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2"/>
              <w:jc w:val="right"/>
              <w:rPr>
                <w:rFonts w:ascii="Times New Roman" w:hAnsi="Times New Roman" w:cs="Times New Roman" w:eastAsia="Times New Roman" w:hint="default"/>
                <w:sz w:val="16"/>
                <w:szCs w:val="16"/>
              </w:rPr>
            </w:pPr>
            <w:r>
              <w:rPr>
                <w:rFonts w:ascii="Times New Roman"/>
                <w:spacing w:val="-1"/>
                <w:sz w:val="16"/>
              </w:rPr>
              <w:t>445</w:t>
            </w:r>
          </w:p>
        </w:tc>
        <w:tc>
          <w:tcPr>
            <w:tcW w:w="75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0"/>
              <w:jc w:val="right"/>
              <w:rPr>
                <w:rFonts w:ascii="Times New Roman" w:hAnsi="Times New Roman" w:cs="Times New Roman" w:eastAsia="Times New Roman" w:hint="default"/>
                <w:sz w:val="16"/>
                <w:szCs w:val="16"/>
              </w:rPr>
            </w:pPr>
            <w:r>
              <w:rPr>
                <w:rFonts w:ascii="Times New Roman"/>
                <w:spacing w:val="-1"/>
                <w:sz w:val="16"/>
              </w:rPr>
              <w:t>300</w:t>
            </w:r>
          </w:p>
        </w:tc>
        <w:tc>
          <w:tcPr>
            <w:tcW w:w="79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0"/>
              <w:jc w:val="right"/>
              <w:rPr>
                <w:rFonts w:ascii="Times New Roman" w:hAnsi="Times New Roman" w:cs="Times New Roman" w:eastAsia="Times New Roman" w:hint="default"/>
                <w:sz w:val="16"/>
                <w:szCs w:val="16"/>
              </w:rPr>
            </w:pPr>
            <w:r>
              <w:rPr>
                <w:rFonts w:ascii="Times New Roman"/>
                <w:spacing w:val="-1"/>
                <w:sz w:val="16"/>
              </w:rPr>
              <w:t>1.165</w:t>
            </w:r>
          </w:p>
        </w:tc>
        <w:tc>
          <w:tcPr>
            <w:tcW w:w="82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2"/>
              <w:jc w:val="right"/>
              <w:rPr>
                <w:rFonts w:ascii="Times New Roman" w:hAnsi="Times New Roman" w:cs="Times New Roman" w:eastAsia="Times New Roman" w:hint="default"/>
                <w:sz w:val="16"/>
                <w:szCs w:val="16"/>
              </w:rPr>
            </w:pPr>
            <w:r>
              <w:rPr>
                <w:rFonts w:ascii="Times New Roman"/>
                <w:spacing w:val="-1"/>
                <w:sz w:val="16"/>
              </w:rPr>
              <w:t>16.299</w:t>
            </w:r>
          </w:p>
        </w:tc>
        <w:tc>
          <w:tcPr>
            <w:tcW w:w="74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0"/>
              <w:jc w:val="right"/>
              <w:rPr>
                <w:rFonts w:ascii="Times New Roman" w:hAnsi="Times New Roman" w:cs="Times New Roman" w:eastAsia="Times New Roman" w:hint="default"/>
                <w:sz w:val="16"/>
                <w:szCs w:val="16"/>
              </w:rPr>
            </w:pPr>
            <w:r>
              <w:rPr>
                <w:rFonts w:ascii="Times New Roman"/>
                <w:spacing w:val="-1"/>
                <w:sz w:val="16"/>
              </w:rPr>
              <w:t>9.767</w:t>
            </w:r>
          </w:p>
        </w:tc>
        <w:tc>
          <w:tcPr>
            <w:tcW w:w="708"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470</w:t>
            </w:r>
          </w:p>
        </w:tc>
        <w:tc>
          <w:tcPr>
            <w:tcW w:w="85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0"/>
              <w:jc w:val="right"/>
              <w:rPr>
                <w:rFonts w:ascii="Times New Roman" w:hAnsi="Times New Roman" w:cs="Times New Roman" w:eastAsia="Times New Roman" w:hint="default"/>
                <w:sz w:val="16"/>
                <w:szCs w:val="16"/>
              </w:rPr>
            </w:pPr>
            <w:r>
              <w:rPr>
                <w:rFonts w:ascii="Times New Roman"/>
                <w:spacing w:val="-1"/>
                <w:sz w:val="16"/>
              </w:rPr>
              <w:t>428</w:t>
            </w:r>
          </w:p>
        </w:tc>
        <w:tc>
          <w:tcPr>
            <w:tcW w:w="76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2"/>
              <w:jc w:val="right"/>
              <w:rPr>
                <w:rFonts w:ascii="Times New Roman" w:hAnsi="Times New Roman" w:cs="Times New Roman" w:eastAsia="Times New Roman" w:hint="default"/>
                <w:sz w:val="16"/>
                <w:szCs w:val="16"/>
              </w:rPr>
            </w:pPr>
            <w:r>
              <w:rPr>
                <w:rFonts w:ascii="Times New Roman"/>
                <w:spacing w:val="-1"/>
                <w:sz w:val="16"/>
              </w:rPr>
              <w:t>170</w:t>
            </w:r>
          </w:p>
        </w:tc>
        <w:tc>
          <w:tcPr>
            <w:tcW w:w="816"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2"/>
              <w:jc w:val="right"/>
              <w:rPr>
                <w:rFonts w:ascii="Times New Roman" w:hAnsi="Times New Roman" w:cs="Times New Roman" w:eastAsia="Times New Roman" w:hint="default"/>
                <w:sz w:val="16"/>
                <w:szCs w:val="16"/>
              </w:rPr>
            </w:pPr>
            <w:r>
              <w:rPr>
                <w:rFonts w:ascii="Times New Roman"/>
                <w:spacing w:val="-1"/>
                <w:sz w:val="16"/>
              </w:rPr>
              <w:t>530</w:t>
            </w:r>
          </w:p>
        </w:tc>
        <w:tc>
          <w:tcPr>
            <w:tcW w:w="69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0"/>
              <w:jc w:val="right"/>
              <w:rPr>
                <w:rFonts w:ascii="Times New Roman" w:hAnsi="Times New Roman" w:cs="Times New Roman" w:eastAsia="Times New Roman" w:hint="default"/>
                <w:sz w:val="16"/>
                <w:szCs w:val="16"/>
              </w:rPr>
            </w:pPr>
            <w:r>
              <w:rPr>
                <w:rFonts w:ascii="Times New Roman"/>
                <w:spacing w:val="-1"/>
                <w:sz w:val="16"/>
              </w:rPr>
              <w:t>200</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2"/>
              <w:jc w:val="right"/>
              <w:rPr>
                <w:rFonts w:ascii="Times New Roman" w:hAnsi="Times New Roman" w:cs="Times New Roman" w:eastAsia="Times New Roman" w:hint="default"/>
                <w:sz w:val="16"/>
                <w:szCs w:val="16"/>
              </w:rPr>
            </w:pPr>
            <w:r>
              <w:rPr>
                <w:rFonts w:ascii="Times New Roman"/>
                <w:spacing w:val="-1"/>
                <w:sz w:val="16"/>
              </w:rPr>
              <w:t>600</w:t>
            </w:r>
          </w:p>
        </w:tc>
        <w:tc>
          <w:tcPr>
            <w:tcW w:w="78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0"/>
              <w:jc w:val="right"/>
              <w:rPr>
                <w:rFonts w:ascii="Times New Roman" w:hAnsi="Times New Roman" w:cs="Times New Roman" w:eastAsia="Times New Roman" w:hint="default"/>
                <w:sz w:val="16"/>
                <w:szCs w:val="16"/>
              </w:rPr>
            </w:pPr>
            <w:r>
              <w:rPr>
                <w:rFonts w:ascii="Times New Roman"/>
                <w:spacing w:val="-1"/>
                <w:sz w:val="16"/>
              </w:rPr>
              <w:t>445</w:t>
            </w:r>
          </w:p>
        </w:tc>
      </w:tr>
      <w:tr>
        <w:trPr>
          <w:trHeight w:val="269"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left="103" w:right="0"/>
              <w:jc w:val="left"/>
              <w:rPr>
                <w:rFonts w:ascii="Times New Roman" w:hAnsi="Times New Roman" w:cs="Times New Roman" w:eastAsia="Times New Roman" w:hint="default"/>
                <w:sz w:val="16"/>
                <w:szCs w:val="16"/>
              </w:rPr>
            </w:pPr>
            <w:r>
              <w:rPr>
                <w:rFonts w:ascii="Times New Roman" w:hAnsi="Times New Roman"/>
                <w:sz w:val="16"/>
              </w:rPr>
              <w:t>Исказано</w:t>
            </w:r>
            <w:r>
              <w:rPr>
                <w:rFonts w:ascii="Times New Roman" w:hAnsi="Times New Roman"/>
                <w:spacing w:val="-5"/>
                <w:sz w:val="16"/>
              </w:rPr>
              <w:t> </w:t>
            </w:r>
            <w:r>
              <w:rPr>
                <w:rFonts w:ascii="Times New Roman" w:hAnsi="Times New Roman"/>
                <w:sz w:val="16"/>
              </w:rPr>
              <w:t>изврш</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1"/>
              <w:jc w:val="right"/>
              <w:rPr>
                <w:rFonts w:ascii="Times New Roman" w:hAnsi="Times New Roman" w:cs="Times New Roman" w:eastAsia="Times New Roman" w:hint="default"/>
                <w:sz w:val="16"/>
                <w:szCs w:val="16"/>
              </w:rPr>
            </w:pPr>
            <w:r>
              <w:rPr>
                <w:rFonts w:ascii="Times New Roman"/>
                <w:sz w:val="16"/>
              </w:rPr>
              <w:t>43</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2"/>
              <w:jc w:val="right"/>
              <w:rPr>
                <w:rFonts w:ascii="Times New Roman" w:hAnsi="Times New Roman" w:cs="Times New Roman" w:eastAsia="Times New Roman" w:hint="default"/>
                <w:sz w:val="16"/>
                <w:szCs w:val="16"/>
              </w:rPr>
            </w:pPr>
            <w:r>
              <w:rPr>
                <w:rFonts w:ascii="Times New Roman"/>
                <w:spacing w:val="-1"/>
                <w:sz w:val="16"/>
              </w:rPr>
              <w:t>121</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1"/>
              <w:jc w:val="right"/>
              <w:rPr>
                <w:rFonts w:ascii="Times New Roman" w:hAnsi="Times New Roman" w:cs="Times New Roman" w:eastAsia="Times New Roman" w:hint="default"/>
                <w:sz w:val="16"/>
                <w:szCs w:val="16"/>
              </w:rPr>
            </w:pPr>
            <w:r>
              <w:rPr>
                <w:rFonts w:ascii="Times New Roman"/>
                <w:spacing w:val="-1"/>
                <w:sz w:val="16"/>
              </w:rPr>
              <w:t>400.172</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0"/>
              <w:jc w:val="right"/>
              <w:rPr>
                <w:rFonts w:ascii="Times New Roman" w:hAnsi="Times New Roman" w:cs="Times New Roman" w:eastAsia="Times New Roman" w:hint="default"/>
                <w:sz w:val="16"/>
                <w:szCs w:val="16"/>
              </w:rPr>
            </w:pPr>
            <w:r>
              <w:rPr>
                <w:rFonts w:ascii="Times New Roman"/>
                <w:spacing w:val="-1"/>
                <w:sz w:val="16"/>
              </w:rPr>
              <w:t>765</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2"/>
              <w:jc w:val="right"/>
              <w:rPr>
                <w:rFonts w:ascii="Times New Roman" w:hAnsi="Times New Roman" w:cs="Times New Roman" w:eastAsia="Times New Roman" w:hint="default"/>
                <w:sz w:val="16"/>
                <w:szCs w:val="16"/>
              </w:rPr>
            </w:pPr>
            <w:r>
              <w:rPr>
                <w:rFonts w:ascii="Times New Roman"/>
                <w:spacing w:val="-1"/>
                <w:sz w:val="16"/>
              </w:rPr>
              <w:t>567</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1"/>
              <w:jc w:val="right"/>
              <w:rPr>
                <w:rFonts w:ascii="Times New Roman" w:hAnsi="Times New Roman" w:cs="Times New Roman" w:eastAsia="Times New Roman" w:hint="default"/>
                <w:sz w:val="16"/>
                <w:szCs w:val="16"/>
              </w:rPr>
            </w:pPr>
            <w:r>
              <w:rPr>
                <w:rFonts w:ascii="Times New Roman"/>
                <w:sz w:val="16"/>
              </w:rPr>
              <w:t>32</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0"/>
              <w:jc w:val="right"/>
              <w:rPr>
                <w:rFonts w:ascii="Times New Roman" w:hAnsi="Times New Roman" w:cs="Times New Roman" w:eastAsia="Times New Roman" w:hint="default"/>
                <w:sz w:val="16"/>
                <w:szCs w:val="16"/>
              </w:rPr>
            </w:pPr>
            <w:r>
              <w:rPr>
                <w:rFonts w:ascii="Times New Roman"/>
                <w:spacing w:val="-1"/>
                <w:sz w:val="16"/>
              </w:rPr>
              <w:t>384</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0"/>
              <w:jc w:val="right"/>
              <w:rPr>
                <w:rFonts w:ascii="Times New Roman" w:hAnsi="Times New Roman" w:cs="Times New Roman" w:eastAsia="Times New Roman" w:hint="default"/>
                <w:sz w:val="16"/>
                <w:szCs w:val="16"/>
              </w:rPr>
            </w:pPr>
            <w:r>
              <w:rPr>
                <w:rFonts w:ascii="Times New Roman"/>
                <w:spacing w:val="-1"/>
                <w:sz w:val="16"/>
              </w:rPr>
              <w:t>1.119</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2"/>
              <w:jc w:val="right"/>
              <w:rPr>
                <w:rFonts w:ascii="Times New Roman" w:hAnsi="Times New Roman" w:cs="Times New Roman" w:eastAsia="Times New Roman" w:hint="default"/>
                <w:sz w:val="16"/>
                <w:szCs w:val="16"/>
              </w:rPr>
            </w:pPr>
            <w:r>
              <w:rPr>
                <w:rFonts w:ascii="Times New Roman"/>
                <w:spacing w:val="-1"/>
                <w:sz w:val="16"/>
              </w:rPr>
              <w:t>13.222</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0"/>
              <w:jc w:val="right"/>
              <w:rPr>
                <w:rFonts w:ascii="Times New Roman" w:hAnsi="Times New Roman" w:cs="Times New Roman" w:eastAsia="Times New Roman" w:hint="default"/>
                <w:sz w:val="16"/>
                <w:szCs w:val="16"/>
              </w:rPr>
            </w:pPr>
            <w:r>
              <w:rPr>
                <w:rFonts w:ascii="Times New Roman"/>
                <w:spacing w:val="-1"/>
                <w:sz w:val="16"/>
              </w:rPr>
              <w:t>3.377</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264</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0"/>
              <w:jc w:val="right"/>
              <w:rPr>
                <w:rFonts w:ascii="Times New Roman" w:hAnsi="Times New Roman" w:cs="Times New Roman" w:eastAsia="Times New Roman" w:hint="default"/>
                <w:sz w:val="16"/>
                <w:szCs w:val="16"/>
              </w:rPr>
            </w:pPr>
            <w:r>
              <w:rPr>
                <w:rFonts w:ascii="Times New Roman"/>
                <w:spacing w:val="-1"/>
                <w:sz w:val="16"/>
              </w:rPr>
              <w:t>113</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1"/>
              <w:jc w:val="right"/>
              <w:rPr>
                <w:rFonts w:ascii="Times New Roman" w:hAnsi="Times New Roman" w:cs="Times New Roman" w:eastAsia="Times New Roman" w:hint="default"/>
                <w:sz w:val="16"/>
                <w:szCs w:val="16"/>
              </w:rPr>
            </w:pPr>
            <w:r>
              <w:rPr>
                <w:rFonts w:ascii="Times New Roman"/>
                <w:sz w:val="16"/>
              </w:rPr>
              <w:t>24</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2"/>
              <w:jc w:val="right"/>
              <w:rPr>
                <w:rFonts w:ascii="Times New Roman" w:hAnsi="Times New Roman" w:cs="Times New Roman" w:eastAsia="Times New Roman" w:hint="default"/>
                <w:sz w:val="16"/>
                <w:szCs w:val="16"/>
              </w:rPr>
            </w:pPr>
            <w:r>
              <w:rPr>
                <w:rFonts w:ascii="Times New Roman"/>
                <w:spacing w:val="-1"/>
                <w:sz w:val="16"/>
              </w:rPr>
              <w:t>321</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98"/>
              <w:jc w:val="right"/>
              <w:rPr>
                <w:rFonts w:ascii="Times New Roman" w:hAnsi="Times New Roman" w:cs="Times New Roman" w:eastAsia="Times New Roman" w:hint="default"/>
                <w:sz w:val="16"/>
                <w:szCs w:val="16"/>
              </w:rPr>
            </w:pPr>
            <w:r>
              <w:rPr>
                <w:rFonts w:ascii="Times New Roman"/>
                <w:sz w:val="16"/>
              </w:rPr>
              <w:t>75</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2"/>
              <w:jc w:val="right"/>
              <w:rPr>
                <w:rFonts w:ascii="Times New Roman" w:hAnsi="Times New Roman" w:cs="Times New Roman" w:eastAsia="Times New Roman" w:hint="default"/>
                <w:sz w:val="16"/>
                <w:szCs w:val="16"/>
              </w:rPr>
            </w:pPr>
            <w:r>
              <w:rPr>
                <w:rFonts w:ascii="Times New Roman"/>
                <w:spacing w:val="-1"/>
                <w:sz w:val="16"/>
              </w:rPr>
              <w:t>248</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98"/>
              <w:jc w:val="right"/>
              <w:rPr>
                <w:rFonts w:ascii="Times New Roman" w:hAnsi="Times New Roman" w:cs="Times New Roman" w:eastAsia="Times New Roman" w:hint="default"/>
                <w:sz w:val="16"/>
                <w:szCs w:val="16"/>
              </w:rPr>
            </w:pPr>
            <w:r>
              <w:rPr>
                <w:rFonts w:ascii="Times New Roman"/>
                <w:sz w:val="16"/>
              </w:rPr>
              <w:t>83</w:t>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(1)</w:t>
            </w:r>
            <w:r>
              <w:rPr>
                <w:rFonts w:ascii="Times New Roman" w:hAnsi="Times New Roman"/>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217</w:t>
            </w:r>
            <w:r>
              <w:rPr>
                <w:rFonts w:ascii="Times New Roman"/>
                <w:spacing w:val="-1"/>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z w:val="16"/>
              </w:rPr>
              <w:t>69</w:t>
            </w:r>
            <w:r>
              <w:rPr>
                <w:rFonts w:ascii="Times New Roman"/>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pacing w:val="-1"/>
                <w:sz w:val="16"/>
              </w:rPr>
              <w:t>285.789</w:t>
            </w:r>
            <w:r>
              <w:rPr>
                <w:rFonts w:ascii="Times New Roman"/>
                <w:spacing w:val="-1"/>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385</w:t>
            </w:r>
            <w:r>
              <w:rPr>
                <w:rFonts w:ascii="Times New Roman"/>
                <w:spacing w:val="-1"/>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193</w:t>
            </w:r>
            <w:r>
              <w:rPr>
                <w:rFonts w:ascii="Times New Roman"/>
                <w:spacing w:val="-1"/>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413</w:t>
            </w:r>
            <w:r>
              <w:rPr>
                <w:rFonts w:ascii="Times New Roman"/>
                <w:spacing w:val="-1"/>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98"/>
              <w:jc w:val="right"/>
              <w:rPr>
                <w:rFonts w:ascii="Times New Roman" w:hAnsi="Times New Roman" w:cs="Times New Roman" w:eastAsia="Times New Roman" w:hint="default"/>
                <w:sz w:val="16"/>
                <w:szCs w:val="16"/>
              </w:rPr>
            </w:pPr>
            <w:r>
              <w:rPr>
                <w:rFonts w:ascii="Times New Roman"/>
                <w:b/>
                <w:sz w:val="16"/>
              </w:rPr>
              <w:t>-84</w:t>
            </w:r>
            <w:r>
              <w:rPr>
                <w:rFonts w:ascii="Times New Roman"/>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98"/>
              <w:jc w:val="right"/>
              <w:rPr>
                <w:rFonts w:ascii="Times New Roman" w:hAnsi="Times New Roman" w:cs="Times New Roman" w:eastAsia="Times New Roman" w:hint="default"/>
                <w:sz w:val="16"/>
                <w:szCs w:val="16"/>
              </w:rPr>
            </w:pPr>
            <w:r>
              <w:rPr>
                <w:rFonts w:ascii="Times New Roman"/>
                <w:b/>
                <w:sz w:val="16"/>
              </w:rPr>
              <w:t>46</w:t>
            </w:r>
            <w:r>
              <w:rPr>
                <w:rFonts w:ascii="Times New Roman"/>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3.077</w:t>
            </w:r>
            <w:r>
              <w:rPr>
                <w:rFonts w:ascii="Times New Roman"/>
                <w:spacing w:val="-1"/>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6.390</w:t>
            </w:r>
            <w:r>
              <w:rPr>
                <w:rFonts w:ascii="Times New Roman"/>
                <w:spacing w:val="-1"/>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206</w:t>
            </w:r>
            <w:r>
              <w:rPr>
                <w:rFonts w:ascii="Times New Roman"/>
                <w:spacing w:val="-1"/>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315</w:t>
            </w:r>
            <w:r>
              <w:rPr>
                <w:rFonts w:ascii="Times New Roman"/>
                <w:spacing w:val="-1"/>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146</w:t>
            </w:r>
            <w:r>
              <w:rPr>
                <w:rFonts w:ascii="Times New Roman"/>
                <w:spacing w:val="-1"/>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209</w:t>
            </w:r>
            <w:r>
              <w:rPr>
                <w:rFonts w:ascii="Times New Roman"/>
                <w:spacing w:val="-1"/>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125</w:t>
            </w:r>
            <w:r>
              <w:rPr>
                <w:rFonts w:ascii="Times New Roman"/>
                <w:spacing w:val="-1"/>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352</w:t>
            </w:r>
            <w:r>
              <w:rPr>
                <w:rFonts w:ascii="Times New Roman"/>
                <w:spacing w:val="-1"/>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362</w:t>
            </w:r>
            <w:r>
              <w:rPr>
                <w:rFonts w:ascii="Times New Roman"/>
                <w:spacing w:val="-1"/>
                <w:sz w:val="16"/>
              </w:rPr>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3"/>
                <w:sz w:val="16"/>
              </w:rPr>
              <w:t> </w:t>
            </w:r>
            <w:r>
              <w:rPr>
                <w:rFonts w:ascii="Times New Roman" w:hAnsi="Times New Roman"/>
                <w:sz w:val="16"/>
              </w:rPr>
              <w:t>рач</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sz w:val="16"/>
              </w:rPr>
              <w:t>50</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w w:val="100"/>
                <w:sz w:val="16"/>
              </w:rPr>
              <w:t>7</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spacing w:val="-1"/>
                <w:sz w:val="16"/>
              </w:rPr>
              <w:t>261.011</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243</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w w:val="100"/>
                <w:sz w:val="16"/>
              </w:rPr>
              <w:t>1</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sz w:val="16"/>
              </w:rPr>
              <w:t>33</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3.805</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406</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119</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111</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sz w:val="16"/>
              </w:rPr>
              <w:t>16</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sz w:val="16"/>
              </w:rPr>
              <w:t>26</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sz w:val="16"/>
              </w:rPr>
              <w:t>15</w:t>
            </w:r>
          </w:p>
        </w:tc>
      </w:tr>
      <w:tr>
        <w:trPr>
          <w:trHeight w:val="271"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7"/>
                <w:sz w:val="16"/>
              </w:rPr>
              <w:t> </w:t>
            </w:r>
            <w:r>
              <w:rPr>
                <w:rFonts w:ascii="Times New Roman" w:hAnsi="Times New Roman"/>
                <w:sz w:val="16"/>
              </w:rPr>
              <w:t>угов</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0"/>
              <w:jc w:val="right"/>
              <w:rPr>
                <w:rFonts w:ascii="Times New Roman" w:hAnsi="Times New Roman" w:cs="Times New Roman" w:eastAsia="Times New Roman" w:hint="default"/>
                <w:sz w:val="16"/>
                <w:szCs w:val="16"/>
              </w:rPr>
            </w:pPr>
            <w:r>
              <w:rPr>
                <w:rFonts w:ascii="Times New Roman"/>
                <w:spacing w:val="-1"/>
                <w:sz w:val="16"/>
              </w:rPr>
              <w:t>45.943</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0"/>
              <w:jc w:val="right"/>
              <w:rPr>
                <w:rFonts w:ascii="Times New Roman" w:hAnsi="Times New Roman" w:cs="Times New Roman" w:eastAsia="Times New Roman" w:hint="default"/>
                <w:sz w:val="16"/>
                <w:szCs w:val="16"/>
              </w:rPr>
            </w:pPr>
            <w:r>
              <w:rPr>
                <w:rFonts w:ascii="Times New Roman"/>
                <w:spacing w:val="-1"/>
                <w:sz w:val="16"/>
              </w:rPr>
              <w:t>1.769</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23" w:hRule="exact"/>
        </w:trPr>
        <w:tc>
          <w:tcPr>
            <w:tcW w:w="626" w:type="dxa"/>
            <w:vMerge/>
            <w:tcBorders>
              <w:left w:val="single" w:sz="4" w:space="0" w:color="000000"/>
              <w:bottom w:val="single" w:sz="12" w:space="0" w:color="000000"/>
              <w:right w:val="single" w:sz="4" w:space="0" w:color="000000"/>
            </w:tcBorders>
          </w:tcPr>
          <w:p>
            <w:pPr/>
          </w:p>
        </w:tc>
        <w:tc>
          <w:tcPr>
            <w:tcW w:w="13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(2)</w:t>
            </w:r>
            <w:r>
              <w:rPr>
                <w:rFonts w:ascii="Times New Roman" w:hAnsi="Times New Roman"/>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167</w:t>
            </w:r>
            <w:r>
              <w:rPr>
                <w:rFonts w:ascii="Times New Roman"/>
                <w:spacing w:val="-1"/>
                <w:sz w:val="16"/>
              </w:rPr>
            </w:r>
          </w:p>
        </w:tc>
        <w:tc>
          <w:tcPr>
            <w:tcW w:w="67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z w:val="16"/>
              </w:rPr>
              <w:t>62</w:t>
            </w:r>
            <w:r>
              <w:rPr>
                <w:rFonts w:ascii="Times New Roman"/>
                <w:sz w:val="16"/>
              </w:rPr>
            </w:r>
          </w:p>
        </w:tc>
        <w:tc>
          <w:tcPr>
            <w:tcW w:w="92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pacing w:val="-1"/>
                <w:sz w:val="16"/>
              </w:rPr>
              <w:t>-21.165</w:t>
            </w:r>
            <w:r>
              <w:rPr>
                <w:rFonts w:ascii="Times New Roman"/>
                <w:spacing w:val="-1"/>
                <w:sz w:val="16"/>
              </w:rPr>
            </w:r>
          </w:p>
        </w:tc>
        <w:tc>
          <w:tcPr>
            <w:tcW w:w="95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142</w:t>
            </w:r>
            <w:r>
              <w:rPr>
                <w:rFonts w:ascii="Times New Roman"/>
                <w:spacing w:val="-1"/>
                <w:sz w:val="16"/>
              </w:rPr>
            </w:r>
          </w:p>
        </w:tc>
        <w:tc>
          <w:tcPr>
            <w:tcW w:w="98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192</w:t>
            </w:r>
            <w:r>
              <w:rPr>
                <w:rFonts w:ascii="Times New Roman"/>
                <w:spacing w:val="-1"/>
                <w:sz w:val="16"/>
              </w:rPr>
            </w:r>
          </w:p>
        </w:tc>
        <w:tc>
          <w:tcPr>
            <w:tcW w:w="900"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380</w:t>
            </w:r>
            <w:r>
              <w:rPr>
                <w:rFonts w:ascii="Times New Roman"/>
                <w:spacing w:val="-1"/>
                <w:sz w:val="16"/>
              </w:rPr>
            </w:r>
          </w:p>
        </w:tc>
        <w:tc>
          <w:tcPr>
            <w:tcW w:w="7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b/>
                <w:sz w:val="16"/>
              </w:rPr>
              <w:t>-84</w:t>
            </w:r>
            <w:r>
              <w:rPr>
                <w:rFonts w:ascii="Times New Roman"/>
                <w:sz w:val="16"/>
              </w:rPr>
            </w:r>
          </w:p>
        </w:tc>
        <w:tc>
          <w:tcPr>
            <w:tcW w:w="79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b/>
                <w:sz w:val="16"/>
              </w:rPr>
              <w:t>46</w:t>
            </w:r>
            <w:r>
              <w:rPr>
                <w:rFonts w:ascii="Times New Roman"/>
                <w:sz w:val="16"/>
              </w:rPr>
            </w:r>
          </w:p>
        </w:tc>
        <w:tc>
          <w:tcPr>
            <w:tcW w:w="82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-728</w:t>
            </w:r>
            <w:r>
              <w:rPr>
                <w:rFonts w:ascii="Times New Roman"/>
                <w:spacing w:val="-1"/>
                <w:sz w:val="16"/>
              </w:rPr>
            </w:r>
          </w:p>
        </w:tc>
        <w:tc>
          <w:tcPr>
            <w:tcW w:w="74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4.215</w:t>
            </w:r>
            <w:r>
              <w:rPr>
                <w:rFonts w:ascii="Times New Roman"/>
                <w:spacing w:val="-1"/>
                <w:sz w:val="16"/>
              </w:rPr>
            </w:r>
          </w:p>
        </w:tc>
        <w:tc>
          <w:tcPr>
            <w:tcW w:w="70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b/>
                <w:sz w:val="16"/>
              </w:rPr>
              <w:t>87</w:t>
            </w:r>
            <w:r>
              <w:rPr>
                <w:rFonts w:ascii="Times New Roman"/>
                <w:sz w:val="16"/>
              </w:rPr>
            </w:r>
          </w:p>
        </w:tc>
        <w:tc>
          <w:tcPr>
            <w:tcW w:w="85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40"/>
              <w:jc w:val="right"/>
              <w:rPr>
                <w:rFonts w:ascii="Times New Roman" w:hAnsi="Times New Roman" w:cs="Times New Roman" w:eastAsia="Times New Roman" w:hint="default"/>
                <w:sz w:val="16"/>
                <w:szCs w:val="16"/>
              </w:rPr>
            </w:pPr>
            <w:r>
              <w:rPr>
                <w:rFonts w:ascii="Times New Roman"/>
                <w:b/>
                <w:w w:val="100"/>
                <w:sz w:val="16"/>
              </w:rPr>
              <w:t>0</w:t>
            </w:r>
            <w:r>
              <w:rPr>
                <w:rFonts w:ascii="Times New Roman"/>
                <w:w w:val="100"/>
                <w:sz w:val="16"/>
              </w:rPr>
            </w:r>
          </w:p>
        </w:tc>
        <w:tc>
          <w:tcPr>
            <w:tcW w:w="76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146</w:t>
            </w:r>
            <w:r>
              <w:rPr>
                <w:rFonts w:ascii="Times New Roman"/>
                <w:spacing w:val="-1"/>
                <w:sz w:val="16"/>
              </w:rPr>
            </w:r>
          </w:p>
        </w:tc>
        <w:tc>
          <w:tcPr>
            <w:tcW w:w="81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z w:val="16"/>
              </w:rPr>
              <w:t>98</w:t>
            </w:r>
            <w:r>
              <w:rPr>
                <w:rFonts w:ascii="Times New Roman"/>
                <w:sz w:val="16"/>
              </w:rPr>
            </w:r>
          </w:p>
        </w:tc>
        <w:tc>
          <w:tcPr>
            <w:tcW w:w="69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109</w:t>
            </w:r>
            <w:r>
              <w:rPr>
                <w:rFonts w:ascii="Times New Roman"/>
                <w:spacing w:val="-1"/>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326</w:t>
            </w:r>
            <w:r>
              <w:rPr>
                <w:rFonts w:ascii="Times New Roman"/>
                <w:spacing w:val="-1"/>
                <w:sz w:val="16"/>
              </w:rPr>
            </w:r>
          </w:p>
        </w:tc>
        <w:tc>
          <w:tcPr>
            <w:tcW w:w="78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347</w:t>
            </w:r>
            <w:r>
              <w:rPr>
                <w:rFonts w:ascii="Times New Roman"/>
                <w:spacing w:val="-1"/>
                <w:sz w:val="16"/>
              </w:rPr>
            </w:r>
          </w:p>
        </w:tc>
      </w:tr>
      <w:tr>
        <w:trPr>
          <w:trHeight w:val="241" w:hRule="exact"/>
        </w:trPr>
        <w:tc>
          <w:tcPr>
            <w:tcW w:w="626" w:type="dxa"/>
            <w:vMerge w:val="restart"/>
            <w:tcBorders>
              <w:top w:val="single" w:sz="12"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21"/>
                <w:szCs w:val="21"/>
              </w:rPr>
            </w:pPr>
          </w:p>
          <w:p>
            <w:pPr>
              <w:pStyle w:val="TableParagraph"/>
              <w:spacing w:line="240" w:lineRule="auto"/>
              <w:ind w:left="187" w:right="94"/>
              <w:jc w:val="left"/>
              <w:rPr>
                <w:rFonts w:ascii="Times New Roman" w:hAnsi="Times New Roman" w:cs="Times New Roman" w:eastAsia="Times New Roman" w:hint="default"/>
                <w:sz w:val="16"/>
                <w:szCs w:val="16"/>
              </w:rPr>
            </w:pPr>
            <w:r>
              <w:rPr>
                <w:rFonts w:ascii="Times New Roman"/>
                <w:sz w:val="16"/>
              </w:rPr>
              <w:t>426</w:t>
            </w:r>
          </w:p>
        </w:tc>
        <w:tc>
          <w:tcPr>
            <w:tcW w:w="135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3"/>
              <w:ind w:left="103" w:right="0"/>
              <w:jc w:val="left"/>
              <w:rPr>
                <w:rFonts w:ascii="Times New Roman" w:hAnsi="Times New Roman" w:cs="Times New Roman" w:eastAsia="Times New Roman" w:hint="default"/>
                <w:sz w:val="16"/>
                <w:szCs w:val="16"/>
              </w:rPr>
            </w:pPr>
            <w:r>
              <w:rPr>
                <w:rFonts w:ascii="Times New Roman" w:hAnsi="Times New Roman"/>
                <w:sz w:val="16"/>
              </w:rPr>
              <w:t>Укупна</w:t>
            </w:r>
            <w:r>
              <w:rPr>
                <w:rFonts w:ascii="Times New Roman" w:hAnsi="Times New Roman"/>
                <w:spacing w:val="-5"/>
                <w:sz w:val="16"/>
              </w:rPr>
              <w:t> </w:t>
            </w:r>
            <w:r>
              <w:rPr>
                <w:rFonts w:ascii="Times New Roman" w:hAnsi="Times New Roman"/>
                <w:sz w:val="16"/>
              </w:rPr>
              <w:t>апроп</w:t>
            </w:r>
            <w:r>
              <w:rPr>
                <w:rFonts w:ascii="Times New Roman" w:hAnsi="Times New Roman"/>
                <w:sz w:val="16"/>
              </w:rPr>
              <w:t>.</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3"/>
              <w:ind w:right="102"/>
              <w:jc w:val="right"/>
              <w:rPr>
                <w:rFonts w:ascii="Times New Roman" w:hAnsi="Times New Roman" w:cs="Times New Roman" w:eastAsia="Times New Roman" w:hint="default"/>
                <w:sz w:val="16"/>
                <w:szCs w:val="16"/>
              </w:rPr>
            </w:pPr>
            <w:r>
              <w:rPr>
                <w:rFonts w:ascii="Times New Roman"/>
                <w:spacing w:val="-1"/>
                <w:sz w:val="16"/>
              </w:rPr>
              <w:t>785</w:t>
            </w:r>
          </w:p>
        </w:tc>
        <w:tc>
          <w:tcPr>
            <w:tcW w:w="67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3"/>
              <w:ind w:right="102"/>
              <w:jc w:val="right"/>
              <w:rPr>
                <w:rFonts w:ascii="Times New Roman" w:hAnsi="Times New Roman" w:cs="Times New Roman" w:eastAsia="Times New Roman" w:hint="default"/>
                <w:sz w:val="16"/>
                <w:szCs w:val="16"/>
              </w:rPr>
            </w:pPr>
            <w:r>
              <w:rPr>
                <w:rFonts w:ascii="Times New Roman"/>
                <w:spacing w:val="-1"/>
                <w:sz w:val="16"/>
              </w:rPr>
              <w:t>426</w:t>
            </w:r>
          </w:p>
        </w:tc>
        <w:tc>
          <w:tcPr>
            <w:tcW w:w="92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3"/>
              <w:ind w:right="100"/>
              <w:jc w:val="right"/>
              <w:rPr>
                <w:rFonts w:ascii="Times New Roman" w:hAnsi="Times New Roman" w:cs="Times New Roman" w:eastAsia="Times New Roman" w:hint="default"/>
                <w:sz w:val="16"/>
                <w:szCs w:val="16"/>
              </w:rPr>
            </w:pPr>
            <w:r>
              <w:rPr>
                <w:rFonts w:ascii="Times New Roman"/>
                <w:spacing w:val="-1"/>
                <w:sz w:val="16"/>
              </w:rPr>
              <w:t>2.500</w:t>
            </w:r>
          </w:p>
        </w:tc>
        <w:tc>
          <w:tcPr>
            <w:tcW w:w="95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3"/>
              <w:ind w:right="100"/>
              <w:jc w:val="right"/>
              <w:rPr>
                <w:rFonts w:ascii="Times New Roman" w:hAnsi="Times New Roman" w:cs="Times New Roman" w:eastAsia="Times New Roman" w:hint="default"/>
                <w:sz w:val="16"/>
                <w:szCs w:val="16"/>
              </w:rPr>
            </w:pPr>
            <w:r>
              <w:rPr>
                <w:rFonts w:ascii="Times New Roman"/>
                <w:spacing w:val="-1"/>
                <w:sz w:val="16"/>
              </w:rPr>
              <w:t>3.233</w:t>
            </w:r>
          </w:p>
        </w:tc>
        <w:tc>
          <w:tcPr>
            <w:tcW w:w="986"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3"/>
              <w:ind w:right="102"/>
              <w:jc w:val="right"/>
              <w:rPr>
                <w:rFonts w:ascii="Times New Roman" w:hAnsi="Times New Roman" w:cs="Times New Roman" w:eastAsia="Times New Roman" w:hint="default"/>
                <w:sz w:val="16"/>
                <w:szCs w:val="16"/>
              </w:rPr>
            </w:pPr>
            <w:r>
              <w:rPr>
                <w:rFonts w:ascii="Times New Roman"/>
                <w:spacing w:val="-1"/>
                <w:sz w:val="16"/>
              </w:rPr>
              <w:t>1.000</w:t>
            </w:r>
          </w:p>
        </w:tc>
        <w:tc>
          <w:tcPr>
            <w:tcW w:w="900"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3"/>
              <w:ind w:right="102"/>
              <w:jc w:val="right"/>
              <w:rPr>
                <w:rFonts w:ascii="Times New Roman" w:hAnsi="Times New Roman" w:cs="Times New Roman" w:eastAsia="Times New Roman" w:hint="default"/>
                <w:sz w:val="16"/>
                <w:szCs w:val="16"/>
              </w:rPr>
            </w:pPr>
            <w:r>
              <w:rPr>
                <w:rFonts w:ascii="Times New Roman"/>
                <w:spacing w:val="-1"/>
                <w:sz w:val="16"/>
              </w:rPr>
              <w:t>876</w:t>
            </w:r>
          </w:p>
        </w:tc>
        <w:tc>
          <w:tcPr>
            <w:tcW w:w="75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3"/>
              <w:ind w:right="100"/>
              <w:jc w:val="right"/>
              <w:rPr>
                <w:rFonts w:ascii="Times New Roman" w:hAnsi="Times New Roman" w:cs="Times New Roman" w:eastAsia="Times New Roman" w:hint="default"/>
                <w:sz w:val="16"/>
                <w:szCs w:val="16"/>
              </w:rPr>
            </w:pPr>
            <w:r>
              <w:rPr>
                <w:rFonts w:ascii="Times New Roman"/>
                <w:spacing w:val="-1"/>
                <w:sz w:val="16"/>
              </w:rPr>
              <w:t>895</w:t>
            </w:r>
          </w:p>
        </w:tc>
        <w:tc>
          <w:tcPr>
            <w:tcW w:w="79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3"/>
              <w:ind w:right="100"/>
              <w:jc w:val="right"/>
              <w:rPr>
                <w:rFonts w:ascii="Times New Roman" w:hAnsi="Times New Roman" w:cs="Times New Roman" w:eastAsia="Times New Roman" w:hint="default"/>
                <w:sz w:val="16"/>
                <w:szCs w:val="16"/>
              </w:rPr>
            </w:pPr>
            <w:r>
              <w:rPr>
                <w:rFonts w:ascii="Times New Roman"/>
                <w:spacing w:val="-1"/>
                <w:sz w:val="16"/>
              </w:rPr>
              <w:t>210</w:t>
            </w:r>
          </w:p>
        </w:tc>
        <w:tc>
          <w:tcPr>
            <w:tcW w:w="82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3"/>
              <w:ind w:right="102"/>
              <w:jc w:val="right"/>
              <w:rPr>
                <w:rFonts w:ascii="Times New Roman" w:hAnsi="Times New Roman" w:cs="Times New Roman" w:eastAsia="Times New Roman" w:hint="default"/>
                <w:sz w:val="16"/>
                <w:szCs w:val="16"/>
              </w:rPr>
            </w:pPr>
            <w:r>
              <w:rPr>
                <w:rFonts w:ascii="Times New Roman"/>
                <w:spacing w:val="-1"/>
                <w:sz w:val="16"/>
              </w:rPr>
              <w:t>182.723</w:t>
            </w:r>
          </w:p>
        </w:tc>
        <w:tc>
          <w:tcPr>
            <w:tcW w:w="74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3"/>
              <w:ind w:right="100"/>
              <w:jc w:val="right"/>
              <w:rPr>
                <w:rFonts w:ascii="Times New Roman" w:hAnsi="Times New Roman" w:cs="Times New Roman" w:eastAsia="Times New Roman" w:hint="default"/>
                <w:sz w:val="16"/>
                <w:szCs w:val="16"/>
              </w:rPr>
            </w:pPr>
            <w:r>
              <w:rPr>
                <w:rFonts w:ascii="Times New Roman"/>
                <w:spacing w:val="-1"/>
                <w:sz w:val="16"/>
              </w:rPr>
              <w:t>5.572</w:t>
            </w:r>
          </w:p>
        </w:tc>
        <w:tc>
          <w:tcPr>
            <w:tcW w:w="708"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730</w:t>
            </w:r>
          </w:p>
        </w:tc>
        <w:tc>
          <w:tcPr>
            <w:tcW w:w="85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3"/>
              <w:ind w:right="100"/>
              <w:jc w:val="right"/>
              <w:rPr>
                <w:rFonts w:ascii="Times New Roman" w:hAnsi="Times New Roman" w:cs="Times New Roman" w:eastAsia="Times New Roman" w:hint="default"/>
                <w:sz w:val="16"/>
                <w:szCs w:val="16"/>
              </w:rPr>
            </w:pPr>
            <w:r>
              <w:rPr>
                <w:rFonts w:ascii="Times New Roman"/>
                <w:spacing w:val="-1"/>
                <w:sz w:val="16"/>
              </w:rPr>
              <w:t>1.516</w:t>
            </w:r>
          </w:p>
        </w:tc>
        <w:tc>
          <w:tcPr>
            <w:tcW w:w="76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3"/>
              <w:ind w:right="102"/>
              <w:jc w:val="right"/>
              <w:rPr>
                <w:rFonts w:ascii="Times New Roman" w:hAnsi="Times New Roman" w:cs="Times New Roman" w:eastAsia="Times New Roman" w:hint="default"/>
                <w:sz w:val="16"/>
                <w:szCs w:val="16"/>
              </w:rPr>
            </w:pPr>
            <w:r>
              <w:rPr>
                <w:rFonts w:ascii="Times New Roman"/>
                <w:spacing w:val="-1"/>
                <w:sz w:val="16"/>
              </w:rPr>
              <w:t>910</w:t>
            </w:r>
          </w:p>
        </w:tc>
        <w:tc>
          <w:tcPr>
            <w:tcW w:w="816"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3"/>
              <w:ind w:left="340" w:right="0"/>
              <w:jc w:val="left"/>
              <w:rPr>
                <w:rFonts w:ascii="Times New Roman" w:hAnsi="Times New Roman" w:cs="Times New Roman" w:eastAsia="Times New Roman" w:hint="default"/>
                <w:sz w:val="16"/>
                <w:szCs w:val="16"/>
              </w:rPr>
            </w:pPr>
            <w:r>
              <w:rPr>
                <w:rFonts w:ascii="Times New Roman"/>
                <w:sz w:val="16"/>
              </w:rPr>
              <w:t>2.877</w:t>
            </w:r>
          </w:p>
        </w:tc>
        <w:tc>
          <w:tcPr>
            <w:tcW w:w="69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3"/>
              <w:ind w:right="100"/>
              <w:jc w:val="right"/>
              <w:rPr>
                <w:rFonts w:ascii="Times New Roman" w:hAnsi="Times New Roman" w:cs="Times New Roman" w:eastAsia="Times New Roman" w:hint="default"/>
                <w:sz w:val="16"/>
                <w:szCs w:val="16"/>
              </w:rPr>
            </w:pPr>
            <w:r>
              <w:rPr>
                <w:rFonts w:ascii="Times New Roman"/>
                <w:spacing w:val="-1"/>
                <w:sz w:val="16"/>
              </w:rPr>
              <w:t>1.800</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3"/>
              <w:ind w:right="102"/>
              <w:jc w:val="right"/>
              <w:rPr>
                <w:rFonts w:ascii="Times New Roman" w:hAnsi="Times New Roman" w:cs="Times New Roman" w:eastAsia="Times New Roman" w:hint="default"/>
                <w:sz w:val="16"/>
                <w:szCs w:val="16"/>
              </w:rPr>
            </w:pPr>
            <w:r>
              <w:rPr>
                <w:rFonts w:ascii="Times New Roman"/>
                <w:spacing w:val="-1"/>
                <w:sz w:val="16"/>
              </w:rPr>
              <w:t>1.065</w:t>
            </w:r>
          </w:p>
        </w:tc>
        <w:tc>
          <w:tcPr>
            <w:tcW w:w="78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3"/>
              <w:ind w:right="100"/>
              <w:jc w:val="right"/>
              <w:rPr>
                <w:rFonts w:ascii="Times New Roman" w:hAnsi="Times New Roman" w:cs="Times New Roman" w:eastAsia="Times New Roman" w:hint="default"/>
                <w:sz w:val="16"/>
                <w:szCs w:val="16"/>
              </w:rPr>
            </w:pPr>
            <w:r>
              <w:rPr>
                <w:rFonts w:ascii="Times New Roman"/>
                <w:spacing w:val="-1"/>
                <w:sz w:val="16"/>
              </w:rPr>
              <w:t>877</w:t>
            </w:r>
          </w:p>
        </w:tc>
      </w:tr>
      <w:tr>
        <w:trPr>
          <w:trHeight w:val="271"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left="103" w:right="0"/>
              <w:jc w:val="left"/>
              <w:rPr>
                <w:rFonts w:ascii="Times New Roman" w:hAnsi="Times New Roman" w:cs="Times New Roman" w:eastAsia="Times New Roman" w:hint="default"/>
                <w:sz w:val="16"/>
                <w:szCs w:val="16"/>
              </w:rPr>
            </w:pPr>
            <w:r>
              <w:rPr>
                <w:rFonts w:ascii="Times New Roman" w:hAnsi="Times New Roman"/>
                <w:sz w:val="16"/>
              </w:rPr>
              <w:t>Исказано</w:t>
            </w:r>
            <w:r>
              <w:rPr>
                <w:rFonts w:ascii="Times New Roman" w:hAnsi="Times New Roman"/>
                <w:spacing w:val="-5"/>
                <w:sz w:val="16"/>
              </w:rPr>
              <w:t> </w:t>
            </w:r>
            <w:r>
              <w:rPr>
                <w:rFonts w:ascii="Times New Roman" w:hAnsi="Times New Roman"/>
                <w:sz w:val="16"/>
              </w:rPr>
              <w:t>изврш</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2"/>
              <w:jc w:val="right"/>
              <w:rPr>
                <w:rFonts w:ascii="Times New Roman" w:hAnsi="Times New Roman" w:cs="Times New Roman" w:eastAsia="Times New Roman" w:hint="default"/>
                <w:sz w:val="16"/>
                <w:szCs w:val="16"/>
              </w:rPr>
            </w:pPr>
            <w:r>
              <w:rPr>
                <w:rFonts w:ascii="Times New Roman"/>
                <w:spacing w:val="-1"/>
                <w:sz w:val="16"/>
              </w:rPr>
              <w:t>341</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2"/>
              <w:jc w:val="right"/>
              <w:rPr>
                <w:rFonts w:ascii="Times New Roman" w:hAnsi="Times New Roman" w:cs="Times New Roman" w:eastAsia="Times New Roman" w:hint="default"/>
                <w:sz w:val="16"/>
                <w:szCs w:val="16"/>
              </w:rPr>
            </w:pPr>
            <w:r>
              <w:rPr>
                <w:rFonts w:ascii="Times New Roman"/>
                <w:spacing w:val="-1"/>
                <w:sz w:val="16"/>
              </w:rPr>
              <w:t>413</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0"/>
              <w:jc w:val="right"/>
              <w:rPr>
                <w:rFonts w:ascii="Times New Roman" w:hAnsi="Times New Roman" w:cs="Times New Roman" w:eastAsia="Times New Roman" w:hint="default"/>
                <w:sz w:val="16"/>
                <w:szCs w:val="16"/>
              </w:rPr>
            </w:pPr>
            <w:r>
              <w:rPr>
                <w:rFonts w:ascii="Times New Roman"/>
                <w:spacing w:val="-1"/>
                <w:sz w:val="16"/>
              </w:rPr>
              <w:t>1.970</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0"/>
              <w:jc w:val="right"/>
              <w:rPr>
                <w:rFonts w:ascii="Times New Roman" w:hAnsi="Times New Roman" w:cs="Times New Roman" w:eastAsia="Times New Roman" w:hint="default"/>
                <w:sz w:val="16"/>
                <w:szCs w:val="16"/>
              </w:rPr>
            </w:pPr>
            <w:r>
              <w:rPr>
                <w:rFonts w:ascii="Times New Roman"/>
                <w:spacing w:val="-1"/>
                <w:sz w:val="16"/>
              </w:rPr>
              <w:t>1.928</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2"/>
              <w:jc w:val="right"/>
              <w:rPr>
                <w:rFonts w:ascii="Times New Roman" w:hAnsi="Times New Roman" w:cs="Times New Roman" w:eastAsia="Times New Roman" w:hint="default"/>
                <w:sz w:val="16"/>
                <w:szCs w:val="16"/>
              </w:rPr>
            </w:pPr>
            <w:r>
              <w:rPr>
                <w:rFonts w:ascii="Times New Roman"/>
                <w:spacing w:val="-1"/>
                <w:sz w:val="16"/>
              </w:rPr>
              <w:t>960</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2"/>
              <w:jc w:val="right"/>
              <w:rPr>
                <w:rFonts w:ascii="Times New Roman" w:hAnsi="Times New Roman" w:cs="Times New Roman" w:eastAsia="Times New Roman" w:hint="default"/>
                <w:sz w:val="16"/>
                <w:szCs w:val="16"/>
              </w:rPr>
            </w:pPr>
            <w:r>
              <w:rPr>
                <w:rFonts w:ascii="Times New Roman"/>
                <w:spacing w:val="-1"/>
                <w:sz w:val="16"/>
              </w:rPr>
              <w:t>714</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0"/>
              <w:jc w:val="right"/>
              <w:rPr>
                <w:rFonts w:ascii="Times New Roman" w:hAnsi="Times New Roman" w:cs="Times New Roman" w:eastAsia="Times New Roman" w:hint="default"/>
                <w:sz w:val="16"/>
                <w:szCs w:val="16"/>
              </w:rPr>
            </w:pPr>
            <w:r>
              <w:rPr>
                <w:rFonts w:ascii="Times New Roman"/>
                <w:spacing w:val="-1"/>
                <w:sz w:val="16"/>
              </w:rPr>
              <w:t>388</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98"/>
              <w:jc w:val="right"/>
              <w:rPr>
                <w:rFonts w:ascii="Times New Roman" w:hAnsi="Times New Roman" w:cs="Times New Roman" w:eastAsia="Times New Roman" w:hint="default"/>
                <w:sz w:val="16"/>
                <w:szCs w:val="16"/>
              </w:rPr>
            </w:pPr>
            <w:r>
              <w:rPr>
                <w:rFonts w:ascii="Times New Roman"/>
                <w:sz w:val="16"/>
              </w:rPr>
              <w:t>93</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2"/>
              <w:jc w:val="right"/>
              <w:rPr>
                <w:rFonts w:ascii="Times New Roman" w:hAnsi="Times New Roman" w:cs="Times New Roman" w:eastAsia="Times New Roman" w:hint="default"/>
                <w:sz w:val="16"/>
                <w:szCs w:val="16"/>
              </w:rPr>
            </w:pPr>
            <w:r>
              <w:rPr>
                <w:rFonts w:ascii="Times New Roman"/>
                <w:spacing w:val="-1"/>
                <w:sz w:val="16"/>
              </w:rPr>
              <w:t>139.991</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0"/>
              <w:jc w:val="right"/>
              <w:rPr>
                <w:rFonts w:ascii="Times New Roman" w:hAnsi="Times New Roman" w:cs="Times New Roman" w:eastAsia="Times New Roman" w:hint="default"/>
                <w:sz w:val="16"/>
                <w:szCs w:val="16"/>
              </w:rPr>
            </w:pPr>
            <w:r>
              <w:rPr>
                <w:rFonts w:ascii="Times New Roman"/>
                <w:spacing w:val="-1"/>
                <w:sz w:val="16"/>
              </w:rPr>
              <w:t>4.222</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631</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0"/>
              <w:jc w:val="right"/>
              <w:rPr>
                <w:rFonts w:ascii="Times New Roman" w:hAnsi="Times New Roman" w:cs="Times New Roman" w:eastAsia="Times New Roman" w:hint="default"/>
                <w:sz w:val="16"/>
                <w:szCs w:val="16"/>
              </w:rPr>
            </w:pPr>
            <w:r>
              <w:rPr>
                <w:rFonts w:ascii="Times New Roman"/>
                <w:spacing w:val="-1"/>
                <w:sz w:val="16"/>
              </w:rPr>
              <w:t>1.035</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2"/>
              <w:jc w:val="right"/>
              <w:rPr>
                <w:rFonts w:ascii="Times New Roman" w:hAnsi="Times New Roman" w:cs="Times New Roman" w:eastAsia="Times New Roman" w:hint="default"/>
                <w:sz w:val="16"/>
                <w:szCs w:val="16"/>
              </w:rPr>
            </w:pPr>
            <w:r>
              <w:rPr>
                <w:rFonts w:ascii="Times New Roman"/>
                <w:spacing w:val="-1"/>
                <w:sz w:val="16"/>
              </w:rPr>
              <w:t>723</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left="340" w:right="0"/>
              <w:jc w:val="left"/>
              <w:rPr>
                <w:rFonts w:ascii="Times New Roman" w:hAnsi="Times New Roman" w:cs="Times New Roman" w:eastAsia="Times New Roman" w:hint="default"/>
                <w:sz w:val="16"/>
                <w:szCs w:val="16"/>
              </w:rPr>
            </w:pPr>
            <w:r>
              <w:rPr>
                <w:rFonts w:ascii="Times New Roman"/>
                <w:sz w:val="16"/>
              </w:rPr>
              <w:t>1.902</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0"/>
              <w:jc w:val="right"/>
              <w:rPr>
                <w:rFonts w:ascii="Times New Roman" w:hAnsi="Times New Roman" w:cs="Times New Roman" w:eastAsia="Times New Roman" w:hint="default"/>
                <w:sz w:val="16"/>
                <w:szCs w:val="16"/>
              </w:rPr>
            </w:pPr>
            <w:r>
              <w:rPr>
                <w:rFonts w:ascii="Times New Roman"/>
                <w:spacing w:val="-1"/>
                <w:sz w:val="16"/>
              </w:rPr>
              <w:t>453</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2"/>
              <w:jc w:val="right"/>
              <w:rPr>
                <w:rFonts w:ascii="Times New Roman" w:hAnsi="Times New Roman" w:cs="Times New Roman" w:eastAsia="Times New Roman" w:hint="default"/>
                <w:sz w:val="16"/>
                <w:szCs w:val="16"/>
              </w:rPr>
            </w:pPr>
            <w:r>
              <w:rPr>
                <w:rFonts w:ascii="Times New Roman"/>
                <w:spacing w:val="-1"/>
                <w:sz w:val="16"/>
              </w:rPr>
              <w:t>625</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0"/>
              <w:jc w:val="right"/>
              <w:rPr>
                <w:rFonts w:ascii="Times New Roman" w:hAnsi="Times New Roman" w:cs="Times New Roman" w:eastAsia="Times New Roman" w:hint="default"/>
                <w:sz w:val="16"/>
                <w:szCs w:val="16"/>
              </w:rPr>
            </w:pPr>
            <w:r>
              <w:rPr>
                <w:rFonts w:ascii="Times New Roman"/>
                <w:spacing w:val="-1"/>
                <w:sz w:val="16"/>
              </w:rPr>
              <w:t>526</w:t>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(1)</w:t>
            </w:r>
            <w:r>
              <w:rPr>
                <w:rFonts w:ascii="Times New Roman" w:hAnsi="Times New Roman"/>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444</w:t>
            </w:r>
            <w:r>
              <w:rPr>
                <w:rFonts w:ascii="Times New Roman"/>
                <w:spacing w:val="-1"/>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z w:val="16"/>
              </w:rPr>
              <w:t>13</w:t>
            </w:r>
            <w:r>
              <w:rPr>
                <w:rFonts w:ascii="Times New Roman"/>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530</w:t>
            </w:r>
            <w:r>
              <w:rPr>
                <w:rFonts w:ascii="Times New Roman"/>
                <w:spacing w:val="-1"/>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1.305</w:t>
            </w:r>
            <w:r>
              <w:rPr>
                <w:rFonts w:ascii="Times New Roman"/>
                <w:spacing w:val="-1"/>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z w:val="16"/>
              </w:rPr>
              <w:t>40</w:t>
            </w:r>
            <w:r>
              <w:rPr>
                <w:rFonts w:ascii="Times New Roman"/>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162</w:t>
            </w:r>
            <w:r>
              <w:rPr>
                <w:rFonts w:ascii="Times New Roman"/>
                <w:spacing w:val="-1"/>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507</w:t>
            </w:r>
            <w:r>
              <w:rPr>
                <w:rFonts w:ascii="Times New Roman"/>
                <w:spacing w:val="-1"/>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117</w:t>
            </w:r>
            <w:r>
              <w:rPr>
                <w:rFonts w:ascii="Times New Roman"/>
                <w:spacing w:val="-1"/>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42.732</w:t>
            </w:r>
            <w:r>
              <w:rPr>
                <w:rFonts w:ascii="Times New Roman"/>
                <w:spacing w:val="-1"/>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1.350</w:t>
            </w:r>
            <w:r>
              <w:rPr>
                <w:rFonts w:ascii="Times New Roman"/>
                <w:spacing w:val="-1"/>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b/>
                <w:sz w:val="16"/>
              </w:rPr>
              <w:t>99</w:t>
            </w:r>
            <w:r>
              <w:rPr>
                <w:rFonts w:ascii="Times New Roman"/>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481</w:t>
            </w:r>
            <w:r>
              <w:rPr>
                <w:rFonts w:ascii="Times New Roman"/>
                <w:spacing w:val="-1"/>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187</w:t>
            </w:r>
            <w:r>
              <w:rPr>
                <w:rFonts w:ascii="Times New Roman"/>
                <w:spacing w:val="-1"/>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975</w:t>
            </w:r>
            <w:r>
              <w:rPr>
                <w:rFonts w:ascii="Times New Roman"/>
                <w:spacing w:val="-1"/>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1.347</w:t>
            </w:r>
            <w:r>
              <w:rPr>
                <w:rFonts w:ascii="Times New Roman"/>
                <w:spacing w:val="-1"/>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440</w:t>
            </w:r>
            <w:r>
              <w:rPr>
                <w:rFonts w:ascii="Times New Roman"/>
                <w:spacing w:val="-1"/>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351</w:t>
            </w:r>
            <w:r>
              <w:rPr>
                <w:rFonts w:ascii="Times New Roman"/>
                <w:spacing w:val="-1"/>
                <w:sz w:val="16"/>
              </w:rPr>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3"/>
                <w:sz w:val="16"/>
              </w:rPr>
              <w:t> </w:t>
            </w:r>
            <w:r>
              <w:rPr>
                <w:rFonts w:ascii="Times New Roman" w:hAnsi="Times New Roman"/>
                <w:sz w:val="16"/>
              </w:rPr>
              <w:t>рач</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151</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1.005</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196</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1"/>
              <w:jc w:val="right"/>
              <w:rPr>
                <w:rFonts w:ascii="Times New Roman" w:hAnsi="Times New Roman" w:cs="Times New Roman" w:eastAsia="Times New Roman" w:hint="default"/>
                <w:sz w:val="16"/>
                <w:szCs w:val="16"/>
              </w:rPr>
            </w:pPr>
            <w:r>
              <w:rPr>
                <w:rFonts w:ascii="Times New Roman"/>
                <w:sz w:val="16"/>
              </w:rPr>
              <w:t>11</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42.701</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446</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98"/>
              <w:jc w:val="right"/>
              <w:rPr>
                <w:rFonts w:ascii="Times New Roman" w:hAnsi="Times New Roman" w:cs="Times New Roman" w:eastAsia="Times New Roman" w:hint="default"/>
                <w:sz w:val="16"/>
                <w:szCs w:val="16"/>
              </w:rPr>
            </w:pPr>
            <w:r>
              <w:rPr>
                <w:rFonts w:ascii="Times New Roman"/>
                <w:sz w:val="16"/>
              </w:rPr>
              <w:t>72</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1"/>
              <w:jc w:val="right"/>
              <w:rPr>
                <w:rFonts w:ascii="Times New Roman" w:hAnsi="Times New Roman" w:cs="Times New Roman" w:eastAsia="Times New Roman" w:hint="default"/>
                <w:sz w:val="16"/>
                <w:szCs w:val="16"/>
              </w:rPr>
            </w:pPr>
            <w:r>
              <w:rPr>
                <w:rFonts w:ascii="Times New Roman"/>
                <w:sz w:val="16"/>
              </w:rPr>
              <w:t>34</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1"/>
              <w:jc w:val="right"/>
              <w:rPr>
                <w:rFonts w:ascii="Times New Roman" w:hAnsi="Times New Roman" w:cs="Times New Roman" w:eastAsia="Times New Roman" w:hint="default"/>
                <w:sz w:val="16"/>
                <w:szCs w:val="16"/>
              </w:rPr>
            </w:pPr>
            <w:r>
              <w:rPr>
                <w:rFonts w:ascii="Times New Roman"/>
                <w:sz w:val="16"/>
              </w:rPr>
              <w:t>89</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98"/>
              <w:jc w:val="right"/>
              <w:rPr>
                <w:rFonts w:ascii="Times New Roman" w:hAnsi="Times New Roman" w:cs="Times New Roman" w:eastAsia="Times New Roman" w:hint="default"/>
                <w:sz w:val="16"/>
                <w:szCs w:val="16"/>
              </w:rPr>
            </w:pPr>
            <w:r>
              <w:rPr>
                <w:rFonts w:ascii="Times New Roman"/>
                <w:sz w:val="16"/>
              </w:rPr>
              <w:t>81</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1"/>
              <w:jc w:val="right"/>
              <w:rPr>
                <w:rFonts w:ascii="Times New Roman" w:hAnsi="Times New Roman" w:cs="Times New Roman" w:eastAsia="Times New Roman" w:hint="default"/>
                <w:sz w:val="16"/>
                <w:szCs w:val="16"/>
              </w:rPr>
            </w:pPr>
            <w:r>
              <w:rPr>
                <w:rFonts w:ascii="Times New Roman"/>
                <w:sz w:val="16"/>
              </w:rPr>
              <w:t>45</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1"/>
              <w:jc w:val="right"/>
              <w:rPr>
                <w:rFonts w:ascii="Times New Roman" w:hAnsi="Times New Roman" w:cs="Times New Roman" w:eastAsia="Times New Roman" w:hint="default"/>
                <w:sz w:val="16"/>
                <w:szCs w:val="16"/>
              </w:rPr>
            </w:pPr>
            <w:r>
              <w:rPr>
                <w:rFonts w:ascii="Times New Roman"/>
                <w:w w:val="100"/>
                <w:sz w:val="16"/>
              </w:rPr>
              <w:t>2</w:t>
            </w:r>
          </w:p>
        </w:tc>
      </w:tr>
      <w:tr>
        <w:trPr>
          <w:trHeight w:val="271"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7"/>
                <w:sz w:val="16"/>
              </w:rPr>
              <w:t> </w:t>
            </w:r>
            <w:r>
              <w:rPr>
                <w:rFonts w:ascii="Times New Roman" w:hAnsi="Times New Roman"/>
                <w:sz w:val="16"/>
              </w:rPr>
              <w:t>угов</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98"/>
              <w:jc w:val="right"/>
              <w:rPr>
                <w:rFonts w:ascii="Times New Roman" w:hAnsi="Times New Roman" w:cs="Times New Roman" w:eastAsia="Times New Roman" w:hint="default"/>
                <w:sz w:val="16"/>
                <w:szCs w:val="16"/>
              </w:rPr>
            </w:pPr>
            <w:r>
              <w:rPr>
                <w:rFonts w:ascii="Times New Roman"/>
                <w:sz w:val="16"/>
              </w:rPr>
              <w:t>32</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98"/>
              <w:jc w:val="right"/>
              <w:rPr>
                <w:rFonts w:ascii="Times New Roman" w:hAnsi="Times New Roman" w:cs="Times New Roman" w:eastAsia="Times New Roman" w:hint="default"/>
                <w:sz w:val="16"/>
                <w:szCs w:val="16"/>
              </w:rPr>
            </w:pPr>
            <w:r>
              <w:rPr>
                <w:rFonts w:ascii="Times New Roman"/>
                <w:sz w:val="16"/>
              </w:rPr>
              <w:t>32</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40" w:hRule="exact"/>
        </w:trPr>
        <w:tc>
          <w:tcPr>
            <w:tcW w:w="626" w:type="dxa"/>
            <w:vMerge/>
            <w:tcBorders>
              <w:left w:val="single" w:sz="4" w:space="0" w:color="000000"/>
              <w:bottom w:val="single" w:sz="12" w:space="0" w:color="000000"/>
              <w:right w:val="single" w:sz="4" w:space="0" w:color="000000"/>
            </w:tcBorders>
          </w:tcPr>
          <w:p>
            <w:pPr/>
          </w:p>
        </w:tc>
        <w:tc>
          <w:tcPr>
            <w:tcW w:w="13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33"/>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(2)</w:t>
            </w:r>
            <w:r>
              <w:rPr>
                <w:rFonts w:ascii="Times New Roman" w:hAnsi="Times New Roman"/>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33"/>
              <w:ind w:right="102"/>
              <w:jc w:val="right"/>
              <w:rPr>
                <w:rFonts w:ascii="Times New Roman" w:hAnsi="Times New Roman" w:cs="Times New Roman" w:eastAsia="Times New Roman" w:hint="default"/>
                <w:sz w:val="16"/>
                <w:szCs w:val="16"/>
              </w:rPr>
            </w:pPr>
            <w:r>
              <w:rPr>
                <w:rFonts w:ascii="Times New Roman"/>
                <w:b/>
                <w:spacing w:val="-1"/>
                <w:sz w:val="16"/>
              </w:rPr>
              <w:t>293</w:t>
            </w:r>
            <w:r>
              <w:rPr>
                <w:rFonts w:ascii="Times New Roman"/>
                <w:spacing w:val="-1"/>
                <w:sz w:val="16"/>
              </w:rPr>
            </w:r>
          </w:p>
        </w:tc>
        <w:tc>
          <w:tcPr>
            <w:tcW w:w="67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33"/>
              <w:ind w:right="101"/>
              <w:jc w:val="right"/>
              <w:rPr>
                <w:rFonts w:ascii="Times New Roman" w:hAnsi="Times New Roman" w:cs="Times New Roman" w:eastAsia="Times New Roman" w:hint="default"/>
                <w:sz w:val="16"/>
                <w:szCs w:val="16"/>
              </w:rPr>
            </w:pPr>
            <w:r>
              <w:rPr>
                <w:rFonts w:ascii="Times New Roman"/>
                <w:b/>
                <w:sz w:val="16"/>
              </w:rPr>
              <w:t>13</w:t>
            </w:r>
            <w:r>
              <w:rPr>
                <w:rFonts w:ascii="Times New Roman"/>
                <w:sz w:val="16"/>
              </w:rPr>
            </w:r>
          </w:p>
        </w:tc>
        <w:tc>
          <w:tcPr>
            <w:tcW w:w="92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33"/>
              <w:ind w:right="100"/>
              <w:jc w:val="right"/>
              <w:rPr>
                <w:rFonts w:ascii="Times New Roman" w:hAnsi="Times New Roman" w:cs="Times New Roman" w:eastAsia="Times New Roman" w:hint="default"/>
                <w:sz w:val="16"/>
                <w:szCs w:val="16"/>
              </w:rPr>
            </w:pPr>
            <w:r>
              <w:rPr>
                <w:rFonts w:ascii="Times New Roman"/>
                <w:b/>
                <w:spacing w:val="-1"/>
                <w:sz w:val="16"/>
              </w:rPr>
              <w:t>-475</w:t>
            </w:r>
            <w:r>
              <w:rPr>
                <w:rFonts w:ascii="Times New Roman"/>
                <w:spacing w:val="-1"/>
                <w:sz w:val="16"/>
              </w:rPr>
            </w:r>
          </w:p>
        </w:tc>
        <w:tc>
          <w:tcPr>
            <w:tcW w:w="95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33"/>
              <w:ind w:right="100"/>
              <w:jc w:val="right"/>
              <w:rPr>
                <w:rFonts w:ascii="Times New Roman" w:hAnsi="Times New Roman" w:cs="Times New Roman" w:eastAsia="Times New Roman" w:hint="default"/>
                <w:sz w:val="16"/>
                <w:szCs w:val="16"/>
              </w:rPr>
            </w:pPr>
            <w:r>
              <w:rPr>
                <w:rFonts w:ascii="Times New Roman"/>
                <w:b/>
                <w:spacing w:val="-1"/>
                <w:sz w:val="16"/>
              </w:rPr>
              <w:t>1.109</w:t>
            </w:r>
            <w:r>
              <w:rPr>
                <w:rFonts w:ascii="Times New Roman"/>
                <w:spacing w:val="-1"/>
                <w:sz w:val="16"/>
              </w:rPr>
            </w:r>
          </w:p>
        </w:tc>
        <w:tc>
          <w:tcPr>
            <w:tcW w:w="98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33"/>
              <w:ind w:right="101"/>
              <w:jc w:val="right"/>
              <w:rPr>
                <w:rFonts w:ascii="Times New Roman" w:hAnsi="Times New Roman" w:cs="Times New Roman" w:eastAsia="Times New Roman" w:hint="default"/>
                <w:sz w:val="16"/>
                <w:szCs w:val="16"/>
              </w:rPr>
            </w:pPr>
            <w:r>
              <w:rPr>
                <w:rFonts w:ascii="Times New Roman"/>
                <w:b/>
                <w:sz w:val="16"/>
              </w:rPr>
              <w:t>40</w:t>
            </w:r>
            <w:r>
              <w:rPr>
                <w:rFonts w:ascii="Times New Roman"/>
                <w:sz w:val="16"/>
              </w:rPr>
            </w:r>
          </w:p>
        </w:tc>
        <w:tc>
          <w:tcPr>
            <w:tcW w:w="900"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33"/>
              <w:ind w:right="102"/>
              <w:jc w:val="right"/>
              <w:rPr>
                <w:rFonts w:ascii="Times New Roman" w:hAnsi="Times New Roman" w:cs="Times New Roman" w:eastAsia="Times New Roman" w:hint="default"/>
                <w:sz w:val="16"/>
                <w:szCs w:val="16"/>
              </w:rPr>
            </w:pPr>
            <w:r>
              <w:rPr>
                <w:rFonts w:ascii="Times New Roman"/>
                <w:b/>
                <w:spacing w:val="-1"/>
                <w:sz w:val="16"/>
              </w:rPr>
              <w:t>151</w:t>
            </w:r>
            <w:r>
              <w:rPr>
                <w:rFonts w:ascii="Times New Roman"/>
                <w:spacing w:val="-1"/>
                <w:sz w:val="16"/>
              </w:rPr>
            </w:r>
          </w:p>
        </w:tc>
        <w:tc>
          <w:tcPr>
            <w:tcW w:w="7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33"/>
              <w:ind w:right="100"/>
              <w:jc w:val="right"/>
              <w:rPr>
                <w:rFonts w:ascii="Times New Roman" w:hAnsi="Times New Roman" w:cs="Times New Roman" w:eastAsia="Times New Roman" w:hint="default"/>
                <w:sz w:val="16"/>
                <w:szCs w:val="16"/>
              </w:rPr>
            </w:pPr>
            <w:r>
              <w:rPr>
                <w:rFonts w:ascii="Times New Roman"/>
                <w:b/>
                <w:spacing w:val="-1"/>
                <w:sz w:val="16"/>
              </w:rPr>
              <w:t>475</w:t>
            </w:r>
            <w:r>
              <w:rPr>
                <w:rFonts w:ascii="Times New Roman"/>
                <w:spacing w:val="-1"/>
                <w:sz w:val="16"/>
              </w:rPr>
            </w:r>
          </w:p>
        </w:tc>
        <w:tc>
          <w:tcPr>
            <w:tcW w:w="79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33"/>
              <w:ind w:right="98"/>
              <w:jc w:val="right"/>
              <w:rPr>
                <w:rFonts w:ascii="Times New Roman" w:hAnsi="Times New Roman" w:cs="Times New Roman" w:eastAsia="Times New Roman" w:hint="default"/>
                <w:sz w:val="16"/>
                <w:szCs w:val="16"/>
              </w:rPr>
            </w:pPr>
            <w:r>
              <w:rPr>
                <w:rFonts w:ascii="Times New Roman"/>
                <w:b/>
                <w:sz w:val="16"/>
              </w:rPr>
              <w:t>85</w:t>
            </w:r>
            <w:r>
              <w:rPr>
                <w:rFonts w:ascii="Times New Roman"/>
                <w:sz w:val="16"/>
              </w:rPr>
            </w:r>
          </w:p>
        </w:tc>
        <w:tc>
          <w:tcPr>
            <w:tcW w:w="82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33"/>
              <w:ind w:right="101"/>
              <w:jc w:val="right"/>
              <w:rPr>
                <w:rFonts w:ascii="Times New Roman" w:hAnsi="Times New Roman" w:cs="Times New Roman" w:eastAsia="Times New Roman" w:hint="default"/>
                <w:sz w:val="16"/>
                <w:szCs w:val="16"/>
              </w:rPr>
            </w:pPr>
            <w:r>
              <w:rPr>
                <w:rFonts w:ascii="Times New Roman"/>
                <w:b/>
                <w:sz w:val="16"/>
              </w:rPr>
              <w:t>31</w:t>
            </w:r>
            <w:r>
              <w:rPr>
                <w:rFonts w:ascii="Times New Roman"/>
                <w:sz w:val="16"/>
              </w:rPr>
            </w:r>
          </w:p>
        </w:tc>
        <w:tc>
          <w:tcPr>
            <w:tcW w:w="74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33"/>
              <w:ind w:right="100"/>
              <w:jc w:val="right"/>
              <w:rPr>
                <w:rFonts w:ascii="Times New Roman" w:hAnsi="Times New Roman" w:cs="Times New Roman" w:eastAsia="Times New Roman" w:hint="default"/>
                <w:sz w:val="16"/>
                <w:szCs w:val="16"/>
              </w:rPr>
            </w:pPr>
            <w:r>
              <w:rPr>
                <w:rFonts w:ascii="Times New Roman"/>
                <w:b/>
                <w:spacing w:val="-1"/>
                <w:sz w:val="16"/>
              </w:rPr>
              <w:t>904</w:t>
            </w:r>
            <w:r>
              <w:rPr>
                <w:rFonts w:ascii="Times New Roman"/>
                <w:spacing w:val="-1"/>
                <w:sz w:val="16"/>
              </w:rPr>
            </w:r>
          </w:p>
        </w:tc>
        <w:tc>
          <w:tcPr>
            <w:tcW w:w="70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b/>
                <w:sz w:val="16"/>
              </w:rPr>
              <w:t>27</w:t>
            </w:r>
            <w:r>
              <w:rPr>
                <w:rFonts w:ascii="Times New Roman"/>
                <w:sz w:val="16"/>
              </w:rPr>
            </w:r>
          </w:p>
        </w:tc>
        <w:tc>
          <w:tcPr>
            <w:tcW w:w="85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33"/>
              <w:ind w:right="140"/>
              <w:jc w:val="right"/>
              <w:rPr>
                <w:rFonts w:ascii="Times New Roman" w:hAnsi="Times New Roman" w:cs="Times New Roman" w:eastAsia="Times New Roman" w:hint="default"/>
                <w:sz w:val="16"/>
                <w:szCs w:val="16"/>
              </w:rPr>
            </w:pPr>
            <w:r>
              <w:rPr>
                <w:rFonts w:ascii="Times New Roman"/>
                <w:b/>
                <w:spacing w:val="-1"/>
                <w:sz w:val="16"/>
              </w:rPr>
              <w:t>481</w:t>
            </w:r>
            <w:r>
              <w:rPr>
                <w:rFonts w:ascii="Times New Roman"/>
                <w:spacing w:val="-1"/>
                <w:sz w:val="16"/>
              </w:rPr>
            </w:r>
          </w:p>
        </w:tc>
        <w:tc>
          <w:tcPr>
            <w:tcW w:w="76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33"/>
              <w:ind w:right="102"/>
              <w:jc w:val="right"/>
              <w:rPr>
                <w:rFonts w:ascii="Times New Roman" w:hAnsi="Times New Roman" w:cs="Times New Roman" w:eastAsia="Times New Roman" w:hint="default"/>
                <w:sz w:val="16"/>
                <w:szCs w:val="16"/>
              </w:rPr>
            </w:pPr>
            <w:r>
              <w:rPr>
                <w:rFonts w:ascii="Times New Roman"/>
                <w:b/>
                <w:spacing w:val="-1"/>
                <w:sz w:val="16"/>
              </w:rPr>
              <w:t>153</w:t>
            </w:r>
            <w:r>
              <w:rPr>
                <w:rFonts w:ascii="Times New Roman"/>
                <w:spacing w:val="-1"/>
                <w:sz w:val="16"/>
              </w:rPr>
            </w:r>
          </w:p>
        </w:tc>
        <w:tc>
          <w:tcPr>
            <w:tcW w:w="81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33"/>
              <w:ind w:right="102"/>
              <w:jc w:val="right"/>
              <w:rPr>
                <w:rFonts w:ascii="Times New Roman" w:hAnsi="Times New Roman" w:cs="Times New Roman" w:eastAsia="Times New Roman" w:hint="default"/>
                <w:sz w:val="16"/>
                <w:szCs w:val="16"/>
              </w:rPr>
            </w:pPr>
            <w:r>
              <w:rPr>
                <w:rFonts w:ascii="Times New Roman"/>
                <w:b/>
                <w:spacing w:val="-1"/>
                <w:sz w:val="16"/>
              </w:rPr>
              <w:t>886</w:t>
            </w:r>
            <w:r>
              <w:rPr>
                <w:rFonts w:ascii="Times New Roman"/>
                <w:spacing w:val="-1"/>
                <w:sz w:val="16"/>
              </w:rPr>
            </w:r>
          </w:p>
        </w:tc>
        <w:tc>
          <w:tcPr>
            <w:tcW w:w="69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33"/>
              <w:ind w:right="100"/>
              <w:jc w:val="right"/>
              <w:rPr>
                <w:rFonts w:ascii="Times New Roman" w:hAnsi="Times New Roman" w:cs="Times New Roman" w:eastAsia="Times New Roman" w:hint="default"/>
                <w:sz w:val="16"/>
                <w:szCs w:val="16"/>
              </w:rPr>
            </w:pPr>
            <w:r>
              <w:rPr>
                <w:rFonts w:ascii="Times New Roman"/>
                <w:b/>
                <w:spacing w:val="-1"/>
                <w:sz w:val="16"/>
              </w:rPr>
              <w:t>1.266</w:t>
            </w:r>
            <w:r>
              <w:rPr>
                <w:rFonts w:ascii="Times New Roman"/>
                <w:spacing w:val="-1"/>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33"/>
              <w:ind w:right="102"/>
              <w:jc w:val="right"/>
              <w:rPr>
                <w:rFonts w:ascii="Times New Roman" w:hAnsi="Times New Roman" w:cs="Times New Roman" w:eastAsia="Times New Roman" w:hint="default"/>
                <w:sz w:val="16"/>
                <w:szCs w:val="16"/>
              </w:rPr>
            </w:pPr>
            <w:r>
              <w:rPr>
                <w:rFonts w:ascii="Times New Roman"/>
                <w:b/>
                <w:spacing w:val="-1"/>
                <w:sz w:val="16"/>
              </w:rPr>
              <w:t>395</w:t>
            </w:r>
            <w:r>
              <w:rPr>
                <w:rFonts w:ascii="Times New Roman"/>
                <w:spacing w:val="-1"/>
                <w:sz w:val="16"/>
              </w:rPr>
            </w:r>
          </w:p>
        </w:tc>
        <w:tc>
          <w:tcPr>
            <w:tcW w:w="78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33"/>
              <w:ind w:right="100"/>
              <w:jc w:val="right"/>
              <w:rPr>
                <w:rFonts w:ascii="Times New Roman" w:hAnsi="Times New Roman" w:cs="Times New Roman" w:eastAsia="Times New Roman" w:hint="default"/>
                <w:sz w:val="16"/>
                <w:szCs w:val="16"/>
              </w:rPr>
            </w:pPr>
            <w:r>
              <w:rPr>
                <w:rFonts w:ascii="Times New Roman"/>
                <w:b/>
                <w:spacing w:val="-1"/>
                <w:sz w:val="16"/>
              </w:rPr>
              <w:t>349</w:t>
            </w:r>
            <w:r>
              <w:rPr>
                <w:rFonts w:ascii="Times New Roman"/>
                <w:spacing w:val="-1"/>
                <w:sz w:val="16"/>
              </w:rPr>
            </w:r>
          </w:p>
        </w:tc>
      </w:tr>
      <w:tr>
        <w:trPr>
          <w:trHeight w:val="204" w:hRule="exact"/>
        </w:trPr>
        <w:tc>
          <w:tcPr>
            <w:tcW w:w="626" w:type="dxa"/>
            <w:vMerge w:val="restart"/>
            <w:tcBorders>
              <w:top w:val="single" w:sz="12"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8"/>
              <w:ind w:right="0"/>
              <w:jc w:val="left"/>
              <w:rPr>
                <w:rFonts w:ascii="Times New Roman" w:hAnsi="Times New Roman" w:cs="Times New Roman" w:eastAsia="Times New Roman" w:hint="default"/>
                <w:sz w:val="14"/>
                <w:szCs w:val="14"/>
              </w:rPr>
            </w:pPr>
          </w:p>
          <w:p>
            <w:pPr>
              <w:pStyle w:val="TableParagraph"/>
              <w:spacing w:line="240" w:lineRule="auto"/>
              <w:ind w:left="187" w:right="94"/>
              <w:jc w:val="left"/>
              <w:rPr>
                <w:rFonts w:ascii="Times New Roman" w:hAnsi="Times New Roman" w:cs="Times New Roman" w:eastAsia="Times New Roman" w:hint="default"/>
                <w:sz w:val="16"/>
                <w:szCs w:val="16"/>
              </w:rPr>
            </w:pPr>
            <w:r>
              <w:rPr>
                <w:rFonts w:ascii="Times New Roman"/>
                <w:sz w:val="16"/>
              </w:rPr>
              <w:t>441</w:t>
            </w:r>
          </w:p>
        </w:tc>
        <w:tc>
          <w:tcPr>
            <w:tcW w:w="1359"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hAnsi="Times New Roman"/>
                <w:sz w:val="16"/>
              </w:rPr>
              <w:t>Укупна</w:t>
            </w:r>
            <w:r>
              <w:rPr>
                <w:rFonts w:ascii="Times New Roman" w:hAnsi="Times New Roman"/>
                <w:spacing w:val="-5"/>
                <w:sz w:val="16"/>
              </w:rPr>
              <w:t> </w:t>
            </w:r>
            <w:r>
              <w:rPr>
                <w:rFonts w:ascii="Times New Roman" w:hAnsi="Times New Roman"/>
                <w:sz w:val="16"/>
              </w:rPr>
              <w:t>апроп</w:t>
            </w:r>
            <w:r>
              <w:rPr>
                <w:rFonts w:ascii="Times New Roman" w:hAnsi="Times New Roman"/>
                <w:sz w:val="16"/>
              </w:rPr>
              <w:t>.</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98"/>
              <w:jc w:val="right"/>
              <w:rPr>
                <w:rFonts w:ascii="Times New Roman" w:hAnsi="Times New Roman" w:cs="Times New Roman" w:eastAsia="Times New Roman" w:hint="default"/>
                <w:sz w:val="16"/>
                <w:szCs w:val="16"/>
              </w:rPr>
            </w:pPr>
            <w:r>
              <w:rPr>
                <w:rFonts w:ascii="Times New Roman"/>
                <w:sz w:val="16"/>
              </w:rPr>
              <w:t>50</w:t>
            </w:r>
          </w:p>
        </w:tc>
        <w:tc>
          <w:tcPr>
            <w:tcW w:w="986"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28"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103" w:right="0"/>
              <w:jc w:val="left"/>
              <w:rPr>
                <w:rFonts w:ascii="Times New Roman" w:hAnsi="Times New Roman" w:cs="Times New Roman" w:eastAsia="Times New Roman" w:hint="default"/>
                <w:sz w:val="16"/>
                <w:szCs w:val="16"/>
              </w:rPr>
            </w:pPr>
            <w:r>
              <w:rPr>
                <w:rFonts w:ascii="Times New Roman" w:hAnsi="Times New Roman"/>
                <w:sz w:val="16"/>
              </w:rPr>
              <w:t>Исказано</w:t>
            </w:r>
            <w:r>
              <w:rPr>
                <w:rFonts w:ascii="Times New Roman" w:hAnsi="Times New Roman"/>
                <w:spacing w:val="-5"/>
                <w:sz w:val="16"/>
              </w:rPr>
              <w:t> </w:t>
            </w:r>
            <w:r>
              <w:rPr>
                <w:rFonts w:ascii="Times New Roman" w:hAnsi="Times New Roman"/>
                <w:sz w:val="16"/>
              </w:rPr>
              <w:t>изврш</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98"/>
              <w:jc w:val="right"/>
              <w:rPr>
                <w:rFonts w:ascii="Times New Roman" w:hAnsi="Times New Roman" w:cs="Times New Roman" w:eastAsia="Times New Roman" w:hint="default"/>
                <w:sz w:val="16"/>
                <w:szCs w:val="16"/>
              </w:rPr>
            </w:pPr>
            <w:r>
              <w:rPr>
                <w:rFonts w:ascii="Times New Roman"/>
                <w:sz w:val="16"/>
              </w:rPr>
              <w:t>58</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(1)</w:t>
            </w:r>
            <w:r>
              <w:rPr>
                <w:rFonts w:ascii="Times New Roman" w:hAnsi="Times New Roman"/>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-8</w:t>
            </w:r>
            <w:r>
              <w:rPr>
                <w:rFonts w:ascii="Times New Roman"/>
                <w:spacing w:val="-1"/>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3"/>
                <w:sz w:val="16"/>
              </w:rPr>
              <w:t> </w:t>
            </w:r>
            <w:r>
              <w:rPr>
                <w:rFonts w:ascii="Times New Roman" w:hAnsi="Times New Roman"/>
                <w:sz w:val="16"/>
              </w:rPr>
              <w:t>рач</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7"/>
                <w:sz w:val="16"/>
              </w:rPr>
              <w:t> </w:t>
            </w:r>
            <w:r>
              <w:rPr>
                <w:rFonts w:ascii="Times New Roman" w:hAnsi="Times New Roman"/>
                <w:sz w:val="16"/>
              </w:rPr>
              <w:t>угов</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26" w:hRule="exact"/>
        </w:trPr>
        <w:tc>
          <w:tcPr>
            <w:tcW w:w="626" w:type="dxa"/>
            <w:vMerge/>
            <w:tcBorders>
              <w:left w:val="single" w:sz="4" w:space="0" w:color="000000"/>
              <w:bottom w:val="single" w:sz="12" w:space="0" w:color="000000"/>
              <w:right w:val="single" w:sz="4" w:space="0" w:color="000000"/>
            </w:tcBorders>
          </w:tcPr>
          <w:p>
            <w:pPr/>
          </w:p>
        </w:tc>
        <w:tc>
          <w:tcPr>
            <w:tcW w:w="13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(2)</w:t>
            </w:r>
            <w:r>
              <w:rPr>
                <w:rFonts w:ascii="Times New Roman" w:hAnsi="Times New Roman"/>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-8</w:t>
            </w:r>
            <w:r>
              <w:rPr>
                <w:rFonts w:ascii="Times New Roman"/>
                <w:spacing w:val="-1"/>
                <w:sz w:val="16"/>
              </w:rPr>
            </w:r>
          </w:p>
        </w:tc>
        <w:tc>
          <w:tcPr>
            <w:tcW w:w="98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09" w:hRule="exact"/>
        </w:trPr>
        <w:tc>
          <w:tcPr>
            <w:tcW w:w="626" w:type="dxa"/>
            <w:tcBorders>
              <w:top w:val="single" w:sz="12" w:space="0" w:color="000000"/>
              <w:left w:val="single" w:sz="4" w:space="0" w:color="000000"/>
              <w:bottom w:val="single" w:sz="12" w:space="0" w:color="000000"/>
              <w:right w:val="single" w:sz="4" w:space="0" w:color="000000"/>
            </w:tcBorders>
          </w:tcPr>
          <w:p>
            <w:pPr>
              <w:pStyle w:val="TableParagraph"/>
              <w:spacing w:line="181" w:lineRule="exact"/>
              <w:ind w:left="187" w:right="94"/>
              <w:jc w:val="left"/>
              <w:rPr>
                <w:rFonts w:ascii="Times New Roman" w:hAnsi="Times New Roman" w:cs="Times New Roman" w:eastAsia="Times New Roman" w:hint="default"/>
                <w:sz w:val="16"/>
                <w:szCs w:val="16"/>
              </w:rPr>
            </w:pPr>
            <w:r>
              <w:rPr>
                <w:rFonts w:ascii="Times New Roman"/>
                <w:sz w:val="16"/>
              </w:rPr>
              <w:t>444</w:t>
            </w:r>
          </w:p>
        </w:tc>
        <w:tc>
          <w:tcPr>
            <w:tcW w:w="1359"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left="103" w:right="0"/>
              <w:jc w:val="left"/>
              <w:rPr>
                <w:rFonts w:ascii="Times New Roman" w:hAnsi="Times New Roman" w:cs="Times New Roman" w:eastAsia="Times New Roman" w:hint="default"/>
                <w:sz w:val="16"/>
                <w:szCs w:val="16"/>
              </w:rPr>
            </w:pPr>
            <w:r>
              <w:rPr>
                <w:rFonts w:ascii="Times New Roman" w:hAnsi="Times New Roman"/>
                <w:sz w:val="16"/>
              </w:rPr>
              <w:t>Укупна</w:t>
            </w:r>
            <w:r>
              <w:rPr>
                <w:rFonts w:ascii="Times New Roman" w:hAnsi="Times New Roman"/>
                <w:spacing w:val="-5"/>
                <w:sz w:val="16"/>
              </w:rPr>
              <w:t> </w:t>
            </w:r>
            <w:r>
              <w:rPr>
                <w:rFonts w:ascii="Times New Roman" w:hAnsi="Times New Roman"/>
                <w:sz w:val="16"/>
              </w:rPr>
              <w:t>апроп</w:t>
            </w:r>
            <w:r>
              <w:rPr>
                <w:rFonts w:ascii="Times New Roman" w:hAnsi="Times New Roman"/>
                <w:sz w:val="16"/>
              </w:rPr>
              <w:t>.</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02"/>
              <w:jc w:val="right"/>
              <w:rPr>
                <w:rFonts w:ascii="Times New Roman" w:hAnsi="Times New Roman" w:cs="Times New Roman" w:eastAsia="Times New Roman" w:hint="default"/>
                <w:sz w:val="16"/>
                <w:szCs w:val="16"/>
              </w:rPr>
            </w:pPr>
            <w:r>
              <w:rPr>
                <w:rFonts w:ascii="Times New Roman"/>
                <w:w w:val="100"/>
                <w:sz w:val="16"/>
              </w:rPr>
              <w:t>2</w:t>
            </w:r>
          </w:p>
        </w:tc>
        <w:tc>
          <w:tcPr>
            <w:tcW w:w="75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02"/>
              <w:jc w:val="right"/>
              <w:rPr>
                <w:rFonts w:ascii="Times New Roman" w:hAnsi="Times New Roman" w:cs="Times New Roman" w:eastAsia="Times New Roman" w:hint="default"/>
                <w:sz w:val="16"/>
                <w:szCs w:val="16"/>
              </w:rPr>
            </w:pPr>
            <w:r>
              <w:rPr>
                <w:rFonts w:ascii="Times New Roman"/>
                <w:spacing w:val="-1"/>
                <w:sz w:val="16"/>
              </w:rPr>
              <w:t>8.000</w:t>
            </w:r>
          </w:p>
        </w:tc>
        <w:tc>
          <w:tcPr>
            <w:tcW w:w="74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01"/>
              <w:jc w:val="right"/>
              <w:rPr>
                <w:rFonts w:ascii="Times New Roman" w:hAnsi="Times New Roman" w:cs="Times New Roman" w:eastAsia="Times New Roman" w:hint="default"/>
                <w:sz w:val="16"/>
                <w:szCs w:val="16"/>
              </w:rPr>
            </w:pPr>
            <w:r>
              <w:rPr>
                <w:rFonts w:ascii="Times New Roman"/>
                <w:sz w:val="16"/>
              </w:rPr>
              <w:t>40</w:t>
            </w:r>
          </w:p>
        </w:tc>
        <w:tc>
          <w:tcPr>
            <w:tcW w:w="816"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bl>
    <w:p>
      <w:pPr>
        <w:spacing w:after="0" w:line="240" w:lineRule="auto"/>
        <w:jc w:val="right"/>
        <w:rPr>
          <w:rFonts w:ascii="Times New Roman" w:hAnsi="Times New Roman" w:cs="Times New Roman" w:eastAsia="Times New Roman" w:hint="default"/>
          <w:sz w:val="16"/>
          <w:szCs w:val="16"/>
        </w:rPr>
        <w:sectPr>
          <w:footerReference w:type="default" r:id="rId96"/>
          <w:pgSz w:w="15840" w:h="12240" w:orient="landscape"/>
          <w:pgMar w:footer="1504" w:header="740" w:top="1280" w:bottom="1700" w:left="160" w:right="0"/>
          <w:pgNumType w:start="320"/>
        </w:sectPr>
      </w:pPr>
    </w:p>
    <w:p>
      <w:pPr>
        <w:spacing w:line="240" w:lineRule="auto" w:before="7"/>
        <w:rPr>
          <w:rFonts w:ascii="Times New Roman" w:hAnsi="Times New Roman" w:cs="Times New Roman" w:eastAsia="Times New Roman" w:hint="default"/>
          <w:sz w:val="23"/>
          <w:szCs w:val="23"/>
        </w:rPr>
      </w:pPr>
    </w:p>
    <w:tbl>
      <w:tblPr>
        <w:tblW w:w="0" w:type="auto"/>
        <w:jc w:val="left"/>
        <w:tblInd w:w="118" w:type="dxa"/>
        <w:tblLayout w:type="fixed"/>
        <w:tblCellMar>
          <w:top w:w="0" w:type="dxa"/>
          <w:left w:w="0" w:type="dxa"/>
          <w:bottom w:w="0" w:type="dxa"/>
          <w:right w:w="0" w:type="dxa"/>
        </w:tblCellMar>
        <w:tblLook w:val="01E0"/>
      </w:tblPr>
      <w:tblGrid>
        <w:gridCol w:w="626"/>
        <w:gridCol w:w="1359"/>
        <w:gridCol w:w="658"/>
        <w:gridCol w:w="679"/>
        <w:gridCol w:w="927"/>
        <w:gridCol w:w="955"/>
        <w:gridCol w:w="986"/>
        <w:gridCol w:w="900"/>
        <w:gridCol w:w="759"/>
        <w:gridCol w:w="792"/>
        <w:gridCol w:w="821"/>
        <w:gridCol w:w="747"/>
        <w:gridCol w:w="708"/>
        <w:gridCol w:w="852"/>
        <w:gridCol w:w="761"/>
        <w:gridCol w:w="816"/>
        <w:gridCol w:w="691"/>
        <w:gridCol w:w="658"/>
        <w:gridCol w:w="785"/>
      </w:tblGrid>
      <w:tr>
        <w:trPr>
          <w:trHeight w:val="192" w:hRule="exact"/>
        </w:trPr>
        <w:tc>
          <w:tcPr>
            <w:tcW w:w="626" w:type="dxa"/>
            <w:vMerge w:val="restart"/>
            <w:tcBorders>
              <w:top w:val="single" w:sz="4" w:space="0" w:color="000000"/>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hAnsi="Times New Roman"/>
                <w:sz w:val="16"/>
              </w:rPr>
              <w:t>Исказано</w:t>
            </w:r>
            <w:r>
              <w:rPr>
                <w:rFonts w:ascii="Times New Roman" w:hAnsi="Times New Roman"/>
                <w:spacing w:val="-5"/>
                <w:sz w:val="16"/>
              </w:rPr>
              <w:t> </w:t>
            </w:r>
            <w:r>
              <w:rPr>
                <w:rFonts w:ascii="Times New Roman" w:hAnsi="Times New Roman"/>
                <w:sz w:val="16"/>
              </w:rPr>
              <w:t>изврш</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w w:val="100"/>
                <w:sz w:val="16"/>
              </w:rPr>
              <w:t>4</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9.582</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1"/>
              <w:jc w:val="right"/>
              <w:rPr>
                <w:rFonts w:ascii="Times New Roman" w:hAnsi="Times New Roman" w:cs="Times New Roman" w:eastAsia="Times New Roman" w:hint="default"/>
                <w:sz w:val="16"/>
                <w:szCs w:val="16"/>
              </w:rPr>
            </w:pPr>
            <w:r>
              <w:rPr>
                <w:rFonts w:ascii="Times New Roman"/>
                <w:sz w:val="16"/>
              </w:rPr>
              <w:t>67</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16"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(1)</w:t>
            </w:r>
            <w:r>
              <w:rPr>
                <w:rFonts w:ascii="Times New Roman" w:hAnsi="Times New Roman"/>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4"/>
              <w:jc w:val="right"/>
              <w:rPr>
                <w:rFonts w:ascii="Times New Roman" w:hAnsi="Times New Roman" w:cs="Times New Roman" w:eastAsia="Times New Roman" w:hint="default"/>
                <w:sz w:val="16"/>
                <w:szCs w:val="16"/>
              </w:rPr>
            </w:pPr>
            <w:r>
              <w:rPr>
                <w:rFonts w:ascii="Times New Roman"/>
                <w:b/>
                <w:spacing w:val="-1"/>
                <w:sz w:val="16"/>
              </w:rPr>
              <w:t>-2</w:t>
            </w:r>
            <w:r>
              <w:rPr>
                <w:rFonts w:ascii="Times New Roman"/>
                <w:spacing w:val="-1"/>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-1.582</w:t>
            </w:r>
            <w:r>
              <w:rPr>
                <w:rFonts w:ascii="Times New Roman"/>
                <w:spacing w:val="-1"/>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z w:val="16"/>
              </w:rPr>
              <w:t>-27</w:t>
            </w:r>
            <w:r>
              <w:rPr>
                <w:rFonts w:ascii="Times New Roman"/>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3"/>
                <w:sz w:val="16"/>
              </w:rPr>
              <w:t> </w:t>
            </w:r>
            <w:r>
              <w:rPr>
                <w:rFonts w:ascii="Times New Roman" w:hAnsi="Times New Roman"/>
                <w:sz w:val="16"/>
              </w:rPr>
              <w:t>рач</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w w:val="100"/>
                <w:sz w:val="16"/>
              </w:rPr>
              <w:t>-</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69"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7"/>
                <w:sz w:val="16"/>
              </w:rPr>
              <w:t> </w:t>
            </w:r>
            <w:r>
              <w:rPr>
                <w:rFonts w:ascii="Times New Roman" w:hAnsi="Times New Roman"/>
                <w:sz w:val="16"/>
              </w:rPr>
              <w:t>угов</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2"/>
              <w:jc w:val="right"/>
              <w:rPr>
                <w:rFonts w:ascii="Times New Roman" w:hAnsi="Times New Roman" w:cs="Times New Roman" w:eastAsia="Times New Roman" w:hint="default"/>
                <w:sz w:val="16"/>
                <w:szCs w:val="16"/>
              </w:rPr>
            </w:pPr>
            <w:r>
              <w:rPr>
                <w:rFonts w:ascii="Times New Roman"/>
                <w:w w:val="100"/>
                <w:sz w:val="16"/>
              </w:rPr>
              <w:t>-</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23" w:hRule="exact"/>
        </w:trPr>
        <w:tc>
          <w:tcPr>
            <w:tcW w:w="626" w:type="dxa"/>
            <w:vMerge/>
            <w:tcBorders>
              <w:left w:val="single" w:sz="4" w:space="0" w:color="000000"/>
              <w:bottom w:val="single" w:sz="12" w:space="0" w:color="000000"/>
              <w:right w:val="single" w:sz="4" w:space="0" w:color="000000"/>
            </w:tcBorders>
          </w:tcPr>
          <w:p>
            <w:pPr/>
          </w:p>
        </w:tc>
        <w:tc>
          <w:tcPr>
            <w:tcW w:w="13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(2)</w:t>
            </w:r>
            <w:r>
              <w:rPr>
                <w:rFonts w:ascii="Times New Roman" w:hAnsi="Times New Roman"/>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4"/>
              <w:jc w:val="right"/>
              <w:rPr>
                <w:rFonts w:ascii="Times New Roman" w:hAnsi="Times New Roman" w:cs="Times New Roman" w:eastAsia="Times New Roman" w:hint="default"/>
                <w:sz w:val="16"/>
                <w:szCs w:val="16"/>
              </w:rPr>
            </w:pPr>
            <w:r>
              <w:rPr>
                <w:rFonts w:ascii="Times New Roman"/>
                <w:b/>
                <w:spacing w:val="-1"/>
                <w:sz w:val="16"/>
              </w:rPr>
              <w:t>-2</w:t>
            </w:r>
            <w:r>
              <w:rPr>
                <w:rFonts w:ascii="Times New Roman"/>
                <w:spacing w:val="-1"/>
                <w:sz w:val="16"/>
              </w:rPr>
            </w:r>
          </w:p>
        </w:tc>
        <w:tc>
          <w:tcPr>
            <w:tcW w:w="7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-0</w:t>
            </w:r>
            <w:r>
              <w:rPr>
                <w:rFonts w:ascii="Times New Roman"/>
                <w:spacing w:val="-1"/>
                <w:sz w:val="16"/>
              </w:rPr>
            </w:r>
          </w:p>
        </w:tc>
        <w:tc>
          <w:tcPr>
            <w:tcW w:w="82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-1.582</w:t>
            </w:r>
            <w:r>
              <w:rPr>
                <w:rFonts w:ascii="Times New Roman"/>
                <w:spacing w:val="-1"/>
                <w:sz w:val="16"/>
              </w:rPr>
            </w:r>
          </w:p>
        </w:tc>
        <w:tc>
          <w:tcPr>
            <w:tcW w:w="74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z w:val="16"/>
              </w:rPr>
              <w:t>-27</w:t>
            </w:r>
            <w:r>
              <w:rPr>
                <w:rFonts w:ascii="Times New Roman"/>
                <w:sz w:val="16"/>
              </w:rPr>
            </w:r>
          </w:p>
        </w:tc>
        <w:tc>
          <w:tcPr>
            <w:tcW w:w="81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06" w:hRule="exact"/>
        </w:trPr>
        <w:tc>
          <w:tcPr>
            <w:tcW w:w="626" w:type="dxa"/>
            <w:vMerge w:val="restart"/>
            <w:tcBorders>
              <w:top w:val="single" w:sz="12"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2"/>
              <w:ind w:right="0"/>
              <w:jc w:val="left"/>
              <w:rPr>
                <w:rFonts w:ascii="Times New Roman" w:hAnsi="Times New Roman" w:cs="Times New Roman" w:eastAsia="Times New Roman" w:hint="default"/>
                <w:sz w:val="19"/>
                <w:szCs w:val="19"/>
              </w:rPr>
            </w:pPr>
          </w:p>
          <w:p>
            <w:pPr>
              <w:pStyle w:val="TableParagraph"/>
              <w:spacing w:line="240" w:lineRule="auto"/>
              <w:ind w:left="187" w:right="94"/>
              <w:jc w:val="left"/>
              <w:rPr>
                <w:rFonts w:ascii="Times New Roman" w:hAnsi="Times New Roman" w:cs="Times New Roman" w:eastAsia="Times New Roman" w:hint="default"/>
                <w:sz w:val="16"/>
                <w:szCs w:val="16"/>
              </w:rPr>
            </w:pPr>
            <w:r>
              <w:rPr>
                <w:rFonts w:ascii="Times New Roman"/>
                <w:sz w:val="16"/>
              </w:rPr>
              <w:t>465</w:t>
            </w:r>
          </w:p>
        </w:tc>
        <w:tc>
          <w:tcPr>
            <w:tcW w:w="1359"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left="103" w:right="0"/>
              <w:jc w:val="left"/>
              <w:rPr>
                <w:rFonts w:ascii="Times New Roman" w:hAnsi="Times New Roman" w:cs="Times New Roman" w:eastAsia="Times New Roman" w:hint="default"/>
                <w:sz w:val="16"/>
                <w:szCs w:val="16"/>
              </w:rPr>
            </w:pPr>
            <w:r>
              <w:rPr>
                <w:rFonts w:ascii="Times New Roman" w:hAnsi="Times New Roman"/>
                <w:sz w:val="16"/>
              </w:rPr>
              <w:t>Укупна</w:t>
            </w:r>
            <w:r>
              <w:rPr>
                <w:rFonts w:ascii="Times New Roman" w:hAnsi="Times New Roman"/>
                <w:spacing w:val="-5"/>
                <w:sz w:val="16"/>
              </w:rPr>
              <w:t> </w:t>
            </w:r>
            <w:r>
              <w:rPr>
                <w:rFonts w:ascii="Times New Roman" w:hAnsi="Times New Roman"/>
                <w:sz w:val="16"/>
              </w:rPr>
              <w:t>апроп</w:t>
            </w:r>
            <w:r>
              <w:rPr>
                <w:rFonts w:ascii="Times New Roman" w:hAnsi="Times New Roman"/>
                <w:sz w:val="16"/>
              </w:rPr>
              <w:t>.</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02"/>
              <w:jc w:val="right"/>
              <w:rPr>
                <w:rFonts w:ascii="Times New Roman" w:hAnsi="Times New Roman" w:cs="Times New Roman" w:eastAsia="Times New Roman" w:hint="default"/>
                <w:sz w:val="16"/>
                <w:szCs w:val="16"/>
              </w:rPr>
            </w:pPr>
            <w:r>
              <w:rPr>
                <w:rFonts w:ascii="Times New Roman"/>
                <w:spacing w:val="-1"/>
                <w:sz w:val="16"/>
              </w:rPr>
              <w:t>117</w:t>
            </w:r>
          </w:p>
        </w:tc>
        <w:tc>
          <w:tcPr>
            <w:tcW w:w="679"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1.057</w:t>
            </w:r>
          </w:p>
        </w:tc>
        <w:tc>
          <w:tcPr>
            <w:tcW w:w="955"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199</w:t>
            </w:r>
          </w:p>
        </w:tc>
        <w:tc>
          <w:tcPr>
            <w:tcW w:w="792"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98"/>
              <w:jc w:val="right"/>
              <w:rPr>
                <w:rFonts w:ascii="Times New Roman" w:hAnsi="Times New Roman" w:cs="Times New Roman" w:eastAsia="Times New Roman" w:hint="default"/>
                <w:sz w:val="16"/>
                <w:szCs w:val="16"/>
              </w:rPr>
            </w:pPr>
            <w:r>
              <w:rPr>
                <w:rFonts w:ascii="Times New Roman"/>
                <w:sz w:val="16"/>
              </w:rPr>
              <w:t>55</w:t>
            </w:r>
          </w:p>
        </w:tc>
        <w:tc>
          <w:tcPr>
            <w:tcW w:w="821"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02"/>
              <w:jc w:val="right"/>
              <w:rPr>
                <w:rFonts w:ascii="Times New Roman" w:hAnsi="Times New Roman" w:cs="Times New Roman" w:eastAsia="Times New Roman" w:hint="default"/>
                <w:sz w:val="16"/>
                <w:szCs w:val="16"/>
              </w:rPr>
            </w:pPr>
            <w:r>
              <w:rPr>
                <w:rFonts w:ascii="Times New Roman"/>
                <w:spacing w:val="-1"/>
                <w:sz w:val="16"/>
              </w:rPr>
              <w:t>2.947</w:t>
            </w:r>
          </w:p>
        </w:tc>
        <w:tc>
          <w:tcPr>
            <w:tcW w:w="747"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99"/>
              <w:jc w:val="right"/>
              <w:rPr>
                <w:rFonts w:ascii="Times New Roman" w:hAnsi="Times New Roman" w:cs="Times New Roman" w:eastAsia="Times New Roman" w:hint="default"/>
                <w:sz w:val="16"/>
                <w:szCs w:val="16"/>
              </w:rPr>
            </w:pPr>
            <w:r>
              <w:rPr>
                <w:rFonts w:ascii="Times New Roman"/>
                <w:sz w:val="16"/>
              </w:rPr>
              <w:t>18</w:t>
            </w:r>
          </w:p>
        </w:tc>
        <w:tc>
          <w:tcPr>
            <w:tcW w:w="708"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w w:val="100"/>
                <w:sz w:val="16"/>
              </w:rPr>
              <w:t>-</w:t>
            </w:r>
          </w:p>
        </w:tc>
        <w:tc>
          <w:tcPr>
            <w:tcW w:w="852"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w w:val="100"/>
                <w:sz w:val="16"/>
              </w:rPr>
              <w:t>-</w:t>
            </w:r>
          </w:p>
        </w:tc>
        <w:tc>
          <w:tcPr>
            <w:tcW w:w="761"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01"/>
              <w:jc w:val="right"/>
              <w:rPr>
                <w:rFonts w:ascii="Times New Roman" w:hAnsi="Times New Roman" w:cs="Times New Roman" w:eastAsia="Times New Roman" w:hint="default"/>
                <w:sz w:val="16"/>
                <w:szCs w:val="16"/>
              </w:rPr>
            </w:pPr>
            <w:r>
              <w:rPr>
                <w:rFonts w:ascii="Times New Roman"/>
                <w:sz w:val="16"/>
              </w:rPr>
              <w:t>94</w:t>
            </w:r>
          </w:p>
        </w:tc>
        <w:tc>
          <w:tcPr>
            <w:tcW w:w="816"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02"/>
              <w:jc w:val="right"/>
              <w:rPr>
                <w:rFonts w:ascii="Times New Roman" w:hAnsi="Times New Roman" w:cs="Times New Roman" w:eastAsia="Times New Roman" w:hint="default"/>
                <w:sz w:val="16"/>
                <w:szCs w:val="16"/>
              </w:rPr>
            </w:pPr>
            <w:r>
              <w:rPr>
                <w:rFonts w:ascii="Times New Roman"/>
                <w:w w:val="100"/>
                <w:sz w:val="16"/>
              </w:rPr>
              <w:t>-</w:t>
            </w:r>
          </w:p>
        </w:tc>
        <w:tc>
          <w:tcPr>
            <w:tcW w:w="785"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69"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left="103" w:right="0"/>
              <w:jc w:val="left"/>
              <w:rPr>
                <w:rFonts w:ascii="Times New Roman" w:hAnsi="Times New Roman" w:cs="Times New Roman" w:eastAsia="Times New Roman" w:hint="default"/>
                <w:sz w:val="16"/>
                <w:szCs w:val="16"/>
              </w:rPr>
            </w:pPr>
            <w:r>
              <w:rPr>
                <w:rFonts w:ascii="Times New Roman" w:hAnsi="Times New Roman"/>
                <w:sz w:val="16"/>
              </w:rPr>
              <w:t>Исказано</w:t>
            </w:r>
            <w:r>
              <w:rPr>
                <w:rFonts w:ascii="Times New Roman" w:hAnsi="Times New Roman"/>
                <w:spacing w:val="-5"/>
                <w:sz w:val="16"/>
              </w:rPr>
              <w:t> </w:t>
            </w:r>
            <w:r>
              <w:rPr>
                <w:rFonts w:ascii="Times New Roman" w:hAnsi="Times New Roman"/>
                <w:sz w:val="16"/>
              </w:rPr>
              <w:t>изврш</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2"/>
              <w:jc w:val="right"/>
              <w:rPr>
                <w:rFonts w:ascii="Times New Roman" w:hAnsi="Times New Roman" w:cs="Times New Roman" w:eastAsia="Times New Roman" w:hint="default"/>
                <w:sz w:val="16"/>
                <w:szCs w:val="16"/>
              </w:rPr>
            </w:pPr>
            <w:r>
              <w:rPr>
                <w:rFonts w:ascii="Times New Roman"/>
                <w:spacing w:val="-1"/>
                <w:sz w:val="16"/>
              </w:rPr>
              <w:t>117</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0"/>
              <w:jc w:val="right"/>
              <w:rPr>
                <w:rFonts w:ascii="Times New Roman" w:hAnsi="Times New Roman" w:cs="Times New Roman" w:eastAsia="Times New Roman" w:hint="default"/>
                <w:sz w:val="16"/>
                <w:szCs w:val="16"/>
              </w:rPr>
            </w:pPr>
            <w:r>
              <w:rPr>
                <w:rFonts w:ascii="Times New Roman"/>
                <w:spacing w:val="-1"/>
                <w:sz w:val="16"/>
              </w:rPr>
              <w:t>1.057</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0"/>
              <w:jc w:val="right"/>
              <w:rPr>
                <w:rFonts w:ascii="Times New Roman" w:hAnsi="Times New Roman" w:cs="Times New Roman" w:eastAsia="Times New Roman" w:hint="default"/>
                <w:sz w:val="16"/>
                <w:szCs w:val="16"/>
              </w:rPr>
            </w:pPr>
            <w:r>
              <w:rPr>
                <w:rFonts w:ascii="Times New Roman"/>
                <w:spacing w:val="-1"/>
                <w:sz w:val="16"/>
              </w:rPr>
              <w:t>199</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98"/>
              <w:jc w:val="right"/>
              <w:rPr>
                <w:rFonts w:ascii="Times New Roman" w:hAnsi="Times New Roman" w:cs="Times New Roman" w:eastAsia="Times New Roman" w:hint="default"/>
                <w:sz w:val="16"/>
                <w:szCs w:val="16"/>
              </w:rPr>
            </w:pPr>
            <w:r>
              <w:rPr>
                <w:rFonts w:ascii="Times New Roman"/>
                <w:sz w:val="16"/>
              </w:rPr>
              <w:t>53</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2"/>
              <w:jc w:val="right"/>
              <w:rPr>
                <w:rFonts w:ascii="Times New Roman" w:hAnsi="Times New Roman" w:cs="Times New Roman" w:eastAsia="Times New Roman" w:hint="default"/>
                <w:sz w:val="16"/>
                <w:szCs w:val="16"/>
              </w:rPr>
            </w:pPr>
            <w:r>
              <w:rPr>
                <w:rFonts w:ascii="Times New Roman"/>
                <w:spacing w:val="-1"/>
                <w:sz w:val="16"/>
              </w:rPr>
              <w:t>3.410</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1"/>
              <w:jc w:val="right"/>
              <w:rPr>
                <w:rFonts w:ascii="Times New Roman" w:hAnsi="Times New Roman" w:cs="Times New Roman" w:eastAsia="Times New Roman" w:hint="default"/>
                <w:sz w:val="16"/>
                <w:szCs w:val="16"/>
              </w:rPr>
            </w:pPr>
            <w:r>
              <w:rPr>
                <w:rFonts w:ascii="Times New Roman"/>
                <w:w w:val="100"/>
                <w:sz w:val="16"/>
              </w:rPr>
              <w:t>-</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w w:val="100"/>
                <w:sz w:val="16"/>
              </w:rPr>
              <w:t>-</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0"/>
              <w:jc w:val="right"/>
              <w:rPr>
                <w:rFonts w:ascii="Times New Roman" w:hAnsi="Times New Roman" w:cs="Times New Roman" w:eastAsia="Times New Roman" w:hint="default"/>
                <w:sz w:val="16"/>
                <w:szCs w:val="16"/>
              </w:rPr>
            </w:pPr>
            <w:r>
              <w:rPr>
                <w:rFonts w:ascii="Times New Roman"/>
                <w:w w:val="100"/>
                <w:sz w:val="16"/>
              </w:rPr>
              <w:t>-</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1"/>
              <w:jc w:val="right"/>
              <w:rPr>
                <w:rFonts w:ascii="Times New Roman" w:hAnsi="Times New Roman" w:cs="Times New Roman" w:eastAsia="Times New Roman" w:hint="default"/>
                <w:sz w:val="16"/>
                <w:szCs w:val="16"/>
              </w:rPr>
            </w:pPr>
            <w:r>
              <w:rPr>
                <w:rFonts w:ascii="Times New Roman"/>
                <w:sz w:val="16"/>
              </w:rPr>
              <w:t>93</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1"/>
              <w:jc w:val="right"/>
              <w:rPr>
                <w:rFonts w:ascii="Times New Roman" w:hAnsi="Times New Roman" w:cs="Times New Roman" w:eastAsia="Times New Roman" w:hint="default"/>
                <w:sz w:val="16"/>
                <w:szCs w:val="16"/>
              </w:rPr>
            </w:pPr>
            <w:r>
              <w:rPr>
                <w:rFonts w:ascii="Times New Roman"/>
                <w:sz w:val="16"/>
              </w:rPr>
              <w:t>50</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(1)</w:t>
            </w:r>
            <w:r>
              <w:rPr>
                <w:rFonts w:ascii="Times New Roman" w:hAnsi="Times New Roman"/>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1"/>
              <w:jc w:val="right"/>
              <w:rPr>
                <w:rFonts w:ascii="Times New Roman" w:hAnsi="Times New Roman" w:cs="Times New Roman" w:eastAsia="Times New Roman" w:hint="default"/>
                <w:sz w:val="16"/>
                <w:szCs w:val="16"/>
              </w:rPr>
            </w:pPr>
            <w:r>
              <w:rPr>
                <w:rFonts w:ascii="Times New Roman"/>
                <w:b/>
                <w:w w:val="100"/>
                <w:sz w:val="16"/>
              </w:rPr>
              <w:t>2</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6"/>
                <w:szCs w:val="16"/>
              </w:rPr>
            </w:pPr>
            <w:r>
              <w:rPr>
                <w:rFonts w:ascii="Times New Roman"/>
                <w:b/>
                <w:spacing w:val="-1"/>
                <w:sz w:val="16"/>
              </w:rPr>
              <w:t>-463</w:t>
            </w:r>
            <w:r>
              <w:rPr>
                <w:rFonts w:ascii="Times New Roman"/>
                <w:spacing w:val="-1"/>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99"/>
              <w:jc w:val="right"/>
              <w:rPr>
                <w:rFonts w:ascii="Times New Roman" w:hAnsi="Times New Roman" w:cs="Times New Roman" w:eastAsia="Times New Roman" w:hint="default"/>
                <w:sz w:val="16"/>
                <w:szCs w:val="16"/>
              </w:rPr>
            </w:pPr>
            <w:r>
              <w:rPr>
                <w:rFonts w:ascii="Times New Roman"/>
                <w:b/>
                <w:sz w:val="16"/>
              </w:rPr>
              <w:t>18</w:t>
            </w:r>
            <w:r>
              <w:rPr>
                <w:rFonts w:ascii="Times New Roman"/>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6"/>
                <w:szCs w:val="16"/>
              </w:rPr>
            </w:pPr>
            <w:r>
              <w:rPr>
                <w:rFonts w:ascii="Times New Roman"/>
                <w:b/>
                <w:w w:val="100"/>
                <w:sz w:val="16"/>
              </w:rPr>
              <w:t>1</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1"/>
              <w:jc w:val="right"/>
              <w:rPr>
                <w:rFonts w:ascii="Times New Roman" w:hAnsi="Times New Roman" w:cs="Times New Roman" w:eastAsia="Times New Roman" w:hint="default"/>
                <w:sz w:val="16"/>
                <w:szCs w:val="16"/>
              </w:rPr>
            </w:pPr>
            <w:r>
              <w:rPr>
                <w:rFonts w:ascii="Times New Roman"/>
                <w:b/>
                <w:sz w:val="16"/>
              </w:rPr>
              <w:t>-50</w:t>
            </w:r>
            <w:r>
              <w:rPr>
                <w:rFonts w:ascii="Times New Roman"/>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3"/>
                <w:sz w:val="16"/>
              </w:rPr>
              <w:t> </w:t>
            </w:r>
            <w:r>
              <w:rPr>
                <w:rFonts w:ascii="Times New Roman" w:hAnsi="Times New Roman"/>
                <w:sz w:val="16"/>
              </w:rPr>
              <w:t>рач</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112</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328</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1.087</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636</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845</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199</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sz w:val="16"/>
              </w:rPr>
              <w:t>61</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3.599</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415</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546</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304</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sz w:val="16"/>
              </w:rPr>
              <w:t>97</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460" w:right="0"/>
              <w:jc w:val="left"/>
              <w:rPr>
                <w:rFonts w:ascii="Times New Roman" w:hAnsi="Times New Roman" w:cs="Times New Roman" w:eastAsia="Times New Roman" w:hint="default"/>
                <w:sz w:val="16"/>
                <w:szCs w:val="16"/>
              </w:rPr>
            </w:pPr>
            <w:r>
              <w:rPr>
                <w:rFonts w:ascii="Times New Roman"/>
                <w:sz w:val="16"/>
              </w:rPr>
              <w:t>636</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w w:val="100"/>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246</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868</w:t>
            </w:r>
          </w:p>
        </w:tc>
      </w:tr>
      <w:tr>
        <w:trPr>
          <w:trHeight w:val="271"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7"/>
                <w:sz w:val="16"/>
              </w:rPr>
              <w:t> </w:t>
            </w:r>
            <w:r>
              <w:rPr>
                <w:rFonts w:ascii="Times New Roman" w:hAnsi="Times New Roman"/>
                <w:sz w:val="16"/>
              </w:rPr>
              <w:t>угов</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23" w:hRule="exact"/>
        </w:trPr>
        <w:tc>
          <w:tcPr>
            <w:tcW w:w="626" w:type="dxa"/>
            <w:vMerge/>
            <w:tcBorders>
              <w:left w:val="single" w:sz="4" w:space="0" w:color="000000"/>
              <w:bottom w:val="single" w:sz="12" w:space="0" w:color="000000"/>
              <w:right w:val="single" w:sz="4" w:space="0" w:color="000000"/>
            </w:tcBorders>
          </w:tcPr>
          <w:p>
            <w:pPr/>
          </w:p>
        </w:tc>
        <w:tc>
          <w:tcPr>
            <w:tcW w:w="13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(2)</w:t>
            </w:r>
            <w:r>
              <w:rPr>
                <w:rFonts w:ascii="Times New Roman" w:hAnsi="Times New Roman"/>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-112</w:t>
            </w:r>
            <w:r>
              <w:rPr>
                <w:rFonts w:ascii="Times New Roman"/>
                <w:spacing w:val="-1"/>
                <w:sz w:val="16"/>
              </w:rPr>
            </w:r>
          </w:p>
        </w:tc>
        <w:tc>
          <w:tcPr>
            <w:tcW w:w="67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-328</w:t>
            </w:r>
            <w:r>
              <w:rPr>
                <w:rFonts w:ascii="Times New Roman"/>
                <w:spacing w:val="-1"/>
                <w:sz w:val="16"/>
              </w:rPr>
            </w:r>
          </w:p>
        </w:tc>
        <w:tc>
          <w:tcPr>
            <w:tcW w:w="92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-1.087</w:t>
            </w:r>
            <w:r>
              <w:rPr>
                <w:rFonts w:ascii="Times New Roman"/>
                <w:spacing w:val="-1"/>
                <w:sz w:val="16"/>
              </w:rPr>
            </w:r>
          </w:p>
        </w:tc>
        <w:tc>
          <w:tcPr>
            <w:tcW w:w="95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-636</w:t>
            </w:r>
            <w:r>
              <w:rPr>
                <w:rFonts w:ascii="Times New Roman"/>
                <w:spacing w:val="-1"/>
                <w:sz w:val="16"/>
              </w:rPr>
            </w:r>
          </w:p>
        </w:tc>
        <w:tc>
          <w:tcPr>
            <w:tcW w:w="900"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-845</w:t>
            </w:r>
            <w:r>
              <w:rPr>
                <w:rFonts w:ascii="Times New Roman"/>
                <w:spacing w:val="-1"/>
                <w:sz w:val="16"/>
              </w:rPr>
            </w:r>
          </w:p>
        </w:tc>
        <w:tc>
          <w:tcPr>
            <w:tcW w:w="7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-199</w:t>
            </w:r>
            <w:r>
              <w:rPr>
                <w:rFonts w:ascii="Times New Roman"/>
                <w:spacing w:val="-1"/>
                <w:sz w:val="16"/>
              </w:rPr>
            </w:r>
          </w:p>
        </w:tc>
        <w:tc>
          <w:tcPr>
            <w:tcW w:w="79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b/>
                <w:sz w:val="16"/>
              </w:rPr>
              <w:t>-59</w:t>
            </w:r>
            <w:r>
              <w:rPr>
                <w:rFonts w:ascii="Times New Roman"/>
                <w:sz w:val="16"/>
              </w:rPr>
            </w:r>
          </w:p>
        </w:tc>
        <w:tc>
          <w:tcPr>
            <w:tcW w:w="82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-4.062</w:t>
            </w:r>
            <w:r>
              <w:rPr>
                <w:rFonts w:ascii="Times New Roman"/>
                <w:spacing w:val="-1"/>
                <w:sz w:val="16"/>
              </w:rPr>
            </w:r>
          </w:p>
        </w:tc>
        <w:tc>
          <w:tcPr>
            <w:tcW w:w="74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-397</w:t>
            </w:r>
            <w:r>
              <w:rPr>
                <w:rFonts w:ascii="Times New Roman"/>
                <w:spacing w:val="-1"/>
                <w:sz w:val="16"/>
              </w:rPr>
            </w:r>
          </w:p>
        </w:tc>
        <w:tc>
          <w:tcPr>
            <w:tcW w:w="70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-546</w:t>
            </w:r>
            <w:r>
              <w:rPr>
                <w:rFonts w:ascii="Times New Roman"/>
                <w:spacing w:val="-1"/>
                <w:sz w:val="16"/>
              </w:rPr>
            </w:r>
          </w:p>
        </w:tc>
        <w:tc>
          <w:tcPr>
            <w:tcW w:w="85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-304</w:t>
            </w:r>
            <w:r>
              <w:rPr>
                <w:rFonts w:ascii="Times New Roman"/>
                <w:spacing w:val="-1"/>
                <w:sz w:val="16"/>
              </w:rPr>
            </w:r>
          </w:p>
        </w:tc>
        <w:tc>
          <w:tcPr>
            <w:tcW w:w="76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z w:val="16"/>
              </w:rPr>
              <w:t>-96</w:t>
            </w:r>
            <w:r>
              <w:rPr>
                <w:rFonts w:ascii="Times New Roman"/>
                <w:sz w:val="16"/>
              </w:rPr>
            </w:r>
          </w:p>
        </w:tc>
        <w:tc>
          <w:tcPr>
            <w:tcW w:w="81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left="408" w:right="0"/>
              <w:jc w:val="left"/>
              <w:rPr>
                <w:rFonts w:ascii="Times New Roman" w:hAnsi="Times New Roman" w:cs="Times New Roman" w:eastAsia="Times New Roman" w:hint="default"/>
                <w:sz w:val="16"/>
                <w:szCs w:val="16"/>
              </w:rPr>
            </w:pPr>
            <w:r>
              <w:rPr>
                <w:rFonts w:ascii="Times New Roman"/>
                <w:b/>
                <w:sz w:val="16"/>
              </w:rPr>
              <w:t>-636</w:t>
            </w:r>
            <w:r>
              <w:rPr>
                <w:rFonts w:ascii="Times New Roman"/>
                <w:sz w:val="16"/>
              </w:rPr>
            </w:r>
          </w:p>
        </w:tc>
        <w:tc>
          <w:tcPr>
            <w:tcW w:w="69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-296</w:t>
            </w:r>
            <w:r>
              <w:rPr>
                <w:rFonts w:ascii="Times New Roman"/>
                <w:spacing w:val="-1"/>
                <w:sz w:val="16"/>
              </w:rPr>
            </w:r>
          </w:p>
        </w:tc>
        <w:tc>
          <w:tcPr>
            <w:tcW w:w="78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-868</w:t>
            </w:r>
            <w:r>
              <w:rPr>
                <w:rFonts w:ascii="Times New Roman"/>
                <w:spacing w:val="-1"/>
                <w:sz w:val="16"/>
              </w:rPr>
            </w:r>
          </w:p>
        </w:tc>
      </w:tr>
      <w:tr>
        <w:trPr>
          <w:trHeight w:val="204" w:hRule="exact"/>
        </w:trPr>
        <w:tc>
          <w:tcPr>
            <w:tcW w:w="626" w:type="dxa"/>
            <w:vMerge w:val="restart"/>
            <w:tcBorders>
              <w:top w:val="single" w:sz="12"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8"/>
              <w:ind w:right="0"/>
              <w:jc w:val="left"/>
              <w:rPr>
                <w:rFonts w:ascii="Times New Roman" w:hAnsi="Times New Roman" w:cs="Times New Roman" w:eastAsia="Times New Roman" w:hint="default"/>
                <w:sz w:val="13"/>
                <w:szCs w:val="13"/>
              </w:rPr>
            </w:pPr>
          </w:p>
          <w:p>
            <w:pPr>
              <w:pStyle w:val="TableParagraph"/>
              <w:spacing w:line="240" w:lineRule="auto"/>
              <w:ind w:left="187" w:right="94"/>
              <w:jc w:val="left"/>
              <w:rPr>
                <w:rFonts w:ascii="Times New Roman" w:hAnsi="Times New Roman" w:cs="Times New Roman" w:eastAsia="Times New Roman" w:hint="default"/>
                <w:sz w:val="16"/>
                <w:szCs w:val="16"/>
              </w:rPr>
            </w:pPr>
            <w:r>
              <w:rPr>
                <w:rFonts w:ascii="Times New Roman"/>
                <w:sz w:val="16"/>
              </w:rPr>
              <w:t>472</w:t>
            </w:r>
          </w:p>
        </w:tc>
        <w:tc>
          <w:tcPr>
            <w:tcW w:w="1359"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left="103" w:right="0"/>
              <w:jc w:val="left"/>
              <w:rPr>
                <w:rFonts w:ascii="Times New Roman" w:hAnsi="Times New Roman" w:cs="Times New Roman" w:eastAsia="Times New Roman" w:hint="default"/>
                <w:sz w:val="16"/>
                <w:szCs w:val="16"/>
              </w:rPr>
            </w:pPr>
            <w:r>
              <w:rPr>
                <w:rFonts w:ascii="Times New Roman" w:hAnsi="Times New Roman"/>
                <w:sz w:val="16"/>
              </w:rPr>
              <w:t>Укупна</w:t>
            </w:r>
            <w:r>
              <w:rPr>
                <w:rFonts w:ascii="Times New Roman" w:hAnsi="Times New Roman"/>
                <w:spacing w:val="-5"/>
                <w:sz w:val="16"/>
              </w:rPr>
              <w:t> </w:t>
            </w:r>
            <w:r>
              <w:rPr>
                <w:rFonts w:ascii="Times New Roman" w:hAnsi="Times New Roman"/>
                <w:sz w:val="16"/>
              </w:rPr>
              <w:t>апроп</w:t>
            </w:r>
            <w:r>
              <w:rPr>
                <w:rFonts w:ascii="Times New Roman" w:hAnsi="Times New Roman"/>
                <w:sz w:val="16"/>
              </w:rPr>
              <w:t>.</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71"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left="103" w:right="0"/>
              <w:jc w:val="left"/>
              <w:rPr>
                <w:rFonts w:ascii="Times New Roman" w:hAnsi="Times New Roman" w:cs="Times New Roman" w:eastAsia="Times New Roman" w:hint="default"/>
                <w:sz w:val="16"/>
                <w:szCs w:val="16"/>
              </w:rPr>
            </w:pPr>
            <w:r>
              <w:rPr>
                <w:rFonts w:ascii="Times New Roman" w:hAnsi="Times New Roman"/>
                <w:sz w:val="16"/>
              </w:rPr>
              <w:t>Исказано</w:t>
            </w:r>
            <w:r>
              <w:rPr>
                <w:rFonts w:ascii="Times New Roman" w:hAnsi="Times New Roman"/>
                <w:spacing w:val="-5"/>
                <w:sz w:val="16"/>
              </w:rPr>
              <w:t> </w:t>
            </w:r>
            <w:r>
              <w:rPr>
                <w:rFonts w:ascii="Times New Roman" w:hAnsi="Times New Roman"/>
                <w:sz w:val="16"/>
              </w:rPr>
              <w:t>изврш</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0"/>
              <w:jc w:val="right"/>
              <w:rPr>
                <w:rFonts w:ascii="Times New Roman" w:hAnsi="Times New Roman" w:cs="Times New Roman" w:eastAsia="Times New Roman" w:hint="default"/>
                <w:sz w:val="16"/>
                <w:szCs w:val="16"/>
              </w:rPr>
            </w:pPr>
            <w:r>
              <w:rPr>
                <w:rFonts w:ascii="Times New Roman"/>
                <w:spacing w:val="-1"/>
                <w:sz w:val="16"/>
              </w:rPr>
              <w:t>3.687</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(1)</w:t>
            </w:r>
            <w:r>
              <w:rPr>
                <w:rFonts w:ascii="Times New Roman" w:hAnsi="Times New Roman"/>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-3.687</w:t>
            </w:r>
            <w:r>
              <w:rPr>
                <w:rFonts w:ascii="Times New Roman"/>
                <w:spacing w:val="-1"/>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69"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3"/>
                <w:sz w:val="16"/>
              </w:rPr>
              <w:t> </w:t>
            </w:r>
            <w:r>
              <w:rPr>
                <w:rFonts w:ascii="Times New Roman" w:hAnsi="Times New Roman"/>
                <w:sz w:val="16"/>
              </w:rPr>
              <w:t>рач</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0"/>
              <w:jc w:val="right"/>
              <w:rPr>
                <w:rFonts w:ascii="Times New Roman" w:hAnsi="Times New Roman" w:cs="Times New Roman" w:eastAsia="Times New Roman" w:hint="default"/>
                <w:sz w:val="16"/>
                <w:szCs w:val="16"/>
              </w:rPr>
            </w:pPr>
            <w:r>
              <w:rPr>
                <w:rFonts w:ascii="Times New Roman"/>
                <w:spacing w:val="-1"/>
                <w:sz w:val="16"/>
              </w:rPr>
              <w:t>584</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71"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7"/>
                <w:sz w:val="16"/>
              </w:rPr>
              <w:t> </w:t>
            </w:r>
            <w:r>
              <w:rPr>
                <w:rFonts w:ascii="Times New Roman" w:hAnsi="Times New Roman"/>
                <w:sz w:val="16"/>
              </w:rPr>
              <w:t>угов</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28" w:hRule="exact"/>
        </w:trPr>
        <w:tc>
          <w:tcPr>
            <w:tcW w:w="626" w:type="dxa"/>
            <w:vMerge/>
            <w:tcBorders>
              <w:left w:val="single" w:sz="4" w:space="0" w:color="000000"/>
              <w:bottom w:val="single" w:sz="12" w:space="0" w:color="000000"/>
              <w:right w:val="single" w:sz="4" w:space="0" w:color="000000"/>
            </w:tcBorders>
          </w:tcPr>
          <w:p>
            <w:pPr/>
          </w:p>
        </w:tc>
        <w:tc>
          <w:tcPr>
            <w:tcW w:w="13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21"/>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(2)</w:t>
            </w:r>
            <w:r>
              <w:rPr>
                <w:rFonts w:ascii="Times New Roman" w:hAnsi="Times New Roman"/>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21"/>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21"/>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21"/>
              <w:ind w:right="10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21"/>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w w:val="100"/>
                <w:sz w:val="16"/>
              </w:rPr>
              <w:t>-</w:t>
            </w:r>
          </w:p>
        </w:tc>
        <w:tc>
          <w:tcPr>
            <w:tcW w:w="900"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w w:val="100"/>
                <w:sz w:val="16"/>
              </w:rPr>
              <w:t>-</w:t>
            </w:r>
          </w:p>
        </w:tc>
        <w:tc>
          <w:tcPr>
            <w:tcW w:w="7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21"/>
              <w:ind w:right="100"/>
              <w:jc w:val="right"/>
              <w:rPr>
                <w:rFonts w:ascii="Times New Roman" w:hAnsi="Times New Roman" w:cs="Times New Roman" w:eastAsia="Times New Roman" w:hint="default"/>
                <w:sz w:val="16"/>
                <w:szCs w:val="16"/>
              </w:rPr>
            </w:pPr>
            <w:r>
              <w:rPr>
                <w:rFonts w:ascii="Times New Roman"/>
                <w:b/>
                <w:spacing w:val="-1"/>
                <w:sz w:val="16"/>
              </w:rPr>
              <w:t>-4.271</w:t>
            </w:r>
            <w:r>
              <w:rPr>
                <w:rFonts w:ascii="Times New Roman"/>
                <w:spacing w:val="-1"/>
                <w:sz w:val="16"/>
              </w:rPr>
            </w:r>
          </w:p>
        </w:tc>
        <w:tc>
          <w:tcPr>
            <w:tcW w:w="79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21"/>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21"/>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21"/>
              <w:ind w:right="10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21"/>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21"/>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21"/>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21"/>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21"/>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21"/>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04" w:hRule="exact"/>
        </w:trPr>
        <w:tc>
          <w:tcPr>
            <w:tcW w:w="626" w:type="dxa"/>
            <w:vMerge w:val="restart"/>
            <w:tcBorders>
              <w:top w:val="single" w:sz="12"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7"/>
              <w:ind w:right="0"/>
              <w:jc w:val="left"/>
              <w:rPr>
                <w:rFonts w:ascii="Times New Roman" w:hAnsi="Times New Roman" w:cs="Times New Roman" w:eastAsia="Times New Roman" w:hint="default"/>
                <w:sz w:val="16"/>
                <w:szCs w:val="16"/>
              </w:rPr>
            </w:pPr>
          </w:p>
          <w:p>
            <w:pPr>
              <w:pStyle w:val="TableParagraph"/>
              <w:spacing w:line="240" w:lineRule="auto"/>
              <w:ind w:left="187" w:right="94"/>
              <w:jc w:val="left"/>
              <w:rPr>
                <w:rFonts w:ascii="Times New Roman" w:hAnsi="Times New Roman" w:cs="Times New Roman" w:eastAsia="Times New Roman" w:hint="default"/>
                <w:sz w:val="16"/>
                <w:szCs w:val="16"/>
              </w:rPr>
            </w:pPr>
            <w:r>
              <w:rPr>
                <w:rFonts w:ascii="Times New Roman"/>
                <w:sz w:val="16"/>
              </w:rPr>
              <w:t>481</w:t>
            </w:r>
          </w:p>
        </w:tc>
        <w:tc>
          <w:tcPr>
            <w:tcW w:w="1359"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left="103" w:right="0"/>
              <w:jc w:val="left"/>
              <w:rPr>
                <w:rFonts w:ascii="Times New Roman" w:hAnsi="Times New Roman" w:cs="Times New Roman" w:eastAsia="Times New Roman" w:hint="default"/>
                <w:sz w:val="16"/>
                <w:szCs w:val="16"/>
              </w:rPr>
            </w:pPr>
            <w:r>
              <w:rPr>
                <w:rFonts w:ascii="Times New Roman" w:hAnsi="Times New Roman"/>
                <w:sz w:val="16"/>
              </w:rPr>
              <w:t>Укупна</w:t>
            </w:r>
            <w:r>
              <w:rPr>
                <w:rFonts w:ascii="Times New Roman" w:hAnsi="Times New Roman"/>
                <w:spacing w:val="-5"/>
                <w:sz w:val="16"/>
              </w:rPr>
              <w:t> </w:t>
            </w:r>
            <w:r>
              <w:rPr>
                <w:rFonts w:ascii="Times New Roman" w:hAnsi="Times New Roman"/>
                <w:sz w:val="16"/>
              </w:rPr>
              <w:t>апроп</w:t>
            </w:r>
            <w:r>
              <w:rPr>
                <w:rFonts w:ascii="Times New Roman" w:hAnsi="Times New Roman"/>
                <w:sz w:val="16"/>
              </w:rPr>
              <w:t>.</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200</w:t>
            </w:r>
          </w:p>
        </w:tc>
        <w:tc>
          <w:tcPr>
            <w:tcW w:w="986"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02"/>
              <w:jc w:val="right"/>
              <w:rPr>
                <w:rFonts w:ascii="Times New Roman" w:hAnsi="Times New Roman" w:cs="Times New Roman" w:eastAsia="Times New Roman" w:hint="default"/>
                <w:sz w:val="16"/>
                <w:szCs w:val="16"/>
              </w:rPr>
            </w:pPr>
            <w:r>
              <w:rPr>
                <w:rFonts w:ascii="Times New Roman"/>
                <w:spacing w:val="-1"/>
                <w:sz w:val="16"/>
              </w:rPr>
              <w:t>180</w:t>
            </w:r>
          </w:p>
        </w:tc>
        <w:tc>
          <w:tcPr>
            <w:tcW w:w="900"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01"/>
              <w:jc w:val="right"/>
              <w:rPr>
                <w:rFonts w:ascii="Times New Roman" w:hAnsi="Times New Roman" w:cs="Times New Roman" w:eastAsia="Times New Roman" w:hint="default"/>
                <w:sz w:val="16"/>
                <w:szCs w:val="16"/>
              </w:rPr>
            </w:pPr>
            <w:r>
              <w:rPr>
                <w:rFonts w:ascii="Times New Roman"/>
                <w:sz w:val="16"/>
              </w:rPr>
              <w:t>55</w:t>
            </w:r>
          </w:p>
        </w:tc>
        <w:tc>
          <w:tcPr>
            <w:tcW w:w="759"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sz w:val="16"/>
              </w:rPr>
              <w:t>Исказано</w:t>
            </w:r>
            <w:r>
              <w:rPr>
                <w:rFonts w:ascii="Times New Roman" w:hAnsi="Times New Roman"/>
                <w:spacing w:val="-5"/>
                <w:sz w:val="16"/>
              </w:rPr>
              <w:t> </w:t>
            </w:r>
            <w:r>
              <w:rPr>
                <w:rFonts w:ascii="Times New Roman" w:hAnsi="Times New Roman"/>
                <w:sz w:val="16"/>
              </w:rPr>
              <w:t>изврш</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111</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spacing w:val="-1"/>
                <w:sz w:val="16"/>
              </w:rPr>
              <w:t>164</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sz w:val="16"/>
              </w:rPr>
              <w:t>61</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16"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(1)</w:t>
            </w:r>
            <w:r>
              <w:rPr>
                <w:rFonts w:ascii="Times New Roman" w:hAnsi="Times New Roman"/>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98"/>
              <w:jc w:val="right"/>
              <w:rPr>
                <w:rFonts w:ascii="Times New Roman" w:hAnsi="Times New Roman" w:cs="Times New Roman" w:eastAsia="Times New Roman" w:hint="default"/>
                <w:sz w:val="16"/>
                <w:szCs w:val="16"/>
              </w:rPr>
            </w:pPr>
            <w:r>
              <w:rPr>
                <w:rFonts w:ascii="Times New Roman"/>
                <w:b/>
                <w:sz w:val="16"/>
              </w:rPr>
              <w:t>89</w:t>
            </w:r>
            <w:r>
              <w:rPr>
                <w:rFonts w:ascii="Times New Roman"/>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z w:val="16"/>
              </w:rPr>
              <w:t>16</w:t>
            </w:r>
            <w:r>
              <w:rPr>
                <w:rFonts w:ascii="Times New Roman"/>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4"/>
              <w:jc w:val="right"/>
              <w:rPr>
                <w:rFonts w:ascii="Times New Roman" w:hAnsi="Times New Roman" w:cs="Times New Roman" w:eastAsia="Times New Roman" w:hint="default"/>
                <w:sz w:val="16"/>
                <w:szCs w:val="16"/>
              </w:rPr>
            </w:pPr>
            <w:r>
              <w:rPr>
                <w:rFonts w:ascii="Times New Roman"/>
                <w:b/>
                <w:spacing w:val="-1"/>
                <w:sz w:val="16"/>
              </w:rPr>
              <w:t>-6</w:t>
            </w:r>
            <w:r>
              <w:rPr>
                <w:rFonts w:ascii="Times New Roman"/>
                <w:spacing w:val="-1"/>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3"/>
                <w:sz w:val="16"/>
              </w:rPr>
              <w:t> </w:t>
            </w:r>
            <w:r>
              <w:rPr>
                <w:rFonts w:ascii="Times New Roman" w:hAnsi="Times New Roman"/>
                <w:sz w:val="16"/>
              </w:rPr>
              <w:t>рач</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69"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7"/>
                <w:sz w:val="16"/>
              </w:rPr>
              <w:t> </w:t>
            </w:r>
            <w:r>
              <w:rPr>
                <w:rFonts w:ascii="Times New Roman" w:hAnsi="Times New Roman"/>
                <w:sz w:val="16"/>
              </w:rPr>
              <w:t>угов</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23" w:hRule="exact"/>
        </w:trPr>
        <w:tc>
          <w:tcPr>
            <w:tcW w:w="626" w:type="dxa"/>
            <w:vMerge/>
            <w:tcBorders>
              <w:left w:val="single" w:sz="4" w:space="0" w:color="000000"/>
              <w:bottom w:val="single" w:sz="12" w:space="0" w:color="000000"/>
              <w:right w:val="single" w:sz="4" w:space="0" w:color="000000"/>
            </w:tcBorders>
          </w:tcPr>
          <w:p>
            <w:pPr/>
          </w:p>
        </w:tc>
        <w:tc>
          <w:tcPr>
            <w:tcW w:w="13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(2)</w:t>
            </w:r>
            <w:r>
              <w:rPr>
                <w:rFonts w:ascii="Times New Roman" w:hAnsi="Times New Roman"/>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98"/>
              <w:jc w:val="right"/>
              <w:rPr>
                <w:rFonts w:ascii="Times New Roman" w:hAnsi="Times New Roman" w:cs="Times New Roman" w:eastAsia="Times New Roman" w:hint="default"/>
                <w:sz w:val="16"/>
                <w:szCs w:val="16"/>
              </w:rPr>
            </w:pPr>
            <w:r>
              <w:rPr>
                <w:rFonts w:ascii="Times New Roman"/>
                <w:b/>
                <w:sz w:val="16"/>
              </w:rPr>
              <w:t>89</w:t>
            </w:r>
            <w:r>
              <w:rPr>
                <w:rFonts w:ascii="Times New Roman"/>
                <w:sz w:val="16"/>
              </w:rPr>
            </w:r>
          </w:p>
        </w:tc>
        <w:tc>
          <w:tcPr>
            <w:tcW w:w="98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z w:val="16"/>
              </w:rPr>
              <w:t>16</w:t>
            </w:r>
            <w:r>
              <w:rPr>
                <w:rFonts w:ascii="Times New Roman"/>
                <w:sz w:val="16"/>
              </w:rPr>
            </w:r>
          </w:p>
        </w:tc>
        <w:tc>
          <w:tcPr>
            <w:tcW w:w="900"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4"/>
              <w:jc w:val="right"/>
              <w:rPr>
                <w:rFonts w:ascii="Times New Roman" w:hAnsi="Times New Roman" w:cs="Times New Roman" w:eastAsia="Times New Roman" w:hint="default"/>
                <w:sz w:val="16"/>
                <w:szCs w:val="16"/>
              </w:rPr>
            </w:pPr>
            <w:r>
              <w:rPr>
                <w:rFonts w:ascii="Times New Roman"/>
                <w:b/>
                <w:spacing w:val="-1"/>
                <w:sz w:val="16"/>
              </w:rPr>
              <w:t>-6</w:t>
            </w:r>
            <w:r>
              <w:rPr>
                <w:rFonts w:ascii="Times New Roman"/>
                <w:spacing w:val="-1"/>
                <w:sz w:val="16"/>
              </w:rPr>
            </w:r>
          </w:p>
        </w:tc>
        <w:tc>
          <w:tcPr>
            <w:tcW w:w="7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76" w:hRule="exact"/>
        </w:trPr>
        <w:tc>
          <w:tcPr>
            <w:tcW w:w="626" w:type="dxa"/>
            <w:vMerge w:val="restart"/>
            <w:tcBorders>
              <w:top w:val="single" w:sz="12"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6"/>
              <w:ind w:right="0"/>
              <w:jc w:val="left"/>
              <w:rPr>
                <w:rFonts w:ascii="Times New Roman" w:hAnsi="Times New Roman" w:cs="Times New Roman" w:eastAsia="Times New Roman" w:hint="default"/>
                <w:sz w:val="20"/>
                <w:szCs w:val="20"/>
              </w:rPr>
            </w:pPr>
          </w:p>
          <w:p>
            <w:pPr>
              <w:pStyle w:val="TableParagraph"/>
              <w:spacing w:line="240" w:lineRule="auto"/>
              <w:ind w:left="187" w:right="94"/>
              <w:jc w:val="left"/>
              <w:rPr>
                <w:rFonts w:ascii="Times New Roman" w:hAnsi="Times New Roman" w:cs="Times New Roman" w:eastAsia="Times New Roman" w:hint="default"/>
                <w:sz w:val="16"/>
                <w:szCs w:val="16"/>
              </w:rPr>
            </w:pPr>
            <w:r>
              <w:rPr>
                <w:rFonts w:ascii="Times New Roman"/>
                <w:sz w:val="16"/>
              </w:rPr>
              <w:t>482</w:t>
            </w:r>
          </w:p>
        </w:tc>
        <w:tc>
          <w:tcPr>
            <w:tcW w:w="135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left="103" w:right="0"/>
              <w:jc w:val="left"/>
              <w:rPr>
                <w:rFonts w:ascii="Times New Roman" w:hAnsi="Times New Roman" w:cs="Times New Roman" w:eastAsia="Times New Roman" w:hint="default"/>
                <w:sz w:val="16"/>
                <w:szCs w:val="16"/>
              </w:rPr>
            </w:pPr>
            <w:r>
              <w:rPr>
                <w:rFonts w:ascii="Times New Roman" w:hAnsi="Times New Roman"/>
                <w:sz w:val="16"/>
              </w:rPr>
              <w:t>Укупна</w:t>
            </w:r>
            <w:r>
              <w:rPr>
                <w:rFonts w:ascii="Times New Roman" w:hAnsi="Times New Roman"/>
                <w:spacing w:val="-5"/>
                <w:sz w:val="16"/>
              </w:rPr>
              <w:t> </w:t>
            </w:r>
            <w:r>
              <w:rPr>
                <w:rFonts w:ascii="Times New Roman" w:hAnsi="Times New Roman"/>
                <w:sz w:val="16"/>
              </w:rPr>
              <w:t>апроп</w:t>
            </w:r>
            <w:r>
              <w:rPr>
                <w:rFonts w:ascii="Times New Roman" w:hAnsi="Times New Roman"/>
                <w:sz w:val="16"/>
              </w:rPr>
              <w:t>.</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2"/>
              <w:jc w:val="right"/>
              <w:rPr>
                <w:rFonts w:ascii="Times New Roman" w:hAnsi="Times New Roman" w:cs="Times New Roman" w:eastAsia="Times New Roman" w:hint="default"/>
                <w:sz w:val="16"/>
                <w:szCs w:val="16"/>
              </w:rPr>
            </w:pPr>
            <w:r>
              <w:rPr>
                <w:rFonts w:ascii="Times New Roman"/>
                <w:spacing w:val="-1"/>
                <w:sz w:val="16"/>
              </w:rPr>
              <w:t>26.200</w:t>
            </w:r>
          </w:p>
        </w:tc>
        <w:tc>
          <w:tcPr>
            <w:tcW w:w="67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1"/>
              <w:jc w:val="right"/>
              <w:rPr>
                <w:rFonts w:ascii="Times New Roman" w:hAnsi="Times New Roman" w:cs="Times New Roman" w:eastAsia="Times New Roman" w:hint="default"/>
                <w:sz w:val="16"/>
                <w:szCs w:val="16"/>
              </w:rPr>
            </w:pPr>
            <w:r>
              <w:rPr>
                <w:rFonts w:ascii="Times New Roman"/>
                <w:sz w:val="16"/>
              </w:rPr>
              <w:t>50</w:t>
            </w:r>
          </w:p>
        </w:tc>
        <w:tc>
          <w:tcPr>
            <w:tcW w:w="92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0"/>
              <w:jc w:val="right"/>
              <w:rPr>
                <w:rFonts w:ascii="Times New Roman" w:hAnsi="Times New Roman" w:cs="Times New Roman" w:eastAsia="Times New Roman" w:hint="default"/>
                <w:sz w:val="16"/>
                <w:szCs w:val="16"/>
              </w:rPr>
            </w:pPr>
            <w:r>
              <w:rPr>
                <w:rFonts w:ascii="Times New Roman"/>
                <w:spacing w:val="-1"/>
                <w:sz w:val="16"/>
              </w:rPr>
              <w:t>9.000</w:t>
            </w:r>
          </w:p>
        </w:tc>
        <w:tc>
          <w:tcPr>
            <w:tcW w:w="95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0"/>
              <w:jc w:val="right"/>
              <w:rPr>
                <w:rFonts w:ascii="Times New Roman" w:hAnsi="Times New Roman" w:cs="Times New Roman" w:eastAsia="Times New Roman" w:hint="default"/>
                <w:sz w:val="16"/>
                <w:szCs w:val="16"/>
              </w:rPr>
            </w:pPr>
            <w:r>
              <w:rPr>
                <w:rFonts w:ascii="Times New Roman"/>
                <w:spacing w:val="-1"/>
                <w:sz w:val="16"/>
              </w:rPr>
              <w:t>100</w:t>
            </w:r>
          </w:p>
        </w:tc>
        <w:tc>
          <w:tcPr>
            <w:tcW w:w="986"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1"/>
              <w:jc w:val="right"/>
              <w:rPr>
                <w:rFonts w:ascii="Times New Roman" w:hAnsi="Times New Roman" w:cs="Times New Roman" w:eastAsia="Times New Roman" w:hint="default"/>
                <w:sz w:val="16"/>
                <w:szCs w:val="16"/>
              </w:rPr>
            </w:pPr>
            <w:r>
              <w:rPr>
                <w:rFonts w:ascii="Times New Roman"/>
                <w:sz w:val="16"/>
              </w:rPr>
              <w:t>60</w:t>
            </w:r>
          </w:p>
        </w:tc>
        <w:tc>
          <w:tcPr>
            <w:tcW w:w="900"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1"/>
              <w:jc w:val="right"/>
              <w:rPr>
                <w:rFonts w:ascii="Times New Roman" w:hAnsi="Times New Roman" w:cs="Times New Roman" w:eastAsia="Times New Roman" w:hint="default"/>
                <w:sz w:val="16"/>
                <w:szCs w:val="16"/>
              </w:rPr>
            </w:pPr>
            <w:r>
              <w:rPr>
                <w:rFonts w:ascii="Times New Roman"/>
                <w:sz w:val="16"/>
              </w:rPr>
              <w:t>30</w:t>
            </w:r>
          </w:p>
        </w:tc>
        <w:tc>
          <w:tcPr>
            <w:tcW w:w="75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98"/>
              <w:jc w:val="right"/>
              <w:rPr>
                <w:rFonts w:ascii="Times New Roman" w:hAnsi="Times New Roman" w:cs="Times New Roman" w:eastAsia="Times New Roman" w:hint="default"/>
                <w:sz w:val="16"/>
                <w:szCs w:val="16"/>
              </w:rPr>
            </w:pPr>
            <w:r>
              <w:rPr>
                <w:rFonts w:ascii="Times New Roman"/>
                <w:sz w:val="16"/>
              </w:rPr>
              <w:t>85</w:t>
            </w:r>
          </w:p>
        </w:tc>
        <w:tc>
          <w:tcPr>
            <w:tcW w:w="79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9"/>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2"/>
              <w:jc w:val="right"/>
              <w:rPr>
                <w:rFonts w:ascii="Times New Roman" w:hAnsi="Times New Roman" w:cs="Times New Roman" w:eastAsia="Times New Roman" w:hint="default"/>
                <w:sz w:val="16"/>
                <w:szCs w:val="16"/>
              </w:rPr>
            </w:pPr>
            <w:r>
              <w:rPr>
                <w:rFonts w:ascii="Times New Roman"/>
                <w:spacing w:val="-1"/>
                <w:sz w:val="16"/>
              </w:rPr>
              <w:t>2.000</w:t>
            </w:r>
          </w:p>
        </w:tc>
        <w:tc>
          <w:tcPr>
            <w:tcW w:w="74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0"/>
              <w:jc w:val="right"/>
              <w:rPr>
                <w:rFonts w:ascii="Times New Roman" w:hAnsi="Times New Roman" w:cs="Times New Roman" w:eastAsia="Times New Roman" w:hint="default"/>
                <w:sz w:val="16"/>
                <w:szCs w:val="16"/>
              </w:rPr>
            </w:pPr>
            <w:r>
              <w:rPr>
                <w:rFonts w:ascii="Times New Roman"/>
                <w:spacing w:val="-1"/>
                <w:sz w:val="16"/>
              </w:rPr>
              <w:t>783</w:t>
            </w:r>
          </w:p>
        </w:tc>
        <w:tc>
          <w:tcPr>
            <w:tcW w:w="708"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98"/>
              <w:jc w:val="right"/>
              <w:rPr>
                <w:rFonts w:ascii="Times New Roman" w:hAnsi="Times New Roman" w:cs="Times New Roman" w:eastAsia="Times New Roman" w:hint="default"/>
                <w:sz w:val="16"/>
                <w:szCs w:val="16"/>
              </w:rPr>
            </w:pPr>
            <w:r>
              <w:rPr>
                <w:rFonts w:ascii="Times New Roman"/>
                <w:sz w:val="16"/>
              </w:rPr>
              <w:t>50</w:t>
            </w:r>
          </w:p>
        </w:tc>
        <w:tc>
          <w:tcPr>
            <w:tcW w:w="85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0"/>
              <w:jc w:val="right"/>
              <w:rPr>
                <w:rFonts w:ascii="Times New Roman" w:hAnsi="Times New Roman" w:cs="Times New Roman" w:eastAsia="Times New Roman" w:hint="default"/>
                <w:sz w:val="16"/>
                <w:szCs w:val="16"/>
              </w:rPr>
            </w:pPr>
            <w:r>
              <w:rPr>
                <w:rFonts w:ascii="Times New Roman"/>
                <w:spacing w:val="-1"/>
                <w:sz w:val="16"/>
              </w:rPr>
              <w:t>312</w:t>
            </w:r>
          </w:p>
        </w:tc>
        <w:tc>
          <w:tcPr>
            <w:tcW w:w="76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1"/>
              <w:jc w:val="right"/>
              <w:rPr>
                <w:rFonts w:ascii="Times New Roman" w:hAnsi="Times New Roman" w:cs="Times New Roman" w:eastAsia="Times New Roman" w:hint="default"/>
                <w:sz w:val="16"/>
                <w:szCs w:val="16"/>
              </w:rPr>
            </w:pPr>
            <w:r>
              <w:rPr>
                <w:rFonts w:ascii="Times New Roman"/>
                <w:sz w:val="16"/>
              </w:rPr>
              <w:t>51</w:t>
            </w:r>
          </w:p>
        </w:tc>
        <w:tc>
          <w:tcPr>
            <w:tcW w:w="816"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1"/>
              <w:jc w:val="right"/>
              <w:rPr>
                <w:rFonts w:ascii="Times New Roman" w:hAnsi="Times New Roman" w:cs="Times New Roman" w:eastAsia="Times New Roman" w:hint="default"/>
                <w:sz w:val="16"/>
                <w:szCs w:val="16"/>
              </w:rPr>
            </w:pPr>
            <w:r>
              <w:rPr>
                <w:rFonts w:ascii="Times New Roman"/>
                <w:sz w:val="16"/>
              </w:rPr>
              <w:t>40</w:t>
            </w:r>
          </w:p>
        </w:tc>
        <w:tc>
          <w:tcPr>
            <w:tcW w:w="69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0"/>
              <w:jc w:val="right"/>
              <w:rPr>
                <w:rFonts w:ascii="Times New Roman" w:hAnsi="Times New Roman" w:cs="Times New Roman" w:eastAsia="Times New Roman" w:hint="default"/>
                <w:sz w:val="16"/>
                <w:szCs w:val="16"/>
              </w:rPr>
            </w:pPr>
            <w:r>
              <w:rPr>
                <w:rFonts w:ascii="Times New Roman"/>
                <w:spacing w:val="-1"/>
                <w:sz w:val="16"/>
              </w:rPr>
              <w:t>570</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1"/>
              <w:jc w:val="right"/>
              <w:rPr>
                <w:rFonts w:ascii="Times New Roman" w:hAnsi="Times New Roman" w:cs="Times New Roman" w:eastAsia="Times New Roman" w:hint="default"/>
                <w:sz w:val="16"/>
                <w:szCs w:val="16"/>
              </w:rPr>
            </w:pPr>
            <w:r>
              <w:rPr>
                <w:rFonts w:ascii="Times New Roman"/>
                <w:sz w:val="16"/>
              </w:rPr>
              <w:t>65</w:t>
            </w:r>
          </w:p>
        </w:tc>
        <w:tc>
          <w:tcPr>
            <w:tcW w:w="78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41"/>
              <w:jc w:val="right"/>
              <w:rPr>
                <w:rFonts w:ascii="Times New Roman" w:hAnsi="Times New Roman" w:cs="Times New Roman" w:eastAsia="Times New Roman" w:hint="default"/>
                <w:sz w:val="16"/>
                <w:szCs w:val="16"/>
              </w:rPr>
            </w:pPr>
            <w:r>
              <w:rPr>
                <w:rFonts w:ascii="Times New Roman"/>
                <w:w w:val="100"/>
                <w:sz w:val="16"/>
              </w:rPr>
              <w:t>-</w:t>
            </w:r>
          </w:p>
        </w:tc>
      </w:tr>
      <w:tr>
        <w:trPr>
          <w:trHeight w:val="271"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left="103" w:right="0"/>
              <w:jc w:val="left"/>
              <w:rPr>
                <w:rFonts w:ascii="Times New Roman" w:hAnsi="Times New Roman" w:cs="Times New Roman" w:eastAsia="Times New Roman" w:hint="default"/>
                <w:sz w:val="16"/>
                <w:szCs w:val="16"/>
              </w:rPr>
            </w:pPr>
            <w:r>
              <w:rPr>
                <w:rFonts w:ascii="Times New Roman" w:hAnsi="Times New Roman"/>
                <w:sz w:val="16"/>
              </w:rPr>
              <w:t>Исказано</w:t>
            </w:r>
            <w:r>
              <w:rPr>
                <w:rFonts w:ascii="Times New Roman" w:hAnsi="Times New Roman"/>
                <w:spacing w:val="-5"/>
                <w:sz w:val="16"/>
              </w:rPr>
              <w:t> </w:t>
            </w:r>
            <w:r>
              <w:rPr>
                <w:rFonts w:ascii="Times New Roman" w:hAnsi="Times New Roman"/>
                <w:sz w:val="16"/>
              </w:rPr>
              <w:t>изврш</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2"/>
              <w:jc w:val="right"/>
              <w:rPr>
                <w:rFonts w:ascii="Times New Roman" w:hAnsi="Times New Roman" w:cs="Times New Roman" w:eastAsia="Times New Roman" w:hint="default"/>
                <w:sz w:val="16"/>
                <w:szCs w:val="16"/>
              </w:rPr>
            </w:pPr>
            <w:r>
              <w:rPr>
                <w:rFonts w:ascii="Times New Roman"/>
                <w:spacing w:val="-1"/>
                <w:sz w:val="16"/>
              </w:rPr>
              <w:t>1.624</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1"/>
              <w:jc w:val="right"/>
              <w:rPr>
                <w:rFonts w:ascii="Times New Roman" w:hAnsi="Times New Roman" w:cs="Times New Roman" w:eastAsia="Times New Roman" w:hint="default"/>
                <w:sz w:val="16"/>
                <w:szCs w:val="16"/>
              </w:rPr>
            </w:pPr>
            <w:r>
              <w:rPr>
                <w:rFonts w:ascii="Times New Roman"/>
                <w:sz w:val="16"/>
              </w:rPr>
              <w:t>14</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0"/>
              <w:jc w:val="right"/>
              <w:rPr>
                <w:rFonts w:ascii="Times New Roman" w:hAnsi="Times New Roman" w:cs="Times New Roman" w:eastAsia="Times New Roman" w:hint="default"/>
                <w:sz w:val="16"/>
                <w:szCs w:val="16"/>
              </w:rPr>
            </w:pPr>
            <w:r>
              <w:rPr>
                <w:rFonts w:ascii="Times New Roman"/>
                <w:spacing w:val="-1"/>
                <w:sz w:val="16"/>
              </w:rPr>
              <w:t>2.490</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0"/>
              <w:jc w:val="right"/>
              <w:rPr>
                <w:rFonts w:ascii="Times New Roman" w:hAnsi="Times New Roman" w:cs="Times New Roman" w:eastAsia="Times New Roman" w:hint="default"/>
                <w:sz w:val="16"/>
                <w:szCs w:val="16"/>
              </w:rPr>
            </w:pPr>
            <w:r>
              <w:rPr>
                <w:rFonts w:ascii="Times New Roman"/>
                <w:spacing w:val="-1"/>
                <w:sz w:val="16"/>
              </w:rPr>
              <w:t>195</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1"/>
              <w:jc w:val="right"/>
              <w:rPr>
                <w:rFonts w:ascii="Times New Roman" w:hAnsi="Times New Roman" w:cs="Times New Roman" w:eastAsia="Times New Roman" w:hint="default"/>
                <w:sz w:val="16"/>
                <w:szCs w:val="16"/>
              </w:rPr>
            </w:pPr>
            <w:r>
              <w:rPr>
                <w:rFonts w:ascii="Times New Roman"/>
                <w:sz w:val="16"/>
              </w:rPr>
              <w:t>32</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2"/>
              <w:jc w:val="right"/>
              <w:rPr>
                <w:rFonts w:ascii="Times New Roman" w:hAnsi="Times New Roman" w:cs="Times New Roman" w:eastAsia="Times New Roman" w:hint="default"/>
                <w:sz w:val="16"/>
                <w:szCs w:val="16"/>
              </w:rPr>
            </w:pPr>
            <w:r>
              <w:rPr>
                <w:rFonts w:ascii="Times New Roman"/>
                <w:spacing w:val="-1"/>
                <w:sz w:val="16"/>
              </w:rPr>
              <w:t>237</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98"/>
              <w:jc w:val="right"/>
              <w:rPr>
                <w:rFonts w:ascii="Times New Roman" w:hAnsi="Times New Roman" w:cs="Times New Roman" w:eastAsia="Times New Roman" w:hint="default"/>
                <w:sz w:val="16"/>
                <w:szCs w:val="16"/>
              </w:rPr>
            </w:pPr>
            <w:r>
              <w:rPr>
                <w:rFonts w:ascii="Times New Roman"/>
                <w:sz w:val="16"/>
              </w:rPr>
              <w:t>25</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2"/>
              <w:jc w:val="right"/>
              <w:rPr>
                <w:rFonts w:ascii="Times New Roman" w:hAnsi="Times New Roman" w:cs="Times New Roman" w:eastAsia="Times New Roman" w:hint="default"/>
                <w:sz w:val="16"/>
                <w:szCs w:val="16"/>
              </w:rPr>
            </w:pPr>
            <w:r>
              <w:rPr>
                <w:rFonts w:ascii="Times New Roman"/>
                <w:spacing w:val="-1"/>
                <w:sz w:val="16"/>
              </w:rPr>
              <w:t>3.639</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0"/>
              <w:jc w:val="right"/>
              <w:rPr>
                <w:rFonts w:ascii="Times New Roman" w:hAnsi="Times New Roman" w:cs="Times New Roman" w:eastAsia="Times New Roman" w:hint="default"/>
                <w:sz w:val="16"/>
                <w:szCs w:val="16"/>
              </w:rPr>
            </w:pPr>
            <w:r>
              <w:rPr>
                <w:rFonts w:ascii="Times New Roman"/>
                <w:spacing w:val="-1"/>
                <w:sz w:val="16"/>
              </w:rPr>
              <w:t>647</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sz w:val="16"/>
              </w:rPr>
              <w:t>36</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0"/>
              <w:jc w:val="right"/>
              <w:rPr>
                <w:rFonts w:ascii="Times New Roman" w:hAnsi="Times New Roman" w:cs="Times New Roman" w:eastAsia="Times New Roman" w:hint="default"/>
                <w:sz w:val="16"/>
                <w:szCs w:val="16"/>
              </w:rPr>
            </w:pPr>
            <w:r>
              <w:rPr>
                <w:rFonts w:ascii="Times New Roman"/>
                <w:spacing w:val="-1"/>
                <w:sz w:val="16"/>
              </w:rPr>
              <w:t>153</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2"/>
              <w:jc w:val="right"/>
              <w:rPr>
                <w:rFonts w:ascii="Times New Roman" w:hAnsi="Times New Roman" w:cs="Times New Roman" w:eastAsia="Times New Roman" w:hint="default"/>
                <w:sz w:val="16"/>
                <w:szCs w:val="16"/>
              </w:rPr>
            </w:pPr>
            <w:r>
              <w:rPr>
                <w:rFonts w:ascii="Times New Roman"/>
                <w:spacing w:val="-1"/>
                <w:sz w:val="16"/>
              </w:rPr>
              <w:t>213</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1"/>
              <w:jc w:val="right"/>
              <w:rPr>
                <w:rFonts w:ascii="Times New Roman" w:hAnsi="Times New Roman" w:cs="Times New Roman" w:eastAsia="Times New Roman" w:hint="default"/>
                <w:sz w:val="16"/>
                <w:szCs w:val="16"/>
              </w:rPr>
            </w:pPr>
            <w:r>
              <w:rPr>
                <w:rFonts w:ascii="Times New Roman"/>
                <w:sz w:val="16"/>
              </w:rPr>
              <w:t>10</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0"/>
              <w:jc w:val="right"/>
              <w:rPr>
                <w:rFonts w:ascii="Times New Roman" w:hAnsi="Times New Roman" w:cs="Times New Roman" w:eastAsia="Times New Roman" w:hint="default"/>
                <w:sz w:val="16"/>
                <w:szCs w:val="16"/>
              </w:rPr>
            </w:pPr>
            <w:r>
              <w:rPr>
                <w:rFonts w:ascii="Times New Roman"/>
                <w:spacing w:val="-1"/>
                <w:sz w:val="16"/>
              </w:rPr>
              <w:t>334</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2"/>
              <w:jc w:val="right"/>
              <w:rPr>
                <w:rFonts w:ascii="Times New Roman" w:hAnsi="Times New Roman" w:cs="Times New Roman" w:eastAsia="Times New Roman" w:hint="default"/>
                <w:sz w:val="16"/>
                <w:szCs w:val="16"/>
              </w:rPr>
            </w:pPr>
            <w:r>
              <w:rPr>
                <w:rFonts w:ascii="Times New Roman"/>
                <w:spacing w:val="-1"/>
                <w:sz w:val="16"/>
              </w:rPr>
              <w:t>118</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41"/>
              <w:jc w:val="right"/>
              <w:rPr>
                <w:rFonts w:ascii="Times New Roman" w:hAnsi="Times New Roman" w:cs="Times New Roman" w:eastAsia="Times New Roman" w:hint="default"/>
                <w:sz w:val="16"/>
                <w:szCs w:val="16"/>
              </w:rPr>
            </w:pPr>
            <w:r>
              <w:rPr>
                <w:rFonts w:ascii="Times New Roman"/>
                <w:w w:val="100"/>
                <w:sz w:val="16"/>
              </w:rPr>
              <w:t>-</w:t>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(1)</w:t>
            </w:r>
            <w:r>
              <w:rPr>
                <w:rFonts w:ascii="Times New Roman" w:hAnsi="Times New Roman"/>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24.576</w:t>
            </w:r>
            <w:r>
              <w:rPr>
                <w:rFonts w:ascii="Times New Roman"/>
                <w:spacing w:val="-1"/>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z w:val="16"/>
              </w:rPr>
              <w:t>36</w:t>
            </w:r>
            <w:r>
              <w:rPr>
                <w:rFonts w:ascii="Times New Roman"/>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6.510</w:t>
            </w:r>
            <w:r>
              <w:rPr>
                <w:rFonts w:ascii="Times New Roman"/>
                <w:spacing w:val="-1"/>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b/>
                <w:sz w:val="16"/>
              </w:rPr>
              <w:t>-95</w:t>
            </w:r>
            <w:r>
              <w:rPr>
                <w:rFonts w:ascii="Times New Roman"/>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z w:val="16"/>
              </w:rPr>
              <w:t>28</w:t>
            </w:r>
            <w:r>
              <w:rPr>
                <w:rFonts w:ascii="Times New Roman"/>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-207</w:t>
            </w:r>
            <w:r>
              <w:rPr>
                <w:rFonts w:ascii="Times New Roman"/>
                <w:spacing w:val="-1"/>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b/>
                <w:sz w:val="16"/>
              </w:rPr>
              <w:t>60</w:t>
            </w:r>
            <w:r>
              <w:rPr>
                <w:rFonts w:ascii="Times New Roman"/>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-1.639</w:t>
            </w:r>
            <w:r>
              <w:rPr>
                <w:rFonts w:ascii="Times New Roman"/>
                <w:spacing w:val="-1"/>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136</w:t>
            </w:r>
            <w:r>
              <w:rPr>
                <w:rFonts w:ascii="Times New Roman"/>
                <w:spacing w:val="-1"/>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b/>
                <w:sz w:val="16"/>
              </w:rPr>
              <w:t>14</w:t>
            </w:r>
            <w:r>
              <w:rPr>
                <w:rFonts w:ascii="Times New Roman"/>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159</w:t>
            </w:r>
            <w:r>
              <w:rPr>
                <w:rFonts w:ascii="Times New Roman"/>
                <w:spacing w:val="-1"/>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-162</w:t>
            </w:r>
            <w:r>
              <w:rPr>
                <w:rFonts w:ascii="Times New Roman"/>
                <w:spacing w:val="-1"/>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z w:val="16"/>
              </w:rPr>
              <w:t>30</w:t>
            </w:r>
            <w:r>
              <w:rPr>
                <w:rFonts w:ascii="Times New Roman"/>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236</w:t>
            </w:r>
            <w:r>
              <w:rPr>
                <w:rFonts w:ascii="Times New Roman"/>
                <w:spacing w:val="-1"/>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z w:val="16"/>
              </w:rPr>
              <w:t>-53</w:t>
            </w:r>
            <w:r>
              <w:rPr>
                <w:rFonts w:ascii="Times New Roman"/>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31"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1"/>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3"/>
                <w:sz w:val="16"/>
              </w:rPr>
              <w:t> </w:t>
            </w:r>
            <w:r>
              <w:rPr>
                <w:rFonts w:ascii="Times New Roman" w:hAnsi="Times New Roman"/>
                <w:sz w:val="16"/>
              </w:rPr>
              <w:t>рач</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1"/>
              <w:ind w:right="102"/>
              <w:jc w:val="right"/>
              <w:rPr>
                <w:rFonts w:ascii="Times New Roman" w:hAnsi="Times New Roman" w:cs="Times New Roman" w:eastAsia="Times New Roman" w:hint="default"/>
                <w:sz w:val="16"/>
                <w:szCs w:val="16"/>
              </w:rPr>
            </w:pPr>
            <w:r>
              <w:rPr>
                <w:rFonts w:ascii="Times New Roman"/>
                <w:spacing w:val="-1"/>
                <w:sz w:val="16"/>
              </w:rPr>
              <w:t>768</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1"/>
              <w:ind w:right="143"/>
              <w:jc w:val="right"/>
              <w:rPr>
                <w:rFonts w:ascii="Times New Roman" w:hAnsi="Times New Roman" w:cs="Times New Roman" w:eastAsia="Times New Roman" w:hint="default"/>
                <w:sz w:val="16"/>
                <w:szCs w:val="16"/>
              </w:rPr>
            </w:pPr>
            <w:r>
              <w:rPr>
                <w:rFonts w:ascii="Times New Roman"/>
                <w:w w:val="100"/>
                <w:sz w:val="16"/>
              </w:rPr>
              <w:t>-</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1"/>
              <w:ind w:right="100"/>
              <w:jc w:val="right"/>
              <w:rPr>
                <w:rFonts w:ascii="Times New Roman" w:hAnsi="Times New Roman" w:cs="Times New Roman" w:eastAsia="Times New Roman" w:hint="default"/>
                <w:sz w:val="16"/>
                <w:szCs w:val="16"/>
              </w:rPr>
            </w:pPr>
            <w:r>
              <w:rPr>
                <w:rFonts w:ascii="Times New Roman"/>
                <w:spacing w:val="-1"/>
                <w:sz w:val="16"/>
              </w:rPr>
              <w:t>6.562</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1"/>
              <w:ind w:right="100"/>
              <w:jc w:val="right"/>
              <w:rPr>
                <w:rFonts w:ascii="Times New Roman" w:hAnsi="Times New Roman" w:cs="Times New Roman" w:eastAsia="Times New Roman" w:hint="default"/>
                <w:sz w:val="16"/>
                <w:szCs w:val="16"/>
              </w:rPr>
            </w:pPr>
            <w:r>
              <w:rPr>
                <w:rFonts w:ascii="Times New Roman"/>
                <w:w w:val="100"/>
                <w:sz w:val="16"/>
              </w:rPr>
              <w:t>-</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1"/>
              <w:ind w:right="102"/>
              <w:jc w:val="right"/>
              <w:rPr>
                <w:rFonts w:ascii="Times New Roman" w:hAnsi="Times New Roman" w:cs="Times New Roman" w:eastAsia="Times New Roman" w:hint="default"/>
                <w:sz w:val="16"/>
                <w:szCs w:val="16"/>
              </w:rPr>
            </w:pPr>
            <w:r>
              <w:rPr>
                <w:rFonts w:ascii="Times New Roman"/>
                <w:w w:val="100"/>
                <w:sz w:val="16"/>
              </w:rPr>
              <w:t>-</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1"/>
              <w:ind w:right="102"/>
              <w:jc w:val="right"/>
              <w:rPr>
                <w:rFonts w:ascii="Times New Roman" w:hAnsi="Times New Roman" w:cs="Times New Roman" w:eastAsia="Times New Roman" w:hint="default"/>
                <w:sz w:val="16"/>
                <w:szCs w:val="16"/>
              </w:rPr>
            </w:pPr>
            <w:r>
              <w:rPr>
                <w:rFonts w:ascii="Times New Roman"/>
                <w:w w:val="100"/>
                <w:sz w:val="16"/>
              </w:rPr>
              <w:t>-</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1"/>
              <w:ind w:right="100"/>
              <w:jc w:val="right"/>
              <w:rPr>
                <w:rFonts w:ascii="Times New Roman" w:hAnsi="Times New Roman" w:cs="Times New Roman" w:eastAsia="Times New Roman" w:hint="default"/>
                <w:sz w:val="16"/>
                <w:szCs w:val="16"/>
              </w:rPr>
            </w:pPr>
            <w:r>
              <w:rPr>
                <w:rFonts w:ascii="Times New Roman"/>
                <w:w w:val="100"/>
                <w:sz w:val="16"/>
              </w:rPr>
              <w:t>-</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1"/>
              <w:ind w:right="100"/>
              <w:jc w:val="right"/>
              <w:rPr>
                <w:rFonts w:ascii="Times New Roman" w:hAnsi="Times New Roman" w:cs="Times New Roman" w:eastAsia="Times New Roman" w:hint="default"/>
                <w:sz w:val="16"/>
                <w:szCs w:val="16"/>
              </w:rPr>
            </w:pPr>
            <w:r>
              <w:rPr>
                <w:rFonts w:ascii="Times New Roman"/>
                <w:w w:val="100"/>
                <w:sz w:val="16"/>
              </w:rPr>
              <w:t>-</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1"/>
              <w:ind w:right="102"/>
              <w:jc w:val="right"/>
              <w:rPr>
                <w:rFonts w:ascii="Times New Roman" w:hAnsi="Times New Roman" w:cs="Times New Roman" w:eastAsia="Times New Roman" w:hint="default"/>
                <w:sz w:val="16"/>
                <w:szCs w:val="16"/>
              </w:rPr>
            </w:pPr>
            <w:r>
              <w:rPr>
                <w:rFonts w:ascii="Times New Roman"/>
                <w:w w:val="100"/>
                <w:sz w:val="16"/>
              </w:rPr>
              <w:t>-</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1"/>
              <w:ind w:right="100"/>
              <w:jc w:val="right"/>
              <w:rPr>
                <w:rFonts w:ascii="Times New Roman" w:hAnsi="Times New Roman" w:cs="Times New Roman" w:eastAsia="Times New Roman" w:hint="default"/>
                <w:sz w:val="16"/>
                <w:szCs w:val="16"/>
              </w:rPr>
            </w:pPr>
            <w:r>
              <w:rPr>
                <w:rFonts w:ascii="Times New Roman"/>
                <w:spacing w:val="-1"/>
                <w:sz w:val="16"/>
              </w:rPr>
              <w:t>508</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w w:val="100"/>
                <w:sz w:val="16"/>
              </w:rPr>
              <w:t>-</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1"/>
              <w:ind w:right="100"/>
              <w:jc w:val="right"/>
              <w:rPr>
                <w:rFonts w:ascii="Times New Roman" w:hAnsi="Times New Roman" w:cs="Times New Roman" w:eastAsia="Times New Roman" w:hint="default"/>
                <w:sz w:val="16"/>
                <w:szCs w:val="16"/>
              </w:rPr>
            </w:pPr>
            <w:r>
              <w:rPr>
                <w:rFonts w:ascii="Times New Roman"/>
                <w:w w:val="100"/>
                <w:sz w:val="16"/>
              </w:rPr>
              <w:t>-</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1"/>
              <w:ind w:right="102"/>
              <w:jc w:val="right"/>
              <w:rPr>
                <w:rFonts w:ascii="Times New Roman" w:hAnsi="Times New Roman" w:cs="Times New Roman" w:eastAsia="Times New Roman" w:hint="default"/>
                <w:sz w:val="16"/>
                <w:szCs w:val="16"/>
              </w:rPr>
            </w:pPr>
            <w:r>
              <w:rPr>
                <w:rFonts w:ascii="Times New Roman"/>
                <w:w w:val="100"/>
                <w:sz w:val="16"/>
              </w:rPr>
              <w:t>-</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1"/>
              <w:ind w:right="102"/>
              <w:jc w:val="right"/>
              <w:rPr>
                <w:rFonts w:ascii="Times New Roman" w:hAnsi="Times New Roman" w:cs="Times New Roman" w:eastAsia="Times New Roman" w:hint="default"/>
                <w:sz w:val="16"/>
                <w:szCs w:val="16"/>
              </w:rPr>
            </w:pPr>
            <w:r>
              <w:rPr>
                <w:rFonts w:ascii="Times New Roman"/>
                <w:w w:val="100"/>
                <w:sz w:val="16"/>
              </w:rPr>
              <w:t>-</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1"/>
              <w:ind w:right="100"/>
              <w:jc w:val="right"/>
              <w:rPr>
                <w:rFonts w:ascii="Times New Roman" w:hAnsi="Times New Roman" w:cs="Times New Roman" w:eastAsia="Times New Roman" w:hint="default"/>
                <w:sz w:val="16"/>
                <w:szCs w:val="16"/>
              </w:rPr>
            </w:pPr>
            <w:r>
              <w:rPr>
                <w:rFonts w:ascii="Times New Roman"/>
                <w:w w:val="100"/>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1"/>
              <w:ind w:right="102"/>
              <w:jc w:val="right"/>
              <w:rPr>
                <w:rFonts w:ascii="Times New Roman" w:hAnsi="Times New Roman" w:cs="Times New Roman" w:eastAsia="Times New Roman" w:hint="default"/>
                <w:sz w:val="16"/>
                <w:szCs w:val="16"/>
              </w:rPr>
            </w:pPr>
            <w:r>
              <w:rPr>
                <w:rFonts w:ascii="Times New Roman"/>
                <w:w w:val="100"/>
                <w:sz w:val="16"/>
              </w:rPr>
              <w:t>-</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1"/>
              <w:ind w:right="100"/>
              <w:jc w:val="right"/>
              <w:rPr>
                <w:rFonts w:ascii="Times New Roman" w:hAnsi="Times New Roman" w:cs="Times New Roman" w:eastAsia="Times New Roman" w:hint="default"/>
                <w:sz w:val="16"/>
                <w:szCs w:val="16"/>
              </w:rPr>
            </w:pPr>
            <w:r>
              <w:rPr>
                <w:rFonts w:ascii="Times New Roman"/>
                <w:w w:val="100"/>
                <w:sz w:val="16"/>
              </w:rPr>
              <w:t>-</w:t>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7"/>
                <w:sz w:val="16"/>
              </w:rPr>
              <w:t> </w:t>
            </w:r>
            <w:r>
              <w:rPr>
                <w:rFonts w:ascii="Times New Roman" w:hAnsi="Times New Roman"/>
                <w:sz w:val="16"/>
              </w:rPr>
              <w:t>угов</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23" w:hRule="exact"/>
        </w:trPr>
        <w:tc>
          <w:tcPr>
            <w:tcW w:w="626" w:type="dxa"/>
            <w:vMerge/>
            <w:tcBorders>
              <w:left w:val="single" w:sz="4" w:space="0" w:color="000000"/>
              <w:bottom w:val="single" w:sz="12" w:space="0" w:color="000000"/>
              <w:right w:val="single" w:sz="4" w:space="0" w:color="000000"/>
            </w:tcBorders>
          </w:tcPr>
          <w:p>
            <w:pPr/>
          </w:p>
        </w:tc>
        <w:tc>
          <w:tcPr>
            <w:tcW w:w="13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(2)</w:t>
            </w:r>
            <w:r>
              <w:rPr>
                <w:rFonts w:ascii="Times New Roman" w:hAnsi="Times New Roman"/>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23.808</w:t>
            </w:r>
            <w:r>
              <w:rPr>
                <w:rFonts w:ascii="Times New Roman"/>
                <w:spacing w:val="-1"/>
                <w:sz w:val="16"/>
              </w:rPr>
            </w:r>
          </w:p>
        </w:tc>
        <w:tc>
          <w:tcPr>
            <w:tcW w:w="67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z w:val="16"/>
              </w:rPr>
              <w:t>36</w:t>
            </w:r>
            <w:r>
              <w:rPr>
                <w:rFonts w:ascii="Times New Roman"/>
                <w:sz w:val="16"/>
              </w:rPr>
            </w:r>
          </w:p>
        </w:tc>
        <w:tc>
          <w:tcPr>
            <w:tcW w:w="92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99"/>
              <w:jc w:val="right"/>
              <w:rPr>
                <w:rFonts w:ascii="Times New Roman" w:hAnsi="Times New Roman" w:cs="Times New Roman" w:eastAsia="Times New Roman" w:hint="default"/>
                <w:sz w:val="16"/>
                <w:szCs w:val="16"/>
              </w:rPr>
            </w:pPr>
            <w:r>
              <w:rPr>
                <w:rFonts w:ascii="Times New Roman"/>
                <w:b/>
                <w:sz w:val="16"/>
              </w:rPr>
              <w:t>-52</w:t>
            </w:r>
            <w:r>
              <w:rPr>
                <w:rFonts w:ascii="Times New Roman"/>
                <w:sz w:val="16"/>
              </w:rPr>
            </w:r>
          </w:p>
        </w:tc>
        <w:tc>
          <w:tcPr>
            <w:tcW w:w="95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b/>
                <w:sz w:val="16"/>
              </w:rPr>
              <w:t>-95</w:t>
            </w:r>
            <w:r>
              <w:rPr>
                <w:rFonts w:ascii="Times New Roman"/>
                <w:sz w:val="16"/>
              </w:rPr>
            </w:r>
          </w:p>
        </w:tc>
        <w:tc>
          <w:tcPr>
            <w:tcW w:w="98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z w:val="16"/>
              </w:rPr>
              <w:t>28</w:t>
            </w:r>
            <w:r>
              <w:rPr>
                <w:rFonts w:ascii="Times New Roman"/>
                <w:sz w:val="16"/>
              </w:rPr>
            </w:r>
          </w:p>
        </w:tc>
        <w:tc>
          <w:tcPr>
            <w:tcW w:w="900"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-207</w:t>
            </w:r>
            <w:r>
              <w:rPr>
                <w:rFonts w:ascii="Times New Roman"/>
                <w:spacing w:val="-1"/>
                <w:sz w:val="16"/>
              </w:rPr>
            </w:r>
          </w:p>
        </w:tc>
        <w:tc>
          <w:tcPr>
            <w:tcW w:w="7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b/>
                <w:sz w:val="16"/>
              </w:rPr>
              <w:t>60</w:t>
            </w:r>
            <w:r>
              <w:rPr>
                <w:rFonts w:ascii="Times New Roman"/>
                <w:sz w:val="16"/>
              </w:rPr>
            </w:r>
          </w:p>
        </w:tc>
        <w:tc>
          <w:tcPr>
            <w:tcW w:w="79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-1.639</w:t>
            </w:r>
            <w:r>
              <w:rPr>
                <w:rFonts w:ascii="Times New Roman"/>
                <w:spacing w:val="-1"/>
                <w:sz w:val="16"/>
              </w:rPr>
            </w:r>
          </w:p>
        </w:tc>
        <w:tc>
          <w:tcPr>
            <w:tcW w:w="74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-372</w:t>
            </w:r>
            <w:r>
              <w:rPr>
                <w:rFonts w:ascii="Times New Roman"/>
                <w:spacing w:val="-1"/>
                <w:sz w:val="16"/>
              </w:rPr>
            </w:r>
          </w:p>
        </w:tc>
        <w:tc>
          <w:tcPr>
            <w:tcW w:w="70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b/>
                <w:sz w:val="16"/>
              </w:rPr>
              <w:t>14</w:t>
            </w:r>
            <w:r>
              <w:rPr>
                <w:rFonts w:ascii="Times New Roman"/>
                <w:sz w:val="16"/>
              </w:rPr>
            </w:r>
          </w:p>
        </w:tc>
        <w:tc>
          <w:tcPr>
            <w:tcW w:w="85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159</w:t>
            </w:r>
            <w:r>
              <w:rPr>
                <w:rFonts w:ascii="Times New Roman"/>
                <w:spacing w:val="-1"/>
                <w:sz w:val="16"/>
              </w:rPr>
            </w:r>
          </w:p>
        </w:tc>
        <w:tc>
          <w:tcPr>
            <w:tcW w:w="76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-162</w:t>
            </w:r>
            <w:r>
              <w:rPr>
                <w:rFonts w:ascii="Times New Roman"/>
                <w:spacing w:val="-1"/>
                <w:sz w:val="16"/>
              </w:rPr>
            </w:r>
          </w:p>
        </w:tc>
        <w:tc>
          <w:tcPr>
            <w:tcW w:w="81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z w:val="16"/>
              </w:rPr>
              <w:t>30</w:t>
            </w:r>
            <w:r>
              <w:rPr>
                <w:rFonts w:ascii="Times New Roman"/>
                <w:sz w:val="16"/>
              </w:rPr>
            </w:r>
          </w:p>
        </w:tc>
        <w:tc>
          <w:tcPr>
            <w:tcW w:w="69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236</w:t>
            </w:r>
            <w:r>
              <w:rPr>
                <w:rFonts w:ascii="Times New Roman"/>
                <w:spacing w:val="-1"/>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z w:val="16"/>
              </w:rPr>
              <w:t>-53</w:t>
            </w:r>
            <w:r>
              <w:rPr>
                <w:rFonts w:ascii="Times New Roman"/>
                <w:sz w:val="16"/>
              </w:rPr>
            </w:r>
          </w:p>
        </w:tc>
        <w:tc>
          <w:tcPr>
            <w:tcW w:w="78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45" w:hRule="exact"/>
        </w:trPr>
        <w:tc>
          <w:tcPr>
            <w:tcW w:w="626" w:type="dxa"/>
            <w:vMerge w:val="restart"/>
            <w:tcBorders>
              <w:top w:val="single" w:sz="12"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5"/>
              <w:ind w:right="0"/>
              <w:jc w:val="left"/>
              <w:rPr>
                <w:rFonts w:ascii="Times New Roman" w:hAnsi="Times New Roman" w:cs="Times New Roman" w:eastAsia="Times New Roman" w:hint="default"/>
                <w:sz w:val="18"/>
                <w:szCs w:val="18"/>
              </w:rPr>
            </w:pPr>
          </w:p>
          <w:p>
            <w:pPr>
              <w:pStyle w:val="TableParagraph"/>
              <w:spacing w:line="240" w:lineRule="auto"/>
              <w:ind w:left="187" w:right="94"/>
              <w:jc w:val="left"/>
              <w:rPr>
                <w:rFonts w:ascii="Times New Roman" w:hAnsi="Times New Roman" w:cs="Times New Roman" w:eastAsia="Times New Roman" w:hint="default"/>
                <w:sz w:val="16"/>
                <w:szCs w:val="16"/>
              </w:rPr>
            </w:pPr>
            <w:r>
              <w:rPr>
                <w:rFonts w:ascii="Times New Roman"/>
                <w:sz w:val="16"/>
              </w:rPr>
              <w:t>483</w:t>
            </w:r>
          </w:p>
        </w:tc>
        <w:tc>
          <w:tcPr>
            <w:tcW w:w="135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8"/>
              <w:ind w:left="103" w:right="0"/>
              <w:jc w:val="left"/>
              <w:rPr>
                <w:rFonts w:ascii="Times New Roman" w:hAnsi="Times New Roman" w:cs="Times New Roman" w:eastAsia="Times New Roman" w:hint="default"/>
                <w:sz w:val="16"/>
                <w:szCs w:val="16"/>
              </w:rPr>
            </w:pPr>
            <w:r>
              <w:rPr>
                <w:rFonts w:ascii="Times New Roman" w:hAnsi="Times New Roman"/>
                <w:sz w:val="16"/>
              </w:rPr>
              <w:t>Укупна</w:t>
            </w:r>
            <w:r>
              <w:rPr>
                <w:rFonts w:ascii="Times New Roman" w:hAnsi="Times New Roman"/>
                <w:spacing w:val="-5"/>
                <w:sz w:val="16"/>
              </w:rPr>
              <w:t> </w:t>
            </w:r>
            <w:r>
              <w:rPr>
                <w:rFonts w:ascii="Times New Roman" w:hAnsi="Times New Roman"/>
                <w:sz w:val="16"/>
              </w:rPr>
              <w:t>апроп</w:t>
            </w:r>
            <w:r>
              <w:rPr>
                <w:rFonts w:ascii="Times New Roman" w:hAnsi="Times New Roman"/>
                <w:sz w:val="16"/>
              </w:rPr>
              <w:t>.</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8"/>
              <w:ind w:right="102"/>
              <w:jc w:val="right"/>
              <w:rPr>
                <w:rFonts w:ascii="Times New Roman" w:hAnsi="Times New Roman" w:cs="Times New Roman" w:eastAsia="Times New Roman" w:hint="default"/>
                <w:sz w:val="16"/>
                <w:szCs w:val="16"/>
              </w:rPr>
            </w:pPr>
            <w:r>
              <w:rPr>
                <w:rFonts w:ascii="Times New Roman"/>
                <w:w w:val="100"/>
                <w:sz w:val="16"/>
              </w:rPr>
              <w:t>-</w:t>
            </w:r>
          </w:p>
        </w:tc>
        <w:tc>
          <w:tcPr>
            <w:tcW w:w="67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8"/>
              <w:ind w:right="102"/>
              <w:jc w:val="right"/>
              <w:rPr>
                <w:rFonts w:ascii="Times New Roman" w:hAnsi="Times New Roman" w:cs="Times New Roman" w:eastAsia="Times New Roman" w:hint="default"/>
                <w:sz w:val="16"/>
                <w:szCs w:val="16"/>
              </w:rPr>
            </w:pPr>
            <w:r>
              <w:rPr>
                <w:rFonts w:ascii="Times New Roman"/>
                <w:spacing w:val="-1"/>
                <w:sz w:val="16"/>
              </w:rPr>
              <w:t>420</w:t>
            </w:r>
          </w:p>
        </w:tc>
        <w:tc>
          <w:tcPr>
            <w:tcW w:w="92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8"/>
              <w:ind w:right="100"/>
              <w:jc w:val="right"/>
              <w:rPr>
                <w:rFonts w:ascii="Times New Roman" w:hAnsi="Times New Roman" w:cs="Times New Roman" w:eastAsia="Times New Roman" w:hint="default"/>
                <w:sz w:val="16"/>
                <w:szCs w:val="16"/>
              </w:rPr>
            </w:pPr>
            <w:r>
              <w:rPr>
                <w:rFonts w:ascii="Times New Roman"/>
                <w:spacing w:val="-1"/>
                <w:sz w:val="16"/>
              </w:rPr>
              <w:t>14.500</w:t>
            </w:r>
          </w:p>
        </w:tc>
        <w:tc>
          <w:tcPr>
            <w:tcW w:w="95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8"/>
              <w:ind w:right="100"/>
              <w:jc w:val="right"/>
              <w:rPr>
                <w:rFonts w:ascii="Times New Roman" w:hAnsi="Times New Roman" w:cs="Times New Roman" w:eastAsia="Times New Roman" w:hint="default"/>
                <w:sz w:val="16"/>
                <w:szCs w:val="16"/>
              </w:rPr>
            </w:pPr>
            <w:r>
              <w:rPr>
                <w:rFonts w:ascii="Times New Roman"/>
                <w:spacing w:val="-1"/>
                <w:sz w:val="16"/>
              </w:rPr>
              <w:t>3.420</w:t>
            </w:r>
          </w:p>
        </w:tc>
        <w:tc>
          <w:tcPr>
            <w:tcW w:w="986"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8"/>
              <w:ind w:right="102"/>
              <w:jc w:val="right"/>
              <w:rPr>
                <w:rFonts w:ascii="Times New Roman" w:hAnsi="Times New Roman" w:cs="Times New Roman" w:eastAsia="Times New Roman" w:hint="default"/>
                <w:sz w:val="16"/>
                <w:szCs w:val="16"/>
              </w:rPr>
            </w:pPr>
            <w:r>
              <w:rPr>
                <w:rFonts w:ascii="Times New Roman"/>
                <w:spacing w:val="-1"/>
                <w:sz w:val="16"/>
              </w:rPr>
              <w:t>800</w:t>
            </w:r>
          </w:p>
        </w:tc>
        <w:tc>
          <w:tcPr>
            <w:tcW w:w="900"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40"/>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40"/>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40"/>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8"/>
              <w:ind w:right="102"/>
              <w:jc w:val="right"/>
              <w:rPr>
                <w:rFonts w:ascii="Times New Roman" w:hAnsi="Times New Roman" w:cs="Times New Roman" w:eastAsia="Times New Roman" w:hint="default"/>
                <w:sz w:val="16"/>
                <w:szCs w:val="16"/>
              </w:rPr>
            </w:pPr>
            <w:r>
              <w:rPr>
                <w:rFonts w:ascii="Times New Roman"/>
                <w:spacing w:val="-1"/>
                <w:sz w:val="16"/>
              </w:rPr>
              <w:t>11.000</w:t>
            </w:r>
          </w:p>
        </w:tc>
        <w:tc>
          <w:tcPr>
            <w:tcW w:w="74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8"/>
              <w:ind w:right="100"/>
              <w:jc w:val="right"/>
              <w:rPr>
                <w:rFonts w:ascii="Times New Roman" w:hAnsi="Times New Roman" w:cs="Times New Roman" w:eastAsia="Times New Roman" w:hint="default"/>
                <w:sz w:val="16"/>
                <w:szCs w:val="16"/>
              </w:rPr>
            </w:pPr>
            <w:r>
              <w:rPr>
                <w:rFonts w:ascii="Times New Roman"/>
                <w:spacing w:val="-1"/>
                <w:sz w:val="16"/>
              </w:rPr>
              <w:t>2.560</w:t>
            </w:r>
          </w:p>
        </w:tc>
        <w:tc>
          <w:tcPr>
            <w:tcW w:w="708"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2.000</w:t>
            </w:r>
          </w:p>
        </w:tc>
        <w:tc>
          <w:tcPr>
            <w:tcW w:w="85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8"/>
              <w:ind w:right="98"/>
              <w:jc w:val="right"/>
              <w:rPr>
                <w:rFonts w:ascii="Times New Roman" w:hAnsi="Times New Roman" w:cs="Times New Roman" w:eastAsia="Times New Roman" w:hint="default"/>
                <w:sz w:val="16"/>
                <w:szCs w:val="16"/>
              </w:rPr>
            </w:pPr>
            <w:r>
              <w:rPr>
                <w:rFonts w:ascii="Times New Roman"/>
                <w:sz w:val="16"/>
              </w:rPr>
              <w:t>61</w:t>
            </w:r>
          </w:p>
        </w:tc>
        <w:tc>
          <w:tcPr>
            <w:tcW w:w="76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8"/>
              <w:ind w:right="143"/>
              <w:jc w:val="right"/>
              <w:rPr>
                <w:rFonts w:ascii="Times New Roman" w:hAnsi="Times New Roman" w:cs="Times New Roman" w:eastAsia="Times New Roman" w:hint="default"/>
                <w:sz w:val="16"/>
                <w:szCs w:val="16"/>
              </w:rPr>
            </w:pPr>
            <w:r>
              <w:rPr>
                <w:rFonts w:ascii="Times New Roman"/>
                <w:w w:val="100"/>
                <w:sz w:val="16"/>
              </w:rPr>
              <w:t>-</w:t>
            </w:r>
          </w:p>
        </w:tc>
        <w:tc>
          <w:tcPr>
            <w:tcW w:w="816"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8"/>
              <w:ind w:left="340" w:right="0"/>
              <w:jc w:val="left"/>
              <w:rPr>
                <w:rFonts w:ascii="Times New Roman" w:hAnsi="Times New Roman" w:cs="Times New Roman" w:eastAsia="Times New Roman" w:hint="default"/>
                <w:sz w:val="16"/>
                <w:szCs w:val="16"/>
              </w:rPr>
            </w:pPr>
            <w:r>
              <w:rPr>
                <w:rFonts w:ascii="Times New Roman"/>
                <w:sz w:val="16"/>
              </w:rPr>
              <w:t>1.300</w:t>
            </w:r>
          </w:p>
        </w:tc>
        <w:tc>
          <w:tcPr>
            <w:tcW w:w="69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8"/>
              <w:ind w:right="100"/>
              <w:jc w:val="right"/>
              <w:rPr>
                <w:rFonts w:ascii="Times New Roman" w:hAnsi="Times New Roman" w:cs="Times New Roman" w:eastAsia="Times New Roman" w:hint="default"/>
                <w:sz w:val="16"/>
                <w:szCs w:val="16"/>
              </w:rPr>
            </w:pPr>
            <w:r>
              <w:rPr>
                <w:rFonts w:ascii="Times New Roman"/>
                <w:spacing w:val="-1"/>
                <w:sz w:val="16"/>
              </w:rPr>
              <w:t>3.400</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8"/>
              <w:ind w:right="102"/>
              <w:jc w:val="right"/>
              <w:rPr>
                <w:rFonts w:ascii="Times New Roman" w:hAnsi="Times New Roman" w:cs="Times New Roman" w:eastAsia="Times New Roman" w:hint="default"/>
                <w:sz w:val="16"/>
                <w:szCs w:val="16"/>
              </w:rPr>
            </w:pPr>
            <w:r>
              <w:rPr>
                <w:rFonts w:ascii="Times New Roman"/>
                <w:spacing w:val="-1"/>
                <w:sz w:val="16"/>
              </w:rPr>
              <w:t>511</w:t>
            </w:r>
          </w:p>
        </w:tc>
        <w:tc>
          <w:tcPr>
            <w:tcW w:w="78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8"/>
              <w:ind w:right="141"/>
              <w:jc w:val="right"/>
              <w:rPr>
                <w:rFonts w:ascii="Times New Roman" w:hAnsi="Times New Roman" w:cs="Times New Roman" w:eastAsia="Times New Roman" w:hint="default"/>
                <w:sz w:val="16"/>
                <w:szCs w:val="16"/>
              </w:rPr>
            </w:pPr>
            <w:r>
              <w:rPr>
                <w:rFonts w:ascii="Times New Roman"/>
                <w:w w:val="100"/>
                <w:sz w:val="16"/>
              </w:rPr>
              <w:t>-</w:t>
            </w:r>
          </w:p>
        </w:tc>
      </w:tr>
      <w:tr>
        <w:trPr>
          <w:trHeight w:val="271"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left="103" w:right="0"/>
              <w:jc w:val="left"/>
              <w:rPr>
                <w:rFonts w:ascii="Times New Roman" w:hAnsi="Times New Roman" w:cs="Times New Roman" w:eastAsia="Times New Roman" w:hint="default"/>
                <w:sz w:val="16"/>
                <w:szCs w:val="16"/>
              </w:rPr>
            </w:pPr>
            <w:r>
              <w:rPr>
                <w:rFonts w:ascii="Times New Roman" w:hAnsi="Times New Roman"/>
                <w:sz w:val="16"/>
              </w:rPr>
              <w:t>Исказано</w:t>
            </w:r>
            <w:r>
              <w:rPr>
                <w:rFonts w:ascii="Times New Roman" w:hAnsi="Times New Roman"/>
                <w:spacing w:val="-5"/>
                <w:sz w:val="16"/>
              </w:rPr>
              <w:t> </w:t>
            </w:r>
            <w:r>
              <w:rPr>
                <w:rFonts w:ascii="Times New Roman" w:hAnsi="Times New Roman"/>
                <w:sz w:val="16"/>
              </w:rPr>
              <w:t>изврш</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2"/>
              <w:jc w:val="right"/>
              <w:rPr>
                <w:rFonts w:ascii="Times New Roman" w:hAnsi="Times New Roman" w:cs="Times New Roman" w:eastAsia="Times New Roman" w:hint="default"/>
                <w:sz w:val="16"/>
                <w:szCs w:val="16"/>
              </w:rPr>
            </w:pPr>
            <w:r>
              <w:rPr>
                <w:rFonts w:ascii="Times New Roman"/>
                <w:w w:val="100"/>
                <w:sz w:val="16"/>
              </w:rPr>
              <w:t>-</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2"/>
              <w:jc w:val="right"/>
              <w:rPr>
                <w:rFonts w:ascii="Times New Roman" w:hAnsi="Times New Roman" w:cs="Times New Roman" w:eastAsia="Times New Roman" w:hint="default"/>
                <w:sz w:val="16"/>
                <w:szCs w:val="16"/>
              </w:rPr>
            </w:pPr>
            <w:r>
              <w:rPr>
                <w:rFonts w:ascii="Times New Roman"/>
                <w:w w:val="100"/>
                <w:sz w:val="16"/>
              </w:rPr>
              <w:t>-</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0"/>
              <w:jc w:val="right"/>
              <w:rPr>
                <w:rFonts w:ascii="Times New Roman" w:hAnsi="Times New Roman" w:cs="Times New Roman" w:eastAsia="Times New Roman" w:hint="default"/>
                <w:sz w:val="16"/>
                <w:szCs w:val="16"/>
              </w:rPr>
            </w:pPr>
            <w:r>
              <w:rPr>
                <w:rFonts w:ascii="Times New Roman"/>
                <w:spacing w:val="-1"/>
                <w:sz w:val="16"/>
              </w:rPr>
              <w:t>12.783</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0"/>
              <w:jc w:val="right"/>
              <w:rPr>
                <w:rFonts w:ascii="Times New Roman" w:hAnsi="Times New Roman" w:cs="Times New Roman" w:eastAsia="Times New Roman" w:hint="default"/>
                <w:sz w:val="16"/>
                <w:szCs w:val="16"/>
              </w:rPr>
            </w:pPr>
            <w:r>
              <w:rPr>
                <w:rFonts w:ascii="Times New Roman"/>
                <w:spacing w:val="-1"/>
                <w:sz w:val="16"/>
              </w:rPr>
              <w:t>2.516</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2"/>
              <w:jc w:val="right"/>
              <w:rPr>
                <w:rFonts w:ascii="Times New Roman" w:hAnsi="Times New Roman" w:cs="Times New Roman" w:eastAsia="Times New Roman" w:hint="default"/>
                <w:sz w:val="16"/>
                <w:szCs w:val="16"/>
              </w:rPr>
            </w:pPr>
            <w:r>
              <w:rPr>
                <w:rFonts w:ascii="Times New Roman"/>
                <w:spacing w:val="-1"/>
                <w:sz w:val="16"/>
              </w:rPr>
              <w:t>389</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2"/>
              <w:jc w:val="right"/>
              <w:rPr>
                <w:rFonts w:ascii="Times New Roman" w:hAnsi="Times New Roman" w:cs="Times New Roman" w:eastAsia="Times New Roman" w:hint="default"/>
                <w:sz w:val="16"/>
                <w:szCs w:val="16"/>
              </w:rPr>
            </w:pPr>
            <w:r>
              <w:rPr>
                <w:rFonts w:ascii="Times New Roman"/>
                <w:spacing w:val="-1"/>
                <w:sz w:val="16"/>
              </w:rPr>
              <w:t>11.076</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0"/>
              <w:jc w:val="right"/>
              <w:rPr>
                <w:rFonts w:ascii="Times New Roman" w:hAnsi="Times New Roman" w:cs="Times New Roman" w:eastAsia="Times New Roman" w:hint="default"/>
                <w:sz w:val="16"/>
                <w:szCs w:val="16"/>
              </w:rPr>
            </w:pPr>
            <w:r>
              <w:rPr>
                <w:rFonts w:ascii="Times New Roman"/>
                <w:spacing w:val="-1"/>
                <w:sz w:val="16"/>
              </w:rPr>
              <w:t>2.480</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1.447</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98"/>
              <w:jc w:val="right"/>
              <w:rPr>
                <w:rFonts w:ascii="Times New Roman" w:hAnsi="Times New Roman" w:cs="Times New Roman" w:eastAsia="Times New Roman" w:hint="default"/>
                <w:sz w:val="16"/>
                <w:szCs w:val="16"/>
              </w:rPr>
            </w:pPr>
            <w:r>
              <w:rPr>
                <w:rFonts w:ascii="Times New Roman"/>
                <w:sz w:val="16"/>
              </w:rPr>
              <w:t>27</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43"/>
              <w:jc w:val="right"/>
              <w:rPr>
                <w:rFonts w:ascii="Times New Roman" w:hAnsi="Times New Roman" w:cs="Times New Roman" w:eastAsia="Times New Roman" w:hint="default"/>
                <w:sz w:val="16"/>
                <w:szCs w:val="16"/>
              </w:rPr>
            </w:pPr>
            <w:r>
              <w:rPr>
                <w:rFonts w:ascii="Times New Roman"/>
                <w:w w:val="100"/>
                <w:sz w:val="16"/>
              </w:rPr>
              <w:t>-</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left="340" w:right="0"/>
              <w:jc w:val="left"/>
              <w:rPr>
                <w:rFonts w:ascii="Times New Roman" w:hAnsi="Times New Roman" w:cs="Times New Roman" w:eastAsia="Times New Roman" w:hint="default"/>
                <w:sz w:val="16"/>
                <w:szCs w:val="16"/>
              </w:rPr>
            </w:pPr>
            <w:r>
              <w:rPr>
                <w:rFonts w:ascii="Times New Roman"/>
                <w:sz w:val="16"/>
              </w:rPr>
              <w:t>1.463</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0"/>
              <w:jc w:val="right"/>
              <w:rPr>
                <w:rFonts w:ascii="Times New Roman" w:hAnsi="Times New Roman" w:cs="Times New Roman" w:eastAsia="Times New Roman" w:hint="default"/>
                <w:sz w:val="16"/>
                <w:szCs w:val="16"/>
              </w:rPr>
            </w:pPr>
            <w:r>
              <w:rPr>
                <w:rFonts w:ascii="Times New Roman"/>
                <w:spacing w:val="-1"/>
                <w:sz w:val="16"/>
              </w:rPr>
              <w:t>1.132</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2"/>
              <w:jc w:val="right"/>
              <w:rPr>
                <w:rFonts w:ascii="Times New Roman" w:hAnsi="Times New Roman" w:cs="Times New Roman" w:eastAsia="Times New Roman" w:hint="default"/>
                <w:sz w:val="16"/>
                <w:szCs w:val="16"/>
              </w:rPr>
            </w:pPr>
            <w:r>
              <w:rPr>
                <w:rFonts w:ascii="Times New Roman"/>
                <w:spacing w:val="-1"/>
                <w:sz w:val="16"/>
              </w:rPr>
              <w:t>530</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41"/>
              <w:jc w:val="right"/>
              <w:rPr>
                <w:rFonts w:ascii="Times New Roman" w:hAnsi="Times New Roman" w:cs="Times New Roman" w:eastAsia="Times New Roman" w:hint="default"/>
                <w:sz w:val="16"/>
                <w:szCs w:val="16"/>
              </w:rPr>
            </w:pPr>
            <w:r>
              <w:rPr>
                <w:rFonts w:ascii="Times New Roman"/>
                <w:w w:val="100"/>
                <w:sz w:val="16"/>
              </w:rPr>
              <w:t>-</w:t>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(1)</w:t>
            </w:r>
            <w:r>
              <w:rPr>
                <w:rFonts w:ascii="Times New Roman" w:hAnsi="Times New Roman"/>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420</w:t>
            </w:r>
            <w:r>
              <w:rPr>
                <w:rFonts w:ascii="Times New Roman"/>
                <w:spacing w:val="-1"/>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1.717</w:t>
            </w:r>
            <w:r>
              <w:rPr>
                <w:rFonts w:ascii="Times New Roman"/>
                <w:spacing w:val="-1"/>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904</w:t>
            </w:r>
            <w:r>
              <w:rPr>
                <w:rFonts w:ascii="Times New Roman"/>
                <w:spacing w:val="-1"/>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411</w:t>
            </w:r>
            <w:r>
              <w:rPr>
                <w:rFonts w:ascii="Times New Roman"/>
                <w:spacing w:val="-1"/>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z w:val="16"/>
              </w:rPr>
              <w:t>-76</w:t>
            </w:r>
            <w:r>
              <w:rPr>
                <w:rFonts w:ascii="Times New Roman"/>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99"/>
              <w:jc w:val="right"/>
              <w:rPr>
                <w:rFonts w:ascii="Times New Roman" w:hAnsi="Times New Roman" w:cs="Times New Roman" w:eastAsia="Times New Roman" w:hint="default"/>
                <w:sz w:val="16"/>
                <w:szCs w:val="16"/>
              </w:rPr>
            </w:pPr>
            <w:r>
              <w:rPr>
                <w:rFonts w:ascii="Times New Roman"/>
                <w:b/>
                <w:sz w:val="16"/>
              </w:rPr>
              <w:t>80</w:t>
            </w:r>
            <w:r>
              <w:rPr>
                <w:rFonts w:ascii="Times New Roman"/>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553</w:t>
            </w:r>
            <w:r>
              <w:rPr>
                <w:rFonts w:ascii="Times New Roman"/>
                <w:spacing w:val="-1"/>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b/>
                <w:sz w:val="16"/>
              </w:rPr>
              <w:t>34</w:t>
            </w:r>
            <w:r>
              <w:rPr>
                <w:rFonts w:ascii="Times New Roman"/>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408" w:right="0"/>
              <w:jc w:val="left"/>
              <w:rPr>
                <w:rFonts w:ascii="Times New Roman" w:hAnsi="Times New Roman" w:cs="Times New Roman" w:eastAsia="Times New Roman" w:hint="default"/>
                <w:sz w:val="16"/>
                <w:szCs w:val="16"/>
              </w:rPr>
            </w:pPr>
            <w:r>
              <w:rPr>
                <w:rFonts w:ascii="Times New Roman"/>
                <w:b/>
                <w:sz w:val="16"/>
              </w:rPr>
              <w:t>-163</w:t>
            </w:r>
            <w:r>
              <w:rPr>
                <w:rFonts w:ascii="Times New Roman"/>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2.268</w:t>
            </w:r>
            <w:r>
              <w:rPr>
                <w:rFonts w:ascii="Times New Roman"/>
                <w:spacing w:val="-1"/>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z w:val="16"/>
              </w:rPr>
              <w:t>-19</w:t>
            </w:r>
            <w:r>
              <w:rPr>
                <w:rFonts w:ascii="Times New Roman"/>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3"/>
                <w:sz w:val="16"/>
              </w:rPr>
              <w:t> </w:t>
            </w:r>
            <w:r>
              <w:rPr>
                <w:rFonts w:ascii="Times New Roman" w:hAnsi="Times New Roman"/>
                <w:sz w:val="16"/>
              </w:rPr>
              <w:t>рач</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7"/>
                <w:sz w:val="16"/>
              </w:rPr>
              <w:t> </w:t>
            </w:r>
            <w:r>
              <w:rPr>
                <w:rFonts w:ascii="Times New Roman" w:hAnsi="Times New Roman"/>
                <w:sz w:val="16"/>
              </w:rPr>
              <w:t>угов</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23" w:hRule="exact"/>
        </w:trPr>
        <w:tc>
          <w:tcPr>
            <w:tcW w:w="626" w:type="dxa"/>
            <w:vMerge/>
            <w:tcBorders>
              <w:left w:val="single" w:sz="4" w:space="0" w:color="000000"/>
              <w:bottom w:val="single" w:sz="12" w:space="0" w:color="000000"/>
              <w:right w:val="single" w:sz="4" w:space="0" w:color="000000"/>
            </w:tcBorders>
          </w:tcPr>
          <w:p>
            <w:pPr/>
          </w:p>
        </w:tc>
        <w:tc>
          <w:tcPr>
            <w:tcW w:w="13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(2)</w:t>
            </w:r>
            <w:r>
              <w:rPr>
                <w:rFonts w:ascii="Times New Roman" w:hAnsi="Times New Roman"/>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420</w:t>
            </w:r>
            <w:r>
              <w:rPr>
                <w:rFonts w:ascii="Times New Roman"/>
                <w:spacing w:val="-1"/>
                <w:sz w:val="16"/>
              </w:rPr>
            </w:r>
          </w:p>
        </w:tc>
        <w:tc>
          <w:tcPr>
            <w:tcW w:w="92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1.717</w:t>
            </w:r>
            <w:r>
              <w:rPr>
                <w:rFonts w:ascii="Times New Roman"/>
                <w:spacing w:val="-1"/>
                <w:sz w:val="16"/>
              </w:rPr>
            </w:r>
          </w:p>
        </w:tc>
        <w:tc>
          <w:tcPr>
            <w:tcW w:w="95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904</w:t>
            </w:r>
            <w:r>
              <w:rPr>
                <w:rFonts w:ascii="Times New Roman"/>
                <w:spacing w:val="-1"/>
                <w:sz w:val="16"/>
              </w:rPr>
            </w:r>
          </w:p>
        </w:tc>
        <w:tc>
          <w:tcPr>
            <w:tcW w:w="98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411</w:t>
            </w:r>
            <w:r>
              <w:rPr>
                <w:rFonts w:ascii="Times New Roman"/>
                <w:spacing w:val="-1"/>
                <w:sz w:val="16"/>
              </w:rPr>
            </w:r>
          </w:p>
        </w:tc>
        <w:tc>
          <w:tcPr>
            <w:tcW w:w="900"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z w:val="16"/>
              </w:rPr>
              <w:t>-76</w:t>
            </w:r>
            <w:r>
              <w:rPr>
                <w:rFonts w:ascii="Times New Roman"/>
                <w:sz w:val="16"/>
              </w:rPr>
            </w:r>
          </w:p>
        </w:tc>
        <w:tc>
          <w:tcPr>
            <w:tcW w:w="74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99"/>
              <w:jc w:val="right"/>
              <w:rPr>
                <w:rFonts w:ascii="Times New Roman" w:hAnsi="Times New Roman" w:cs="Times New Roman" w:eastAsia="Times New Roman" w:hint="default"/>
                <w:sz w:val="16"/>
                <w:szCs w:val="16"/>
              </w:rPr>
            </w:pPr>
            <w:r>
              <w:rPr>
                <w:rFonts w:ascii="Times New Roman"/>
                <w:b/>
                <w:sz w:val="16"/>
              </w:rPr>
              <w:t>80</w:t>
            </w:r>
            <w:r>
              <w:rPr>
                <w:rFonts w:ascii="Times New Roman"/>
                <w:sz w:val="16"/>
              </w:rPr>
            </w:r>
          </w:p>
        </w:tc>
        <w:tc>
          <w:tcPr>
            <w:tcW w:w="70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553</w:t>
            </w:r>
            <w:r>
              <w:rPr>
                <w:rFonts w:ascii="Times New Roman"/>
                <w:spacing w:val="-1"/>
                <w:sz w:val="16"/>
              </w:rPr>
            </w:r>
          </w:p>
        </w:tc>
        <w:tc>
          <w:tcPr>
            <w:tcW w:w="85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98"/>
              <w:jc w:val="right"/>
              <w:rPr>
                <w:rFonts w:ascii="Times New Roman" w:hAnsi="Times New Roman" w:cs="Times New Roman" w:eastAsia="Times New Roman" w:hint="default"/>
                <w:sz w:val="16"/>
                <w:szCs w:val="16"/>
              </w:rPr>
            </w:pPr>
            <w:r>
              <w:rPr>
                <w:rFonts w:ascii="Times New Roman"/>
                <w:b/>
                <w:sz w:val="16"/>
              </w:rPr>
              <w:t>34</w:t>
            </w:r>
            <w:r>
              <w:rPr>
                <w:rFonts w:ascii="Times New Roman"/>
                <w:sz w:val="16"/>
              </w:rPr>
            </w:r>
          </w:p>
        </w:tc>
        <w:tc>
          <w:tcPr>
            <w:tcW w:w="76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left="408" w:right="0"/>
              <w:jc w:val="left"/>
              <w:rPr>
                <w:rFonts w:ascii="Times New Roman" w:hAnsi="Times New Roman" w:cs="Times New Roman" w:eastAsia="Times New Roman" w:hint="default"/>
                <w:sz w:val="16"/>
                <w:szCs w:val="16"/>
              </w:rPr>
            </w:pPr>
            <w:r>
              <w:rPr>
                <w:rFonts w:ascii="Times New Roman"/>
                <w:b/>
                <w:sz w:val="16"/>
              </w:rPr>
              <w:t>-163</w:t>
            </w:r>
            <w:r>
              <w:rPr>
                <w:rFonts w:ascii="Times New Roman"/>
                <w:sz w:val="16"/>
              </w:rPr>
            </w:r>
          </w:p>
        </w:tc>
        <w:tc>
          <w:tcPr>
            <w:tcW w:w="69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2.268</w:t>
            </w:r>
            <w:r>
              <w:rPr>
                <w:rFonts w:ascii="Times New Roman"/>
                <w:spacing w:val="-1"/>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z w:val="16"/>
              </w:rPr>
              <w:t>-19</w:t>
            </w:r>
            <w:r>
              <w:rPr>
                <w:rFonts w:ascii="Times New Roman"/>
                <w:sz w:val="16"/>
              </w:rPr>
            </w:r>
          </w:p>
        </w:tc>
        <w:tc>
          <w:tcPr>
            <w:tcW w:w="78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09" w:hRule="exact"/>
        </w:trPr>
        <w:tc>
          <w:tcPr>
            <w:tcW w:w="626" w:type="dxa"/>
            <w:vMerge w:val="restart"/>
            <w:tcBorders>
              <w:top w:val="single" w:sz="12" w:space="0" w:color="000000"/>
              <w:left w:val="single" w:sz="4" w:space="0" w:color="000000"/>
              <w:right w:val="single" w:sz="4" w:space="0" w:color="000000"/>
            </w:tcBorders>
          </w:tcPr>
          <w:p>
            <w:pPr>
              <w:pStyle w:val="TableParagraph"/>
              <w:spacing w:line="181" w:lineRule="exact"/>
              <w:ind w:left="187" w:right="94"/>
              <w:jc w:val="left"/>
              <w:rPr>
                <w:rFonts w:ascii="Times New Roman" w:hAnsi="Times New Roman" w:cs="Times New Roman" w:eastAsia="Times New Roman" w:hint="default"/>
                <w:sz w:val="16"/>
                <w:szCs w:val="16"/>
              </w:rPr>
            </w:pPr>
            <w:r>
              <w:rPr>
                <w:rFonts w:ascii="Times New Roman"/>
                <w:sz w:val="16"/>
              </w:rPr>
              <w:t>511</w:t>
            </w:r>
          </w:p>
        </w:tc>
        <w:tc>
          <w:tcPr>
            <w:tcW w:w="1359"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left="103" w:right="0"/>
              <w:jc w:val="left"/>
              <w:rPr>
                <w:rFonts w:ascii="Times New Roman" w:hAnsi="Times New Roman" w:cs="Times New Roman" w:eastAsia="Times New Roman" w:hint="default"/>
                <w:sz w:val="16"/>
                <w:szCs w:val="16"/>
              </w:rPr>
            </w:pPr>
            <w:r>
              <w:rPr>
                <w:rFonts w:ascii="Times New Roman" w:hAnsi="Times New Roman"/>
                <w:sz w:val="16"/>
              </w:rPr>
              <w:t>Укупна</w:t>
            </w:r>
            <w:r>
              <w:rPr>
                <w:rFonts w:ascii="Times New Roman" w:hAnsi="Times New Roman"/>
                <w:spacing w:val="-5"/>
                <w:sz w:val="16"/>
              </w:rPr>
              <w:t> </w:t>
            </w:r>
            <w:r>
              <w:rPr>
                <w:rFonts w:ascii="Times New Roman" w:hAnsi="Times New Roman"/>
                <w:sz w:val="16"/>
              </w:rPr>
              <w:t>апроп</w:t>
            </w:r>
            <w:r>
              <w:rPr>
                <w:rFonts w:ascii="Times New Roman" w:hAnsi="Times New Roman"/>
                <w:sz w:val="16"/>
              </w:rPr>
              <w:t>.</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02"/>
              <w:jc w:val="right"/>
              <w:rPr>
                <w:rFonts w:ascii="Times New Roman" w:hAnsi="Times New Roman" w:cs="Times New Roman" w:eastAsia="Times New Roman" w:hint="default"/>
                <w:sz w:val="16"/>
                <w:szCs w:val="16"/>
              </w:rPr>
            </w:pPr>
            <w:r>
              <w:rPr>
                <w:rFonts w:ascii="Times New Roman"/>
                <w:spacing w:val="-1"/>
                <w:sz w:val="16"/>
              </w:rPr>
              <w:t>48.000</w:t>
            </w:r>
          </w:p>
        </w:tc>
        <w:tc>
          <w:tcPr>
            <w:tcW w:w="679"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02"/>
              <w:jc w:val="right"/>
              <w:rPr>
                <w:rFonts w:ascii="Times New Roman" w:hAnsi="Times New Roman" w:cs="Times New Roman" w:eastAsia="Times New Roman" w:hint="default"/>
                <w:sz w:val="16"/>
                <w:szCs w:val="16"/>
              </w:rPr>
            </w:pPr>
            <w:r>
              <w:rPr>
                <w:rFonts w:ascii="Times New Roman"/>
                <w:spacing w:val="-1"/>
                <w:sz w:val="16"/>
              </w:rPr>
              <w:t>331</w:t>
            </w:r>
          </w:p>
        </w:tc>
        <w:tc>
          <w:tcPr>
            <w:tcW w:w="927"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01"/>
              <w:jc w:val="right"/>
              <w:rPr>
                <w:rFonts w:ascii="Times New Roman" w:hAnsi="Times New Roman" w:cs="Times New Roman" w:eastAsia="Times New Roman" w:hint="default"/>
                <w:sz w:val="16"/>
                <w:szCs w:val="16"/>
              </w:rPr>
            </w:pPr>
            <w:r>
              <w:rPr>
                <w:rFonts w:ascii="Times New Roman"/>
                <w:spacing w:val="-1"/>
                <w:sz w:val="16"/>
              </w:rPr>
              <w:t>650.641</w:t>
            </w:r>
          </w:p>
        </w:tc>
        <w:tc>
          <w:tcPr>
            <w:tcW w:w="955"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00"/>
              <w:jc w:val="right"/>
              <w:rPr>
                <w:rFonts w:ascii="Times New Roman" w:hAnsi="Times New Roman" w:cs="Times New Roman" w:eastAsia="Times New Roman" w:hint="default"/>
                <w:sz w:val="16"/>
                <w:szCs w:val="16"/>
              </w:rPr>
            </w:pPr>
            <w:r>
              <w:rPr>
                <w:rFonts w:ascii="Times New Roman"/>
                <w:spacing w:val="-1"/>
                <w:sz w:val="16"/>
              </w:rPr>
              <w:t>2.157</w:t>
            </w:r>
          </w:p>
        </w:tc>
        <w:tc>
          <w:tcPr>
            <w:tcW w:w="986"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02"/>
              <w:jc w:val="right"/>
              <w:rPr>
                <w:rFonts w:ascii="Times New Roman" w:hAnsi="Times New Roman" w:cs="Times New Roman" w:eastAsia="Times New Roman" w:hint="default"/>
                <w:sz w:val="16"/>
                <w:szCs w:val="16"/>
              </w:rPr>
            </w:pPr>
            <w:r>
              <w:rPr>
                <w:rFonts w:ascii="Times New Roman"/>
                <w:w w:val="100"/>
                <w:sz w:val="16"/>
              </w:rPr>
              <w:t>1</w:t>
            </w:r>
          </w:p>
        </w:tc>
        <w:tc>
          <w:tcPr>
            <w:tcW w:w="900"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02"/>
              <w:jc w:val="right"/>
              <w:rPr>
                <w:rFonts w:ascii="Times New Roman" w:hAnsi="Times New Roman" w:cs="Times New Roman" w:eastAsia="Times New Roman" w:hint="default"/>
                <w:sz w:val="16"/>
                <w:szCs w:val="16"/>
              </w:rPr>
            </w:pPr>
            <w:r>
              <w:rPr>
                <w:rFonts w:ascii="Times New Roman"/>
                <w:spacing w:val="-1"/>
                <w:sz w:val="16"/>
              </w:rPr>
              <w:t>5.000</w:t>
            </w:r>
          </w:p>
        </w:tc>
        <w:tc>
          <w:tcPr>
            <w:tcW w:w="747"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00"/>
              <w:jc w:val="right"/>
              <w:rPr>
                <w:rFonts w:ascii="Times New Roman" w:hAnsi="Times New Roman" w:cs="Times New Roman" w:eastAsia="Times New Roman" w:hint="default"/>
                <w:sz w:val="16"/>
                <w:szCs w:val="16"/>
              </w:rPr>
            </w:pPr>
            <w:r>
              <w:rPr>
                <w:rFonts w:ascii="Times New Roman"/>
                <w:spacing w:val="-1"/>
                <w:sz w:val="16"/>
              </w:rPr>
              <w:t>5.190</w:t>
            </w:r>
          </w:p>
        </w:tc>
        <w:tc>
          <w:tcPr>
            <w:tcW w:w="708"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9.077</w:t>
            </w:r>
          </w:p>
        </w:tc>
        <w:tc>
          <w:tcPr>
            <w:tcW w:w="85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left="460" w:right="0"/>
              <w:jc w:val="left"/>
              <w:rPr>
                <w:rFonts w:ascii="Times New Roman" w:hAnsi="Times New Roman" w:cs="Times New Roman" w:eastAsia="Times New Roman" w:hint="default"/>
                <w:sz w:val="16"/>
                <w:szCs w:val="16"/>
              </w:rPr>
            </w:pPr>
            <w:r>
              <w:rPr>
                <w:rFonts w:ascii="Times New Roman"/>
                <w:sz w:val="16"/>
              </w:rPr>
              <w:t>201</w:t>
            </w:r>
          </w:p>
        </w:tc>
        <w:tc>
          <w:tcPr>
            <w:tcW w:w="691"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00"/>
              <w:jc w:val="right"/>
              <w:rPr>
                <w:rFonts w:ascii="Times New Roman" w:hAnsi="Times New Roman" w:cs="Times New Roman" w:eastAsia="Times New Roman" w:hint="default"/>
                <w:sz w:val="16"/>
                <w:szCs w:val="16"/>
              </w:rPr>
            </w:pPr>
            <w:r>
              <w:rPr>
                <w:rFonts w:ascii="Times New Roman"/>
                <w:spacing w:val="-1"/>
                <w:sz w:val="16"/>
              </w:rPr>
              <w:t>500</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183" w:lineRule="exact"/>
              <w:ind w:right="102"/>
              <w:jc w:val="right"/>
              <w:rPr>
                <w:rFonts w:ascii="Times New Roman" w:hAnsi="Times New Roman" w:cs="Times New Roman" w:eastAsia="Times New Roman" w:hint="default"/>
                <w:sz w:val="16"/>
                <w:szCs w:val="16"/>
              </w:rPr>
            </w:pPr>
            <w:r>
              <w:rPr>
                <w:rFonts w:ascii="Times New Roman"/>
                <w:w w:val="100"/>
                <w:sz w:val="16"/>
              </w:rPr>
              <w:t>1</w:t>
            </w:r>
          </w:p>
        </w:tc>
        <w:tc>
          <w:tcPr>
            <w:tcW w:w="785" w:type="dxa"/>
            <w:tcBorders>
              <w:top w:val="single" w:sz="12" w:space="0" w:color="000000"/>
              <w:left w:val="single" w:sz="4" w:space="0" w:color="000000"/>
              <w:bottom w:val="single" w:sz="4" w:space="0" w:color="000000"/>
              <w:right w:val="single" w:sz="4" w:space="0" w:color="000000"/>
            </w:tcBorders>
          </w:tcPr>
          <w:p>
            <w:pP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left="103" w:right="0"/>
              <w:jc w:val="left"/>
              <w:rPr>
                <w:rFonts w:ascii="Times New Roman" w:hAnsi="Times New Roman" w:cs="Times New Roman" w:eastAsia="Times New Roman" w:hint="default"/>
                <w:sz w:val="16"/>
                <w:szCs w:val="16"/>
              </w:rPr>
            </w:pPr>
            <w:r>
              <w:rPr>
                <w:rFonts w:ascii="Times New Roman" w:hAnsi="Times New Roman"/>
                <w:sz w:val="16"/>
              </w:rPr>
              <w:t>Исказано</w:t>
            </w:r>
            <w:r>
              <w:rPr>
                <w:rFonts w:ascii="Times New Roman" w:hAnsi="Times New Roman"/>
                <w:spacing w:val="-5"/>
                <w:sz w:val="16"/>
              </w:rPr>
              <w:t> </w:t>
            </w:r>
            <w:r>
              <w:rPr>
                <w:rFonts w:ascii="Times New Roman" w:hAnsi="Times New Roman"/>
                <w:sz w:val="16"/>
              </w:rPr>
              <w:t>изврш</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1"/>
              <w:jc w:val="right"/>
              <w:rPr>
                <w:rFonts w:ascii="Times New Roman" w:hAnsi="Times New Roman" w:cs="Times New Roman" w:eastAsia="Times New Roman" w:hint="default"/>
                <w:sz w:val="16"/>
                <w:szCs w:val="16"/>
              </w:rPr>
            </w:pPr>
            <w:r>
              <w:rPr>
                <w:rFonts w:ascii="Times New Roman"/>
                <w:sz w:val="16"/>
              </w:rPr>
              <w:t>82</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1"/>
              <w:jc w:val="right"/>
              <w:rPr>
                <w:rFonts w:ascii="Times New Roman" w:hAnsi="Times New Roman" w:cs="Times New Roman" w:eastAsia="Times New Roman" w:hint="default"/>
                <w:sz w:val="16"/>
                <w:szCs w:val="16"/>
              </w:rPr>
            </w:pPr>
            <w:r>
              <w:rPr>
                <w:rFonts w:ascii="Times New Roman"/>
                <w:spacing w:val="-1"/>
                <w:sz w:val="16"/>
              </w:rPr>
              <w:t>330.801</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1.730</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2.807</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5.189</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612</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w w:val="100"/>
                <w:sz w:val="16"/>
              </w:rPr>
              <w:t>-</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41"/>
              <w:jc w:val="right"/>
              <w:rPr>
                <w:rFonts w:ascii="Times New Roman" w:hAnsi="Times New Roman" w:cs="Times New Roman" w:eastAsia="Times New Roman" w:hint="default"/>
                <w:sz w:val="16"/>
                <w:szCs w:val="16"/>
              </w:rPr>
            </w:pPr>
            <w:r>
              <w:rPr>
                <w:rFonts w:ascii="Times New Roman"/>
                <w:w w:val="100"/>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43"/>
              <w:jc w:val="right"/>
              <w:rPr>
                <w:rFonts w:ascii="Times New Roman" w:hAnsi="Times New Roman" w:cs="Times New Roman" w:eastAsia="Times New Roman" w:hint="default"/>
                <w:sz w:val="16"/>
                <w:szCs w:val="16"/>
              </w:rPr>
            </w:pPr>
            <w:r>
              <w:rPr>
                <w:rFonts w:ascii="Times New Roman"/>
                <w:w w:val="100"/>
                <w:sz w:val="16"/>
              </w:rPr>
              <w:t>-</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41"/>
              <w:jc w:val="right"/>
              <w:rPr>
                <w:rFonts w:ascii="Times New Roman" w:hAnsi="Times New Roman" w:cs="Times New Roman" w:eastAsia="Times New Roman" w:hint="default"/>
                <w:sz w:val="16"/>
                <w:szCs w:val="16"/>
              </w:rPr>
            </w:pPr>
            <w:r>
              <w:rPr>
                <w:rFonts w:ascii="Times New Roman"/>
                <w:w w:val="100"/>
                <w:sz w:val="16"/>
              </w:rPr>
              <w:t>-</w:t>
            </w:r>
          </w:p>
        </w:tc>
      </w:tr>
      <w:tr>
        <w:trPr>
          <w:trHeight w:val="216" w:hRule="exact"/>
        </w:trPr>
        <w:tc>
          <w:tcPr>
            <w:tcW w:w="626" w:type="dxa"/>
            <w:vMerge/>
            <w:tcBorders>
              <w:left w:val="single" w:sz="4" w:space="0" w:color="000000"/>
              <w:bottom w:val="single" w:sz="12"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(1)</w:t>
            </w:r>
            <w:r>
              <w:rPr>
                <w:rFonts w:ascii="Times New Roman" w:hAnsi="Times New Roman"/>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48.000</w:t>
            </w:r>
            <w:r>
              <w:rPr>
                <w:rFonts w:ascii="Times New Roman"/>
                <w:spacing w:val="-1"/>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249</w:t>
            </w:r>
            <w:r>
              <w:rPr>
                <w:rFonts w:ascii="Times New Roman"/>
                <w:spacing w:val="-1"/>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pacing w:val="-1"/>
                <w:sz w:val="16"/>
              </w:rPr>
              <w:t>319.840</w:t>
            </w:r>
            <w:r>
              <w:rPr>
                <w:rFonts w:ascii="Times New Roman"/>
                <w:spacing w:val="-1"/>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427</w:t>
            </w:r>
            <w:r>
              <w:rPr>
                <w:rFonts w:ascii="Times New Roman"/>
                <w:spacing w:val="-1"/>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1</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2.193</w:t>
            </w:r>
            <w:r>
              <w:rPr>
                <w:rFonts w:ascii="Times New Roman"/>
                <w:spacing w:val="-1"/>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1</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8.465</w:t>
            </w:r>
            <w:r>
              <w:rPr>
                <w:rFonts w:ascii="Times New Roman"/>
                <w:spacing w:val="-1"/>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460" w:right="0"/>
              <w:jc w:val="left"/>
              <w:rPr>
                <w:rFonts w:ascii="Times New Roman" w:hAnsi="Times New Roman" w:cs="Times New Roman" w:eastAsia="Times New Roman" w:hint="default"/>
                <w:sz w:val="16"/>
                <w:szCs w:val="16"/>
              </w:rPr>
            </w:pPr>
            <w:r>
              <w:rPr>
                <w:rFonts w:ascii="Times New Roman"/>
                <w:b/>
                <w:sz w:val="16"/>
              </w:rPr>
              <w:t>201</w:t>
            </w:r>
            <w:r>
              <w:rPr>
                <w:rFonts w:ascii="Times New Roman"/>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500</w:t>
            </w:r>
            <w:r>
              <w:rPr>
                <w:rFonts w:ascii="Times New Roman"/>
                <w:spacing w:val="-1"/>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1</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bl>
    <w:p>
      <w:pPr>
        <w:spacing w:after="0" w:line="240" w:lineRule="auto"/>
        <w:jc w:val="right"/>
        <w:rPr>
          <w:rFonts w:ascii="Times New Roman" w:hAnsi="Times New Roman" w:cs="Times New Roman" w:eastAsia="Times New Roman" w:hint="default"/>
          <w:sz w:val="16"/>
          <w:szCs w:val="16"/>
        </w:rPr>
        <w:sectPr>
          <w:pgSz w:w="15840" w:h="12240" w:orient="landscape"/>
          <w:pgMar w:header="740" w:footer="1504" w:top="1280" w:bottom="1700" w:left="160" w:right="0"/>
        </w:sectPr>
      </w:pPr>
    </w:p>
    <w:p>
      <w:pPr>
        <w:spacing w:line="240" w:lineRule="auto" w:before="7"/>
        <w:rPr>
          <w:rFonts w:ascii="Times New Roman" w:hAnsi="Times New Roman" w:cs="Times New Roman" w:eastAsia="Times New Roman" w:hint="default"/>
          <w:sz w:val="23"/>
          <w:szCs w:val="23"/>
        </w:rPr>
      </w:pPr>
    </w:p>
    <w:tbl>
      <w:tblPr>
        <w:tblW w:w="0" w:type="auto"/>
        <w:jc w:val="left"/>
        <w:tblInd w:w="118" w:type="dxa"/>
        <w:tblLayout w:type="fixed"/>
        <w:tblCellMar>
          <w:top w:w="0" w:type="dxa"/>
          <w:left w:w="0" w:type="dxa"/>
          <w:bottom w:w="0" w:type="dxa"/>
          <w:right w:w="0" w:type="dxa"/>
        </w:tblCellMar>
        <w:tblLook w:val="01E0"/>
      </w:tblPr>
      <w:tblGrid>
        <w:gridCol w:w="626"/>
        <w:gridCol w:w="1359"/>
        <w:gridCol w:w="658"/>
        <w:gridCol w:w="679"/>
        <w:gridCol w:w="927"/>
        <w:gridCol w:w="955"/>
        <w:gridCol w:w="986"/>
        <w:gridCol w:w="900"/>
        <w:gridCol w:w="759"/>
        <w:gridCol w:w="792"/>
        <w:gridCol w:w="821"/>
        <w:gridCol w:w="747"/>
        <w:gridCol w:w="708"/>
        <w:gridCol w:w="852"/>
        <w:gridCol w:w="761"/>
        <w:gridCol w:w="816"/>
        <w:gridCol w:w="691"/>
        <w:gridCol w:w="658"/>
        <w:gridCol w:w="785"/>
      </w:tblGrid>
      <w:tr>
        <w:trPr>
          <w:trHeight w:val="192" w:hRule="exact"/>
        </w:trPr>
        <w:tc>
          <w:tcPr>
            <w:tcW w:w="626" w:type="dxa"/>
            <w:vMerge w:val="restart"/>
            <w:tcBorders>
              <w:top w:val="single" w:sz="4" w:space="0" w:color="000000"/>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3"/>
                <w:sz w:val="16"/>
              </w:rPr>
              <w:t> </w:t>
            </w:r>
            <w:r>
              <w:rPr>
                <w:rFonts w:ascii="Times New Roman" w:hAnsi="Times New Roman"/>
                <w:sz w:val="16"/>
              </w:rPr>
              <w:t>рач</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248</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80.277</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425</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1.455</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1"/>
              <w:jc w:val="right"/>
              <w:rPr>
                <w:rFonts w:ascii="Times New Roman" w:hAnsi="Times New Roman" w:cs="Times New Roman" w:eastAsia="Times New Roman" w:hint="default"/>
                <w:sz w:val="16"/>
                <w:szCs w:val="16"/>
              </w:rPr>
            </w:pPr>
            <w:r>
              <w:rPr>
                <w:rFonts w:ascii="Times New Roman"/>
                <w:w w:val="100"/>
                <w:sz w:val="16"/>
              </w:rPr>
              <w:t>-</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814</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16"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7"/>
                <w:sz w:val="16"/>
              </w:rPr>
              <w:t> </w:t>
            </w:r>
            <w:r>
              <w:rPr>
                <w:rFonts w:ascii="Times New Roman" w:hAnsi="Times New Roman"/>
                <w:sz w:val="16"/>
              </w:rPr>
              <w:t>угов</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spacing w:val="-1"/>
                <w:sz w:val="16"/>
              </w:rPr>
              <w:t>70.122</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23" w:hRule="exact"/>
        </w:trPr>
        <w:tc>
          <w:tcPr>
            <w:tcW w:w="626" w:type="dxa"/>
            <w:vMerge/>
            <w:tcBorders>
              <w:left w:val="single" w:sz="4" w:space="0" w:color="000000"/>
              <w:bottom w:val="single" w:sz="12" w:space="0" w:color="000000"/>
              <w:right w:val="single" w:sz="4" w:space="0" w:color="000000"/>
            </w:tcBorders>
          </w:tcPr>
          <w:p>
            <w:pPr/>
          </w:p>
        </w:tc>
        <w:tc>
          <w:tcPr>
            <w:tcW w:w="13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(2)</w:t>
            </w:r>
            <w:r>
              <w:rPr>
                <w:rFonts w:ascii="Times New Roman" w:hAnsi="Times New Roman"/>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48.000</w:t>
            </w:r>
            <w:r>
              <w:rPr>
                <w:rFonts w:ascii="Times New Roman"/>
                <w:spacing w:val="-1"/>
                <w:sz w:val="16"/>
              </w:rPr>
            </w:r>
          </w:p>
        </w:tc>
        <w:tc>
          <w:tcPr>
            <w:tcW w:w="67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1</w:t>
            </w:r>
            <w:r>
              <w:rPr>
                <w:rFonts w:ascii="Times New Roman"/>
                <w:w w:val="100"/>
                <w:sz w:val="16"/>
              </w:rPr>
            </w:r>
          </w:p>
        </w:tc>
        <w:tc>
          <w:tcPr>
            <w:tcW w:w="92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pacing w:val="-1"/>
                <w:sz w:val="16"/>
              </w:rPr>
              <w:t>169.441</w:t>
            </w:r>
            <w:r>
              <w:rPr>
                <w:rFonts w:ascii="Times New Roman"/>
                <w:spacing w:val="-1"/>
                <w:sz w:val="16"/>
              </w:rPr>
            </w:r>
          </w:p>
        </w:tc>
        <w:tc>
          <w:tcPr>
            <w:tcW w:w="95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w w:val="100"/>
                <w:sz w:val="16"/>
              </w:rPr>
              <w:t>2</w:t>
            </w:r>
            <w:r>
              <w:rPr>
                <w:rFonts w:ascii="Times New Roman"/>
                <w:w w:val="100"/>
                <w:sz w:val="16"/>
              </w:rPr>
            </w:r>
          </w:p>
        </w:tc>
        <w:tc>
          <w:tcPr>
            <w:tcW w:w="98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1</w:t>
            </w:r>
            <w:r>
              <w:rPr>
                <w:rFonts w:ascii="Times New Roman"/>
                <w:w w:val="100"/>
                <w:sz w:val="16"/>
              </w:rPr>
            </w:r>
          </w:p>
        </w:tc>
        <w:tc>
          <w:tcPr>
            <w:tcW w:w="900"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738</w:t>
            </w:r>
            <w:r>
              <w:rPr>
                <w:rFonts w:ascii="Times New Roman"/>
                <w:spacing w:val="-1"/>
                <w:sz w:val="16"/>
              </w:rPr>
            </w:r>
          </w:p>
        </w:tc>
        <w:tc>
          <w:tcPr>
            <w:tcW w:w="74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1</w:t>
            </w:r>
            <w:r>
              <w:rPr>
                <w:rFonts w:ascii="Times New Roman"/>
                <w:w w:val="100"/>
                <w:sz w:val="16"/>
              </w:rPr>
            </w:r>
          </w:p>
        </w:tc>
        <w:tc>
          <w:tcPr>
            <w:tcW w:w="70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7.651</w:t>
            </w:r>
            <w:r>
              <w:rPr>
                <w:rFonts w:ascii="Times New Roman"/>
                <w:spacing w:val="-1"/>
                <w:sz w:val="16"/>
              </w:rPr>
            </w:r>
          </w:p>
        </w:tc>
        <w:tc>
          <w:tcPr>
            <w:tcW w:w="85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spacing w:val="-1"/>
                <w:sz w:val="16"/>
              </w:rPr>
              <w:t>201</w:t>
            </w:r>
            <w:r>
              <w:rPr>
                <w:rFonts w:ascii="Times New Roman"/>
                <w:spacing w:val="-1"/>
                <w:sz w:val="16"/>
              </w:rPr>
            </w:r>
          </w:p>
        </w:tc>
        <w:tc>
          <w:tcPr>
            <w:tcW w:w="69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500</w:t>
            </w:r>
            <w:r>
              <w:rPr>
                <w:rFonts w:ascii="Times New Roman"/>
                <w:spacing w:val="-1"/>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1</w:t>
            </w:r>
            <w:r>
              <w:rPr>
                <w:rFonts w:ascii="Times New Roman"/>
                <w:w w:val="100"/>
                <w:sz w:val="16"/>
              </w:rPr>
            </w:r>
          </w:p>
        </w:tc>
        <w:tc>
          <w:tcPr>
            <w:tcW w:w="78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04" w:hRule="exact"/>
        </w:trPr>
        <w:tc>
          <w:tcPr>
            <w:tcW w:w="626" w:type="dxa"/>
            <w:vMerge w:val="restart"/>
            <w:tcBorders>
              <w:top w:val="single" w:sz="12"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8"/>
              <w:ind w:right="0"/>
              <w:jc w:val="left"/>
              <w:rPr>
                <w:rFonts w:ascii="Times New Roman" w:hAnsi="Times New Roman" w:cs="Times New Roman" w:eastAsia="Times New Roman" w:hint="default"/>
                <w:sz w:val="14"/>
                <w:szCs w:val="14"/>
              </w:rPr>
            </w:pPr>
          </w:p>
          <w:p>
            <w:pPr>
              <w:pStyle w:val="TableParagraph"/>
              <w:spacing w:line="240" w:lineRule="auto"/>
              <w:ind w:left="187" w:right="94"/>
              <w:jc w:val="left"/>
              <w:rPr>
                <w:rFonts w:ascii="Times New Roman" w:hAnsi="Times New Roman" w:cs="Times New Roman" w:eastAsia="Times New Roman" w:hint="default"/>
                <w:sz w:val="16"/>
                <w:szCs w:val="16"/>
              </w:rPr>
            </w:pPr>
            <w:r>
              <w:rPr>
                <w:rFonts w:ascii="Times New Roman"/>
                <w:sz w:val="16"/>
              </w:rPr>
              <w:t>512</w:t>
            </w:r>
          </w:p>
        </w:tc>
        <w:tc>
          <w:tcPr>
            <w:tcW w:w="1359"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hAnsi="Times New Roman"/>
                <w:sz w:val="16"/>
              </w:rPr>
              <w:t>Укупна</w:t>
            </w:r>
            <w:r>
              <w:rPr>
                <w:rFonts w:ascii="Times New Roman" w:hAnsi="Times New Roman"/>
                <w:spacing w:val="-5"/>
                <w:sz w:val="16"/>
              </w:rPr>
              <w:t> </w:t>
            </w:r>
            <w:r>
              <w:rPr>
                <w:rFonts w:ascii="Times New Roman" w:hAnsi="Times New Roman"/>
                <w:sz w:val="16"/>
              </w:rPr>
              <w:t>апроп</w:t>
            </w:r>
            <w:r>
              <w:rPr>
                <w:rFonts w:ascii="Times New Roman" w:hAnsi="Times New Roman"/>
                <w:sz w:val="16"/>
              </w:rPr>
              <w:t>.</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250</w:t>
            </w:r>
          </w:p>
        </w:tc>
        <w:tc>
          <w:tcPr>
            <w:tcW w:w="679"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1"/>
              <w:jc w:val="right"/>
              <w:rPr>
                <w:rFonts w:ascii="Times New Roman" w:hAnsi="Times New Roman" w:cs="Times New Roman" w:eastAsia="Times New Roman" w:hint="default"/>
                <w:sz w:val="16"/>
                <w:szCs w:val="16"/>
              </w:rPr>
            </w:pPr>
            <w:r>
              <w:rPr>
                <w:rFonts w:ascii="Times New Roman"/>
                <w:sz w:val="16"/>
              </w:rPr>
              <w:t>60</w:t>
            </w:r>
          </w:p>
        </w:tc>
        <w:tc>
          <w:tcPr>
            <w:tcW w:w="927"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2.000</w:t>
            </w:r>
          </w:p>
        </w:tc>
        <w:tc>
          <w:tcPr>
            <w:tcW w:w="955"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1.400</w:t>
            </w:r>
          </w:p>
        </w:tc>
        <w:tc>
          <w:tcPr>
            <w:tcW w:w="986"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705</w:t>
            </w:r>
          </w:p>
        </w:tc>
        <w:tc>
          <w:tcPr>
            <w:tcW w:w="900"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43"/>
              <w:jc w:val="right"/>
              <w:rPr>
                <w:rFonts w:ascii="Times New Roman" w:hAnsi="Times New Roman" w:cs="Times New Roman" w:eastAsia="Times New Roman" w:hint="default"/>
                <w:sz w:val="16"/>
                <w:szCs w:val="16"/>
              </w:rPr>
            </w:pPr>
            <w:r>
              <w:rPr>
                <w:rFonts w:ascii="Times New Roman"/>
                <w:w w:val="100"/>
                <w:sz w:val="16"/>
              </w:rPr>
              <w:t>-</w:t>
            </w:r>
          </w:p>
        </w:tc>
        <w:tc>
          <w:tcPr>
            <w:tcW w:w="759"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420</w:t>
            </w:r>
          </w:p>
        </w:tc>
        <w:tc>
          <w:tcPr>
            <w:tcW w:w="792"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579</w:t>
            </w:r>
          </w:p>
        </w:tc>
        <w:tc>
          <w:tcPr>
            <w:tcW w:w="821"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8.800</w:t>
            </w:r>
          </w:p>
        </w:tc>
        <w:tc>
          <w:tcPr>
            <w:tcW w:w="747"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837</w:t>
            </w:r>
          </w:p>
        </w:tc>
        <w:tc>
          <w:tcPr>
            <w:tcW w:w="708"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1.650</w:t>
            </w:r>
          </w:p>
        </w:tc>
        <w:tc>
          <w:tcPr>
            <w:tcW w:w="852"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454</w:t>
            </w:r>
          </w:p>
        </w:tc>
        <w:tc>
          <w:tcPr>
            <w:tcW w:w="761"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780</w:t>
            </w:r>
          </w:p>
        </w:tc>
        <w:tc>
          <w:tcPr>
            <w:tcW w:w="816"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left="340" w:right="0"/>
              <w:jc w:val="left"/>
              <w:rPr>
                <w:rFonts w:ascii="Times New Roman" w:hAnsi="Times New Roman" w:cs="Times New Roman" w:eastAsia="Times New Roman" w:hint="default"/>
                <w:sz w:val="16"/>
                <w:szCs w:val="16"/>
              </w:rPr>
            </w:pPr>
            <w:r>
              <w:rPr>
                <w:rFonts w:ascii="Times New Roman"/>
                <w:sz w:val="16"/>
              </w:rPr>
              <w:t>7.448</w:t>
            </w:r>
          </w:p>
        </w:tc>
        <w:tc>
          <w:tcPr>
            <w:tcW w:w="691"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300</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450</w:t>
            </w:r>
          </w:p>
        </w:tc>
        <w:tc>
          <w:tcPr>
            <w:tcW w:w="785" w:type="dxa"/>
            <w:tcBorders>
              <w:top w:val="single" w:sz="12" w:space="0" w:color="000000"/>
              <w:left w:val="single" w:sz="4" w:space="0" w:color="000000"/>
              <w:bottom w:val="single" w:sz="4" w:space="0" w:color="000000"/>
              <w:right w:val="single" w:sz="4" w:space="0" w:color="000000"/>
            </w:tcBorders>
          </w:tcPr>
          <w:p>
            <w:pPr>
              <w:pStyle w:val="TableParagraph"/>
              <w:spacing w:line="179" w:lineRule="exact"/>
              <w:ind w:right="141"/>
              <w:jc w:val="right"/>
              <w:rPr>
                <w:rFonts w:ascii="Times New Roman" w:hAnsi="Times New Roman" w:cs="Times New Roman" w:eastAsia="Times New Roman" w:hint="default"/>
                <w:sz w:val="16"/>
                <w:szCs w:val="16"/>
              </w:rPr>
            </w:pPr>
            <w:r>
              <w:rPr>
                <w:rFonts w:ascii="Times New Roman"/>
                <w:w w:val="100"/>
                <w:sz w:val="16"/>
              </w:rPr>
              <w:t>-</w:t>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left="103" w:right="0"/>
              <w:jc w:val="left"/>
              <w:rPr>
                <w:rFonts w:ascii="Times New Roman" w:hAnsi="Times New Roman" w:cs="Times New Roman" w:eastAsia="Times New Roman" w:hint="default"/>
                <w:sz w:val="16"/>
                <w:szCs w:val="16"/>
              </w:rPr>
            </w:pPr>
            <w:r>
              <w:rPr>
                <w:rFonts w:ascii="Times New Roman" w:hAnsi="Times New Roman"/>
                <w:sz w:val="16"/>
              </w:rPr>
              <w:t>Исказано</w:t>
            </w:r>
            <w:r>
              <w:rPr>
                <w:rFonts w:ascii="Times New Roman" w:hAnsi="Times New Roman"/>
                <w:spacing w:val="-5"/>
                <w:sz w:val="16"/>
              </w:rPr>
              <w:t> </w:t>
            </w:r>
            <w:r>
              <w:rPr>
                <w:rFonts w:ascii="Times New Roman" w:hAnsi="Times New Roman"/>
                <w:sz w:val="16"/>
              </w:rPr>
              <w:t>изврш</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1"/>
              <w:jc w:val="right"/>
              <w:rPr>
                <w:rFonts w:ascii="Times New Roman" w:hAnsi="Times New Roman" w:cs="Times New Roman" w:eastAsia="Times New Roman" w:hint="default"/>
                <w:sz w:val="16"/>
                <w:szCs w:val="16"/>
              </w:rPr>
            </w:pPr>
            <w:r>
              <w:rPr>
                <w:rFonts w:ascii="Times New Roman"/>
                <w:sz w:val="16"/>
              </w:rPr>
              <w:t>58</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126</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248</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1.231</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163</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43"/>
              <w:jc w:val="right"/>
              <w:rPr>
                <w:rFonts w:ascii="Times New Roman" w:hAnsi="Times New Roman" w:cs="Times New Roman" w:eastAsia="Times New Roman" w:hint="default"/>
                <w:sz w:val="16"/>
                <w:szCs w:val="16"/>
              </w:rPr>
            </w:pPr>
            <w:r>
              <w:rPr>
                <w:rFonts w:ascii="Times New Roman"/>
                <w:w w:val="100"/>
                <w:sz w:val="16"/>
              </w:rPr>
              <w:t>-</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377</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552</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4.476</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895</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926</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spacing w:val="-1"/>
                <w:sz w:val="16"/>
              </w:rPr>
              <w:t>375</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717</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left="340" w:right="0"/>
              <w:jc w:val="left"/>
              <w:rPr>
                <w:rFonts w:ascii="Times New Roman" w:hAnsi="Times New Roman" w:cs="Times New Roman" w:eastAsia="Times New Roman" w:hint="default"/>
                <w:sz w:val="16"/>
                <w:szCs w:val="16"/>
              </w:rPr>
            </w:pPr>
            <w:r>
              <w:rPr>
                <w:rFonts w:ascii="Times New Roman"/>
                <w:sz w:val="16"/>
              </w:rPr>
              <w:t>2.752</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98"/>
              <w:jc w:val="right"/>
              <w:rPr>
                <w:rFonts w:ascii="Times New Roman" w:hAnsi="Times New Roman" w:cs="Times New Roman" w:eastAsia="Times New Roman" w:hint="default"/>
                <w:sz w:val="16"/>
                <w:szCs w:val="16"/>
              </w:rPr>
            </w:pPr>
            <w:r>
              <w:rPr>
                <w:rFonts w:ascii="Times New Roman"/>
                <w:sz w:val="16"/>
              </w:rPr>
              <w:t>12</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spacing w:val="-1"/>
                <w:sz w:val="16"/>
              </w:rPr>
              <w:t>376</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41"/>
              <w:jc w:val="right"/>
              <w:rPr>
                <w:rFonts w:ascii="Times New Roman" w:hAnsi="Times New Roman" w:cs="Times New Roman" w:eastAsia="Times New Roman" w:hint="default"/>
                <w:sz w:val="16"/>
                <w:szCs w:val="16"/>
              </w:rPr>
            </w:pPr>
            <w:r>
              <w:rPr>
                <w:rFonts w:ascii="Times New Roman"/>
                <w:w w:val="100"/>
                <w:sz w:val="16"/>
              </w:rPr>
              <w:t>-</w:t>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(1)</w:t>
            </w:r>
            <w:r>
              <w:rPr>
                <w:rFonts w:ascii="Times New Roman" w:hAnsi="Times New Roman"/>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192</w:t>
            </w:r>
            <w:r>
              <w:rPr>
                <w:rFonts w:ascii="Times New Roman"/>
                <w:spacing w:val="-1"/>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z w:val="16"/>
              </w:rPr>
              <w:t>-66</w:t>
            </w:r>
            <w:r>
              <w:rPr>
                <w:rFonts w:ascii="Times New Roman"/>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1.752</w:t>
            </w:r>
            <w:r>
              <w:rPr>
                <w:rFonts w:ascii="Times New Roman"/>
                <w:spacing w:val="-1"/>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169</w:t>
            </w:r>
            <w:r>
              <w:rPr>
                <w:rFonts w:ascii="Times New Roman"/>
                <w:spacing w:val="-1"/>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542</w:t>
            </w:r>
            <w:r>
              <w:rPr>
                <w:rFonts w:ascii="Times New Roman"/>
                <w:spacing w:val="-1"/>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98"/>
              <w:jc w:val="right"/>
              <w:rPr>
                <w:rFonts w:ascii="Times New Roman" w:hAnsi="Times New Roman" w:cs="Times New Roman" w:eastAsia="Times New Roman" w:hint="default"/>
                <w:sz w:val="16"/>
                <w:szCs w:val="16"/>
              </w:rPr>
            </w:pPr>
            <w:r>
              <w:rPr>
                <w:rFonts w:ascii="Times New Roman"/>
                <w:b/>
                <w:sz w:val="16"/>
              </w:rPr>
              <w:t>43</w:t>
            </w:r>
            <w:r>
              <w:rPr>
                <w:rFonts w:ascii="Times New Roman"/>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98"/>
              <w:jc w:val="right"/>
              <w:rPr>
                <w:rFonts w:ascii="Times New Roman" w:hAnsi="Times New Roman" w:cs="Times New Roman" w:eastAsia="Times New Roman" w:hint="default"/>
                <w:sz w:val="16"/>
                <w:szCs w:val="16"/>
              </w:rPr>
            </w:pPr>
            <w:r>
              <w:rPr>
                <w:rFonts w:ascii="Times New Roman"/>
                <w:b/>
                <w:sz w:val="16"/>
              </w:rPr>
              <w:t>27</w:t>
            </w:r>
            <w:r>
              <w:rPr>
                <w:rFonts w:ascii="Times New Roman"/>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4.324</w:t>
            </w:r>
            <w:r>
              <w:rPr>
                <w:rFonts w:ascii="Times New Roman"/>
                <w:spacing w:val="-1"/>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99"/>
              <w:jc w:val="right"/>
              <w:rPr>
                <w:rFonts w:ascii="Times New Roman" w:hAnsi="Times New Roman" w:cs="Times New Roman" w:eastAsia="Times New Roman" w:hint="default"/>
                <w:sz w:val="16"/>
                <w:szCs w:val="16"/>
              </w:rPr>
            </w:pPr>
            <w:r>
              <w:rPr>
                <w:rFonts w:ascii="Times New Roman"/>
                <w:b/>
                <w:sz w:val="16"/>
              </w:rPr>
              <w:t>-58</w:t>
            </w:r>
            <w:r>
              <w:rPr>
                <w:rFonts w:ascii="Times New Roman"/>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724</w:t>
            </w:r>
            <w:r>
              <w:rPr>
                <w:rFonts w:ascii="Times New Roman"/>
                <w:spacing w:val="-1"/>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98"/>
              <w:jc w:val="right"/>
              <w:rPr>
                <w:rFonts w:ascii="Times New Roman" w:hAnsi="Times New Roman" w:cs="Times New Roman" w:eastAsia="Times New Roman" w:hint="default"/>
                <w:sz w:val="16"/>
                <w:szCs w:val="16"/>
              </w:rPr>
            </w:pPr>
            <w:r>
              <w:rPr>
                <w:rFonts w:ascii="Times New Roman"/>
                <w:b/>
                <w:sz w:val="16"/>
              </w:rPr>
              <w:t>79</w:t>
            </w:r>
            <w:r>
              <w:rPr>
                <w:rFonts w:ascii="Times New Roman"/>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z w:val="16"/>
              </w:rPr>
              <w:t>63</w:t>
            </w:r>
            <w:r>
              <w:rPr>
                <w:rFonts w:ascii="Times New Roman"/>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left="340" w:right="0"/>
              <w:jc w:val="left"/>
              <w:rPr>
                <w:rFonts w:ascii="Times New Roman" w:hAnsi="Times New Roman" w:cs="Times New Roman" w:eastAsia="Times New Roman" w:hint="default"/>
                <w:sz w:val="16"/>
                <w:szCs w:val="16"/>
              </w:rPr>
            </w:pPr>
            <w:r>
              <w:rPr>
                <w:rFonts w:ascii="Times New Roman"/>
                <w:b/>
                <w:sz w:val="16"/>
              </w:rPr>
              <w:t>4.696</w:t>
            </w:r>
            <w:r>
              <w:rPr>
                <w:rFonts w:ascii="Times New Roman"/>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288</w:t>
            </w:r>
            <w:r>
              <w:rPr>
                <w:rFonts w:ascii="Times New Roman"/>
                <w:spacing w:val="-1"/>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z w:val="16"/>
              </w:rPr>
              <w:t>74</w:t>
            </w:r>
            <w:r>
              <w:rPr>
                <w:rFonts w:ascii="Times New Roman"/>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28"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3"/>
                <w:sz w:val="16"/>
              </w:rPr>
              <w:t> </w:t>
            </w:r>
            <w:r>
              <w:rPr>
                <w:rFonts w:ascii="Times New Roman" w:hAnsi="Times New Roman"/>
                <w:sz w:val="16"/>
              </w:rPr>
              <w:t>рач</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100"/>
              <w:jc w:val="right"/>
              <w:rPr>
                <w:rFonts w:ascii="Times New Roman" w:hAnsi="Times New Roman" w:cs="Times New Roman" w:eastAsia="Times New Roman" w:hint="default"/>
                <w:sz w:val="16"/>
                <w:szCs w:val="16"/>
              </w:rPr>
            </w:pPr>
            <w:r>
              <w:rPr>
                <w:rFonts w:ascii="Times New Roman"/>
                <w:spacing w:val="-1"/>
                <w:sz w:val="16"/>
              </w:rPr>
              <w:t>667</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102"/>
              <w:jc w:val="right"/>
              <w:rPr>
                <w:rFonts w:ascii="Times New Roman" w:hAnsi="Times New Roman" w:cs="Times New Roman" w:eastAsia="Times New Roman" w:hint="default"/>
                <w:sz w:val="16"/>
                <w:szCs w:val="16"/>
              </w:rPr>
            </w:pPr>
            <w:r>
              <w:rPr>
                <w:rFonts w:ascii="Times New Roman"/>
                <w:spacing w:val="-1"/>
                <w:sz w:val="16"/>
              </w:rPr>
              <w:t>396</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102"/>
              <w:jc w:val="right"/>
              <w:rPr>
                <w:rFonts w:ascii="Times New Roman" w:hAnsi="Times New Roman" w:cs="Times New Roman" w:eastAsia="Times New Roman" w:hint="default"/>
                <w:sz w:val="16"/>
                <w:szCs w:val="16"/>
              </w:rPr>
            </w:pPr>
            <w:r>
              <w:rPr>
                <w:rFonts w:ascii="Times New Roman"/>
                <w:spacing w:val="-1"/>
                <w:sz w:val="16"/>
              </w:rPr>
              <w:t>2.628</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102"/>
              <w:jc w:val="right"/>
              <w:rPr>
                <w:rFonts w:ascii="Times New Roman" w:hAnsi="Times New Roman" w:cs="Times New Roman" w:eastAsia="Times New Roman" w:hint="default"/>
                <w:sz w:val="16"/>
                <w:szCs w:val="16"/>
              </w:rPr>
            </w:pPr>
            <w:r>
              <w:rPr>
                <w:rFonts w:ascii="Times New Roman"/>
                <w:spacing w:val="-1"/>
                <w:sz w:val="16"/>
              </w:rPr>
              <w:t>462</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7"/>
                <w:sz w:val="16"/>
              </w:rPr>
              <w:t> </w:t>
            </w:r>
            <w:r>
              <w:rPr>
                <w:rFonts w:ascii="Times New Roman" w:hAnsi="Times New Roman"/>
                <w:sz w:val="16"/>
              </w:rPr>
              <w:t>угов</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24" w:hRule="exact"/>
        </w:trPr>
        <w:tc>
          <w:tcPr>
            <w:tcW w:w="626" w:type="dxa"/>
            <w:vMerge/>
            <w:tcBorders>
              <w:left w:val="single" w:sz="4" w:space="0" w:color="000000"/>
              <w:bottom w:val="single" w:sz="12" w:space="0" w:color="000000"/>
              <w:right w:val="single" w:sz="4" w:space="0" w:color="000000"/>
            </w:tcBorders>
          </w:tcPr>
          <w:p>
            <w:pPr/>
          </w:p>
        </w:tc>
        <w:tc>
          <w:tcPr>
            <w:tcW w:w="13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7"/>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(2)</w:t>
            </w:r>
            <w:r>
              <w:rPr>
                <w:rFonts w:ascii="Times New Roman" w:hAnsi="Times New Roman"/>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7"/>
              <w:ind w:right="102"/>
              <w:jc w:val="right"/>
              <w:rPr>
                <w:rFonts w:ascii="Times New Roman" w:hAnsi="Times New Roman" w:cs="Times New Roman" w:eastAsia="Times New Roman" w:hint="default"/>
                <w:sz w:val="16"/>
                <w:szCs w:val="16"/>
              </w:rPr>
            </w:pPr>
            <w:r>
              <w:rPr>
                <w:rFonts w:ascii="Times New Roman"/>
                <w:b/>
                <w:spacing w:val="-1"/>
                <w:sz w:val="16"/>
              </w:rPr>
              <w:t>192</w:t>
            </w:r>
            <w:r>
              <w:rPr>
                <w:rFonts w:ascii="Times New Roman"/>
                <w:spacing w:val="-1"/>
                <w:sz w:val="16"/>
              </w:rPr>
            </w:r>
          </w:p>
        </w:tc>
        <w:tc>
          <w:tcPr>
            <w:tcW w:w="67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7"/>
              <w:ind w:right="101"/>
              <w:jc w:val="right"/>
              <w:rPr>
                <w:rFonts w:ascii="Times New Roman" w:hAnsi="Times New Roman" w:cs="Times New Roman" w:eastAsia="Times New Roman" w:hint="default"/>
                <w:sz w:val="16"/>
                <w:szCs w:val="16"/>
              </w:rPr>
            </w:pPr>
            <w:r>
              <w:rPr>
                <w:rFonts w:ascii="Times New Roman"/>
                <w:b/>
                <w:sz w:val="16"/>
              </w:rPr>
              <w:t>-66</w:t>
            </w:r>
            <w:r>
              <w:rPr>
                <w:rFonts w:ascii="Times New Roman"/>
                <w:sz w:val="16"/>
              </w:rPr>
            </w:r>
          </w:p>
        </w:tc>
        <w:tc>
          <w:tcPr>
            <w:tcW w:w="92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7"/>
              <w:ind w:right="100"/>
              <w:jc w:val="right"/>
              <w:rPr>
                <w:rFonts w:ascii="Times New Roman" w:hAnsi="Times New Roman" w:cs="Times New Roman" w:eastAsia="Times New Roman" w:hint="default"/>
                <w:sz w:val="16"/>
                <w:szCs w:val="16"/>
              </w:rPr>
            </w:pPr>
            <w:r>
              <w:rPr>
                <w:rFonts w:ascii="Times New Roman"/>
                <w:b/>
                <w:spacing w:val="-1"/>
                <w:sz w:val="16"/>
              </w:rPr>
              <w:t>1.085</w:t>
            </w:r>
            <w:r>
              <w:rPr>
                <w:rFonts w:ascii="Times New Roman"/>
                <w:spacing w:val="-1"/>
                <w:sz w:val="16"/>
              </w:rPr>
            </w:r>
          </w:p>
        </w:tc>
        <w:tc>
          <w:tcPr>
            <w:tcW w:w="95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7"/>
              <w:ind w:right="100"/>
              <w:jc w:val="right"/>
              <w:rPr>
                <w:rFonts w:ascii="Times New Roman" w:hAnsi="Times New Roman" w:cs="Times New Roman" w:eastAsia="Times New Roman" w:hint="default"/>
                <w:sz w:val="16"/>
                <w:szCs w:val="16"/>
              </w:rPr>
            </w:pPr>
            <w:r>
              <w:rPr>
                <w:rFonts w:ascii="Times New Roman"/>
                <w:b/>
                <w:spacing w:val="-1"/>
                <w:sz w:val="16"/>
              </w:rPr>
              <w:t>169</w:t>
            </w:r>
            <w:r>
              <w:rPr>
                <w:rFonts w:ascii="Times New Roman"/>
                <w:spacing w:val="-1"/>
                <w:sz w:val="16"/>
              </w:rPr>
            </w:r>
          </w:p>
        </w:tc>
        <w:tc>
          <w:tcPr>
            <w:tcW w:w="98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7"/>
              <w:ind w:right="102"/>
              <w:jc w:val="right"/>
              <w:rPr>
                <w:rFonts w:ascii="Times New Roman" w:hAnsi="Times New Roman" w:cs="Times New Roman" w:eastAsia="Times New Roman" w:hint="default"/>
                <w:sz w:val="16"/>
                <w:szCs w:val="16"/>
              </w:rPr>
            </w:pPr>
            <w:r>
              <w:rPr>
                <w:rFonts w:ascii="Times New Roman"/>
                <w:b/>
                <w:spacing w:val="-1"/>
                <w:sz w:val="16"/>
              </w:rPr>
              <w:t>146</w:t>
            </w:r>
            <w:r>
              <w:rPr>
                <w:rFonts w:ascii="Times New Roman"/>
                <w:spacing w:val="-1"/>
                <w:sz w:val="16"/>
              </w:rPr>
            </w:r>
          </w:p>
        </w:tc>
        <w:tc>
          <w:tcPr>
            <w:tcW w:w="900"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7"/>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7"/>
              <w:ind w:right="98"/>
              <w:jc w:val="right"/>
              <w:rPr>
                <w:rFonts w:ascii="Times New Roman" w:hAnsi="Times New Roman" w:cs="Times New Roman" w:eastAsia="Times New Roman" w:hint="default"/>
                <w:sz w:val="16"/>
                <w:szCs w:val="16"/>
              </w:rPr>
            </w:pPr>
            <w:r>
              <w:rPr>
                <w:rFonts w:ascii="Times New Roman"/>
                <w:b/>
                <w:sz w:val="16"/>
              </w:rPr>
              <w:t>43</w:t>
            </w:r>
            <w:r>
              <w:rPr>
                <w:rFonts w:ascii="Times New Roman"/>
                <w:sz w:val="16"/>
              </w:rPr>
            </w:r>
          </w:p>
        </w:tc>
        <w:tc>
          <w:tcPr>
            <w:tcW w:w="79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7"/>
              <w:ind w:right="98"/>
              <w:jc w:val="right"/>
              <w:rPr>
                <w:rFonts w:ascii="Times New Roman" w:hAnsi="Times New Roman" w:cs="Times New Roman" w:eastAsia="Times New Roman" w:hint="default"/>
                <w:sz w:val="16"/>
                <w:szCs w:val="16"/>
              </w:rPr>
            </w:pPr>
            <w:r>
              <w:rPr>
                <w:rFonts w:ascii="Times New Roman"/>
                <w:b/>
                <w:sz w:val="16"/>
              </w:rPr>
              <w:t>27</w:t>
            </w:r>
            <w:r>
              <w:rPr>
                <w:rFonts w:ascii="Times New Roman"/>
                <w:sz w:val="16"/>
              </w:rPr>
            </w:r>
          </w:p>
        </w:tc>
        <w:tc>
          <w:tcPr>
            <w:tcW w:w="82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7"/>
              <w:ind w:right="102"/>
              <w:jc w:val="right"/>
              <w:rPr>
                <w:rFonts w:ascii="Times New Roman" w:hAnsi="Times New Roman" w:cs="Times New Roman" w:eastAsia="Times New Roman" w:hint="default"/>
                <w:sz w:val="16"/>
                <w:szCs w:val="16"/>
              </w:rPr>
            </w:pPr>
            <w:r>
              <w:rPr>
                <w:rFonts w:ascii="Times New Roman"/>
                <w:b/>
                <w:spacing w:val="-1"/>
                <w:sz w:val="16"/>
              </w:rPr>
              <w:t>1.696</w:t>
            </w:r>
            <w:r>
              <w:rPr>
                <w:rFonts w:ascii="Times New Roman"/>
                <w:spacing w:val="-1"/>
                <w:sz w:val="16"/>
              </w:rPr>
            </w:r>
          </w:p>
        </w:tc>
        <w:tc>
          <w:tcPr>
            <w:tcW w:w="74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7"/>
              <w:ind w:right="99"/>
              <w:jc w:val="right"/>
              <w:rPr>
                <w:rFonts w:ascii="Times New Roman" w:hAnsi="Times New Roman" w:cs="Times New Roman" w:eastAsia="Times New Roman" w:hint="default"/>
                <w:sz w:val="16"/>
                <w:szCs w:val="16"/>
              </w:rPr>
            </w:pPr>
            <w:r>
              <w:rPr>
                <w:rFonts w:ascii="Times New Roman"/>
                <w:b/>
                <w:sz w:val="16"/>
              </w:rPr>
              <w:t>-58</w:t>
            </w:r>
            <w:r>
              <w:rPr>
                <w:rFonts w:ascii="Times New Roman"/>
                <w:sz w:val="16"/>
              </w:rPr>
            </w:r>
          </w:p>
        </w:tc>
        <w:tc>
          <w:tcPr>
            <w:tcW w:w="70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7"/>
              <w:ind w:right="100"/>
              <w:jc w:val="right"/>
              <w:rPr>
                <w:rFonts w:ascii="Times New Roman" w:hAnsi="Times New Roman" w:cs="Times New Roman" w:eastAsia="Times New Roman" w:hint="default"/>
                <w:sz w:val="16"/>
                <w:szCs w:val="16"/>
              </w:rPr>
            </w:pPr>
            <w:r>
              <w:rPr>
                <w:rFonts w:ascii="Times New Roman"/>
                <w:b/>
                <w:spacing w:val="-1"/>
                <w:sz w:val="16"/>
              </w:rPr>
              <w:t>724</w:t>
            </w:r>
            <w:r>
              <w:rPr>
                <w:rFonts w:ascii="Times New Roman"/>
                <w:spacing w:val="-1"/>
                <w:sz w:val="16"/>
              </w:rPr>
            </w:r>
          </w:p>
        </w:tc>
        <w:tc>
          <w:tcPr>
            <w:tcW w:w="85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7"/>
              <w:ind w:right="98"/>
              <w:jc w:val="right"/>
              <w:rPr>
                <w:rFonts w:ascii="Times New Roman" w:hAnsi="Times New Roman" w:cs="Times New Roman" w:eastAsia="Times New Roman" w:hint="default"/>
                <w:sz w:val="16"/>
                <w:szCs w:val="16"/>
              </w:rPr>
            </w:pPr>
            <w:r>
              <w:rPr>
                <w:rFonts w:ascii="Times New Roman"/>
                <w:b/>
                <w:sz w:val="16"/>
              </w:rPr>
              <w:t>79</w:t>
            </w:r>
            <w:r>
              <w:rPr>
                <w:rFonts w:ascii="Times New Roman"/>
                <w:sz w:val="16"/>
              </w:rPr>
            </w:r>
          </w:p>
        </w:tc>
        <w:tc>
          <w:tcPr>
            <w:tcW w:w="76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7"/>
              <w:ind w:right="101"/>
              <w:jc w:val="right"/>
              <w:rPr>
                <w:rFonts w:ascii="Times New Roman" w:hAnsi="Times New Roman" w:cs="Times New Roman" w:eastAsia="Times New Roman" w:hint="default"/>
                <w:sz w:val="16"/>
                <w:szCs w:val="16"/>
              </w:rPr>
            </w:pPr>
            <w:r>
              <w:rPr>
                <w:rFonts w:ascii="Times New Roman"/>
                <w:b/>
                <w:sz w:val="16"/>
              </w:rPr>
              <w:t>63</w:t>
            </w:r>
            <w:r>
              <w:rPr>
                <w:rFonts w:ascii="Times New Roman"/>
                <w:sz w:val="16"/>
              </w:rPr>
            </w:r>
          </w:p>
        </w:tc>
        <w:tc>
          <w:tcPr>
            <w:tcW w:w="81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7"/>
              <w:ind w:left="340" w:right="0"/>
              <w:jc w:val="left"/>
              <w:rPr>
                <w:rFonts w:ascii="Times New Roman" w:hAnsi="Times New Roman" w:cs="Times New Roman" w:eastAsia="Times New Roman" w:hint="default"/>
                <w:sz w:val="16"/>
                <w:szCs w:val="16"/>
              </w:rPr>
            </w:pPr>
            <w:r>
              <w:rPr>
                <w:rFonts w:ascii="Times New Roman"/>
                <w:b/>
                <w:sz w:val="16"/>
              </w:rPr>
              <w:t>4.234</w:t>
            </w:r>
            <w:r>
              <w:rPr>
                <w:rFonts w:ascii="Times New Roman"/>
                <w:sz w:val="16"/>
              </w:rPr>
            </w:r>
          </w:p>
        </w:tc>
        <w:tc>
          <w:tcPr>
            <w:tcW w:w="69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7"/>
              <w:ind w:right="100"/>
              <w:jc w:val="right"/>
              <w:rPr>
                <w:rFonts w:ascii="Times New Roman" w:hAnsi="Times New Roman" w:cs="Times New Roman" w:eastAsia="Times New Roman" w:hint="default"/>
                <w:sz w:val="16"/>
                <w:szCs w:val="16"/>
              </w:rPr>
            </w:pPr>
            <w:r>
              <w:rPr>
                <w:rFonts w:ascii="Times New Roman"/>
                <w:b/>
                <w:spacing w:val="-1"/>
                <w:sz w:val="16"/>
              </w:rPr>
              <w:t>288</w:t>
            </w:r>
            <w:r>
              <w:rPr>
                <w:rFonts w:ascii="Times New Roman"/>
                <w:spacing w:val="-1"/>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7"/>
              <w:ind w:right="101"/>
              <w:jc w:val="right"/>
              <w:rPr>
                <w:rFonts w:ascii="Times New Roman" w:hAnsi="Times New Roman" w:cs="Times New Roman" w:eastAsia="Times New Roman" w:hint="default"/>
                <w:sz w:val="16"/>
                <w:szCs w:val="16"/>
              </w:rPr>
            </w:pPr>
            <w:r>
              <w:rPr>
                <w:rFonts w:ascii="Times New Roman"/>
                <w:b/>
                <w:sz w:val="16"/>
              </w:rPr>
              <w:t>74</w:t>
            </w:r>
            <w:r>
              <w:rPr>
                <w:rFonts w:ascii="Times New Roman"/>
                <w:sz w:val="16"/>
              </w:rPr>
            </w:r>
          </w:p>
        </w:tc>
        <w:tc>
          <w:tcPr>
            <w:tcW w:w="78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7"/>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76" w:hRule="exact"/>
        </w:trPr>
        <w:tc>
          <w:tcPr>
            <w:tcW w:w="626" w:type="dxa"/>
            <w:vMerge w:val="restart"/>
            <w:tcBorders>
              <w:top w:val="single" w:sz="12"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105"/>
              <w:ind w:left="187" w:right="94"/>
              <w:jc w:val="left"/>
              <w:rPr>
                <w:rFonts w:ascii="Times New Roman" w:hAnsi="Times New Roman" w:cs="Times New Roman" w:eastAsia="Times New Roman" w:hint="default"/>
                <w:sz w:val="16"/>
                <w:szCs w:val="16"/>
              </w:rPr>
            </w:pPr>
            <w:r>
              <w:rPr>
                <w:rFonts w:ascii="Times New Roman"/>
                <w:sz w:val="16"/>
              </w:rPr>
              <w:t>515</w:t>
            </w:r>
          </w:p>
        </w:tc>
        <w:tc>
          <w:tcPr>
            <w:tcW w:w="135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left="103" w:right="0"/>
              <w:jc w:val="left"/>
              <w:rPr>
                <w:rFonts w:ascii="Times New Roman" w:hAnsi="Times New Roman" w:cs="Times New Roman" w:eastAsia="Times New Roman" w:hint="default"/>
                <w:sz w:val="16"/>
                <w:szCs w:val="16"/>
              </w:rPr>
            </w:pPr>
            <w:r>
              <w:rPr>
                <w:rFonts w:ascii="Times New Roman" w:hAnsi="Times New Roman"/>
                <w:sz w:val="16"/>
              </w:rPr>
              <w:t>Укупна</w:t>
            </w:r>
            <w:r>
              <w:rPr>
                <w:rFonts w:ascii="Times New Roman" w:hAnsi="Times New Roman"/>
                <w:spacing w:val="-5"/>
                <w:sz w:val="16"/>
              </w:rPr>
              <w:t> </w:t>
            </w:r>
            <w:r>
              <w:rPr>
                <w:rFonts w:ascii="Times New Roman" w:hAnsi="Times New Roman"/>
                <w:sz w:val="16"/>
              </w:rPr>
              <w:t>апроп</w:t>
            </w:r>
            <w:r>
              <w:rPr>
                <w:rFonts w:ascii="Times New Roman" w:hAnsi="Times New Roman"/>
                <w:sz w:val="16"/>
              </w:rPr>
              <w:t>.</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9"/>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1"/>
              <w:jc w:val="right"/>
              <w:rPr>
                <w:rFonts w:ascii="Times New Roman" w:hAnsi="Times New Roman" w:cs="Times New Roman" w:eastAsia="Times New Roman" w:hint="default"/>
                <w:sz w:val="16"/>
                <w:szCs w:val="16"/>
              </w:rPr>
            </w:pPr>
            <w:r>
              <w:rPr>
                <w:rFonts w:ascii="Times New Roman"/>
                <w:sz w:val="16"/>
              </w:rPr>
              <w:t>10</w:t>
            </w:r>
          </w:p>
        </w:tc>
        <w:tc>
          <w:tcPr>
            <w:tcW w:w="92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0"/>
              <w:jc w:val="right"/>
              <w:rPr>
                <w:rFonts w:ascii="Times New Roman" w:hAnsi="Times New Roman" w:cs="Times New Roman" w:eastAsia="Times New Roman" w:hint="default"/>
                <w:sz w:val="16"/>
                <w:szCs w:val="16"/>
              </w:rPr>
            </w:pPr>
            <w:r>
              <w:rPr>
                <w:rFonts w:ascii="Times New Roman"/>
                <w:spacing w:val="-1"/>
                <w:sz w:val="16"/>
              </w:rPr>
              <w:t>102</w:t>
            </w:r>
          </w:p>
        </w:tc>
        <w:tc>
          <w:tcPr>
            <w:tcW w:w="95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98"/>
              <w:jc w:val="right"/>
              <w:rPr>
                <w:rFonts w:ascii="Times New Roman" w:hAnsi="Times New Roman" w:cs="Times New Roman" w:eastAsia="Times New Roman" w:hint="default"/>
                <w:sz w:val="16"/>
                <w:szCs w:val="16"/>
              </w:rPr>
            </w:pPr>
            <w:r>
              <w:rPr>
                <w:rFonts w:ascii="Times New Roman"/>
                <w:sz w:val="16"/>
              </w:rPr>
              <w:t>50</w:t>
            </w:r>
          </w:p>
        </w:tc>
        <w:tc>
          <w:tcPr>
            <w:tcW w:w="986"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2"/>
              <w:jc w:val="right"/>
              <w:rPr>
                <w:rFonts w:ascii="Times New Roman" w:hAnsi="Times New Roman" w:cs="Times New Roman" w:eastAsia="Times New Roman" w:hint="default"/>
                <w:sz w:val="16"/>
                <w:szCs w:val="16"/>
              </w:rPr>
            </w:pPr>
            <w:r>
              <w:rPr>
                <w:rFonts w:ascii="Times New Roman"/>
                <w:w w:val="100"/>
                <w:sz w:val="16"/>
              </w:rPr>
              <w:t>1</w:t>
            </w:r>
          </w:p>
        </w:tc>
        <w:tc>
          <w:tcPr>
            <w:tcW w:w="900"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43"/>
              <w:jc w:val="right"/>
              <w:rPr>
                <w:rFonts w:ascii="Times New Roman" w:hAnsi="Times New Roman" w:cs="Times New Roman" w:eastAsia="Times New Roman" w:hint="default"/>
                <w:sz w:val="16"/>
                <w:szCs w:val="16"/>
              </w:rPr>
            </w:pPr>
            <w:r>
              <w:rPr>
                <w:rFonts w:ascii="Times New Roman"/>
                <w:w w:val="100"/>
                <w:sz w:val="16"/>
              </w:rPr>
              <w:t>-</w:t>
            </w:r>
          </w:p>
        </w:tc>
        <w:tc>
          <w:tcPr>
            <w:tcW w:w="75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41"/>
              <w:jc w:val="right"/>
              <w:rPr>
                <w:rFonts w:ascii="Times New Roman" w:hAnsi="Times New Roman" w:cs="Times New Roman" w:eastAsia="Times New Roman" w:hint="default"/>
                <w:sz w:val="16"/>
                <w:szCs w:val="16"/>
              </w:rPr>
            </w:pPr>
            <w:r>
              <w:rPr>
                <w:rFonts w:ascii="Times New Roman"/>
                <w:w w:val="100"/>
                <w:sz w:val="16"/>
              </w:rPr>
              <w:t>-</w:t>
            </w:r>
          </w:p>
        </w:tc>
        <w:tc>
          <w:tcPr>
            <w:tcW w:w="79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41"/>
              <w:jc w:val="right"/>
              <w:rPr>
                <w:rFonts w:ascii="Times New Roman" w:hAnsi="Times New Roman" w:cs="Times New Roman" w:eastAsia="Times New Roman" w:hint="default"/>
                <w:sz w:val="16"/>
                <w:szCs w:val="16"/>
              </w:rPr>
            </w:pPr>
            <w:r>
              <w:rPr>
                <w:rFonts w:ascii="Times New Roman"/>
                <w:w w:val="100"/>
                <w:sz w:val="16"/>
              </w:rPr>
              <w:t>-</w:t>
            </w:r>
          </w:p>
        </w:tc>
        <w:tc>
          <w:tcPr>
            <w:tcW w:w="82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2"/>
              <w:jc w:val="right"/>
              <w:rPr>
                <w:rFonts w:ascii="Times New Roman" w:hAnsi="Times New Roman" w:cs="Times New Roman" w:eastAsia="Times New Roman" w:hint="default"/>
                <w:sz w:val="16"/>
                <w:szCs w:val="16"/>
              </w:rPr>
            </w:pPr>
            <w:r>
              <w:rPr>
                <w:rFonts w:ascii="Times New Roman"/>
                <w:w w:val="100"/>
                <w:sz w:val="16"/>
              </w:rPr>
              <w:t>-</w:t>
            </w:r>
          </w:p>
        </w:tc>
        <w:tc>
          <w:tcPr>
            <w:tcW w:w="74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1"/>
              <w:jc w:val="right"/>
              <w:rPr>
                <w:rFonts w:ascii="Times New Roman" w:hAnsi="Times New Roman" w:cs="Times New Roman" w:eastAsia="Times New Roman" w:hint="default"/>
                <w:sz w:val="16"/>
                <w:szCs w:val="16"/>
              </w:rPr>
            </w:pPr>
            <w:r>
              <w:rPr>
                <w:rFonts w:ascii="Times New Roman"/>
                <w:w w:val="100"/>
                <w:sz w:val="16"/>
              </w:rPr>
              <w:t>-</w:t>
            </w:r>
          </w:p>
        </w:tc>
        <w:tc>
          <w:tcPr>
            <w:tcW w:w="708" w:type="dxa"/>
            <w:tcBorders>
              <w:top w:val="single" w:sz="12" w:space="0" w:color="000000"/>
              <w:left w:val="single" w:sz="4" w:space="0" w:color="000000"/>
              <w:bottom w:val="single" w:sz="4" w:space="0" w:color="000000"/>
              <w:right w:val="single" w:sz="4" w:space="0" w:color="000000"/>
            </w:tcBorders>
          </w:tcPr>
          <w:p>
            <w:pPr>
              <w:pStyle w:val="TableParagraph"/>
              <w:spacing w:line="181" w:lineRule="exact"/>
              <w:ind w:right="98"/>
              <w:jc w:val="right"/>
              <w:rPr>
                <w:rFonts w:ascii="Times New Roman" w:hAnsi="Times New Roman" w:cs="Times New Roman" w:eastAsia="Times New Roman" w:hint="default"/>
                <w:sz w:val="16"/>
                <w:szCs w:val="16"/>
              </w:rPr>
            </w:pPr>
            <w:r>
              <w:rPr>
                <w:rFonts w:ascii="Times New Roman"/>
                <w:sz w:val="16"/>
              </w:rPr>
              <w:t>20</w:t>
            </w:r>
          </w:p>
        </w:tc>
        <w:tc>
          <w:tcPr>
            <w:tcW w:w="85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9"/>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2"/>
              <w:jc w:val="right"/>
              <w:rPr>
                <w:rFonts w:ascii="Times New Roman" w:hAnsi="Times New Roman" w:cs="Times New Roman" w:eastAsia="Times New Roman" w:hint="default"/>
                <w:sz w:val="16"/>
                <w:szCs w:val="16"/>
              </w:rPr>
            </w:pPr>
            <w:r>
              <w:rPr>
                <w:rFonts w:ascii="Times New Roman"/>
                <w:spacing w:val="-1"/>
                <w:sz w:val="16"/>
              </w:rPr>
              <w:t>400</w:t>
            </w:r>
          </w:p>
        </w:tc>
        <w:tc>
          <w:tcPr>
            <w:tcW w:w="816"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9"/>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9"/>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2"/>
              <w:jc w:val="right"/>
              <w:rPr>
                <w:rFonts w:ascii="Times New Roman" w:hAnsi="Times New Roman" w:cs="Times New Roman" w:eastAsia="Times New Roman" w:hint="default"/>
                <w:sz w:val="16"/>
                <w:szCs w:val="16"/>
              </w:rPr>
            </w:pPr>
            <w:r>
              <w:rPr>
                <w:rFonts w:ascii="Times New Roman"/>
                <w:spacing w:val="-1"/>
                <w:sz w:val="16"/>
              </w:rPr>
              <w:t>4.362</w:t>
            </w:r>
          </w:p>
        </w:tc>
        <w:tc>
          <w:tcPr>
            <w:tcW w:w="78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0"/>
              <w:jc w:val="right"/>
              <w:rPr>
                <w:rFonts w:ascii="Times New Roman" w:hAnsi="Times New Roman" w:cs="Times New Roman" w:eastAsia="Times New Roman" w:hint="default"/>
                <w:sz w:val="16"/>
                <w:szCs w:val="16"/>
              </w:rPr>
            </w:pPr>
            <w:r>
              <w:rPr>
                <w:rFonts w:ascii="Times New Roman"/>
                <w:spacing w:val="-1"/>
                <w:sz w:val="16"/>
              </w:rPr>
              <w:t>1.741</w:t>
            </w:r>
          </w:p>
        </w:tc>
      </w:tr>
      <w:tr>
        <w:trPr>
          <w:trHeight w:val="269"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left="103" w:right="0"/>
              <w:jc w:val="left"/>
              <w:rPr>
                <w:rFonts w:ascii="Times New Roman" w:hAnsi="Times New Roman" w:cs="Times New Roman" w:eastAsia="Times New Roman" w:hint="default"/>
                <w:sz w:val="16"/>
                <w:szCs w:val="16"/>
              </w:rPr>
            </w:pPr>
            <w:r>
              <w:rPr>
                <w:rFonts w:ascii="Times New Roman" w:hAnsi="Times New Roman"/>
                <w:sz w:val="16"/>
              </w:rPr>
              <w:t>Исказано</w:t>
            </w:r>
            <w:r>
              <w:rPr>
                <w:rFonts w:ascii="Times New Roman" w:hAnsi="Times New Roman"/>
                <w:spacing w:val="-5"/>
                <w:sz w:val="16"/>
              </w:rPr>
              <w:t> </w:t>
            </w:r>
            <w:r>
              <w:rPr>
                <w:rFonts w:ascii="Times New Roman" w:hAnsi="Times New Roman"/>
                <w:sz w:val="16"/>
              </w:rPr>
              <w:t>изврш</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2"/>
              <w:jc w:val="right"/>
              <w:rPr>
                <w:rFonts w:ascii="Times New Roman" w:hAnsi="Times New Roman" w:cs="Times New Roman" w:eastAsia="Times New Roman" w:hint="default"/>
                <w:sz w:val="16"/>
                <w:szCs w:val="16"/>
              </w:rPr>
            </w:pPr>
            <w:r>
              <w:rPr>
                <w:rFonts w:ascii="Times New Roman"/>
                <w:w w:val="100"/>
                <w:sz w:val="16"/>
              </w:rPr>
              <w:t>5</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99"/>
              <w:jc w:val="right"/>
              <w:rPr>
                <w:rFonts w:ascii="Times New Roman" w:hAnsi="Times New Roman" w:cs="Times New Roman" w:eastAsia="Times New Roman" w:hint="default"/>
                <w:sz w:val="16"/>
                <w:szCs w:val="16"/>
              </w:rPr>
            </w:pPr>
            <w:r>
              <w:rPr>
                <w:rFonts w:ascii="Times New Roman"/>
                <w:sz w:val="16"/>
              </w:rPr>
              <w:t>76</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41"/>
              <w:jc w:val="right"/>
              <w:rPr>
                <w:rFonts w:ascii="Times New Roman" w:hAnsi="Times New Roman" w:cs="Times New Roman" w:eastAsia="Times New Roman" w:hint="default"/>
                <w:sz w:val="16"/>
                <w:szCs w:val="16"/>
              </w:rPr>
            </w:pPr>
            <w:r>
              <w:rPr>
                <w:rFonts w:ascii="Times New Roman"/>
                <w:w w:val="100"/>
                <w:sz w:val="16"/>
              </w:rPr>
              <w:t>-</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2"/>
              <w:jc w:val="right"/>
              <w:rPr>
                <w:rFonts w:ascii="Times New Roman" w:hAnsi="Times New Roman" w:cs="Times New Roman" w:eastAsia="Times New Roman" w:hint="default"/>
                <w:sz w:val="16"/>
                <w:szCs w:val="16"/>
              </w:rPr>
            </w:pPr>
            <w:r>
              <w:rPr>
                <w:rFonts w:ascii="Times New Roman"/>
                <w:w w:val="100"/>
                <w:sz w:val="16"/>
              </w:rPr>
              <w:t>-</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43"/>
              <w:jc w:val="right"/>
              <w:rPr>
                <w:rFonts w:ascii="Times New Roman" w:hAnsi="Times New Roman" w:cs="Times New Roman" w:eastAsia="Times New Roman" w:hint="default"/>
                <w:sz w:val="16"/>
                <w:szCs w:val="16"/>
              </w:rPr>
            </w:pPr>
            <w:r>
              <w:rPr>
                <w:rFonts w:ascii="Times New Roman"/>
                <w:w w:val="100"/>
                <w:sz w:val="16"/>
              </w:rPr>
              <w:t>-</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41"/>
              <w:jc w:val="right"/>
              <w:rPr>
                <w:rFonts w:ascii="Times New Roman" w:hAnsi="Times New Roman" w:cs="Times New Roman" w:eastAsia="Times New Roman" w:hint="default"/>
                <w:sz w:val="16"/>
                <w:szCs w:val="16"/>
              </w:rPr>
            </w:pPr>
            <w:r>
              <w:rPr>
                <w:rFonts w:ascii="Times New Roman"/>
                <w:w w:val="100"/>
                <w:sz w:val="16"/>
              </w:rPr>
              <w:t>-</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41"/>
              <w:jc w:val="right"/>
              <w:rPr>
                <w:rFonts w:ascii="Times New Roman" w:hAnsi="Times New Roman" w:cs="Times New Roman" w:eastAsia="Times New Roman" w:hint="default"/>
                <w:sz w:val="16"/>
                <w:szCs w:val="16"/>
              </w:rPr>
            </w:pPr>
            <w:r>
              <w:rPr>
                <w:rFonts w:ascii="Times New Roman"/>
                <w:w w:val="100"/>
                <w:sz w:val="16"/>
              </w:rPr>
              <w:t>-</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2"/>
              <w:jc w:val="right"/>
              <w:rPr>
                <w:rFonts w:ascii="Times New Roman" w:hAnsi="Times New Roman" w:cs="Times New Roman" w:eastAsia="Times New Roman" w:hint="default"/>
                <w:sz w:val="16"/>
                <w:szCs w:val="16"/>
              </w:rPr>
            </w:pPr>
            <w:r>
              <w:rPr>
                <w:rFonts w:ascii="Times New Roman"/>
                <w:w w:val="100"/>
                <w:sz w:val="16"/>
              </w:rPr>
              <w:t>-</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1"/>
              <w:jc w:val="right"/>
              <w:rPr>
                <w:rFonts w:ascii="Times New Roman" w:hAnsi="Times New Roman" w:cs="Times New Roman" w:eastAsia="Times New Roman" w:hint="default"/>
                <w:sz w:val="16"/>
                <w:szCs w:val="16"/>
              </w:rPr>
            </w:pPr>
            <w:r>
              <w:rPr>
                <w:rFonts w:ascii="Times New Roman"/>
                <w:w w:val="100"/>
                <w:sz w:val="16"/>
              </w:rPr>
              <w:t>-</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right="100"/>
              <w:jc w:val="right"/>
              <w:rPr>
                <w:rFonts w:ascii="Times New Roman" w:hAnsi="Times New Roman" w:cs="Times New Roman" w:eastAsia="Times New Roman" w:hint="default"/>
                <w:sz w:val="16"/>
                <w:szCs w:val="16"/>
              </w:rPr>
            </w:pPr>
            <w:r>
              <w:rPr>
                <w:rFonts w:ascii="Times New Roman"/>
                <w:w w:val="100"/>
                <w:sz w:val="16"/>
              </w:rPr>
              <w:t>-</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2"/>
              <w:jc w:val="right"/>
              <w:rPr>
                <w:rFonts w:ascii="Times New Roman" w:hAnsi="Times New Roman" w:cs="Times New Roman" w:eastAsia="Times New Roman" w:hint="default"/>
                <w:sz w:val="16"/>
                <w:szCs w:val="16"/>
              </w:rPr>
            </w:pPr>
            <w:r>
              <w:rPr>
                <w:rFonts w:ascii="Times New Roman"/>
                <w:spacing w:val="-1"/>
                <w:sz w:val="16"/>
              </w:rPr>
              <w:t>361</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2"/>
              <w:jc w:val="right"/>
              <w:rPr>
                <w:rFonts w:ascii="Times New Roman" w:hAnsi="Times New Roman" w:cs="Times New Roman" w:eastAsia="Times New Roman" w:hint="default"/>
                <w:sz w:val="16"/>
                <w:szCs w:val="16"/>
              </w:rPr>
            </w:pPr>
            <w:r>
              <w:rPr>
                <w:rFonts w:ascii="Times New Roman"/>
                <w:w w:val="100"/>
                <w:sz w:val="16"/>
              </w:rPr>
              <w:t>-</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0"/>
              <w:jc w:val="right"/>
              <w:rPr>
                <w:rFonts w:ascii="Times New Roman" w:hAnsi="Times New Roman" w:cs="Times New Roman" w:eastAsia="Times New Roman" w:hint="default"/>
                <w:sz w:val="16"/>
                <w:szCs w:val="16"/>
              </w:rPr>
            </w:pPr>
            <w:r>
              <w:rPr>
                <w:rFonts w:ascii="Times New Roman"/>
                <w:spacing w:val="-1"/>
                <w:sz w:val="16"/>
              </w:rPr>
              <w:t>399</w:t>
            </w:r>
          </w:p>
        </w:tc>
      </w:tr>
      <w:tr>
        <w:trPr>
          <w:trHeight w:val="216"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(1)</w:t>
            </w:r>
            <w:r>
              <w:rPr>
                <w:rFonts w:ascii="Times New Roman" w:hAnsi="Times New Roman"/>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w w:val="100"/>
                <w:sz w:val="16"/>
              </w:rPr>
              <w:t>5</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99"/>
              <w:jc w:val="right"/>
              <w:rPr>
                <w:rFonts w:ascii="Times New Roman" w:hAnsi="Times New Roman" w:cs="Times New Roman" w:eastAsia="Times New Roman" w:hint="default"/>
                <w:sz w:val="16"/>
                <w:szCs w:val="16"/>
              </w:rPr>
            </w:pPr>
            <w:r>
              <w:rPr>
                <w:rFonts w:ascii="Times New Roman"/>
                <w:b/>
                <w:sz w:val="16"/>
              </w:rPr>
              <w:t>26</w:t>
            </w:r>
            <w:r>
              <w:rPr>
                <w:rFonts w:ascii="Times New Roman"/>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98"/>
              <w:jc w:val="right"/>
              <w:rPr>
                <w:rFonts w:ascii="Times New Roman" w:hAnsi="Times New Roman" w:cs="Times New Roman" w:eastAsia="Times New Roman" w:hint="default"/>
                <w:sz w:val="16"/>
                <w:szCs w:val="16"/>
              </w:rPr>
            </w:pPr>
            <w:r>
              <w:rPr>
                <w:rFonts w:ascii="Times New Roman"/>
                <w:b/>
                <w:sz w:val="16"/>
              </w:rPr>
              <w:t>50</w:t>
            </w:r>
            <w:r>
              <w:rPr>
                <w:rFonts w:ascii="Times New Roman"/>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w w:val="100"/>
                <w:sz w:val="16"/>
              </w:rPr>
              <w:t>1</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3"/>
              <w:jc w:val="right"/>
              <w:rPr>
                <w:rFonts w:ascii="Times New Roman" w:hAnsi="Times New Roman" w:cs="Times New Roman" w:eastAsia="Times New Roman" w:hint="default"/>
                <w:sz w:val="16"/>
                <w:szCs w:val="16"/>
              </w:rPr>
            </w:pPr>
            <w:r>
              <w:rPr>
                <w:rFonts w:ascii="Times New Roman"/>
                <w:w w:val="100"/>
                <w:sz w:val="16"/>
              </w:rPr>
              <w:t>-</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w w:val="100"/>
                <w:sz w:val="16"/>
              </w:rPr>
              <w:t>-</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41"/>
              <w:jc w:val="right"/>
              <w:rPr>
                <w:rFonts w:ascii="Times New Roman" w:hAnsi="Times New Roman" w:cs="Times New Roman" w:eastAsia="Times New Roman" w:hint="default"/>
                <w:sz w:val="16"/>
                <w:szCs w:val="16"/>
              </w:rPr>
            </w:pPr>
            <w:r>
              <w:rPr>
                <w:rFonts w:ascii="Times New Roman"/>
                <w:w w:val="100"/>
                <w:sz w:val="16"/>
              </w:rPr>
              <w:t>-</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w w:val="100"/>
                <w:sz w:val="16"/>
              </w:rPr>
              <w:t>-</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w w:val="100"/>
                <w:sz w:val="16"/>
              </w:rPr>
              <w:t>-</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98"/>
              <w:jc w:val="right"/>
              <w:rPr>
                <w:rFonts w:ascii="Times New Roman" w:hAnsi="Times New Roman" w:cs="Times New Roman" w:eastAsia="Times New Roman" w:hint="default"/>
                <w:sz w:val="16"/>
                <w:szCs w:val="16"/>
              </w:rPr>
            </w:pPr>
            <w:r>
              <w:rPr>
                <w:rFonts w:ascii="Times New Roman"/>
                <w:b/>
                <w:sz w:val="16"/>
              </w:rPr>
              <w:t>20</w:t>
            </w:r>
            <w:r>
              <w:rPr>
                <w:rFonts w:ascii="Times New Roman"/>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z w:val="16"/>
              </w:rPr>
              <w:t>39</w:t>
            </w:r>
            <w:r>
              <w:rPr>
                <w:rFonts w:ascii="Times New Roman"/>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4.362</w:t>
            </w:r>
            <w:r>
              <w:rPr>
                <w:rFonts w:ascii="Times New Roman"/>
                <w:spacing w:val="-1"/>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1.342</w:t>
            </w:r>
            <w:r>
              <w:rPr>
                <w:rFonts w:ascii="Times New Roman"/>
                <w:spacing w:val="-1"/>
                <w:sz w:val="16"/>
              </w:rPr>
            </w:r>
          </w:p>
        </w:tc>
      </w:tr>
      <w:tr>
        <w:trPr>
          <w:trHeight w:val="269"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3"/>
                <w:sz w:val="16"/>
              </w:rPr>
              <w:t> </w:t>
            </w:r>
            <w:r>
              <w:rPr>
                <w:rFonts w:ascii="Times New Roman" w:hAnsi="Times New Roman"/>
                <w:sz w:val="16"/>
              </w:rPr>
              <w:t>рач</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2"/>
              <w:jc w:val="right"/>
              <w:rPr>
                <w:rFonts w:ascii="Times New Roman" w:hAnsi="Times New Roman" w:cs="Times New Roman" w:eastAsia="Times New Roman" w:hint="default"/>
                <w:sz w:val="16"/>
                <w:szCs w:val="16"/>
              </w:rPr>
            </w:pPr>
            <w:r>
              <w:rPr>
                <w:rFonts w:ascii="Times New Roman"/>
                <w:w w:val="100"/>
                <w:sz w:val="16"/>
              </w:rPr>
              <w:t>-</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1"/>
              <w:jc w:val="right"/>
              <w:rPr>
                <w:rFonts w:ascii="Times New Roman" w:hAnsi="Times New Roman" w:cs="Times New Roman" w:eastAsia="Times New Roman" w:hint="default"/>
                <w:sz w:val="16"/>
                <w:szCs w:val="16"/>
              </w:rPr>
            </w:pPr>
            <w:r>
              <w:rPr>
                <w:rFonts w:ascii="Times New Roman"/>
                <w:w w:val="100"/>
                <w:sz w:val="16"/>
              </w:rPr>
              <w:t>-</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0"/>
              <w:jc w:val="right"/>
              <w:rPr>
                <w:rFonts w:ascii="Times New Roman" w:hAnsi="Times New Roman" w:cs="Times New Roman" w:eastAsia="Times New Roman" w:hint="default"/>
                <w:sz w:val="16"/>
                <w:szCs w:val="16"/>
              </w:rPr>
            </w:pPr>
            <w:r>
              <w:rPr>
                <w:rFonts w:ascii="Times New Roman"/>
                <w:w w:val="100"/>
                <w:sz w:val="16"/>
              </w:rPr>
              <w:t>-</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2"/>
              <w:jc w:val="right"/>
              <w:rPr>
                <w:rFonts w:ascii="Times New Roman" w:hAnsi="Times New Roman" w:cs="Times New Roman" w:eastAsia="Times New Roman" w:hint="default"/>
                <w:sz w:val="16"/>
                <w:szCs w:val="16"/>
              </w:rPr>
            </w:pPr>
            <w:r>
              <w:rPr>
                <w:rFonts w:ascii="Times New Roman"/>
                <w:w w:val="100"/>
                <w:sz w:val="16"/>
              </w:rPr>
              <w:t>-</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2"/>
              <w:jc w:val="right"/>
              <w:rPr>
                <w:rFonts w:ascii="Times New Roman" w:hAnsi="Times New Roman" w:cs="Times New Roman" w:eastAsia="Times New Roman" w:hint="default"/>
                <w:sz w:val="16"/>
                <w:szCs w:val="16"/>
              </w:rPr>
            </w:pPr>
            <w:r>
              <w:rPr>
                <w:rFonts w:ascii="Times New Roman"/>
                <w:w w:val="100"/>
                <w:sz w:val="16"/>
              </w:rPr>
              <w:t>-</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0"/>
              <w:jc w:val="right"/>
              <w:rPr>
                <w:rFonts w:ascii="Times New Roman" w:hAnsi="Times New Roman" w:cs="Times New Roman" w:eastAsia="Times New Roman" w:hint="default"/>
                <w:sz w:val="16"/>
                <w:szCs w:val="16"/>
              </w:rPr>
            </w:pPr>
            <w:r>
              <w:rPr>
                <w:rFonts w:ascii="Times New Roman"/>
                <w:w w:val="100"/>
                <w:sz w:val="16"/>
              </w:rPr>
              <w:t>-</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0"/>
              <w:jc w:val="right"/>
              <w:rPr>
                <w:rFonts w:ascii="Times New Roman" w:hAnsi="Times New Roman" w:cs="Times New Roman" w:eastAsia="Times New Roman" w:hint="default"/>
                <w:sz w:val="16"/>
                <w:szCs w:val="16"/>
              </w:rPr>
            </w:pPr>
            <w:r>
              <w:rPr>
                <w:rFonts w:ascii="Times New Roman"/>
                <w:w w:val="100"/>
                <w:sz w:val="16"/>
              </w:rPr>
              <w:t>-</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2"/>
              <w:jc w:val="right"/>
              <w:rPr>
                <w:rFonts w:ascii="Times New Roman" w:hAnsi="Times New Roman" w:cs="Times New Roman" w:eastAsia="Times New Roman" w:hint="default"/>
                <w:sz w:val="16"/>
                <w:szCs w:val="16"/>
              </w:rPr>
            </w:pPr>
            <w:r>
              <w:rPr>
                <w:rFonts w:ascii="Times New Roman"/>
                <w:w w:val="100"/>
                <w:sz w:val="16"/>
              </w:rPr>
              <w:t>-</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1"/>
              <w:jc w:val="right"/>
              <w:rPr>
                <w:rFonts w:ascii="Times New Roman" w:hAnsi="Times New Roman" w:cs="Times New Roman" w:eastAsia="Times New Roman" w:hint="default"/>
                <w:sz w:val="16"/>
                <w:szCs w:val="16"/>
              </w:rPr>
            </w:pPr>
            <w:r>
              <w:rPr>
                <w:rFonts w:ascii="Times New Roman"/>
                <w:w w:val="100"/>
                <w:sz w:val="16"/>
              </w:rPr>
              <w:t>-</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102"/>
              <w:jc w:val="right"/>
              <w:rPr>
                <w:rFonts w:ascii="Times New Roman" w:hAnsi="Times New Roman" w:cs="Times New Roman" w:eastAsia="Times New Roman" w:hint="default"/>
                <w:sz w:val="16"/>
                <w:szCs w:val="16"/>
              </w:rPr>
            </w:pPr>
            <w:r>
              <w:rPr>
                <w:rFonts w:ascii="Times New Roman"/>
                <w:w w:val="100"/>
                <w:sz w:val="16"/>
              </w:rPr>
              <w:t>-</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right="98"/>
              <w:jc w:val="right"/>
              <w:rPr>
                <w:rFonts w:ascii="Times New Roman" w:hAnsi="Times New Roman" w:cs="Times New Roman" w:eastAsia="Times New Roman" w:hint="default"/>
                <w:sz w:val="16"/>
                <w:szCs w:val="16"/>
              </w:rPr>
            </w:pPr>
            <w:r>
              <w:rPr>
                <w:rFonts w:ascii="Times New Roman"/>
                <w:sz w:val="16"/>
              </w:rPr>
              <w:t>32</w:t>
            </w:r>
          </w:p>
        </w:tc>
      </w:tr>
      <w:tr>
        <w:trPr>
          <w:trHeight w:val="286"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6"/>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7"/>
                <w:sz w:val="16"/>
              </w:rPr>
              <w:t> </w:t>
            </w:r>
            <w:r>
              <w:rPr>
                <w:rFonts w:ascii="Times New Roman" w:hAnsi="Times New Roman"/>
                <w:sz w:val="16"/>
              </w:rPr>
              <w:t>угов</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6"/>
              <w:ind w:right="102"/>
              <w:jc w:val="right"/>
              <w:rPr>
                <w:rFonts w:ascii="Times New Roman" w:hAnsi="Times New Roman" w:cs="Times New Roman" w:eastAsia="Times New Roman" w:hint="default"/>
                <w:sz w:val="16"/>
                <w:szCs w:val="16"/>
              </w:rPr>
            </w:pPr>
            <w:r>
              <w:rPr>
                <w:rFonts w:ascii="Times New Roman"/>
                <w:w w:val="100"/>
                <w:sz w:val="16"/>
              </w:rPr>
              <w:t>-</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6"/>
              <w:ind w:right="101"/>
              <w:jc w:val="right"/>
              <w:rPr>
                <w:rFonts w:ascii="Times New Roman" w:hAnsi="Times New Roman" w:cs="Times New Roman" w:eastAsia="Times New Roman" w:hint="default"/>
                <w:sz w:val="16"/>
                <w:szCs w:val="16"/>
              </w:rPr>
            </w:pPr>
            <w:r>
              <w:rPr>
                <w:rFonts w:ascii="Times New Roman"/>
                <w:w w:val="100"/>
                <w:sz w:val="16"/>
              </w:rPr>
              <w:t>-</w:t>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6"/>
              <w:ind w:right="100"/>
              <w:jc w:val="right"/>
              <w:rPr>
                <w:rFonts w:ascii="Times New Roman" w:hAnsi="Times New Roman" w:cs="Times New Roman" w:eastAsia="Times New Roman" w:hint="default"/>
                <w:sz w:val="16"/>
                <w:szCs w:val="16"/>
              </w:rPr>
            </w:pPr>
            <w:r>
              <w:rPr>
                <w:rFonts w:ascii="Times New Roman"/>
                <w:w w:val="100"/>
                <w:sz w:val="16"/>
              </w:rPr>
              <w:t>-</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6"/>
              <w:ind w:right="102"/>
              <w:jc w:val="right"/>
              <w:rPr>
                <w:rFonts w:ascii="Times New Roman" w:hAnsi="Times New Roman" w:cs="Times New Roman" w:eastAsia="Times New Roman" w:hint="default"/>
                <w:sz w:val="16"/>
                <w:szCs w:val="16"/>
              </w:rPr>
            </w:pPr>
            <w:r>
              <w:rPr>
                <w:rFonts w:ascii="Times New Roman"/>
                <w:w w:val="100"/>
                <w:sz w:val="16"/>
              </w:rPr>
              <w:t>-</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6"/>
              <w:ind w:right="102"/>
              <w:jc w:val="right"/>
              <w:rPr>
                <w:rFonts w:ascii="Times New Roman" w:hAnsi="Times New Roman" w:cs="Times New Roman" w:eastAsia="Times New Roman" w:hint="default"/>
                <w:sz w:val="16"/>
                <w:szCs w:val="16"/>
              </w:rPr>
            </w:pPr>
            <w:r>
              <w:rPr>
                <w:rFonts w:ascii="Times New Roman"/>
                <w:w w:val="100"/>
                <w:sz w:val="16"/>
              </w:rPr>
              <w:t>-</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6"/>
              <w:ind w:right="100"/>
              <w:jc w:val="right"/>
              <w:rPr>
                <w:rFonts w:ascii="Times New Roman" w:hAnsi="Times New Roman" w:cs="Times New Roman" w:eastAsia="Times New Roman" w:hint="default"/>
                <w:sz w:val="16"/>
                <w:szCs w:val="16"/>
              </w:rPr>
            </w:pPr>
            <w:r>
              <w:rPr>
                <w:rFonts w:ascii="Times New Roman"/>
                <w:w w:val="100"/>
                <w:sz w:val="16"/>
              </w:rPr>
              <w:t>-</w:t>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6"/>
              <w:ind w:right="100"/>
              <w:jc w:val="right"/>
              <w:rPr>
                <w:rFonts w:ascii="Times New Roman" w:hAnsi="Times New Roman" w:cs="Times New Roman" w:eastAsia="Times New Roman" w:hint="default"/>
                <w:sz w:val="16"/>
                <w:szCs w:val="16"/>
              </w:rPr>
            </w:pPr>
            <w:r>
              <w:rPr>
                <w:rFonts w:ascii="Times New Roman"/>
                <w:w w:val="100"/>
                <w:sz w:val="16"/>
              </w:rPr>
              <w:t>-</w:t>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6"/>
              <w:ind w:right="102"/>
              <w:jc w:val="right"/>
              <w:rPr>
                <w:rFonts w:ascii="Times New Roman" w:hAnsi="Times New Roman" w:cs="Times New Roman" w:eastAsia="Times New Roman" w:hint="default"/>
                <w:sz w:val="16"/>
                <w:szCs w:val="16"/>
              </w:rPr>
            </w:pPr>
            <w:r>
              <w:rPr>
                <w:rFonts w:ascii="Times New Roman"/>
                <w:w w:val="100"/>
                <w:sz w:val="16"/>
              </w:rPr>
              <w:t>-</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6"/>
              <w:ind w:right="101"/>
              <w:jc w:val="right"/>
              <w:rPr>
                <w:rFonts w:ascii="Times New Roman" w:hAnsi="Times New Roman" w:cs="Times New Roman" w:eastAsia="Times New Roman" w:hint="default"/>
                <w:sz w:val="16"/>
                <w:szCs w:val="16"/>
              </w:rPr>
            </w:pPr>
            <w:r>
              <w:rPr>
                <w:rFonts w:ascii="Times New Roman"/>
                <w:w w:val="100"/>
                <w:sz w:val="16"/>
              </w:rPr>
              <w:t>-</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6"/>
              <w:ind w:right="102"/>
              <w:jc w:val="right"/>
              <w:rPr>
                <w:rFonts w:ascii="Times New Roman" w:hAnsi="Times New Roman" w:cs="Times New Roman" w:eastAsia="Times New Roman" w:hint="default"/>
                <w:sz w:val="16"/>
                <w:szCs w:val="16"/>
              </w:rPr>
            </w:pPr>
            <w:r>
              <w:rPr>
                <w:rFonts w:ascii="Times New Roman"/>
                <w:spacing w:val="-1"/>
                <w:sz w:val="16"/>
              </w:rPr>
              <w:t>4.281</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23" w:hRule="exact"/>
        </w:trPr>
        <w:tc>
          <w:tcPr>
            <w:tcW w:w="626" w:type="dxa"/>
            <w:vMerge/>
            <w:tcBorders>
              <w:left w:val="single" w:sz="4" w:space="0" w:color="000000"/>
              <w:bottom w:val="single" w:sz="12" w:space="0" w:color="000000"/>
              <w:right w:val="single" w:sz="4" w:space="0" w:color="000000"/>
            </w:tcBorders>
          </w:tcPr>
          <w:p>
            <w:pPr/>
          </w:p>
        </w:tc>
        <w:tc>
          <w:tcPr>
            <w:tcW w:w="13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(2)</w:t>
            </w:r>
            <w:r>
              <w:rPr>
                <w:rFonts w:ascii="Times New Roman" w:hAnsi="Times New Roman"/>
                <w:sz w:val="16"/>
              </w:rPr>
            </w:r>
          </w:p>
        </w:tc>
        <w:tc>
          <w:tcPr>
            <w:tcW w:w="658" w:type="dxa"/>
            <w:tcBorders>
              <w:top w:val="single" w:sz="4" w:space="0" w:color="000000"/>
              <w:left w:val="single" w:sz="4" w:space="0" w:color="000000"/>
              <w:bottom w:val="single" w:sz="12" w:space="0" w:color="000000"/>
              <w:right w:val="single" w:sz="4" w:space="0" w:color="000000"/>
            </w:tcBorders>
          </w:tcPr>
          <w:p>
            <w:pPr/>
          </w:p>
        </w:tc>
        <w:tc>
          <w:tcPr>
            <w:tcW w:w="67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5</w:t>
            </w:r>
            <w:r>
              <w:rPr>
                <w:rFonts w:ascii="Times New Roman"/>
                <w:w w:val="100"/>
                <w:sz w:val="16"/>
              </w:rPr>
            </w:r>
          </w:p>
        </w:tc>
        <w:tc>
          <w:tcPr>
            <w:tcW w:w="92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99"/>
              <w:jc w:val="right"/>
              <w:rPr>
                <w:rFonts w:ascii="Times New Roman" w:hAnsi="Times New Roman" w:cs="Times New Roman" w:eastAsia="Times New Roman" w:hint="default"/>
                <w:sz w:val="16"/>
                <w:szCs w:val="16"/>
              </w:rPr>
            </w:pPr>
            <w:r>
              <w:rPr>
                <w:rFonts w:ascii="Times New Roman"/>
                <w:b/>
                <w:sz w:val="16"/>
              </w:rPr>
              <w:t>26</w:t>
            </w:r>
            <w:r>
              <w:rPr>
                <w:rFonts w:ascii="Times New Roman"/>
                <w:sz w:val="16"/>
              </w:rPr>
            </w:r>
          </w:p>
        </w:tc>
        <w:tc>
          <w:tcPr>
            <w:tcW w:w="95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b/>
                <w:sz w:val="16"/>
              </w:rPr>
              <w:t>50</w:t>
            </w:r>
            <w:r>
              <w:rPr>
                <w:rFonts w:ascii="Times New Roman"/>
                <w:sz w:val="16"/>
              </w:rPr>
            </w:r>
          </w:p>
        </w:tc>
        <w:tc>
          <w:tcPr>
            <w:tcW w:w="98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1</w:t>
            </w:r>
            <w:r>
              <w:rPr>
                <w:rFonts w:ascii="Times New Roman"/>
                <w:w w:val="100"/>
                <w:sz w:val="16"/>
              </w:rPr>
            </w:r>
          </w:p>
        </w:tc>
        <w:tc>
          <w:tcPr>
            <w:tcW w:w="900"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4"/>
              <w:ind w:right="143"/>
              <w:jc w:val="right"/>
              <w:rPr>
                <w:rFonts w:ascii="Times New Roman" w:hAnsi="Times New Roman" w:cs="Times New Roman" w:eastAsia="Times New Roman" w:hint="default"/>
                <w:sz w:val="16"/>
                <w:szCs w:val="16"/>
              </w:rPr>
            </w:pPr>
            <w:r>
              <w:rPr>
                <w:rFonts w:ascii="Times New Roman"/>
                <w:w w:val="100"/>
                <w:sz w:val="16"/>
              </w:rPr>
              <w:t>-</w:t>
            </w:r>
          </w:p>
        </w:tc>
        <w:tc>
          <w:tcPr>
            <w:tcW w:w="7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4"/>
              <w:ind w:right="141"/>
              <w:jc w:val="right"/>
              <w:rPr>
                <w:rFonts w:ascii="Times New Roman" w:hAnsi="Times New Roman" w:cs="Times New Roman" w:eastAsia="Times New Roman" w:hint="default"/>
                <w:sz w:val="16"/>
                <w:szCs w:val="16"/>
              </w:rPr>
            </w:pPr>
            <w:r>
              <w:rPr>
                <w:rFonts w:ascii="Times New Roman"/>
                <w:w w:val="100"/>
                <w:sz w:val="16"/>
              </w:rPr>
              <w:t>-</w:t>
            </w:r>
          </w:p>
        </w:tc>
        <w:tc>
          <w:tcPr>
            <w:tcW w:w="79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4"/>
              <w:ind w:right="141"/>
              <w:jc w:val="right"/>
              <w:rPr>
                <w:rFonts w:ascii="Times New Roman" w:hAnsi="Times New Roman" w:cs="Times New Roman" w:eastAsia="Times New Roman" w:hint="default"/>
                <w:sz w:val="16"/>
                <w:szCs w:val="16"/>
              </w:rPr>
            </w:pPr>
            <w:r>
              <w:rPr>
                <w:rFonts w:ascii="Times New Roman"/>
                <w:w w:val="100"/>
                <w:sz w:val="16"/>
              </w:rPr>
              <w:t>-</w:t>
            </w:r>
          </w:p>
        </w:tc>
        <w:tc>
          <w:tcPr>
            <w:tcW w:w="82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4"/>
              <w:ind w:right="102"/>
              <w:jc w:val="right"/>
              <w:rPr>
                <w:rFonts w:ascii="Times New Roman" w:hAnsi="Times New Roman" w:cs="Times New Roman" w:eastAsia="Times New Roman" w:hint="default"/>
                <w:sz w:val="16"/>
                <w:szCs w:val="16"/>
              </w:rPr>
            </w:pPr>
            <w:r>
              <w:rPr>
                <w:rFonts w:ascii="Times New Roman"/>
                <w:w w:val="100"/>
                <w:sz w:val="16"/>
              </w:rPr>
              <w:t>-</w:t>
            </w:r>
          </w:p>
        </w:tc>
        <w:tc>
          <w:tcPr>
            <w:tcW w:w="74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4"/>
              <w:ind w:right="101"/>
              <w:jc w:val="right"/>
              <w:rPr>
                <w:rFonts w:ascii="Times New Roman" w:hAnsi="Times New Roman" w:cs="Times New Roman" w:eastAsia="Times New Roman" w:hint="default"/>
                <w:sz w:val="16"/>
                <w:szCs w:val="16"/>
              </w:rPr>
            </w:pPr>
            <w:r>
              <w:rPr>
                <w:rFonts w:ascii="Times New Roman"/>
                <w:w w:val="100"/>
                <w:sz w:val="16"/>
              </w:rPr>
              <w:t>-</w:t>
            </w:r>
          </w:p>
        </w:tc>
        <w:tc>
          <w:tcPr>
            <w:tcW w:w="70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98"/>
              <w:jc w:val="right"/>
              <w:rPr>
                <w:rFonts w:ascii="Times New Roman" w:hAnsi="Times New Roman" w:cs="Times New Roman" w:eastAsia="Times New Roman" w:hint="default"/>
                <w:sz w:val="16"/>
                <w:szCs w:val="16"/>
              </w:rPr>
            </w:pPr>
            <w:r>
              <w:rPr>
                <w:rFonts w:ascii="Times New Roman"/>
                <w:b/>
                <w:sz w:val="16"/>
              </w:rPr>
              <w:t>20</w:t>
            </w:r>
            <w:r>
              <w:rPr>
                <w:rFonts w:ascii="Times New Roman"/>
                <w:sz w:val="16"/>
              </w:rPr>
            </w:r>
          </w:p>
        </w:tc>
        <w:tc>
          <w:tcPr>
            <w:tcW w:w="85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z w:val="16"/>
              </w:rPr>
              <w:t>39</w:t>
            </w:r>
            <w:r>
              <w:rPr>
                <w:rFonts w:ascii="Times New Roman"/>
                <w:sz w:val="16"/>
              </w:rPr>
            </w:r>
          </w:p>
        </w:tc>
        <w:tc>
          <w:tcPr>
            <w:tcW w:w="81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2"/>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1"/>
              <w:jc w:val="right"/>
              <w:rPr>
                <w:rFonts w:ascii="Times New Roman" w:hAnsi="Times New Roman" w:cs="Times New Roman" w:eastAsia="Times New Roman" w:hint="default"/>
                <w:sz w:val="16"/>
                <w:szCs w:val="16"/>
              </w:rPr>
            </w:pPr>
            <w:r>
              <w:rPr>
                <w:rFonts w:ascii="Times New Roman"/>
                <w:b/>
                <w:sz w:val="16"/>
              </w:rPr>
              <w:t>81</w:t>
            </w:r>
            <w:r>
              <w:rPr>
                <w:rFonts w:ascii="Times New Roman"/>
                <w:sz w:val="16"/>
              </w:rPr>
            </w:r>
          </w:p>
        </w:tc>
        <w:tc>
          <w:tcPr>
            <w:tcW w:w="78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6"/>
              <w:ind w:right="100"/>
              <w:jc w:val="right"/>
              <w:rPr>
                <w:rFonts w:ascii="Times New Roman" w:hAnsi="Times New Roman" w:cs="Times New Roman" w:eastAsia="Times New Roman" w:hint="default"/>
                <w:sz w:val="16"/>
                <w:szCs w:val="16"/>
              </w:rPr>
            </w:pPr>
            <w:r>
              <w:rPr>
                <w:rFonts w:ascii="Times New Roman"/>
                <w:b/>
                <w:spacing w:val="-1"/>
                <w:sz w:val="16"/>
              </w:rPr>
              <w:t>1.310</w:t>
            </w:r>
            <w:r>
              <w:rPr>
                <w:rFonts w:ascii="Times New Roman"/>
                <w:spacing w:val="-1"/>
                <w:sz w:val="16"/>
              </w:rPr>
            </w:r>
          </w:p>
        </w:tc>
      </w:tr>
      <w:tr>
        <w:trPr>
          <w:trHeight w:val="276" w:hRule="exact"/>
        </w:trPr>
        <w:tc>
          <w:tcPr>
            <w:tcW w:w="626" w:type="dxa"/>
            <w:vMerge w:val="restart"/>
            <w:tcBorders>
              <w:top w:val="single" w:sz="12"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ind w:right="0"/>
              <w:jc w:val="left"/>
              <w:rPr>
                <w:rFonts w:ascii="Times New Roman" w:hAnsi="Times New Roman" w:cs="Times New Roman" w:eastAsia="Times New Roman" w:hint="default"/>
                <w:sz w:val="16"/>
                <w:szCs w:val="16"/>
              </w:rPr>
            </w:pPr>
          </w:p>
          <w:p>
            <w:pPr>
              <w:pStyle w:val="TableParagraph"/>
              <w:spacing w:line="240" w:lineRule="auto" w:before="6"/>
              <w:ind w:right="0"/>
              <w:jc w:val="left"/>
              <w:rPr>
                <w:rFonts w:ascii="Times New Roman" w:hAnsi="Times New Roman" w:cs="Times New Roman" w:eastAsia="Times New Roman" w:hint="default"/>
                <w:sz w:val="23"/>
                <w:szCs w:val="23"/>
              </w:rPr>
            </w:pPr>
          </w:p>
          <w:p>
            <w:pPr>
              <w:pStyle w:val="TableParagraph"/>
              <w:spacing w:line="240" w:lineRule="auto"/>
              <w:ind w:left="187" w:right="94"/>
              <w:jc w:val="left"/>
              <w:rPr>
                <w:rFonts w:ascii="Times New Roman" w:hAnsi="Times New Roman" w:cs="Times New Roman" w:eastAsia="Times New Roman" w:hint="default"/>
                <w:sz w:val="16"/>
                <w:szCs w:val="16"/>
              </w:rPr>
            </w:pPr>
            <w:r>
              <w:rPr>
                <w:rFonts w:ascii="Times New Roman"/>
                <w:sz w:val="16"/>
              </w:rPr>
              <w:t>523</w:t>
            </w:r>
          </w:p>
        </w:tc>
        <w:tc>
          <w:tcPr>
            <w:tcW w:w="135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left="103" w:right="0"/>
              <w:jc w:val="left"/>
              <w:rPr>
                <w:rFonts w:ascii="Times New Roman" w:hAnsi="Times New Roman" w:cs="Times New Roman" w:eastAsia="Times New Roman" w:hint="default"/>
                <w:sz w:val="16"/>
                <w:szCs w:val="16"/>
              </w:rPr>
            </w:pPr>
            <w:r>
              <w:rPr>
                <w:rFonts w:ascii="Times New Roman" w:hAnsi="Times New Roman"/>
                <w:sz w:val="16"/>
              </w:rPr>
              <w:t>Укупна</w:t>
            </w:r>
            <w:r>
              <w:rPr>
                <w:rFonts w:ascii="Times New Roman" w:hAnsi="Times New Roman"/>
                <w:spacing w:val="-5"/>
                <w:sz w:val="16"/>
              </w:rPr>
              <w:t> </w:t>
            </w:r>
            <w:r>
              <w:rPr>
                <w:rFonts w:ascii="Times New Roman" w:hAnsi="Times New Roman"/>
                <w:sz w:val="16"/>
              </w:rPr>
              <w:t>апроп</w:t>
            </w:r>
            <w:r>
              <w:rPr>
                <w:rFonts w:ascii="Times New Roman" w:hAnsi="Times New Roman"/>
                <w:sz w:val="16"/>
              </w:rPr>
              <w:t>.</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2"/>
              <w:jc w:val="right"/>
              <w:rPr>
                <w:rFonts w:ascii="Times New Roman" w:hAnsi="Times New Roman" w:cs="Times New Roman" w:eastAsia="Times New Roman" w:hint="default"/>
                <w:sz w:val="16"/>
                <w:szCs w:val="16"/>
              </w:rPr>
            </w:pPr>
            <w:r>
              <w:rPr>
                <w:rFonts w:ascii="Times New Roman"/>
                <w:spacing w:val="-1"/>
                <w:sz w:val="16"/>
              </w:rPr>
              <w:t>91.000</w:t>
            </w:r>
          </w:p>
        </w:tc>
        <w:tc>
          <w:tcPr>
            <w:tcW w:w="67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9"/>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9"/>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9"/>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9"/>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9"/>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9"/>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9"/>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2"/>
              <w:jc w:val="right"/>
              <w:rPr>
                <w:rFonts w:ascii="Times New Roman" w:hAnsi="Times New Roman" w:cs="Times New Roman" w:eastAsia="Times New Roman" w:hint="default"/>
                <w:sz w:val="16"/>
                <w:szCs w:val="16"/>
              </w:rPr>
            </w:pPr>
            <w:r>
              <w:rPr>
                <w:rFonts w:ascii="Times New Roman"/>
                <w:spacing w:val="-1"/>
                <w:sz w:val="16"/>
              </w:rPr>
              <w:t>30.000</w:t>
            </w:r>
          </w:p>
        </w:tc>
        <w:tc>
          <w:tcPr>
            <w:tcW w:w="74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0"/>
              <w:jc w:val="right"/>
              <w:rPr>
                <w:rFonts w:ascii="Times New Roman" w:hAnsi="Times New Roman" w:cs="Times New Roman" w:eastAsia="Times New Roman" w:hint="default"/>
                <w:sz w:val="16"/>
                <w:szCs w:val="16"/>
              </w:rPr>
            </w:pPr>
            <w:r>
              <w:rPr>
                <w:rFonts w:ascii="Times New Roman"/>
                <w:spacing w:val="-1"/>
                <w:sz w:val="16"/>
              </w:rPr>
              <w:t>2.362</w:t>
            </w:r>
          </w:p>
        </w:tc>
        <w:tc>
          <w:tcPr>
            <w:tcW w:w="70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9"/>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9"/>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2"/>
              <w:jc w:val="right"/>
              <w:rPr>
                <w:rFonts w:ascii="Times New Roman" w:hAnsi="Times New Roman" w:cs="Times New Roman" w:eastAsia="Times New Roman" w:hint="default"/>
                <w:sz w:val="16"/>
                <w:szCs w:val="16"/>
              </w:rPr>
            </w:pPr>
            <w:r>
              <w:rPr>
                <w:rFonts w:ascii="Times New Roman"/>
                <w:spacing w:val="-1"/>
                <w:sz w:val="16"/>
              </w:rPr>
              <w:t>4.750</w:t>
            </w:r>
          </w:p>
        </w:tc>
        <w:tc>
          <w:tcPr>
            <w:tcW w:w="816"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2"/>
              <w:jc w:val="right"/>
              <w:rPr>
                <w:rFonts w:ascii="Times New Roman" w:hAnsi="Times New Roman" w:cs="Times New Roman" w:eastAsia="Times New Roman" w:hint="default"/>
                <w:sz w:val="16"/>
                <w:szCs w:val="16"/>
              </w:rPr>
            </w:pPr>
            <w:r>
              <w:rPr>
                <w:rFonts w:ascii="Times New Roman"/>
                <w:spacing w:val="-1"/>
                <w:sz w:val="16"/>
              </w:rPr>
              <w:t>500</w:t>
            </w:r>
          </w:p>
        </w:tc>
        <w:tc>
          <w:tcPr>
            <w:tcW w:w="69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6"/>
              <w:ind w:right="100"/>
              <w:jc w:val="right"/>
              <w:rPr>
                <w:rFonts w:ascii="Times New Roman" w:hAnsi="Times New Roman" w:cs="Times New Roman" w:eastAsia="Times New Roman" w:hint="default"/>
                <w:sz w:val="16"/>
                <w:szCs w:val="16"/>
              </w:rPr>
            </w:pPr>
            <w:r>
              <w:rPr>
                <w:rFonts w:ascii="Times New Roman"/>
                <w:spacing w:val="-1"/>
                <w:sz w:val="16"/>
              </w:rPr>
              <w:t>600</w:t>
            </w:r>
          </w:p>
        </w:tc>
        <w:tc>
          <w:tcPr>
            <w:tcW w:w="65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9"/>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9"/>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69"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left="103" w:right="0"/>
              <w:jc w:val="left"/>
              <w:rPr>
                <w:rFonts w:ascii="Times New Roman" w:hAnsi="Times New Roman" w:cs="Times New Roman" w:eastAsia="Times New Roman" w:hint="default"/>
                <w:sz w:val="16"/>
                <w:szCs w:val="16"/>
              </w:rPr>
            </w:pPr>
            <w:r>
              <w:rPr>
                <w:rFonts w:ascii="Times New Roman" w:hAnsi="Times New Roman"/>
                <w:sz w:val="16"/>
              </w:rPr>
              <w:t>Исказано</w:t>
            </w:r>
            <w:r>
              <w:rPr>
                <w:rFonts w:ascii="Times New Roman" w:hAnsi="Times New Roman"/>
                <w:spacing w:val="-5"/>
                <w:sz w:val="16"/>
              </w:rPr>
              <w:t> </w:t>
            </w:r>
            <w:r>
              <w:rPr>
                <w:rFonts w:ascii="Times New Roman" w:hAnsi="Times New Roman"/>
                <w:sz w:val="16"/>
              </w:rPr>
              <w:t>изврш</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right="102"/>
              <w:jc w:val="right"/>
              <w:rPr>
                <w:rFonts w:ascii="Times New Roman" w:hAnsi="Times New Roman" w:cs="Times New Roman" w:eastAsia="Times New Roman" w:hint="default"/>
                <w:sz w:val="16"/>
                <w:szCs w:val="16"/>
              </w:rPr>
            </w:pPr>
            <w:r>
              <w:rPr>
                <w:rFonts w:ascii="Times New Roman"/>
                <w:spacing w:val="-1"/>
                <w:sz w:val="16"/>
              </w:rPr>
              <w:t>59.072</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right="102"/>
              <w:jc w:val="right"/>
              <w:rPr>
                <w:rFonts w:ascii="Times New Roman" w:hAnsi="Times New Roman" w:cs="Times New Roman" w:eastAsia="Times New Roman" w:hint="default"/>
                <w:sz w:val="16"/>
                <w:szCs w:val="16"/>
              </w:rPr>
            </w:pPr>
            <w:r>
              <w:rPr>
                <w:rFonts w:ascii="Times New Roman"/>
                <w:spacing w:val="-1"/>
                <w:sz w:val="16"/>
              </w:rPr>
              <w:t>20.996</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right="100"/>
              <w:jc w:val="right"/>
              <w:rPr>
                <w:rFonts w:ascii="Times New Roman" w:hAnsi="Times New Roman" w:cs="Times New Roman" w:eastAsia="Times New Roman" w:hint="default"/>
                <w:sz w:val="16"/>
                <w:szCs w:val="16"/>
              </w:rPr>
            </w:pPr>
            <w:r>
              <w:rPr>
                <w:rFonts w:ascii="Times New Roman"/>
                <w:spacing w:val="-1"/>
                <w:sz w:val="16"/>
              </w:rPr>
              <w:t>1.638</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right="102"/>
              <w:jc w:val="right"/>
              <w:rPr>
                <w:rFonts w:ascii="Times New Roman" w:hAnsi="Times New Roman" w:cs="Times New Roman" w:eastAsia="Times New Roman" w:hint="default"/>
                <w:sz w:val="16"/>
                <w:szCs w:val="16"/>
              </w:rPr>
            </w:pPr>
            <w:r>
              <w:rPr>
                <w:rFonts w:ascii="Times New Roman"/>
                <w:spacing w:val="-1"/>
                <w:sz w:val="16"/>
              </w:rPr>
              <w:t>466</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right="102"/>
              <w:jc w:val="right"/>
              <w:rPr>
                <w:rFonts w:ascii="Times New Roman" w:hAnsi="Times New Roman" w:cs="Times New Roman" w:eastAsia="Times New Roman" w:hint="default"/>
                <w:sz w:val="16"/>
                <w:szCs w:val="16"/>
              </w:rPr>
            </w:pPr>
            <w:r>
              <w:rPr>
                <w:rFonts w:ascii="Times New Roman"/>
                <w:spacing w:val="-1"/>
                <w:sz w:val="16"/>
              </w:rPr>
              <w:t>488</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right="100"/>
              <w:jc w:val="right"/>
              <w:rPr>
                <w:rFonts w:ascii="Times New Roman" w:hAnsi="Times New Roman" w:cs="Times New Roman" w:eastAsia="Times New Roman" w:hint="default"/>
                <w:sz w:val="16"/>
                <w:szCs w:val="16"/>
              </w:rPr>
            </w:pPr>
            <w:r>
              <w:rPr>
                <w:rFonts w:ascii="Times New Roman"/>
                <w:spacing w:val="-1"/>
                <w:sz w:val="16"/>
              </w:rPr>
              <w:t>569</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14"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(1)</w:t>
            </w:r>
            <w:r>
              <w:rPr>
                <w:rFonts w:ascii="Times New Roman" w:hAnsi="Times New Roman"/>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31.928</w:t>
            </w:r>
            <w:r>
              <w:rPr>
                <w:rFonts w:ascii="Times New Roman"/>
                <w:spacing w:val="-1"/>
                <w:sz w:val="16"/>
              </w:rPr>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9.004</w:t>
            </w:r>
            <w:r>
              <w:rPr>
                <w:rFonts w:ascii="Times New Roman"/>
                <w:spacing w:val="-1"/>
                <w:sz w:val="16"/>
              </w:rPr>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724</w:t>
            </w:r>
            <w:r>
              <w:rPr>
                <w:rFonts w:ascii="Times New Roman"/>
                <w:spacing w:val="-1"/>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4.284</w:t>
            </w:r>
            <w:r>
              <w:rPr>
                <w:rFonts w:ascii="Times New Roman"/>
                <w:spacing w:val="-1"/>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z w:val="16"/>
              </w:rPr>
              <w:t>12</w:t>
            </w:r>
            <w:r>
              <w:rPr>
                <w:rFonts w:ascii="Times New Roman"/>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98"/>
              <w:jc w:val="right"/>
              <w:rPr>
                <w:rFonts w:ascii="Times New Roman" w:hAnsi="Times New Roman" w:cs="Times New Roman" w:eastAsia="Times New Roman" w:hint="default"/>
                <w:sz w:val="16"/>
                <w:szCs w:val="16"/>
              </w:rPr>
            </w:pPr>
            <w:r>
              <w:rPr>
                <w:rFonts w:ascii="Times New Roman"/>
                <w:b/>
                <w:sz w:val="16"/>
              </w:rPr>
              <w:t>31</w:t>
            </w:r>
            <w:r>
              <w:rPr>
                <w:rFonts w:ascii="Times New Roman"/>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71"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3"/>
                <w:sz w:val="16"/>
              </w:rPr>
              <w:t> </w:t>
            </w:r>
            <w:r>
              <w:rPr>
                <w:rFonts w:ascii="Times New Roman" w:hAnsi="Times New Roman"/>
                <w:sz w:val="16"/>
              </w:rPr>
              <w:t>рач</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2"/>
              <w:jc w:val="right"/>
              <w:rPr>
                <w:rFonts w:ascii="Times New Roman" w:hAnsi="Times New Roman" w:cs="Times New Roman" w:eastAsia="Times New Roman" w:hint="default"/>
                <w:sz w:val="16"/>
                <w:szCs w:val="16"/>
              </w:rPr>
            </w:pPr>
            <w:r>
              <w:rPr>
                <w:rFonts w:ascii="Times New Roman"/>
                <w:spacing w:val="-1"/>
                <w:sz w:val="16"/>
              </w:rPr>
              <w:t>10.743</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2"/>
              <w:jc w:val="right"/>
              <w:rPr>
                <w:rFonts w:ascii="Times New Roman" w:hAnsi="Times New Roman" w:cs="Times New Roman" w:eastAsia="Times New Roman" w:hint="default"/>
                <w:sz w:val="16"/>
                <w:szCs w:val="16"/>
              </w:rPr>
            </w:pPr>
            <w:r>
              <w:rPr>
                <w:rFonts w:ascii="Times New Roman"/>
                <w:spacing w:val="-1"/>
                <w:sz w:val="16"/>
              </w:rPr>
              <w:t>18.993</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1"/>
              <w:jc w:val="right"/>
              <w:rPr>
                <w:rFonts w:ascii="Times New Roman" w:hAnsi="Times New Roman" w:cs="Times New Roman" w:eastAsia="Times New Roman" w:hint="default"/>
                <w:sz w:val="16"/>
                <w:szCs w:val="16"/>
              </w:rPr>
            </w:pPr>
            <w:r>
              <w:rPr>
                <w:rFonts w:ascii="Times New Roman"/>
                <w:sz w:val="16"/>
              </w:rPr>
              <w:t>40</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00"/>
              <w:jc w:val="right"/>
              <w:rPr>
                <w:rFonts w:ascii="Times New Roman" w:hAnsi="Times New Roman" w:cs="Times New Roman" w:eastAsia="Times New Roman" w:hint="default"/>
                <w:sz w:val="16"/>
                <w:szCs w:val="16"/>
              </w:rPr>
            </w:pPr>
            <w:r>
              <w:rPr>
                <w:rFonts w:ascii="Times New Roman"/>
                <w:spacing w:val="-1"/>
                <w:sz w:val="16"/>
              </w:rPr>
              <w:t>179</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45" w:hRule="exact"/>
        </w:trPr>
        <w:tc>
          <w:tcPr>
            <w:tcW w:w="626" w:type="dxa"/>
            <w:vMerge/>
            <w:tcBorders>
              <w:left w:val="single" w:sz="4" w:space="0" w:color="000000"/>
              <w:right w:val="single" w:sz="4" w:space="0" w:color="000000"/>
            </w:tcBorders>
          </w:tcPr>
          <w:p>
            <w:pP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7"/>
              <w:ind w:left="103" w:right="0"/>
              <w:jc w:val="left"/>
              <w:rPr>
                <w:rFonts w:ascii="Times New Roman" w:hAnsi="Times New Roman" w:cs="Times New Roman" w:eastAsia="Times New Roman" w:hint="default"/>
                <w:sz w:val="16"/>
                <w:szCs w:val="16"/>
              </w:rPr>
            </w:pPr>
            <w:r>
              <w:rPr>
                <w:rFonts w:ascii="Times New Roman" w:hAnsi="Times New Roman"/>
                <w:sz w:val="16"/>
              </w:rPr>
              <w:t>Обавезе по</w:t>
            </w:r>
            <w:r>
              <w:rPr>
                <w:rFonts w:ascii="Times New Roman" w:hAnsi="Times New Roman"/>
                <w:spacing w:val="-7"/>
                <w:sz w:val="16"/>
              </w:rPr>
              <w:t> </w:t>
            </w:r>
            <w:r>
              <w:rPr>
                <w:rFonts w:ascii="Times New Roman" w:hAnsi="Times New Roman"/>
                <w:sz w:val="16"/>
              </w:rPr>
              <w:t>угов</w:t>
            </w:r>
            <w:r>
              <w:rPr>
                <w:rFonts w:ascii="Times New Roman" w:hAnsi="Times New Roman"/>
                <w:sz w:val="16"/>
              </w:rPr>
              <w:t>.</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7"/>
              <w:ind w:right="143"/>
              <w:jc w:val="right"/>
              <w:rPr>
                <w:rFonts w:ascii="Times New Roman" w:hAnsi="Times New Roman" w:cs="Times New Roman" w:eastAsia="Times New Roman" w:hint="default"/>
                <w:sz w:val="16"/>
                <w:szCs w:val="16"/>
              </w:rPr>
            </w:pPr>
            <w:r>
              <w:rPr>
                <w:rFonts w:ascii="Times New Roman"/>
                <w:w w:val="100"/>
                <w:sz w:val="16"/>
              </w:rPr>
              <w:t>-</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0"/>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0"/>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0"/>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0"/>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0"/>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0"/>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0"/>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7"/>
              <w:ind w:right="102"/>
              <w:jc w:val="right"/>
              <w:rPr>
                <w:rFonts w:ascii="Times New Roman" w:hAnsi="Times New Roman" w:cs="Times New Roman" w:eastAsia="Times New Roman" w:hint="default"/>
                <w:sz w:val="16"/>
                <w:szCs w:val="16"/>
              </w:rPr>
            </w:pPr>
            <w:r>
              <w:rPr>
                <w:rFonts w:ascii="Times New Roman"/>
                <w:w w:val="100"/>
                <w:sz w:val="16"/>
              </w:rPr>
              <w:t>-</w:t>
            </w:r>
          </w:p>
        </w:tc>
        <w:tc>
          <w:tcPr>
            <w:tcW w:w="7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0"/>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0"/>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0"/>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0"/>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0"/>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0"/>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0"/>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0"/>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26" w:hRule="exact"/>
        </w:trPr>
        <w:tc>
          <w:tcPr>
            <w:tcW w:w="626" w:type="dxa"/>
            <w:vMerge/>
            <w:tcBorders>
              <w:left w:val="single" w:sz="4" w:space="0" w:color="000000"/>
              <w:bottom w:val="single" w:sz="12" w:space="0" w:color="000000"/>
              <w:right w:val="single" w:sz="4" w:space="0" w:color="000000"/>
            </w:tcBorders>
          </w:tcPr>
          <w:p>
            <w:pPr/>
          </w:p>
        </w:tc>
        <w:tc>
          <w:tcPr>
            <w:tcW w:w="13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left="103" w:right="0"/>
              <w:jc w:val="left"/>
              <w:rPr>
                <w:rFonts w:ascii="Times New Roman" w:hAnsi="Times New Roman" w:cs="Times New Roman" w:eastAsia="Times New Roman" w:hint="default"/>
                <w:sz w:val="16"/>
                <w:szCs w:val="16"/>
              </w:rPr>
            </w:pPr>
            <w:r>
              <w:rPr>
                <w:rFonts w:ascii="Times New Roman" w:hAnsi="Times New Roman"/>
                <w:b/>
                <w:sz w:val="16"/>
              </w:rPr>
              <w:t>Разлика</w:t>
            </w:r>
            <w:r>
              <w:rPr>
                <w:rFonts w:ascii="Times New Roman" w:hAnsi="Times New Roman"/>
                <w:b/>
                <w:spacing w:val="-3"/>
                <w:sz w:val="16"/>
              </w:rPr>
              <w:t> </w:t>
            </w:r>
            <w:r>
              <w:rPr>
                <w:rFonts w:ascii="Times New Roman" w:hAnsi="Times New Roman"/>
                <w:b/>
                <w:sz w:val="16"/>
              </w:rPr>
              <w:t>(2)</w:t>
            </w:r>
            <w:r>
              <w:rPr>
                <w:rFonts w:ascii="Times New Roman" w:hAnsi="Times New Roman"/>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21.185</w:t>
            </w:r>
            <w:r>
              <w:rPr>
                <w:rFonts w:ascii="Times New Roman"/>
                <w:spacing w:val="-1"/>
                <w:sz w:val="16"/>
              </w:rPr>
            </w:r>
          </w:p>
        </w:tc>
        <w:tc>
          <w:tcPr>
            <w:tcW w:w="67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2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5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8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900"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9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2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-9.989</w:t>
            </w:r>
            <w:r>
              <w:rPr>
                <w:rFonts w:ascii="Times New Roman"/>
                <w:spacing w:val="-1"/>
                <w:sz w:val="16"/>
              </w:rPr>
            </w:r>
          </w:p>
        </w:tc>
        <w:tc>
          <w:tcPr>
            <w:tcW w:w="74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724</w:t>
            </w:r>
            <w:r>
              <w:rPr>
                <w:rFonts w:ascii="Times New Roman"/>
                <w:spacing w:val="-1"/>
                <w:sz w:val="16"/>
              </w:rPr>
            </w:r>
          </w:p>
        </w:tc>
        <w:tc>
          <w:tcPr>
            <w:tcW w:w="70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85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6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2"/>
              <w:jc w:val="right"/>
              <w:rPr>
                <w:rFonts w:ascii="Times New Roman" w:hAnsi="Times New Roman" w:cs="Times New Roman" w:eastAsia="Times New Roman" w:hint="default"/>
                <w:sz w:val="16"/>
                <w:szCs w:val="16"/>
              </w:rPr>
            </w:pPr>
            <w:r>
              <w:rPr>
                <w:rFonts w:ascii="Times New Roman"/>
                <w:b/>
                <w:spacing w:val="-1"/>
                <w:sz w:val="16"/>
              </w:rPr>
              <w:t>4.244</w:t>
            </w:r>
            <w:r>
              <w:rPr>
                <w:rFonts w:ascii="Times New Roman"/>
                <w:spacing w:val="-1"/>
                <w:sz w:val="16"/>
              </w:rPr>
            </w:r>
          </w:p>
        </w:tc>
        <w:tc>
          <w:tcPr>
            <w:tcW w:w="81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1"/>
              <w:jc w:val="right"/>
              <w:rPr>
                <w:rFonts w:ascii="Times New Roman" w:hAnsi="Times New Roman" w:cs="Times New Roman" w:eastAsia="Times New Roman" w:hint="default"/>
                <w:sz w:val="16"/>
                <w:szCs w:val="16"/>
              </w:rPr>
            </w:pPr>
            <w:r>
              <w:rPr>
                <w:rFonts w:ascii="Times New Roman"/>
                <w:b/>
                <w:sz w:val="16"/>
              </w:rPr>
              <w:t>12</w:t>
            </w:r>
            <w:r>
              <w:rPr>
                <w:rFonts w:ascii="Times New Roman"/>
                <w:sz w:val="16"/>
              </w:rPr>
            </w:r>
          </w:p>
        </w:tc>
        <w:tc>
          <w:tcPr>
            <w:tcW w:w="69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00"/>
              <w:jc w:val="right"/>
              <w:rPr>
                <w:rFonts w:ascii="Times New Roman" w:hAnsi="Times New Roman" w:cs="Times New Roman" w:eastAsia="Times New Roman" w:hint="default"/>
                <w:sz w:val="16"/>
                <w:szCs w:val="16"/>
              </w:rPr>
            </w:pPr>
            <w:r>
              <w:rPr>
                <w:rFonts w:ascii="Times New Roman"/>
                <w:b/>
                <w:spacing w:val="-1"/>
                <w:sz w:val="16"/>
              </w:rPr>
              <w:t>-148</w:t>
            </w:r>
            <w:r>
              <w:rPr>
                <w:rFonts w:ascii="Times New Roman"/>
                <w:spacing w:val="-1"/>
                <w:sz w:val="16"/>
              </w:rPr>
            </w: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43"/>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c>
          <w:tcPr>
            <w:tcW w:w="78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8"/>
              <w:ind w:right="141"/>
              <w:jc w:val="right"/>
              <w:rPr>
                <w:rFonts w:ascii="Times New Roman" w:hAnsi="Times New Roman" w:cs="Times New Roman" w:eastAsia="Times New Roman" w:hint="default"/>
                <w:sz w:val="16"/>
                <w:szCs w:val="16"/>
              </w:rPr>
            </w:pPr>
            <w:r>
              <w:rPr>
                <w:rFonts w:ascii="Times New Roman"/>
                <w:b/>
                <w:w w:val="100"/>
                <w:sz w:val="16"/>
              </w:rPr>
              <w:t>-</w:t>
            </w:r>
            <w:r>
              <w:rPr>
                <w:rFonts w:ascii="Times New Roman"/>
                <w:w w:val="100"/>
                <w:sz w:val="16"/>
              </w:rPr>
            </w:r>
          </w:p>
        </w:tc>
      </w:tr>
      <w:tr>
        <w:trPr>
          <w:trHeight w:val="269" w:hRule="exact"/>
        </w:trPr>
        <w:tc>
          <w:tcPr>
            <w:tcW w:w="626" w:type="dxa"/>
            <w:tcBorders>
              <w:top w:val="single" w:sz="12" w:space="0" w:color="000000"/>
              <w:left w:val="single" w:sz="4" w:space="0" w:color="000000"/>
              <w:bottom w:val="single" w:sz="12" w:space="0" w:color="000000"/>
              <w:right w:val="single" w:sz="4" w:space="0" w:color="000000"/>
            </w:tcBorders>
          </w:tcPr>
          <w:p>
            <w:pPr/>
          </w:p>
        </w:tc>
        <w:tc>
          <w:tcPr>
            <w:tcW w:w="1359" w:type="dxa"/>
            <w:tcBorders>
              <w:top w:val="single" w:sz="12" w:space="0" w:color="000000"/>
              <w:left w:val="single" w:sz="4" w:space="0" w:color="000000"/>
              <w:bottom w:val="single" w:sz="12" w:space="0" w:color="000000"/>
              <w:right w:val="single" w:sz="4" w:space="0" w:color="000000"/>
            </w:tcBorders>
          </w:tcPr>
          <w:p>
            <w:pPr>
              <w:pStyle w:val="TableParagraph"/>
              <w:spacing w:line="240" w:lineRule="auto" w:before="50"/>
              <w:ind w:left="103" w:right="0"/>
              <w:jc w:val="left"/>
              <w:rPr>
                <w:rFonts w:ascii="Times New Roman" w:hAnsi="Times New Roman" w:cs="Times New Roman" w:eastAsia="Times New Roman" w:hint="default"/>
                <w:sz w:val="16"/>
                <w:szCs w:val="16"/>
              </w:rPr>
            </w:pPr>
            <w:r>
              <w:rPr>
                <w:rFonts w:ascii="Times New Roman" w:hAnsi="Times New Roman"/>
                <w:sz w:val="16"/>
              </w:rPr>
              <w:t>Разлика</w:t>
            </w:r>
            <w:r>
              <w:rPr>
                <w:rFonts w:ascii="Times New Roman" w:hAnsi="Times New Roman"/>
                <w:spacing w:val="-2"/>
                <w:sz w:val="16"/>
              </w:rPr>
              <w:t> </w:t>
            </w:r>
            <w:r>
              <w:rPr>
                <w:rFonts w:ascii="Times New Roman" w:hAnsi="Times New Roman"/>
                <w:sz w:val="16"/>
              </w:rPr>
              <w:t>2</w:t>
            </w:r>
          </w:p>
        </w:tc>
        <w:tc>
          <w:tcPr>
            <w:tcW w:w="658" w:type="dxa"/>
            <w:tcBorders>
              <w:top w:val="single" w:sz="12" w:space="0" w:color="000000"/>
              <w:left w:val="single" w:sz="4" w:space="0" w:color="000000"/>
              <w:bottom w:val="single" w:sz="12" w:space="0" w:color="000000"/>
              <w:right w:val="single" w:sz="4" w:space="0" w:color="000000"/>
            </w:tcBorders>
          </w:tcPr>
          <w:p>
            <w:pPr>
              <w:pStyle w:val="TableParagraph"/>
              <w:spacing w:line="240" w:lineRule="auto" w:before="50"/>
              <w:ind w:right="102"/>
              <w:jc w:val="right"/>
              <w:rPr>
                <w:rFonts w:ascii="Times New Roman" w:hAnsi="Times New Roman" w:cs="Times New Roman" w:eastAsia="Times New Roman" w:hint="default"/>
                <w:sz w:val="16"/>
                <w:szCs w:val="16"/>
              </w:rPr>
            </w:pPr>
            <w:r>
              <w:rPr>
                <w:rFonts w:ascii="Times New Roman"/>
                <w:spacing w:val="-1"/>
                <w:sz w:val="16"/>
              </w:rPr>
              <w:t>-112</w:t>
            </w:r>
          </w:p>
        </w:tc>
        <w:tc>
          <w:tcPr>
            <w:tcW w:w="679" w:type="dxa"/>
            <w:tcBorders>
              <w:top w:val="single" w:sz="12" w:space="0" w:color="000000"/>
              <w:left w:val="single" w:sz="4" w:space="0" w:color="000000"/>
              <w:bottom w:val="single" w:sz="12" w:space="0" w:color="000000"/>
              <w:right w:val="single" w:sz="4" w:space="0" w:color="000000"/>
            </w:tcBorders>
          </w:tcPr>
          <w:p>
            <w:pPr>
              <w:pStyle w:val="TableParagraph"/>
              <w:spacing w:line="240" w:lineRule="auto" w:before="50"/>
              <w:ind w:right="102"/>
              <w:jc w:val="right"/>
              <w:rPr>
                <w:rFonts w:ascii="Times New Roman" w:hAnsi="Times New Roman" w:cs="Times New Roman" w:eastAsia="Times New Roman" w:hint="default"/>
                <w:sz w:val="16"/>
                <w:szCs w:val="16"/>
              </w:rPr>
            </w:pPr>
            <w:r>
              <w:rPr>
                <w:rFonts w:ascii="Times New Roman"/>
                <w:spacing w:val="-1"/>
                <w:sz w:val="16"/>
              </w:rPr>
              <w:t>-1.958</w:t>
            </w:r>
          </w:p>
        </w:tc>
        <w:tc>
          <w:tcPr>
            <w:tcW w:w="927" w:type="dxa"/>
            <w:tcBorders>
              <w:top w:val="single" w:sz="12" w:space="0" w:color="000000"/>
              <w:left w:val="single" w:sz="4" w:space="0" w:color="000000"/>
              <w:bottom w:val="single" w:sz="12" w:space="0" w:color="000000"/>
              <w:right w:val="single" w:sz="4" w:space="0" w:color="000000"/>
            </w:tcBorders>
          </w:tcPr>
          <w:p>
            <w:pPr>
              <w:pStyle w:val="TableParagraph"/>
              <w:spacing w:line="240" w:lineRule="auto" w:before="50"/>
              <w:ind w:right="101"/>
              <w:jc w:val="right"/>
              <w:rPr>
                <w:rFonts w:ascii="Times New Roman" w:hAnsi="Times New Roman" w:cs="Times New Roman" w:eastAsia="Times New Roman" w:hint="default"/>
                <w:sz w:val="16"/>
                <w:szCs w:val="16"/>
              </w:rPr>
            </w:pPr>
            <w:r>
              <w:rPr>
                <w:rFonts w:ascii="Times New Roman"/>
                <w:spacing w:val="-1"/>
                <w:sz w:val="16"/>
              </w:rPr>
              <w:t>-36.973</w:t>
            </w:r>
          </w:p>
        </w:tc>
        <w:tc>
          <w:tcPr>
            <w:tcW w:w="955" w:type="dxa"/>
            <w:tcBorders>
              <w:top w:val="single" w:sz="12" w:space="0" w:color="000000"/>
              <w:left w:val="single" w:sz="4" w:space="0" w:color="000000"/>
              <w:bottom w:val="single" w:sz="12" w:space="0" w:color="000000"/>
              <w:right w:val="single" w:sz="4" w:space="0" w:color="000000"/>
            </w:tcBorders>
          </w:tcPr>
          <w:p>
            <w:pPr>
              <w:pStyle w:val="TableParagraph"/>
              <w:spacing w:line="240" w:lineRule="auto" w:before="50"/>
              <w:ind w:right="100"/>
              <w:jc w:val="right"/>
              <w:rPr>
                <w:rFonts w:ascii="Times New Roman" w:hAnsi="Times New Roman" w:cs="Times New Roman" w:eastAsia="Times New Roman" w:hint="default"/>
                <w:sz w:val="16"/>
                <w:szCs w:val="16"/>
              </w:rPr>
            </w:pPr>
            <w:r>
              <w:rPr>
                <w:rFonts w:ascii="Times New Roman"/>
                <w:spacing w:val="-1"/>
                <w:sz w:val="16"/>
              </w:rPr>
              <w:t>-9.505</w:t>
            </w:r>
          </w:p>
        </w:tc>
        <w:tc>
          <w:tcPr>
            <w:tcW w:w="986" w:type="dxa"/>
            <w:tcBorders>
              <w:top w:val="single" w:sz="12" w:space="0" w:color="000000"/>
              <w:left w:val="single" w:sz="4" w:space="0" w:color="000000"/>
              <w:bottom w:val="single" w:sz="12" w:space="0" w:color="000000"/>
              <w:right w:val="single" w:sz="4" w:space="0" w:color="000000"/>
            </w:tcBorders>
          </w:tcPr>
          <w:p>
            <w:pPr>
              <w:pStyle w:val="TableParagraph"/>
              <w:spacing w:line="240" w:lineRule="auto" w:before="50"/>
              <w:ind w:right="102"/>
              <w:jc w:val="right"/>
              <w:rPr>
                <w:rFonts w:ascii="Times New Roman" w:hAnsi="Times New Roman" w:cs="Times New Roman" w:eastAsia="Times New Roman" w:hint="default"/>
                <w:sz w:val="16"/>
                <w:szCs w:val="16"/>
              </w:rPr>
            </w:pPr>
            <w:r>
              <w:rPr>
                <w:rFonts w:ascii="Times New Roman"/>
                <w:spacing w:val="-1"/>
                <w:sz w:val="16"/>
              </w:rPr>
              <w:t>-3.862</w:t>
            </w:r>
          </w:p>
        </w:tc>
        <w:tc>
          <w:tcPr>
            <w:tcW w:w="900" w:type="dxa"/>
            <w:tcBorders>
              <w:top w:val="single" w:sz="12" w:space="0" w:color="000000"/>
              <w:left w:val="single" w:sz="4" w:space="0" w:color="000000"/>
              <w:bottom w:val="single" w:sz="12" w:space="0" w:color="000000"/>
              <w:right w:val="single" w:sz="4" w:space="0" w:color="000000"/>
            </w:tcBorders>
          </w:tcPr>
          <w:p>
            <w:pPr>
              <w:pStyle w:val="TableParagraph"/>
              <w:spacing w:line="240" w:lineRule="auto" w:before="50"/>
              <w:ind w:right="102"/>
              <w:jc w:val="right"/>
              <w:rPr>
                <w:rFonts w:ascii="Times New Roman" w:hAnsi="Times New Roman" w:cs="Times New Roman" w:eastAsia="Times New Roman" w:hint="default"/>
                <w:sz w:val="16"/>
                <w:szCs w:val="16"/>
              </w:rPr>
            </w:pPr>
            <w:r>
              <w:rPr>
                <w:rFonts w:ascii="Times New Roman"/>
                <w:spacing w:val="-1"/>
                <w:sz w:val="16"/>
              </w:rPr>
              <w:t>-6.675</w:t>
            </w:r>
          </w:p>
        </w:tc>
        <w:tc>
          <w:tcPr>
            <w:tcW w:w="759" w:type="dxa"/>
            <w:tcBorders>
              <w:top w:val="single" w:sz="12" w:space="0" w:color="000000"/>
              <w:left w:val="single" w:sz="4" w:space="0" w:color="000000"/>
              <w:bottom w:val="single" w:sz="12" w:space="0" w:color="000000"/>
              <w:right w:val="single" w:sz="4" w:space="0" w:color="000000"/>
            </w:tcBorders>
          </w:tcPr>
          <w:p>
            <w:pPr>
              <w:pStyle w:val="TableParagraph"/>
              <w:spacing w:line="240" w:lineRule="auto" w:before="50"/>
              <w:ind w:right="100"/>
              <w:jc w:val="right"/>
              <w:rPr>
                <w:rFonts w:ascii="Times New Roman" w:hAnsi="Times New Roman" w:cs="Times New Roman" w:eastAsia="Times New Roman" w:hint="default"/>
                <w:sz w:val="16"/>
                <w:szCs w:val="16"/>
              </w:rPr>
            </w:pPr>
            <w:r>
              <w:rPr>
                <w:rFonts w:ascii="Times New Roman"/>
                <w:spacing w:val="-1"/>
                <w:sz w:val="16"/>
              </w:rPr>
              <w:t>-9.833</w:t>
            </w:r>
          </w:p>
        </w:tc>
        <w:tc>
          <w:tcPr>
            <w:tcW w:w="792" w:type="dxa"/>
            <w:tcBorders>
              <w:top w:val="single" w:sz="12" w:space="0" w:color="000000"/>
              <w:left w:val="single" w:sz="4" w:space="0" w:color="000000"/>
              <w:bottom w:val="single" w:sz="12" w:space="0" w:color="000000"/>
              <w:right w:val="single" w:sz="4" w:space="0" w:color="000000"/>
            </w:tcBorders>
          </w:tcPr>
          <w:p>
            <w:pPr>
              <w:pStyle w:val="TableParagraph"/>
              <w:spacing w:line="240" w:lineRule="auto" w:before="50"/>
              <w:ind w:right="100"/>
              <w:jc w:val="right"/>
              <w:rPr>
                <w:rFonts w:ascii="Times New Roman" w:hAnsi="Times New Roman" w:cs="Times New Roman" w:eastAsia="Times New Roman" w:hint="default"/>
                <w:sz w:val="16"/>
                <w:szCs w:val="16"/>
              </w:rPr>
            </w:pPr>
            <w:r>
              <w:rPr>
                <w:rFonts w:ascii="Times New Roman"/>
                <w:spacing w:val="-1"/>
                <w:sz w:val="16"/>
              </w:rPr>
              <w:t>-2.080</w:t>
            </w:r>
          </w:p>
        </w:tc>
        <w:tc>
          <w:tcPr>
            <w:tcW w:w="821" w:type="dxa"/>
            <w:tcBorders>
              <w:top w:val="single" w:sz="12" w:space="0" w:color="000000"/>
              <w:left w:val="single" w:sz="4" w:space="0" w:color="000000"/>
              <w:bottom w:val="single" w:sz="12" w:space="0" w:color="000000"/>
              <w:right w:val="single" w:sz="4" w:space="0" w:color="000000"/>
            </w:tcBorders>
          </w:tcPr>
          <w:p>
            <w:pPr>
              <w:pStyle w:val="TableParagraph"/>
              <w:spacing w:line="240" w:lineRule="auto" w:before="50"/>
              <w:ind w:right="104"/>
              <w:jc w:val="right"/>
              <w:rPr>
                <w:rFonts w:ascii="Times New Roman" w:hAnsi="Times New Roman" w:cs="Times New Roman" w:eastAsia="Times New Roman" w:hint="default"/>
                <w:sz w:val="16"/>
                <w:szCs w:val="16"/>
              </w:rPr>
            </w:pPr>
            <w:r>
              <w:rPr>
                <w:rFonts w:ascii="Times New Roman"/>
                <w:spacing w:val="-1"/>
                <w:sz w:val="16"/>
              </w:rPr>
              <w:t>-71.443</w:t>
            </w:r>
          </w:p>
        </w:tc>
        <w:tc>
          <w:tcPr>
            <w:tcW w:w="747" w:type="dxa"/>
            <w:tcBorders>
              <w:top w:val="single" w:sz="12" w:space="0" w:color="000000"/>
              <w:left w:val="single" w:sz="4" w:space="0" w:color="000000"/>
              <w:bottom w:val="single" w:sz="12" w:space="0" w:color="000000"/>
              <w:right w:val="single" w:sz="4" w:space="0" w:color="000000"/>
            </w:tcBorders>
          </w:tcPr>
          <w:p>
            <w:pPr>
              <w:pStyle w:val="TableParagraph"/>
              <w:spacing w:line="240" w:lineRule="auto" w:before="50"/>
              <w:ind w:right="101"/>
              <w:jc w:val="right"/>
              <w:rPr>
                <w:rFonts w:ascii="Times New Roman" w:hAnsi="Times New Roman" w:cs="Times New Roman" w:eastAsia="Times New Roman" w:hint="default"/>
                <w:sz w:val="16"/>
                <w:szCs w:val="16"/>
              </w:rPr>
            </w:pPr>
            <w:r>
              <w:rPr>
                <w:rFonts w:ascii="Times New Roman"/>
                <w:spacing w:val="-1"/>
                <w:sz w:val="16"/>
              </w:rPr>
              <w:t>-39.498</w:t>
            </w:r>
          </w:p>
        </w:tc>
        <w:tc>
          <w:tcPr>
            <w:tcW w:w="708" w:type="dxa"/>
            <w:tcBorders>
              <w:top w:val="single" w:sz="12" w:space="0" w:color="000000"/>
              <w:left w:val="single" w:sz="4" w:space="0" w:color="000000"/>
              <w:bottom w:val="single" w:sz="12" w:space="0" w:color="000000"/>
              <w:right w:val="single" w:sz="4" w:space="0" w:color="000000"/>
            </w:tcBorders>
          </w:tcPr>
          <w:p>
            <w:pPr>
              <w:pStyle w:val="TableParagraph"/>
              <w:spacing w:line="240" w:lineRule="auto" w:before="50"/>
              <w:ind w:right="100"/>
              <w:jc w:val="right"/>
              <w:rPr>
                <w:rFonts w:ascii="Times New Roman" w:hAnsi="Times New Roman" w:cs="Times New Roman" w:eastAsia="Times New Roman" w:hint="default"/>
                <w:sz w:val="16"/>
                <w:szCs w:val="16"/>
              </w:rPr>
            </w:pPr>
            <w:r>
              <w:rPr>
                <w:rFonts w:ascii="Times New Roman"/>
                <w:spacing w:val="-1"/>
                <w:sz w:val="16"/>
              </w:rPr>
              <w:t>-4.908</w:t>
            </w:r>
          </w:p>
        </w:tc>
        <w:tc>
          <w:tcPr>
            <w:tcW w:w="852" w:type="dxa"/>
            <w:tcBorders>
              <w:top w:val="single" w:sz="12" w:space="0" w:color="000000"/>
              <w:left w:val="single" w:sz="4" w:space="0" w:color="000000"/>
              <w:bottom w:val="single" w:sz="12" w:space="0" w:color="000000"/>
              <w:right w:val="single" w:sz="4" w:space="0" w:color="000000"/>
            </w:tcBorders>
          </w:tcPr>
          <w:p>
            <w:pPr>
              <w:pStyle w:val="TableParagraph"/>
              <w:spacing w:line="240" w:lineRule="auto" w:before="50"/>
              <w:ind w:right="100"/>
              <w:jc w:val="right"/>
              <w:rPr>
                <w:rFonts w:ascii="Times New Roman" w:hAnsi="Times New Roman" w:cs="Times New Roman" w:eastAsia="Times New Roman" w:hint="default"/>
                <w:sz w:val="16"/>
                <w:szCs w:val="16"/>
              </w:rPr>
            </w:pPr>
            <w:r>
              <w:rPr>
                <w:rFonts w:ascii="Times New Roman"/>
                <w:spacing w:val="-1"/>
                <w:sz w:val="16"/>
              </w:rPr>
              <w:t>-548</w:t>
            </w:r>
          </w:p>
        </w:tc>
        <w:tc>
          <w:tcPr>
            <w:tcW w:w="761" w:type="dxa"/>
            <w:tcBorders>
              <w:top w:val="single" w:sz="12" w:space="0" w:color="000000"/>
              <w:left w:val="single" w:sz="4" w:space="0" w:color="000000"/>
              <w:bottom w:val="single" w:sz="12" w:space="0" w:color="000000"/>
              <w:right w:val="single" w:sz="4" w:space="0" w:color="000000"/>
            </w:tcBorders>
          </w:tcPr>
          <w:p>
            <w:pPr>
              <w:pStyle w:val="TableParagraph"/>
              <w:spacing w:line="240" w:lineRule="auto" w:before="50"/>
              <w:ind w:right="104"/>
              <w:jc w:val="right"/>
              <w:rPr>
                <w:rFonts w:ascii="Times New Roman" w:hAnsi="Times New Roman" w:cs="Times New Roman" w:eastAsia="Times New Roman" w:hint="default"/>
                <w:sz w:val="16"/>
                <w:szCs w:val="16"/>
              </w:rPr>
            </w:pPr>
            <w:r>
              <w:rPr>
                <w:rFonts w:ascii="Times New Roman"/>
                <w:spacing w:val="-1"/>
                <w:sz w:val="16"/>
              </w:rPr>
              <w:t>-26.688</w:t>
            </w:r>
          </w:p>
        </w:tc>
        <w:tc>
          <w:tcPr>
            <w:tcW w:w="816" w:type="dxa"/>
            <w:tcBorders>
              <w:top w:val="single" w:sz="12" w:space="0" w:color="000000"/>
              <w:left w:val="single" w:sz="4" w:space="0" w:color="000000"/>
              <w:bottom w:val="single" w:sz="12" w:space="0" w:color="000000"/>
              <w:right w:val="single" w:sz="4" w:space="0" w:color="000000"/>
            </w:tcBorders>
          </w:tcPr>
          <w:p>
            <w:pPr>
              <w:pStyle w:val="TableParagraph"/>
              <w:spacing w:line="240" w:lineRule="auto" w:before="50"/>
              <w:ind w:left="288" w:right="0"/>
              <w:jc w:val="left"/>
              <w:rPr>
                <w:rFonts w:ascii="Times New Roman" w:hAnsi="Times New Roman" w:cs="Times New Roman" w:eastAsia="Times New Roman" w:hint="default"/>
                <w:sz w:val="16"/>
                <w:szCs w:val="16"/>
              </w:rPr>
            </w:pPr>
            <w:r>
              <w:rPr>
                <w:rFonts w:ascii="Times New Roman"/>
                <w:sz w:val="16"/>
              </w:rPr>
              <w:t>-5.997</w:t>
            </w:r>
          </w:p>
        </w:tc>
        <w:tc>
          <w:tcPr>
            <w:tcW w:w="691" w:type="dxa"/>
            <w:tcBorders>
              <w:top w:val="single" w:sz="12" w:space="0" w:color="000000"/>
              <w:left w:val="single" w:sz="4" w:space="0" w:color="000000"/>
              <w:bottom w:val="single" w:sz="12" w:space="0" w:color="000000"/>
              <w:right w:val="single" w:sz="4" w:space="0" w:color="000000"/>
            </w:tcBorders>
          </w:tcPr>
          <w:p>
            <w:pPr>
              <w:pStyle w:val="TableParagraph"/>
              <w:spacing w:line="240" w:lineRule="auto" w:before="50"/>
              <w:ind w:right="100"/>
              <w:jc w:val="right"/>
              <w:rPr>
                <w:rFonts w:ascii="Times New Roman" w:hAnsi="Times New Roman" w:cs="Times New Roman" w:eastAsia="Times New Roman" w:hint="default"/>
                <w:sz w:val="16"/>
                <w:szCs w:val="16"/>
              </w:rPr>
            </w:pPr>
            <w:r>
              <w:rPr>
                <w:rFonts w:ascii="Times New Roman"/>
                <w:spacing w:val="-1"/>
                <w:sz w:val="16"/>
              </w:rPr>
              <w:t>-4.972</w:t>
            </w:r>
          </w:p>
        </w:tc>
        <w:tc>
          <w:tcPr>
            <w:tcW w:w="658" w:type="dxa"/>
            <w:tcBorders>
              <w:top w:val="single" w:sz="12" w:space="0" w:color="000000"/>
              <w:left w:val="single" w:sz="4" w:space="0" w:color="000000"/>
              <w:bottom w:val="single" w:sz="12" w:space="0" w:color="000000"/>
              <w:right w:val="single" w:sz="4" w:space="0" w:color="000000"/>
            </w:tcBorders>
          </w:tcPr>
          <w:p>
            <w:pPr>
              <w:pStyle w:val="TableParagraph"/>
              <w:spacing w:line="240" w:lineRule="auto" w:before="50"/>
              <w:ind w:right="102"/>
              <w:jc w:val="right"/>
              <w:rPr>
                <w:rFonts w:ascii="Times New Roman" w:hAnsi="Times New Roman" w:cs="Times New Roman" w:eastAsia="Times New Roman" w:hint="default"/>
                <w:sz w:val="16"/>
                <w:szCs w:val="16"/>
              </w:rPr>
            </w:pPr>
            <w:r>
              <w:rPr>
                <w:rFonts w:ascii="Times New Roman"/>
                <w:spacing w:val="-1"/>
                <w:sz w:val="16"/>
              </w:rPr>
              <w:t>-1.910</w:t>
            </w:r>
          </w:p>
        </w:tc>
        <w:tc>
          <w:tcPr>
            <w:tcW w:w="785" w:type="dxa"/>
            <w:tcBorders>
              <w:top w:val="single" w:sz="12" w:space="0" w:color="000000"/>
              <w:left w:val="single" w:sz="4" w:space="0" w:color="000000"/>
              <w:bottom w:val="single" w:sz="12" w:space="0" w:color="000000"/>
              <w:right w:val="single" w:sz="4" w:space="0" w:color="000000"/>
            </w:tcBorders>
          </w:tcPr>
          <w:p>
            <w:pPr>
              <w:pStyle w:val="TableParagraph"/>
              <w:spacing w:line="240" w:lineRule="auto" w:before="50"/>
              <w:ind w:right="100"/>
              <w:jc w:val="right"/>
              <w:rPr>
                <w:rFonts w:ascii="Times New Roman" w:hAnsi="Times New Roman" w:cs="Times New Roman" w:eastAsia="Times New Roman" w:hint="default"/>
                <w:sz w:val="16"/>
                <w:szCs w:val="16"/>
              </w:rPr>
            </w:pPr>
            <w:r>
              <w:rPr>
                <w:rFonts w:ascii="Times New Roman"/>
                <w:spacing w:val="-1"/>
                <w:sz w:val="16"/>
              </w:rPr>
              <w:t>-5.011</w:t>
            </w:r>
          </w:p>
        </w:tc>
      </w:tr>
    </w:tbl>
    <w:p>
      <w:pPr>
        <w:spacing w:after="0" w:line="240" w:lineRule="auto"/>
        <w:jc w:val="right"/>
        <w:rPr>
          <w:rFonts w:ascii="Times New Roman" w:hAnsi="Times New Roman" w:cs="Times New Roman" w:eastAsia="Times New Roman" w:hint="default"/>
          <w:sz w:val="16"/>
          <w:szCs w:val="16"/>
        </w:rPr>
        <w:sectPr>
          <w:pgSz w:w="15840" w:h="12240" w:orient="landscape"/>
          <w:pgMar w:header="740" w:footer="1504" w:top="1280" w:bottom="1700" w:left="160" w:right="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spacing w:line="240" w:lineRule="auto" w:before="11"/>
        <w:rPr>
          <w:rFonts w:ascii="Times New Roman" w:hAnsi="Times New Roman" w:cs="Times New Roman" w:eastAsia="Times New Roman" w:hint="default"/>
          <w:sz w:val="17"/>
          <w:szCs w:val="17"/>
        </w:rPr>
      </w:pPr>
    </w:p>
    <w:p>
      <w:pPr>
        <w:pStyle w:val="BodyText"/>
        <w:spacing w:line="240" w:lineRule="auto" w:before="69"/>
        <w:ind w:right="172" w:firstLine="566"/>
        <w:jc w:val="both"/>
        <w:rPr>
          <w:rFonts w:ascii="Times New Roman" w:hAnsi="Times New Roman" w:cs="Times New Roman" w:eastAsia="Times New Roman" w:hint="default"/>
        </w:rPr>
      </w:pPr>
      <w:r>
        <w:rPr>
          <w:rFonts w:ascii="Times New Roman" w:hAnsi="Times New Roman" w:cs="Times New Roman" w:eastAsia="Times New Roman" w:hint="default"/>
          <w:b/>
          <w:bCs/>
        </w:rPr>
        <w:t>ЈП „Градска стамбена агенција“ </w:t>
      </w:r>
      <w:r>
        <w:rPr/>
        <w:t>је преузело обавезе преко одобрене апропријације </w:t>
      </w:r>
      <w:r>
        <w:rPr>
          <w:rFonts w:ascii="Times New Roman" w:hAnsi="Times New Roman" w:cs="Times New Roman" w:eastAsia="Times New Roman" w:hint="default"/>
        </w:rPr>
        <w:t>465000 </w:t>
      </w:r>
      <w:r>
        <w:rPr/>
        <w:t>– остале дотације и транфери у укупном износу од 112 хиљад</w:t>
      </w:r>
      <w:r>
        <w:rPr>
          <w:rFonts w:ascii="Times New Roman" w:hAnsi="Times New Roman" w:cs="Times New Roman" w:eastAsia="Times New Roman" w:hint="default"/>
        </w:rPr>
        <w:t>a </w:t>
      </w:r>
      <w:r>
        <w:rPr/>
        <w:t>динара, по основу обавезе за повраћај 10% у буџет Републике за неисплаћене плате за децембар 2014. години, што је супротно члану 54. Закона о буџетском</w:t>
      </w:r>
      <w:r>
        <w:rPr>
          <w:spacing w:val="-19"/>
        </w:rPr>
        <w:t> </w:t>
      </w:r>
      <w:r>
        <w:rPr/>
        <w:t>систему</w:t>
      </w:r>
      <w:r>
        <w:rPr>
          <w:rFonts w:ascii="Times New Roman" w:hAnsi="Times New Roman" w:cs="Times New Roman" w:eastAsia="Times New Roman" w:hint="default"/>
        </w:rPr>
        <w:t>.</w:t>
      </w:r>
    </w:p>
    <w:p>
      <w:pPr>
        <w:pStyle w:val="BodyText"/>
        <w:spacing w:line="240" w:lineRule="auto" w:before="139"/>
        <w:ind w:right="176" w:firstLine="566"/>
        <w:jc w:val="both"/>
      </w:pPr>
      <w:r>
        <w:rPr>
          <w:rFonts w:ascii="Times New Roman" w:hAnsi="Times New Roman"/>
          <w:b/>
        </w:rPr>
        <w:t>Историјски </w:t>
      </w:r>
      <w:r>
        <w:rPr>
          <w:rFonts w:ascii="Times New Roman" w:hAnsi="Times New Roman"/>
          <w:b/>
        </w:rPr>
        <w:t>a</w:t>
      </w:r>
      <w:r>
        <w:rPr>
          <w:rFonts w:ascii="Times New Roman" w:hAnsi="Times New Roman"/>
          <w:b/>
        </w:rPr>
        <w:t>рхив </w:t>
      </w:r>
      <w:r>
        <w:rPr/>
        <w:t>је преузео обавезе преко одобрених апропријација у укупном износу од 1.958 хиљада динара, што је супротно члану 54. Закона о буџетском систему и то:</w:t>
      </w:r>
    </w:p>
    <w:p>
      <w:pPr>
        <w:pStyle w:val="BodyText"/>
        <w:spacing w:line="240" w:lineRule="auto"/>
        <w:ind w:left="772" w:right="141"/>
        <w:jc w:val="left"/>
      </w:pPr>
      <w:r>
        <w:rPr>
          <w:rFonts w:ascii="Times New Roman" w:hAnsi="Times New Roman" w:cs="Times New Roman" w:eastAsia="Times New Roman" w:hint="default"/>
        </w:rPr>
        <w:t>- </w:t>
      </w:r>
      <w:r>
        <w:rPr/>
        <w:t>за апропријацију 411000 – плате, додаци и накнаде преузета је обавеза у износу</w:t>
      </w:r>
      <w:r>
        <w:rPr>
          <w:spacing w:val="-17"/>
        </w:rPr>
        <w:t> </w:t>
      </w:r>
      <w:r>
        <w:rPr/>
        <w:t>од</w:t>
      </w:r>
    </w:p>
    <w:p>
      <w:pPr>
        <w:pStyle w:val="BodyText"/>
        <w:spacing w:line="240" w:lineRule="auto"/>
        <w:ind w:left="206" w:right="141"/>
        <w:jc w:val="left"/>
      </w:pPr>
      <w:r>
        <w:rPr>
          <w:rFonts w:ascii="Times New Roman" w:hAnsi="Times New Roman"/>
        </w:rPr>
        <w:t>1.254 </w:t>
      </w:r>
      <w:r>
        <w:rPr/>
        <w:t>хиљаде динара већем од одобрене апропријације за неисплаћену плату за децембар 2014.</w:t>
      </w:r>
      <w:r>
        <w:rPr>
          <w:spacing w:val="-5"/>
        </w:rPr>
        <w:t> </w:t>
      </w:r>
      <w:r>
        <w:rPr/>
        <w:t>годину,</w:t>
      </w:r>
    </w:p>
    <w:p>
      <w:pPr>
        <w:pStyle w:val="ListParagraph"/>
        <w:numPr>
          <w:ilvl w:val="0"/>
          <w:numId w:val="97"/>
        </w:numPr>
        <w:tabs>
          <w:tab w:pos="878" w:val="left" w:leader="none"/>
        </w:tabs>
        <w:spacing w:line="240" w:lineRule="auto" w:before="0" w:after="0"/>
        <w:ind w:left="160" w:right="172"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412000 – социјални доприноси на терет послодавца прекорачена је апропријација у износу од 248 хиљада динара за социјалне доприносе за неисплаћене плате (у износу од </w:t>
      </w:r>
      <w:r>
        <w:rPr>
          <w:rFonts w:ascii="Times New Roman" w:hAnsi="Times New Roman" w:cs="Times New Roman" w:eastAsia="Times New Roman" w:hint="default"/>
          <w:sz w:val="24"/>
          <w:szCs w:val="24"/>
        </w:rPr>
        <w:t>20 </w:t>
      </w:r>
      <w:r>
        <w:rPr>
          <w:rFonts w:ascii="Times New Roman" w:hAnsi="Times New Roman" w:cs="Times New Roman" w:eastAsia="Times New Roman" w:hint="default"/>
          <w:sz w:val="24"/>
          <w:szCs w:val="24"/>
        </w:rPr>
        <w:t>хиљада динара за новембар 2014. године и у износу од </w:t>
      </w:r>
      <w:r>
        <w:rPr>
          <w:rFonts w:ascii="Times New Roman" w:hAnsi="Times New Roman" w:cs="Times New Roman" w:eastAsia="Times New Roman" w:hint="default"/>
          <w:sz w:val="24"/>
          <w:szCs w:val="24"/>
        </w:rPr>
        <w:t>228 </w:t>
      </w:r>
      <w:r>
        <w:rPr>
          <w:rFonts w:ascii="Times New Roman" w:hAnsi="Times New Roman" w:cs="Times New Roman" w:eastAsia="Times New Roman" w:hint="default"/>
          <w:sz w:val="24"/>
          <w:szCs w:val="24"/>
        </w:rPr>
        <w:t>хиљада динара за децембар 2014.</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године)</w:t>
      </w:r>
      <w:r>
        <w:rPr>
          <w:rFonts w:ascii="Times New Roman" w:hAnsi="Times New Roman" w:cs="Times New Roman" w:eastAsia="Times New Roman" w:hint="default"/>
          <w:sz w:val="24"/>
          <w:szCs w:val="24"/>
        </w:rPr>
        <w:t>,</w:t>
      </w:r>
    </w:p>
    <w:p>
      <w:pPr>
        <w:pStyle w:val="ListParagraph"/>
        <w:numPr>
          <w:ilvl w:val="0"/>
          <w:numId w:val="97"/>
        </w:numPr>
        <w:tabs>
          <w:tab w:pos="900" w:val="left" w:leader="none"/>
        </w:tabs>
        <w:spacing w:line="240" w:lineRule="auto" w:before="0" w:after="0"/>
        <w:ind w:left="160" w:right="182"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413000 – накнаде у натури преузета је обавеза у износу од 62 хиљаде динара већем од одобрене апропријације за неисплаћене накнаде за 2014.</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годину,</w:t>
      </w:r>
    </w:p>
    <w:p>
      <w:pPr>
        <w:pStyle w:val="ListParagraph"/>
        <w:numPr>
          <w:ilvl w:val="0"/>
          <w:numId w:val="97"/>
        </w:numPr>
        <w:tabs>
          <w:tab w:pos="922" w:val="left" w:leader="none"/>
        </w:tabs>
        <w:spacing w:line="240" w:lineRule="auto" w:before="0" w:after="0"/>
        <w:ind w:left="206" w:right="173" w:firstLine="52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465000 – остале дотације и трансфери преузета је обавеза у износу од 328 хиљада динара већем од одобрене апропријације по основу обавезе за повраћај у буџет Републике 10% од плате за неисплаћену плату за новембар у износу од 165 хиљада динара и за децембар у износу од 163 хиљаде</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динара)</w:t>
      </w:r>
      <w:r>
        <w:rPr>
          <w:rFonts w:ascii="Times New Roman" w:hAnsi="Times New Roman" w:cs="Times New Roman" w:eastAsia="Times New Roman" w:hint="default"/>
          <w:sz w:val="24"/>
          <w:szCs w:val="24"/>
        </w:rPr>
        <w:t>,</w:t>
      </w:r>
    </w:p>
    <w:p>
      <w:pPr>
        <w:pStyle w:val="ListParagraph"/>
        <w:numPr>
          <w:ilvl w:val="0"/>
          <w:numId w:val="97"/>
        </w:numPr>
        <w:tabs>
          <w:tab w:pos="886" w:val="left" w:leader="none"/>
        </w:tabs>
        <w:spacing w:line="240" w:lineRule="auto" w:before="0" w:after="0"/>
        <w:ind w:left="160" w:right="178"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512000 – машине и опрема извршена је обавеза преко одобрене апропријације за износ од 66 хиљада динара (из осталих</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извора</w:t>
      </w:r>
      <w:r>
        <w:rPr>
          <w:rFonts w:ascii="Times New Roman" w:hAnsi="Times New Roman" w:cs="Times New Roman" w:eastAsia="Times New Roman" w:hint="default"/>
          <w:sz w:val="24"/>
          <w:szCs w:val="24"/>
        </w:rPr>
        <w:t>).</w:t>
      </w:r>
    </w:p>
    <w:p>
      <w:pPr>
        <w:pStyle w:val="BodyText"/>
        <w:spacing w:line="240" w:lineRule="auto" w:before="137"/>
        <w:ind w:right="179" w:firstLine="566"/>
        <w:jc w:val="both"/>
      </w:pPr>
      <w:r>
        <w:rPr>
          <w:rFonts w:ascii="Times New Roman" w:hAnsi="Times New Roman"/>
          <w:b/>
        </w:rPr>
        <w:t>ЈП Дирекција </w:t>
      </w:r>
      <w:r>
        <w:rPr/>
        <w:t>је преузела обавезе преко одобрених апропријација у укупном износу од 36.973 хиљаде динара, што је супротно члану 54. Закона о буџетском систему  и то:</w:t>
      </w:r>
    </w:p>
    <w:p>
      <w:pPr>
        <w:pStyle w:val="ListParagraph"/>
        <w:numPr>
          <w:ilvl w:val="0"/>
          <w:numId w:val="97"/>
        </w:numPr>
        <w:tabs>
          <w:tab w:pos="888" w:val="left" w:leader="none"/>
        </w:tabs>
        <w:spacing w:line="240" w:lineRule="auto" w:before="0" w:after="0"/>
        <w:ind w:left="160" w:right="177"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411000 –плате, додаци и накнаде преузета је обавеза за плате у већем износу за 7.117 хиљада динара од одобрене апропријације по основу неисплаћене плате за децембар 2014.</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године,</w:t>
      </w:r>
    </w:p>
    <w:p>
      <w:pPr>
        <w:pStyle w:val="ListParagraph"/>
        <w:numPr>
          <w:ilvl w:val="0"/>
          <w:numId w:val="97"/>
        </w:numPr>
        <w:tabs>
          <w:tab w:pos="893" w:val="left" w:leader="none"/>
        </w:tabs>
        <w:spacing w:line="240" w:lineRule="auto" w:before="0" w:after="0"/>
        <w:ind w:left="160" w:right="179"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412000 – социјални доприноси на терет послодавца преузета је обавеза за доприносе у већем износу за 1.273 хиљаде динара од одобрене апропријације по основу неисплаћених социјалних доприноса за децембар 2014.</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године,</w:t>
      </w:r>
    </w:p>
    <w:p>
      <w:pPr>
        <w:pStyle w:val="ListParagraph"/>
        <w:numPr>
          <w:ilvl w:val="0"/>
          <w:numId w:val="97"/>
        </w:numPr>
        <w:tabs>
          <w:tab w:pos="878" w:val="left" w:leader="none"/>
        </w:tabs>
        <w:spacing w:line="240" w:lineRule="auto" w:before="0" w:after="0"/>
        <w:ind w:left="160" w:right="182"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41</w:t>
      </w:r>
      <w:r>
        <w:rPr>
          <w:rFonts w:ascii="Times New Roman" w:hAnsi="Times New Roman" w:cs="Times New Roman" w:eastAsia="Times New Roman" w:hint="default"/>
          <w:sz w:val="24"/>
          <w:szCs w:val="24"/>
        </w:rPr>
        <w:t>3000 </w:t>
      </w:r>
      <w:r>
        <w:rPr>
          <w:rFonts w:ascii="Times New Roman" w:hAnsi="Times New Roman" w:cs="Times New Roman" w:eastAsia="Times New Roman" w:hint="default"/>
          <w:sz w:val="24"/>
          <w:szCs w:val="24"/>
        </w:rPr>
        <w:t>– накнаде у натури преузета је обавеза у износу од 2.777 хиљада динара већем од одобрене апропријације, по основу неплаћених рачуна за јавни превоз</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запослених,</w:t>
      </w:r>
    </w:p>
    <w:p>
      <w:pPr>
        <w:pStyle w:val="ListParagraph"/>
        <w:numPr>
          <w:ilvl w:val="0"/>
          <w:numId w:val="97"/>
        </w:numPr>
        <w:tabs>
          <w:tab w:pos="958" w:val="left" w:leader="none"/>
        </w:tabs>
        <w:spacing w:line="240" w:lineRule="auto" w:before="0" w:after="0"/>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416000 – награде запосленима и остали посебни расходи преузета је обавеза у износу од 645 хиљада динара већем од одобрене апропријације, по основу неисплаћених награда запосленима у 2014.</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години</w:t>
      </w:r>
      <w:r>
        <w:rPr>
          <w:rFonts w:ascii="Times New Roman" w:hAnsi="Times New Roman" w:cs="Times New Roman" w:eastAsia="Times New Roman" w:hint="default"/>
          <w:sz w:val="24"/>
          <w:szCs w:val="24"/>
        </w:rPr>
        <w:t>,</w:t>
      </w:r>
    </w:p>
    <w:p>
      <w:pPr>
        <w:pStyle w:val="ListParagraph"/>
        <w:numPr>
          <w:ilvl w:val="0"/>
          <w:numId w:val="97"/>
        </w:numPr>
        <w:tabs>
          <w:tab w:pos="878" w:val="left" w:leader="none"/>
        </w:tabs>
        <w:spacing w:line="240" w:lineRule="auto" w:before="0" w:after="0"/>
        <w:ind w:left="160" w:right="175"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421000 – стални трошкови преузета је обавеза у износу од 1.906 хиљада динара већем од одобрене апропријације по основу неисплаћених сталних трошкова (обједињене наплате, струје, грејања, извожења смећа и поштанске услуге) за </w:t>
      </w:r>
      <w:r>
        <w:rPr>
          <w:rFonts w:ascii="Times New Roman" w:hAnsi="Times New Roman" w:cs="Times New Roman" w:eastAsia="Times New Roman" w:hint="default"/>
          <w:sz w:val="24"/>
          <w:szCs w:val="24"/>
        </w:rPr>
        <w:t>2014. </w:t>
      </w:r>
      <w:r>
        <w:rPr>
          <w:rFonts w:ascii="Times New Roman" w:hAnsi="Times New Roman" w:cs="Times New Roman" w:eastAsia="Times New Roman" w:hint="default"/>
          <w:sz w:val="24"/>
          <w:szCs w:val="24"/>
        </w:rPr>
        <w:t>годину од којих у износу од 398 хиљада динара по рачунима за децембар 2014. године</w:t>
      </w:r>
      <w:r>
        <w:rPr>
          <w:rFonts w:ascii="Times New Roman" w:hAnsi="Times New Roman" w:cs="Times New Roman" w:eastAsia="Times New Roman" w:hint="default"/>
          <w:sz w:val="24"/>
          <w:szCs w:val="24"/>
        </w:rPr>
        <w:t>,</w:t>
      </w:r>
    </w:p>
    <w:p>
      <w:pPr>
        <w:pStyle w:val="ListParagraph"/>
        <w:numPr>
          <w:ilvl w:val="0"/>
          <w:numId w:val="97"/>
        </w:numPr>
        <w:tabs>
          <w:tab w:pos="881" w:val="left" w:leader="none"/>
        </w:tabs>
        <w:spacing w:line="240" w:lineRule="auto" w:before="0" w:after="0"/>
        <w:ind w:left="160" w:right="182"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422000 – трошкови путовања преузета је обавеза у износу од 59 хиљада динара већем од одобрене апропријације за неисплаћене трошкове путовања за 2014.</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годину,</w:t>
      </w:r>
    </w:p>
    <w:p>
      <w:pPr>
        <w:spacing w:line="240" w:lineRule="auto" w:before="2"/>
        <w:rPr>
          <w:rFonts w:ascii="Times New Roman" w:hAnsi="Times New Roman" w:cs="Times New Roman" w:eastAsia="Times New Roman" w:hint="default"/>
          <w:sz w:val="24"/>
          <w:szCs w:val="24"/>
        </w:rPr>
      </w:pPr>
    </w:p>
    <w:p>
      <w:pPr>
        <w:spacing w:before="56"/>
        <w:ind w:left="0" w:right="174" w:firstLine="0"/>
        <w:jc w:val="right"/>
        <w:rPr>
          <w:rFonts w:ascii="Calibri" w:hAnsi="Calibri" w:cs="Calibri" w:eastAsia="Calibri" w:hint="default"/>
          <w:sz w:val="22"/>
          <w:szCs w:val="22"/>
        </w:rPr>
      </w:pPr>
      <w:r>
        <w:rPr>
          <w:rFonts w:ascii="Calibri"/>
          <w:spacing w:val="-1"/>
          <w:sz w:val="22"/>
        </w:rPr>
        <w:t>323</w:t>
      </w:r>
    </w:p>
    <w:p>
      <w:pPr>
        <w:spacing w:after="0"/>
        <w:jc w:val="right"/>
        <w:rPr>
          <w:rFonts w:ascii="Calibri" w:hAnsi="Calibri" w:cs="Calibri" w:eastAsia="Calibri" w:hint="default"/>
          <w:sz w:val="22"/>
          <w:szCs w:val="22"/>
        </w:rPr>
        <w:sectPr>
          <w:headerReference w:type="default" r:id="rId97"/>
          <w:footerReference w:type="default" r:id="rId98"/>
          <w:pgSz w:w="12240" w:h="15840"/>
          <w:pgMar w:header="740" w:footer="0" w:top="1200" w:bottom="280" w:left="1400" w:right="1260"/>
        </w:sectPr>
      </w:pPr>
    </w:p>
    <w:p>
      <w:pPr>
        <w:spacing w:line="60" w:lineRule="exact"/>
        <w:ind w:left="101" w:right="0" w:firstLine="0"/>
        <w:rPr>
          <w:rFonts w:ascii="Calibri" w:hAnsi="Calibri" w:cs="Calibri" w:eastAsia="Calibri" w:hint="default"/>
          <w:sz w:val="6"/>
          <w:szCs w:val="6"/>
        </w:rPr>
      </w:pPr>
      <w:r>
        <w:rPr>
          <w:rFonts w:ascii="Calibri" w:hAnsi="Calibri" w:cs="Calibri" w:eastAsia="Calibri"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Calibri" w:hAnsi="Calibri" w:cs="Calibri" w:eastAsia="Calibri" w:hint="default"/>
          <w:position w:val="0"/>
          <w:sz w:val="6"/>
          <w:szCs w:val="6"/>
        </w:rPr>
      </w:r>
    </w:p>
    <w:p>
      <w:pPr>
        <w:pStyle w:val="ListParagraph"/>
        <w:numPr>
          <w:ilvl w:val="0"/>
          <w:numId w:val="97"/>
        </w:numPr>
        <w:tabs>
          <w:tab w:pos="886" w:val="left" w:leader="none"/>
        </w:tabs>
        <w:spacing w:line="240" w:lineRule="auto" w:before="6" w:after="0"/>
        <w:ind w:left="160" w:right="177"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423000 – услуге по уговору преузета је обавеза у износу од 417 хиљада динара већем од одобрене апропријације за неисплаћене услуге по уговору за 2014.</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годину,</w:t>
      </w:r>
    </w:p>
    <w:p>
      <w:pPr>
        <w:pStyle w:val="ListParagraph"/>
        <w:numPr>
          <w:ilvl w:val="0"/>
          <w:numId w:val="97"/>
        </w:numPr>
        <w:tabs>
          <w:tab w:pos="912" w:val="left" w:leader="none"/>
        </w:tabs>
        <w:spacing w:line="240" w:lineRule="auto" w:before="0" w:after="0"/>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425000 – текуће поправке и одржавање преузета је обавеза у износу за 21.165 хиљада динара већем од одобрене апропријације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по основу неплаћених рачуна и ситација за текуће поправке и одржавање у 2014.</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години</w:t>
      </w:r>
      <w:r>
        <w:rPr>
          <w:rFonts w:ascii="Times New Roman" w:hAnsi="Times New Roman" w:cs="Times New Roman" w:eastAsia="Times New Roman" w:hint="default"/>
          <w:sz w:val="24"/>
          <w:szCs w:val="24"/>
        </w:rPr>
        <w:t>,</w:t>
      </w:r>
    </w:p>
    <w:p>
      <w:pPr>
        <w:pStyle w:val="ListParagraph"/>
        <w:numPr>
          <w:ilvl w:val="0"/>
          <w:numId w:val="97"/>
        </w:numPr>
        <w:tabs>
          <w:tab w:pos="888" w:val="left" w:leader="none"/>
        </w:tabs>
        <w:spacing w:line="240" w:lineRule="auto" w:before="0" w:after="0"/>
        <w:ind w:left="160" w:right="177"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426000 – материјал преузета је обавеза у износу од 475 хиљада динара већем од одобрене апропријације за неплаћени материјал (за јавну расвету, канцеларијски материјал и стручну литературу) за 2014.</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годину</w:t>
      </w:r>
      <w:r>
        <w:rPr>
          <w:rFonts w:ascii="Times New Roman" w:hAnsi="Times New Roman" w:cs="Times New Roman" w:eastAsia="Times New Roman" w:hint="default"/>
          <w:sz w:val="24"/>
          <w:szCs w:val="24"/>
        </w:rPr>
        <w:t>,</w:t>
      </w:r>
    </w:p>
    <w:p>
      <w:pPr>
        <w:pStyle w:val="ListParagraph"/>
        <w:numPr>
          <w:ilvl w:val="0"/>
          <w:numId w:val="97"/>
        </w:numPr>
        <w:tabs>
          <w:tab w:pos="874" w:val="left" w:leader="none"/>
        </w:tabs>
        <w:spacing w:line="240" w:lineRule="auto" w:before="0" w:after="0"/>
        <w:ind w:left="160" w:right="172"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465000 – остале дотације и транфери преузета је обавеза у већем износу за 1.087 хиљада динара од одобрене апропријације по основу неисплаћене плате  за децембар месец 2014.</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године.</w:t>
      </w:r>
    </w:p>
    <w:p>
      <w:pPr>
        <w:pStyle w:val="ListParagraph"/>
        <w:numPr>
          <w:ilvl w:val="0"/>
          <w:numId w:val="97"/>
        </w:numPr>
        <w:tabs>
          <w:tab w:pos="926" w:val="left" w:leader="none"/>
        </w:tabs>
        <w:spacing w:line="240" w:lineRule="auto" w:before="0" w:after="0"/>
        <w:ind w:left="160" w:right="172"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482000 – порези обавезне таксе, казне и пенали преузета је обавеза у већем износу за 52 хиљаде динара од одобрене апропријације по основу неизмирених судских такси и накнаде за коришћење градског</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земљишта.</w:t>
      </w:r>
    </w:p>
    <w:p>
      <w:pPr>
        <w:pStyle w:val="BodyText"/>
        <w:spacing w:line="240" w:lineRule="auto" w:before="139"/>
        <w:ind w:right="176" w:firstLine="566"/>
        <w:jc w:val="both"/>
      </w:pPr>
      <w:r>
        <w:rPr>
          <w:rFonts w:ascii="Times New Roman" w:hAnsi="Times New Roman"/>
          <w:b/>
        </w:rPr>
        <w:t>Народно позориште </w:t>
      </w:r>
      <w:r>
        <w:rPr/>
        <w:t>је преузело обавезе преко одобрених апропријација у укупном износу од 9.505 хиљада динара, што је супротно члану 54. Закона о буџетском систему и то:</w:t>
      </w:r>
    </w:p>
    <w:p>
      <w:pPr>
        <w:pStyle w:val="ListParagraph"/>
        <w:numPr>
          <w:ilvl w:val="0"/>
          <w:numId w:val="97"/>
        </w:numPr>
        <w:tabs>
          <w:tab w:pos="871" w:val="left" w:leader="none"/>
        </w:tabs>
        <w:spacing w:line="240" w:lineRule="auto" w:before="0" w:after="0"/>
        <w:ind w:left="870" w:right="0" w:hanging="144"/>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411000 – плате, додаци и накнаде преузета је обавеза у износу</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од</w:t>
      </w:r>
    </w:p>
    <w:p>
      <w:pPr>
        <w:pStyle w:val="BodyText"/>
        <w:spacing w:line="240" w:lineRule="auto"/>
        <w:ind w:right="173"/>
        <w:jc w:val="both"/>
        <w:rPr>
          <w:rFonts w:ascii="Times New Roman" w:hAnsi="Times New Roman" w:cs="Times New Roman" w:eastAsia="Times New Roman" w:hint="default"/>
        </w:rPr>
      </w:pPr>
      <w:r>
        <w:rPr/>
        <w:t>6.524 хиљаде динара већем од одобрене апропријације за неисплаћене плате за 2014. годину (део плате за новембар у износу од </w:t>
      </w:r>
      <w:r>
        <w:rPr>
          <w:rFonts w:ascii="Times New Roman" w:hAnsi="Times New Roman"/>
        </w:rPr>
        <w:t>1.397 </w:t>
      </w:r>
      <w:r>
        <w:rPr/>
        <w:t>хиљада динара и плата за децембар у износу од 5.</w:t>
      </w:r>
      <w:r>
        <w:rPr>
          <w:rFonts w:ascii="Times New Roman" w:hAnsi="Times New Roman"/>
        </w:rPr>
        <w:t>127 </w:t>
      </w:r>
      <w:r>
        <w:rPr/>
        <w:t>хиљада</w:t>
      </w:r>
      <w:r>
        <w:rPr>
          <w:spacing w:val="-6"/>
        </w:rPr>
        <w:t> </w:t>
      </w:r>
      <w:r>
        <w:rPr/>
        <w:t>динара</w:t>
      </w:r>
      <w:r>
        <w:rPr>
          <w:rFonts w:ascii="Times New Roman" w:hAnsi="Times New Roman"/>
        </w:rPr>
        <w:t>)</w:t>
      </w:r>
    </w:p>
    <w:p>
      <w:pPr>
        <w:pStyle w:val="ListParagraph"/>
        <w:numPr>
          <w:ilvl w:val="0"/>
          <w:numId w:val="98"/>
        </w:numPr>
        <w:tabs>
          <w:tab w:pos="893" w:val="left" w:leader="none"/>
        </w:tabs>
        <w:spacing w:line="240" w:lineRule="auto" w:before="0" w:after="0"/>
        <w:ind w:left="160" w:right="175"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412000 – социјални доприноси на терет послодавца преузета је обавеза у износу од 1.142 хиљаде динара већем од одобрене апропријације по основу неисплаћених доприноса у 2014. години (део доприноса за новембар у износу од </w:t>
      </w:r>
      <w:r>
        <w:rPr>
          <w:rFonts w:ascii="Times New Roman" w:hAnsi="Times New Roman" w:cs="Times New Roman" w:eastAsia="Times New Roman" w:hint="default"/>
          <w:sz w:val="24"/>
          <w:szCs w:val="24"/>
        </w:rPr>
        <w:t>224 </w:t>
      </w:r>
      <w:r>
        <w:rPr>
          <w:rFonts w:ascii="Times New Roman" w:hAnsi="Times New Roman" w:cs="Times New Roman" w:eastAsia="Times New Roman" w:hint="default"/>
          <w:sz w:val="24"/>
          <w:szCs w:val="24"/>
        </w:rPr>
        <w:t>хиљаде динара и доприноса за децембар у  износу од </w:t>
      </w:r>
      <w:r>
        <w:rPr>
          <w:rFonts w:ascii="Times New Roman" w:hAnsi="Times New Roman" w:cs="Times New Roman" w:eastAsia="Times New Roman" w:hint="default"/>
          <w:sz w:val="24"/>
          <w:szCs w:val="24"/>
        </w:rPr>
        <w:t>918 </w:t>
      </w:r>
      <w:r>
        <w:rPr>
          <w:rFonts w:ascii="Times New Roman" w:hAnsi="Times New Roman" w:cs="Times New Roman" w:eastAsia="Times New Roman" w:hint="default"/>
          <w:sz w:val="24"/>
          <w:szCs w:val="24"/>
        </w:rPr>
        <w:t>хиљада динара за</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децембар</w:t>
      </w:r>
      <w:r>
        <w:rPr>
          <w:rFonts w:ascii="Times New Roman" w:hAnsi="Times New Roman" w:cs="Times New Roman" w:eastAsia="Times New Roman" w:hint="default"/>
          <w:sz w:val="24"/>
          <w:szCs w:val="24"/>
        </w:rPr>
        <w:t>),</w:t>
      </w:r>
    </w:p>
    <w:p>
      <w:pPr>
        <w:pStyle w:val="ListParagraph"/>
        <w:numPr>
          <w:ilvl w:val="0"/>
          <w:numId w:val="98"/>
        </w:numPr>
        <w:tabs>
          <w:tab w:pos="890" w:val="left" w:leader="none"/>
        </w:tabs>
        <w:spacing w:line="240" w:lineRule="auto" w:before="0" w:after="0"/>
        <w:ind w:left="160" w:right="176"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41</w:t>
      </w:r>
      <w:r>
        <w:rPr>
          <w:rFonts w:ascii="Times New Roman" w:hAnsi="Times New Roman" w:cs="Times New Roman" w:eastAsia="Times New Roman" w:hint="default"/>
          <w:sz w:val="24"/>
          <w:szCs w:val="24"/>
        </w:rPr>
        <w:t>3000 </w:t>
      </w:r>
      <w:r>
        <w:rPr>
          <w:rFonts w:ascii="Times New Roman" w:hAnsi="Times New Roman" w:cs="Times New Roman" w:eastAsia="Times New Roman" w:hint="default"/>
          <w:sz w:val="24"/>
          <w:szCs w:val="24"/>
        </w:rPr>
        <w:t>– накнаде у натури преузета је обавеза у износу од 205 хиљада динара већем од одобрене апропријације по основу обавеза за накнаде у натури  за 2014.</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годину,</w:t>
      </w:r>
    </w:p>
    <w:p>
      <w:pPr>
        <w:pStyle w:val="ListParagraph"/>
        <w:numPr>
          <w:ilvl w:val="0"/>
          <w:numId w:val="98"/>
        </w:numPr>
        <w:tabs>
          <w:tab w:pos="874" w:val="left" w:leader="none"/>
        </w:tabs>
        <w:spacing w:line="240" w:lineRule="auto" w:before="0" w:after="0"/>
        <w:ind w:left="160" w:right="180"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414000 – социјална давања извршени су расходи у износу од 750 хиљада динара (из осталих извора) више од одобрене</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апропријације,</w:t>
      </w:r>
    </w:p>
    <w:p>
      <w:pPr>
        <w:pStyle w:val="ListParagraph"/>
        <w:numPr>
          <w:ilvl w:val="0"/>
          <w:numId w:val="98"/>
        </w:numPr>
        <w:tabs>
          <w:tab w:pos="1013" w:val="left" w:leader="none"/>
        </w:tabs>
        <w:spacing w:line="240" w:lineRule="auto" w:before="0" w:after="0"/>
        <w:ind w:left="160" w:right="174" w:firstLine="62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416000 – награде запосленима и остали посебни расходи преузета је обавеза у износу од 180 хиљада динара већем од одобрене апропријације за неисплаћене јубиларне награде за 2014.</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годину,</w:t>
      </w:r>
    </w:p>
    <w:p>
      <w:pPr>
        <w:pStyle w:val="ListParagraph"/>
        <w:numPr>
          <w:ilvl w:val="0"/>
          <w:numId w:val="98"/>
        </w:numPr>
        <w:tabs>
          <w:tab w:pos="890" w:val="left" w:leader="none"/>
        </w:tabs>
        <w:spacing w:line="240" w:lineRule="auto" w:before="0" w:after="0"/>
        <w:ind w:left="160" w:right="178"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421000 – стални трошкови преузете су обавезе у износу од 601 хиљаде динара већем од одобрене апропријације за неисплаћене сталне трошкове за  </w:t>
      </w:r>
      <w:r>
        <w:rPr>
          <w:rFonts w:ascii="Times New Roman" w:hAnsi="Times New Roman" w:cs="Times New Roman" w:eastAsia="Times New Roman" w:hint="default"/>
          <w:sz w:val="24"/>
          <w:szCs w:val="24"/>
        </w:rPr>
        <w:t>2014. </w:t>
      </w:r>
      <w:r>
        <w:rPr>
          <w:rFonts w:ascii="Times New Roman" w:hAnsi="Times New Roman" w:cs="Times New Roman" w:eastAsia="Times New Roman" w:hint="default"/>
          <w:sz w:val="24"/>
          <w:szCs w:val="24"/>
        </w:rPr>
        <w:t>годину које се односе на децембар 2014.</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године</w:t>
      </w:r>
      <w:r>
        <w:rPr>
          <w:rFonts w:ascii="Times New Roman" w:hAnsi="Times New Roman" w:cs="Times New Roman" w:eastAsia="Times New Roman" w:hint="default"/>
          <w:sz w:val="24"/>
          <w:szCs w:val="24"/>
        </w:rPr>
        <w:t>,</w:t>
      </w:r>
    </w:p>
    <w:p>
      <w:pPr>
        <w:pStyle w:val="ListParagraph"/>
        <w:numPr>
          <w:ilvl w:val="0"/>
          <w:numId w:val="98"/>
        </w:numPr>
        <w:tabs>
          <w:tab w:pos="874" w:val="left" w:leader="none"/>
        </w:tabs>
        <w:spacing w:line="240" w:lineRule="auto" w:before="0" w:after="0"/>
        <w:ind w:left="160" w:right="171"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441000 – отплата домаћих камата извршени су расходи у износу од осам хиљада динара  више од одобрене</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апропријације</w:t>
      </w:r>
      <w:r>
        <w:rPr>
          <w:rFonts w:ascii="Times New Roman" w:hAnsi="Times New Roman" w:cs="Times New Roman" w:eastAsia="Times New Roman" w:hint="default"/>
          <w:sz w:val="24"/>
          <w:szCs w:val="24"/>
        </w:rPr>
        <w:t>,</w:t>
      </w:r>
    </w:p>
    <w:p>
      <w:pPr>
        <w:pStyle w:val="ListParagraph"/>
        <w:numPr>
          <w:ilvl w:val="0"/>
          <w:numId w:val="98"/>
        </w:numPr>
        <w:tabs>
          <w:tab w:pos="917" w:val="left" w:leader="none"/>
        </w:tabs>
        <w:spacing w:line="240" w:lineRule="auto" w:before="0" w:after="0"/>
        <w:ind w:left="160" w:right="172"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482000 – порези обавезне таксе казне и пенали извршени су расходи у износу од 95 хиљада динара (из осталих извора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више од одобрене апропријације</w:t>
      </w:r>
      <w:r>
        <w:rPr>
          <w:rFonts w:ascii="Times New Roman" w:hAnsi="Times New Roman" w:cs="Times New Roman" w:eastAsia="Times New Roman" w:hint="default"/>
          <w:sz w:val="24"/>
          <w:szCs w:val="24"/>
        </w:rPr>
        <w:t>.</w:t>
      </w:r>
    </w:p>
    <w:p>
      <w:pPr>
        <w:pStyle w:val="BodyText"/>
        <w:spacing w:line="240" w:lineRule="auto" w:before="137"/>
        <w:ind w:right="176" w:firstLine="566"/>
        <w:jc w:val="both"/>
      </w:pPr>
      <w:r>
        <w:rPr>
          <w:rFonts w:ascii="Times New Roman" w:hAnsi="Times New Roman"/>
          <w:b/>
        </w:rPr>
        <w:t>Позориште лутака </w:t>
      </w:r>
      <w:r>
        <w:rPr/>
        <w:t>је преузело обавезе преко одобрених апропријација у укупном износу од 3.862 хиљаде динара, што је супротно члану 54. Закона о буџетском систему и то:</w:t>
      </w:r>
    </w:p>
    <w:p>
      <w:pPr>
        <w:spacing w:after="0" w:line="240" w:lineRule="auto"/>
        <w:jc w:val="both"/>
        <w:sectPr>
          <w:footerReference w:type="default" r:id="rId99"/>
          <w:pgSz w:w="12240" w:h="15840"/>
          <w:pgMar w:footer="1504" w:header="740" w:top="1200" w:bottom="1700" w:left="1400" w:right="1260"/>
          <w:pgNumType w:start="324"/>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ListParagraph"/>
        <w:numPr>
          <w:ilvl w:val="0"/>
          <w:numId w:val="98"/>
        </w:numPr>
        <w:tabs>
          <w:tab w:pos="907" w:val="left" w:leader="none"/>
        </w:tabs>
        <w:spacing w:line="240" w:lineRule="auto" w:before="6" w:after="0"/>
        <w:ind w:left="206" w:right="181" w:firstLine="52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411000 – плате, додаци и накнаде у износу од 33.978 хиљада динара преузета је обавеза за плате у већем износу за 2.736 хиљада динара од одобрене апропријације, за неисплаћену плату за децембар </w:t>
      </w:r>
      <w:r>
        <w:rPr>
          <w:rFonts w:ascii="Times New Roman" w:hAnsi="Times New Roman" w:cs="Times New Roman" w:eastAsia="Times New Roman" w:hint="default"/>
          <w:sz w:val="24"/>
          <w:szCs w:val="24"/>
        </w:rPr>
        <w:t>2014.</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године,</w:t>
      </w:r>
    </w:p>
    <w:p>
      <w:pPr>
        <w:pStyle w:val="ListParagraph"/>
        <w:numPr>
          <w:ilvl w:val="0"/>
          <w:numId w:val="98"/>
        </w:numPr>
        <w:tabs>
          <w:tab w:pos="893" w:val="left" w:leader="none"/>
        </w:tabs>
        <w:spacing w:line="240" w:lineRule="auto" w:before="0" w:after="0"/>
        <w:ind w:left="160" w:right="179"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412000 – социјални доприноси на терет послодавца преузета је обавеза у већем износу за 490 хиљада динара од одобрене апропријације, за неплаћене социјалне доприносе за децембар 2014.</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године</w:t>
      </w:r>
      <w:r>
        <w:rPr>
          <w:rFonts w:ascii="Times New Roman" w:hAnsi="Times New Roman" w:cs="Times New Roman" w:eastAsia="Times New Roman" w:hint="default"/>
          <w:sz w:val="24"/>
          <w:szCs w:val="24"/>
        </w:rPr>
        <w:t>,</w:t>
      </w:r>
    </w:p>
    <w:p>
      <w:pPr>
        <w:pStyle w:val="ListParagraph"/>
        <w:numPr>
          <w:ilvl w:val="0"/>
          <w:numId w:val="98"/>
        </w:numPr>
        <w:tabs>
          <w:tab w:pos="866" w:val="left" w:leader="none"/>
        </w:tabs>
        <w:spacing w:line="240" w:lineRule="auto" w:before="0" w:after="0"/>
        <w:ind w:left="160" w:right="170"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465000 – остале дотације и трансфери преузета је обавеза у већем износу за 636 хиљада динара од одобрене апропријације, по основу повраћаја у буџет Републике 10% од плате, за неисплаћене плате за 2014. годину (део плате за новембар у износу од 289 хиљада динара и плата за децембар у износу од </w:t>
      </w:r>
      <w:r>
        <w:rPr>
          <w:rFonts w:ascii="Times New Roman" w:hAnsi="Times New Roman" w:cs="Times New Roman" w:eastAsia="Times New Roman" w:hint="default"/>
          <w:sz w:val="24"/>
          <w:szCs w:val="24"/>
        </w:rPr>
        <w:t>347 </w:t>
      </w:r>
      <w:r>
        <w:rPr>
          <w:rFonts w:ascii="Times New Roman" w:hAnsi="Times New Roman" w:cs="Times New Roman" w:eastAsia="Times New Roman" w:hint="default"/>
          <w:sz w:val="24"/>
          <w:szCs w:val="24"/>
        </w:rPr>
        <w:t>хиљада</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динара</w:t>
      </w:r>
      <w:r>
        <w:rPr>
          <w:rFonts w:ascii="Times New Roman" w:hAnsi="Times New Roman" w:cs="Times New Roman" w:eastAsia="Times New Roman" w:hint="default"/>
          <w:sz w:val="24"/>
          <w:szCs w:val="24"/>
        </w:rPr>
        <w:t>).</w:t>
      </w:r>
    </w:p>
    <w:p>
      <w:pPr>
        <w:pStyle w:val="BodyText"/>
        <w:spacing w:line="240" w:lineRule="auto" w:before="139"/>
        <w:ind w:right="172" w:firstLine="566"/>
        <w:jc w:val="both"/>
      </w:pPr>
      <w:r>
        <w:rPr>
          <w:rFonts w:ascii="Times New Roman" w:hAnsi="Times New Roman"/>
          <w:b/>
        </w:rPr>
        <w:t>Нишки симфонијски оркестар </w:t>
      </w:r>
      <w:r>
        <w:rPr/>
        <w:t>је преузео обавезе преко одобрених апропријација у укупном износу од 6.675 хиљада динара, што је супротно члану 54. Закона о буџетском систему и</w:t>
      </w:r>
      <w:r>
        <w:rPr>
          <w:spacing w:val="-5"/>
        </w:rPr>
        <w:t> </w:t>
      </w:r>
      <w:r>
        <w:rPr/>
        <w:t>то:</w:t>
      </w:r>
    </w:p>
    <w:p>
      <w:pPr>
        <w:pStyle w:val="ListParagraph"/>
        <w:numPr>
          <w:ilvl w:val="0"/>
          <w:numId w:val="98"/>
        </w:numPr>
        <w:tabs>
          <w:tab w:pos="912" w:val="left" w:leader="none"/>
        </w:tabs>
        <w:spacing w:line="240" w:lineRule="auto" w:before="0" w:after="0"/>
        <w:ind w:left="911" w:right="0" w:hanging="139"/>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411000 – плате, додаци и накнаде преузета је обавеза у износу</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од</w:t>
      </w:r>
    </w:p>
    <w:p>
      <w:pPr>
        <w:pStyle w:val="ListParagraph"/>
        <w:numPr>
          <w:ilvl w:val="1"/>
          <w:numId w:val="99"/>
        </w:numPr>
        <w:tabs>
          <w:tab w:pos="852" w:val="left" w:leader="none"/>
        </w:tabs>
        <w:spacing w:line="240" w:lineRule="auto" w:before="0" w:after="0"/>
        <w:ind w:left="206" w:right="173" w:firstLine="0"/>
        <w:jc w:val="both"/>
        <w:rPr>
          <w:rFonts w:ascii="Times New Roman" w:hAnsi="Times New Roman" w:cs="Times New Roman" w:eastAsia="Times New Roman" w:hint="default"/>
          <w:sz w:val="24"/>
          <w:szCs w:val="24"/>
        </w:rPr>
      </w:pPr>
      <w:r>
        <w:rPr>
          <w:rFonts w:ascii="Times New Roman" w:hAnsi="Times New Roman"/>
          <w:sz w:val="24"/>
        </w:rPr>
        <w:t>хиљада динара већем од одобрене апропријације за неисплаћене плате за 2014. годину (део плате за новембар у износу од 104 хиљаде динара и плата за децембар у износу од 3.171 хиљаде</w:t>
      </w:r>
      <w:r>
        <w:rPr>
          <w:rFonts w:ascii="Times New Roman" w:hAnsi="Times New Roman"/>
          <w:spacing w:val="-8"/>
          <w:sz w:val="24"/>
        </w:rPr>
        <w:t> </w:t>
      </w:r>
      <w:r>
        <w:rPr>
          <w:rFonts w:ascii="Times New Roman" w:hAnsi="Times New Roman"/>
          <w:sz w:val="24"/>
        </w:rPr>
        <w:t>динара</w:t>
      </w:r>
      <w:r>
        <w:rPr>
          <w:rFonts w:ascii="Times New Roman" w:hAnsi="Times New Roman"/>
          <w:sz w:val="24"/>
        </w:rPr>
        <w:t>),</w:t>
      </w:r>
    </w:p>
    <w:p>
      <w:pPr>
        <w:pStyle w:val="ListParagraph"/>
        <w:numPr>
          <w:ilvl w:val="0"/>
          <w:numId w:val="100"/>
        </w:numPr>
        <w:tabs>
          <w:tab w:pos="893" w:val="left" w:leader="none"/>
        </w:tabs>
        <w:spacing w:line="240" w:lineRule="auto" w:before="0" w:after="0"/>
        <w:ind w:left="206" w:right="177" w:firstLine="52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412000 – социјални доприноси на терет послодавца преузета је обавеза у износу од 585 хиљада динара већем од одобрене апропријације за социјалне доприносе за 2014. годину (део социјалних доприноса за новембар у износу од 17  хиљада динара и децембар у износу од 568 хиљада</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динара</w:t>
      </w:r>
      <w:r>
        <w:rPr>
          <w:rFonts w:ascii="Times New Roman" w:hAnsi="Times New Roman" w:cs="Times New Roman" w:eastAsia="Times New Roman" w:hint="default"/>
          <w:sz w:val="24"/>
          <w:szCs w:val="24"/>
        </w:rPr>
        <w:t>),</w:t>
      </w:r>
    </w:p>
    <w:p>
      <w:pPr>
        <w:pStyle w:val="ListParagraph"/>
        <w:numPr>
          <w:ilvl w:val="0"/>
          <w:numId w:val="100"/>
        </w:numPr>
        <w:tabs>
          <w:tab w:pos="890" w:val="left" w:leader="none"/>
        </w:tabs>
        <w:spacing w:line="240" w:lineRule="auto" w:before="0" w:after="0"/>
        <w:ind w:left="206" w:right="178" w:firstLine="52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413000 – накнаде у натури преузета је обавеза у износу од 134 хиљаде динара већем од одобрене апропријације за неисплаћене накнаде за 2014.</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годину,</w:t>
      </w:r>
    </w:p>
    <w:p>
      <w:pPr>
        <w:pStyle w:val="ListParagraph"/>
        <w:numPr>
          <w:ilvl w:val="0"/>
          <w:numId w:val="100"/>
        </w:numPr>
        <w:tabs>
          <w:tab w:pos="907" w:val="left" w:leader="none"/>
        </w:tabs>
        <w:spacing w:line="240" w:lineRule="auto" w:before="0" w:after="0"/>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414000 – социјална давања запосленима преузета је обавеза у износу од 1.415 хиљада динара већем од одобрене апропријације (извор финансирања од организација обавезног социјалног осигурања) за неисплаћена социјална давања у 2014. годину,</w:t>
      </w:r>
    </w:p>
    <w:p>
      <w:pPr>
        <w:pStyle w:val="ListParagraph"/>
        <w:numPr>
          <w:ilvl w:val="0"/>
          <w:numId w:val="100"/>
        </w:numPr>
        <w:tabs>
          <w:tab w:pos="958" w:val="left" w:leader="none"/>
        </w:tabs>
        <w:spacing w:line="240" w:lineRule="auto" w:before="0" w:after="0"/>
        <w:ind w:left="160" w:right="178"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416000 – награде запосленима и остали посебни расходи преузета је обавеза у износу од 196 хиљада динара већем од одобрене апропријације (из сопствених средстава), за награде запосленима у 2014.</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годину</w:t>
      </w:r>
      <w:r>
        <w:rPr>
          <w:rFonts w:ascii="Times New Roman" w:hAnsi="Times New Roman" w:cs="Times New Roman" w:eastAsia="Times New Roman" w:hint="default"/>
          <w:sz w:val="24"/>
          <w:szCs w:val="24"/>
        </w:rPr>
        <w:t>,</w:t>
      </w:r>
    </w:p>
    <w:p>
      <w:pPr>
        <w:pStyle w:val="ListParagraph"/>
        <w:numPr>
          <w:ilvl w:val="0"/>
          <w:numId w:val="100"/>
        </w:numPr>
        <w:tabs>
          <w:tab w:pos="888" w:val="left" w:leader="none"/>
        </w:tabs>
        <w:spacing w:line="240" w:lineRule="auto" w:before="0" w:after="0"/>
        <w:ind w:left="160" w:right="180"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422000 – трошкови путовања извршени су расходи у износу од </w:t>
      </w:r>
      <w:r>
        <w:rPr>
          <w:rFonts w:ascii="Times New Roman" w:hAnsi="Times New Roman" w:cs="Times New Roman" w:eastAsia="Times New Roman" w:hint="default"/>
          <w:sz w:val="24"/>
          <w:szCs w:val="24"/>
        </w:rPr>
        <w:t>10 </w:t>
      </w:r>
      <w:r>
        <w:rPr>
          <w:rFonts w:ascii="Times New Roman" w:hAnsi="Times New Roman" w:cs="Times New Roman" w:eastAsia="Times New Roman" w:hint="default"/>
          <w:sz w:val="24"/>
          <w:szCs w:val="24"/>
        </w:rPr>
        <w:t>хиљада динара више од одобрене апропријације (из осталих</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извора</w:t>
      </w:r>
      <w:r>
        <w:rPr>
          <w:rFonts w:ascii="Times New Roman" w:hAnsi="Times New Roman" w:cs="Times New Roman" w:eastAsia="Times New Roman" w:hint="default"/>
          <w:sz w:val="24"/>
          <w:szCs w:val="24"/>
        </w:rPr>
        <w:t>),</w:t>
      </w:r>
    </w:p>
    <w:p>
      <w:pPr>
        <w:pStyle w:val="ListParagraph"/>
        <w:numPr>
          <w:ilvl w:val="0"/>
          <w:numId w:val="100"/>
        </w:numPr>
        <w:tabs>
          <w:tab w:pos="883" w:val="left" w:leader="none"/>
        </w:tabs>
        <w:spacing w:line="240" w:lineRule="auto" w:before="0" w:after="0"/>
        <w:ind w:left="160" w:right="171"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444000 – пратећи трошкови задуживања извршени су расходи у износу од две хиљаде динара више од одобрене апропријације (из осталих</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извора</w:t>
      </w:r>
      <w:r>
        <w:rPr>
          <w:rFonts w:ascii="Times New Roman" w:hAnsi="Times New Roman" w:cs="Times New Roman" w:eastAsia="Times New Roman" w:hint="default"/>
          <w:sz w:val="24"/>
          <w:szCs w:val="24"/>
        </w:rPr>
        <w:t>),</w:t>
      </w:r>
    </w:p>
    <w:p>
      <w:pPr>
        <w:pStyle w:val="ListParagraph"/>
        <w:numPr>
          <w:ilvl w:val="0"/>
          <w:numId w:val="100"/>
        </w:numPr>
        <w:tabs>
          <w:tab w:pos="977" w:val="left" w:leader="none"/>
        </w:tabs>
        <w:spacing w:line="240" w:lineRule="auto" w:before="0" w:after="0"/>
        <w:ind w:left="160" w:right="173" w:firstLine="62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465000 – остале дотације и трансфери преузета је обавеза у износу од 845 хиљада динара већем од одобрене апропријације за повраћај у буџет Републике 10% од плате, за неисплаћену плату за новембар </w:t>
      </w:r>
      <w:r>
        <w:rPr>
          <w:rFonts w:ascii="Times New Roman" w:hAnsi="Times New Roman" w:cs="Times New Roman" w:eastAsia="Times New Roman" w:hint="default"/>
          <w:sz w:val="24"/>
          <w:szCs w:val="24"/>
        </w:rPr>
        <w:t>2014. </w:t>
      </w:r>
      <w:r>
        <w:rPr>
          <w:rFonts w:ascii="Times New Roman" w:hAnsi="Times New Roman" w:cs="Times New Roman" w:eastAsia="Times New Roman" w:hint="default"/>
          <w:sz w:val="24"/>
          <w:szCs w:val="24"/>
        </w:rPr>
        <w:t>године у износу од 425 хиљада динара и децембар 2014. године у износу од 420 хиљада</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динара,</w:t>
      </w:r>
    </w:p>
    <w:p>
      <w:pPr>
        <w:pStyle w:val="ListParagraph"/>
        <w:numPr>
          <w:ilvl w:val="0"/>
          <w:numId w:val="100"/>
        </w:numPr>
        <w:tabs>
          <w:tab w:pos="934" w:val="left" w:leader="none"/>
        </w:tabs>
        <w:spacing w:line="240" w:lineRule="auto" w:before="0" w:after="0"/>
        <w:ind w:left="160" w:right="170"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481000 – дотације невладиним организацијама извршени су расходи у износу од шест хиљада динара (из осталих извора) више од одобрене апропријације</w:t>
      </w:r>
      <w:r>
        <w:rPr>
          <w:rFonts w:ascii="Times New Roman" w:hAnsi="Times New Roman" w:cs="Times New Roman" w:eastAsia="Times New Roman" w:hint="default"/>
          <w:sz w:val="24"/>
          <w:szCs w:val="24"/>
        </w:rPr>
        <w:t>,</w:t>
      </w:r>
    </w:p>
    <w:p>
      <w:pPr>
        <w:pStyle w:val="ListParagraph"/>
        <w:numPr>
          <w:ilvl w:val="0"/>
          <w:numId w:val="100"/>
        </w:numPr>
        <w:tabs>
          <w:tab w:pos="902" w:val="left" w:leader="none"/>
        </w:tabs>
        <w:spacing w:line="240" w:lineRule="auto" w:before="0" w:after="0"/>
        <w:ind w:left="160" w:right="174"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482000 – Порези</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обавезне таксе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казне и пенали извршени су расходи у износу од 207 хиљада динара (из осталих извора) више од одобрене апропријације.</w:t>
      </w:r>
    </w:p>
    <w:p>
      <w:pPr>
        <w:spacing w:after="0" w:line="240" w:lineRule="auto"/>
        <w:jc w:val="both"/>
        <w:rPr>
          <w:rFonts w:ascii="Times New Roman" w:hAnsi="Times New Roman" w:cs="Times New Roman" w:eastAsia="Times New Roman" w:hint="default"/>
          <w:sz w:val="24"/>
          <w:szCs w:val="24"/>
        </w:rPr>
        <w:sectPr>
          <w:pgSz w:w="12240" w:h="15840"/>
          <w:pgMar w:header="740" w:footer="1504" w:top="120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spacing w:line="237" w:lineRule="auto" w:before="13"/>
        <w:ind w:left="160" w:right="178"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Центар за дневни боравак деце, омладине и одраслих лица ментално ометених у развоју „Мара“ </w:t>
      </w:r>
      <w:r>
        <w:rPr>
          <w:rFonts w:ascii="Times New Roman" w:hAnsi="Times New Roman" w:cs="Times New Roman" w:eastAsia="Times New Roman" w:hint="default"/>
          <w:sz w:val="24"/>
          <w:szCs w:val="24"/>
        </w:rPr>
        <w:t>преузео обавезе преко одобрених апропријација у укупном износу од 9.833 хиљаде динара, што је супротно члану 54. Закона о буџетском систему и</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то:</w:t>
      </w:r>
    </w:p>
    <w:p>
      <w:pPr>
        <w:pStyle w:val="ListParagraph"/>
        <w:numPr>
          <w:ilvl w:val="0"/>
          <w:numId w:val="100"/>
        </w:numPr>
        <w:tabs>
          <w:tab w:pos="869" w:val="left" w:leader="none"/>
        </w:tabs>
        <w:spacing w:line="240" w:lineRule="auto" w:before="0" w:after="0"/>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411000 </w:t>
      </w:r>
      <w:r>
        <w:rPr>
          <w:rFonts w:ascii="Times New Roman" w:hAnsi="Times New Roman" w:cs="Times New Roman" w:eastAsia="Times New Roman" w:hint="default"/>
          <w:sz w:val="24"/>
          <w:szCs w:val="24"/>
        </w:rPr>
        <w:t>– плате, додаци и накнаде запослених преузете су обавезе више у односу на одобрену апропријацију у износу од 2.800 хиљада динара, по основу већег извршења у износу од 90 хиљада динара, плате за децембар 2014. године у износу од 1.615 хиљада динара и обавезе за неправилно обрачунате порезе и доприносе на плате за период мај</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децембар 2013. године у износу од 1.095 хиљада</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динара</w:t>
      </w:r>
      <w:r>
        <w:rPr>
          <w:rFonts w:ascii="Times New Roman" w:hAnsi="Times New Roman" w:cs="Times New Roman" w:eastAsia="Times New Roman" w:hint="default"/>
          <w:sz w:val="24"/>
          <w:szCs w:val="24"/>
        </w:rPr>
        <w:t>,</w:t>
      </w:r>
    </w:p>
    <w:p>
      <w:pPr>
        <w:pStyle w:val="ListParagraph"/>
        <w:numPr>
          <w:ilvl w:val="0"/>
          <w:numId w:val="100"/>
        </w:numPr>
        <w:tabs>
          <w:tab w:pos="888" w:val="left" w:leader="none"/>
        </w:tabs>
        <w:spacing w:line="240" w:lineRule="auto" w:before="0" w:after="0"/>
        <w:ind w:left="160" w:right="172"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412000 </w:t>
      </w:r>
      <w:r>
        <w:rPr>
          <w:rFonts w:ascii="Times New Roman" w:hAnsi="Times New Roman" w:cs="Times New Roman" w:eastAsia="Times New Roman" w:hint="default"/>
          <w:sz w:val="24"/>
          <w:szCs w:val="24"/>
        </w:rPr>
        <w:t>– социјални доприноси на терет послодавца преузете су обавезе више у односу на одобрену апропријацију у износу од 931 хиљаде динара за социјалне доприносе на плату за децембар 2014. године у износу од 289 хиљада динара и за неправилно обрачунате социјалне доприносе на плате за период мај</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децембар 2013. године у износу од 643 хиљаде</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динара</w:t>
      </w:r>
      <w:r>
        <w:rPr>
          <w:rFonts w:ascii="Times New Roman" w:hAnsi="Times New Roman" w:cs="Times New Roman" w:eastAsia="Times New Roman" w:hint="default"/>
          <w:sz w:val="24"/>
          <w:szCs w:val="24"/>
        </w:rPr>
        <w:t>,</w:t>
      </w:r>
    </w:p>
    <w:p>
      <w:pPr>
        <w:pStyle w:val="ListParagraph"/>
        <w:numPr>
          <w:ilvl w:val="0"/>
          <w:numId w:val="100"/>
        </w:numPr>
        <w:tabs>
          <w:tab w:pos="917" w:val="left" w:leader="none"/>
        </w:tabs>
        <w:spacing w:line="240" w:lineRule="auto" w:before="0" w:after="0"/>
        <w:ind w:left="160" w:right="179"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414000 </w:t>
      </w:r>
      <w:r>
        <w:rPr>
          <w:rFonts w:ascii="Times New Roman" w:hAnsi="Times New Roman" w:cs="Times New Roman" w:eastAsia="Times New Roman" w:hint="default"/>
          <w:sz w:val="24"/>
          <w:szCs w:val="24"/>
        </w:rPr>
        <w:t>– социјална давања запосленима, преузете су обавезе више у односу на одобрену апропријацију у износу од 1.321 хиљаде динара (из средстава ООСО</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по основу обавезе за отпремнину за одлазак у</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пензију</w:t>
      </w:r>
      <w:r>
        <w:rPr>
          <w:rFonts w:ascii="Times New Roman" w:hAnsi="Times New Roman" w:cs="Times New Roman" w:eastAsia="Times New Roman" w:hint="default"/>
          <w:sz w:val="24"/>
          <w:szCs w:val="24"/>
        </w:rPr>
        <w:t>,</w:t>
      </w:r>
    </w:p>
    <w:p>
      <w:pPr>
        <w:pStyle w:val="ListParagraph"/>
        <w:numPr>
          <w:ilvl w:val="0"/>
          <w:numId w:val="100"/>
        </w:numPr>
        <w:tabs>
          <w:tab w:pos="871" w:val="left" w:leader="none"/>
        </w:tabs>
        <w:spacing w:line="240" w:lineRule="auto" w:before="0" w:after="0"/>
        <w:ind w:left="160" w:right="176"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421000 </w:t>
      </w:r>
      <w:r>
        <w:rPr>
          <w:rFonts w:ascii="Times New Roman" w:hAnsi="Times New Roman" w:cs="Times New Roman" w:eastAsia="Times New Roman" w:hint="default"/>
          <w:sz w:val="24"/>
          <w:szCs w:val="24"/>
        </w:rPr>
        <w:t>– стални трошкови, преузете су обавезе више у односу на одобрену апропријацију у износу од 227 хиљада динара по рачунима за сталне трошкове од којих по рачунима за децембар 2014. године у износу од 176 хиљада</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динара</w:t>
      </w:r>
      <w:r>
        <w:rPr>
          <w:rFonts w:ascii="Times New Roman" w:hAnsi="Times New Roman" w:cs="Times New Roman" w:eastAsia="Times New Roman" w:hint="default"/>
          <w:sz w:val="24"/>
          <w:szCs w:val="24"/>
        </w:rPr>
        <w:t>,</w:t>
      </w:r>
    </w:p>
    <w:p>
      <w:pPr>
        <w:pStyle w:val="ListParagraph"/>
        <w:numPr>
          <w:ilvl w:val="0"/>
          <w:numId w:val="100"/>
        </w:numPr>
        <w:tabs>
          <w:tab w:pos="888" w:val="left" w:leader="none"/>
        </w:tabs>
        <w:spacing w:line="240" w:lineRule="auto" w:before="0" w:after="0"/>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425000 </w:t>
      </w:r>
      <w:r>
        <w:rPr>
          <w:rFonts w:ascii="Times New Roman" w:hAnsi="Times New Roman" w:cs="Times New Roman" w:eastAsia="Times New Roman" w:hint="default"/>
          <w:sz w:val="24"/>
          <w:szCs w:val="24"/>
        </w:rPr>
        <w:t>– текуће поправке и одржавање, извршени су расходи у износу од 84 хиљаде динара више у односу на одобрену апропријацију (из осталих средстава),</w:t>
      </w:r>
    </w:p>
    <w:p>
      <w:pPr>
        <w:pStyle w:val="ListParagraph"/>
        <w:numPr>
          <w:ilvl w:val="0"/>
          <w:numId w:val="100"/>
        </w:numPr>
        <w:tabs>
          <w:tab w:pos="878" w:val="left" w:leader="none"/>
        </w:tabs>
        <w:spacing w:line="240" w:lineRule="auto" w:before="0" w:after="0"/>
        <w:ind w:left="160" w:right="172"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465000 </w:t>
      </w:r>
      <w:r>
        <w:rPr>
          <w:rFonts w:ascii="Times New Roman" w:hAnsi="Times New Roman" w:cs="Times New Roman" w:eastAsia="Times New Roman" w:hint="default"/>
          <w:sz w:val="24"/>
          <w:szCs w:val="24"/>
        </w:rPr>
        <w:t>– остале дотације и трансфери, преузете су обавезе више у односу на одобрену апропријацију у износу од 199 хиљада динара по основу привременог умањења основице за плату за децембар 2014.</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године</w:t>
      </w:r>
      <w:r>
        <w:rPr>
          <w:rFonts w:ascii="Times New Roman" w:hAnsi="Times New Roman" w:cs="Times New Roman" w:eastAsia="Times New Roman" w:hint="default"/>
          <w:sz w:val="24"/>
          <w:szCs w:val="24"/>
        </w:rPr>
        <w:t>,</w:t>
      </w:r>
    </w:p>
    <w:p>
      <w:pPr>
        <w:pStyle w:val="ListParagraph"/>
        <w:numPr>
          <w:ilvl w:val="0"/>
          <w:numId w:val="100"/>
        </w:numPr>
        <w:tabs>
          <w:tab w:pos="888" w:val="left" w:leader="none"/>
        </w:tabs>
        <w:spacing w:line="240" w:lineRule="auto" w:before="0" w:after="0"/>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472000 </w:t>
      </w:r>
      <w:r>
        <w:rPr>
          <w:rFonts w:ascii="Times New Roman" w:hAnsi="Times New Roman" w:cs="Times New Roman" w:eastAsia="Times New Roman" w:hint="default"/>
          <w:sz w:val="24"/>
          <w:szCs w:val="24"/>
        </w:rPr>
        <w:t>– Накнаде за социјалну заштиту из буџета, извршене су обавезе у износу од 3.687 хиљада динара више од одобрене апропријације и преузета је обавеза по основу неизмирених рачуна за исхрану штићеника у износу од 584 хиљада динара, што је у износу од 4.271 хиљаде динара више од одобрене апропријације. Центар је у свом Предлогу финансијског плана предвидео апропријацију 472000, али Управа за дечију, социјану и примарну здравствену заштиту није прихватила његов</w:t>
      </w:r>
      <w:r>
        <w:rPr>
          <w:rFonts w:ascii="Times New Roman" w:hAnsi="Times New Roman" w:cs="Times New Roman" w:eastAsia="Times New Roman" w:hint="default"/>
          <w:spacing w:val="-29"/>
          <w:sz w:val="24"/>
          <w:szCs w:val="24"/>
        </w:rPr>
        <w:t> </w:t>
      </w:r>
      <w:r>
        <w:rPr>
          <w:rFonts w:ascii="Times New Roman" w:hAnsi="Times New Roman" w:cs="Times New Roman" w:eastAsia="Times New Roman" w:hint="default"/>
          <w:sz w:val="24"/>
          <w:szCs w:val="24"/>
        </w:rPr>
        <w:t>предлог.</w:t>
      </w:r>
    </w:p>
    <w:p>
      <w:pPr>
        <w:spacing w:before="139"/>
        <w:ind w:left="160" w:right="175"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Установа „Сигурна кућа за жене и децу жртве породичног насиља“ </w:t>
      </w:r>
      <w:r>
        <w:rPr>
          <w:rFonts w:ascii="Times New Roman" w:hAnsi="Times New Roman" w:cs="Times New Roman" w:eastAsia="Times New Roman" w:hint="default"/>
          <w:sz w:val="24"/>
          <w:szCs w:val="24"/>
        </w:rPr>
        <w:t>преузела је обавезе преко одобрених апропријација у укупном износу од 2.080 хиљада динара, што је супротно члану 54. Закона о буџетском систему и</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то:</w:t>
      </w:r>
    </w:p>
    <w:p>
      <w:pPr>
        <w:pStyle w:val="ListParagraph"/>
        <w:numPr>
          <w:ilvl w:val="0"/>
          <w:numId w:val="100"/>
        </w:numPr>
        <w:tabs>
          <w:tab w:pos="1015" w:val="left" w:leader="none"/>
        </w:tabs>
        <w:spacing w:line="240" w:lineRule="auto" w:before="0" w:after="0"/>
        <w:ind w:left="160" w:right="174"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414000 </w:t>
      </w:r>
      <w:r>
        <w:rPr>
          <w:rFonts w:ascii="Times New Roman" w:hAnsi="Times New Roman" w:cs="Times New Roman" w:eastAsia="Times New Roman" w:hint="default"/>
          <w:sz w:val="24"/>
          <w:szCs w:val="24"/>
        </w:rPr>
        <w:t>– социјална давања запосленима извршила је апропријацију у износу од 30 хиљада динара више од одобрене апропријације </w:t>
      </w:r>
      <w:r>
        <w:rPr>
          <w:rFonts w:ascii="Times New Roman" w:hAnsi="Times New Roman" w:cs="Times New Roman" w:eastAsia="Times New Roman" w:hint="default"/>
          <w:spacing w:val="-3"/>
          <w:sz w:val="24"/>
          <w:szCs w:val="24"/>
        </w:rPr>
        <w:t>(</w:t>
      </w:r>
      <w:r>
        <w:rPr>
          <w:rFonts w:ascii="Times New Roman" w:hAnsi="Times New Roman" w:cs="Times New Roman" w:eastAsia="Times New Roman" w:hint="default"/>
          <w:spacing w:val="-3"/>
          <w:sz w:val="24"/>
          <w:szCs w:val="24"/>
        </w:rPr>
        <w:t>из </w:t>
      </w:r>
      <w:r>
        <w:rPr>
          <w:rFonts w:ascii="Times New Roman" w:hAnsi="Times New Roman" w:cs="Times New Roman" w:eastAsia="Times New Roman" w:hint="default"/>
          <w:sz w:val="24"/>
          <w:szCs w:val="24"/>
        </w:rPr>
        <w:t>средстава</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ООСО</w:t>
      </w:r>
      <w:r>
        <w:rPr>
          <w:rFonts w:ascii="Times New Roman" w:hAnsi="Times New Roman" w:cs="Times New Roman" w:eastAsia="Times New Roman" w:hint="default"/>
          <w:sz w:val="24"/>
          <w:szCs w:val="24"/>
        </w:rPr>
        <w:t>),</w:t>
      </w:r>
    </w:p>
    <w:p>
      <w:pPr>
        <w:pStyle w:val="ListParagraph"/>
        <w:numPr>
          <w:ilvl w:val="0"/>
          <w:numId w:val="100"/>
        </w:numPr>
        <w:tabs>
          <w:tab w:pos="958" w:val="left" w:leader="none"/>
        </w:tabs>
        <w:spacing w:line="240" w:lineRule="auto" w:before="0" w:after="0"/>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421000 </w:t>
      </w:r>
      <w:r>
        <w:rPr>
          <w:rFonts w:ascii="Times New Roman" w:hAnsi="Times New Roman" w:cs="Times New Roman" w:eastAsia="Times New Roman" w:hint="default"/>
          <w:sz w:val="24"/>
          <w:szCs w:val="24"/>
        </w:rPr>
        <w:t>– стални трошкови, преузете су обавезе више од одобрене апропријације у износу од 141 хиљаде динара по рачунима за сталне трошкове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од којих по рачунима за децембар 2014. године у износу од 68 хиљада</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динара</w:t>
      </w:r>
      <w:r>
        <w:rPr>
          <w:rFonts w:ascii="Times New Roman" w:hAnsi="Times New Roman" w:cs="Times New Roman" w:eastAsia="Times New Roman" w:hint="default"/>
          <w:sz w:val="24"/>
          <w:szCs w:val="24"/>
        </w:rPr>
        <w:t>.</w:t>
      </w:r>
    </w:p>
    <w:p>
      <w:pPr>
        <w:pStyle w:val="ListParagraph"/>
        <w:numPr>
          <w:ilvl w:val="0"/>
          <w:numId w:val="100"/>
        </w:numPr>
        <w:tabs>
          <w:tab w:pos="869" w:val="left" w:leader="none"/>
        </w:tabs>
        <w:spacing w:line="240" w:lineRule="auto" w:before="0" w:after="0"/>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423000 </w:t>
      </w:r>
      <w:r>
        <w:rPr>
          <w:rFonts w:ascii="Times New Roman" w:hAnsi="Times New Roman" w:cs="Times New Roman" w:eastAsia="Times New Roman" w:hint="default"/>
          <w:sz w:val="24"/>
          <w:szCs w:val="24"/>
        </w:rPr>
        <w:t>– услуге по уговору преузете су обавезе у износу од </w:t>
      </w:r>
      <w:r>
        <w:rPr>
          <w:rFonts w:ascii="Times New Roman" w:hAnsi="Times New Roman" w:cs="Times New Roman" w:eastAsia="Times New Roman" w:hint="default"/>
          <w:sz w:val="24"/>
          <w:szCs w:val="24"/>
        </w:rPr>
        <w:t>1.850 </w:t>
      </w:r>
      <w:r>
        <w:rPr>
          <w:rFonts w:ascii="Times New Roman" w:hAnsi="Times New Roman" w:cs="Times New Roman" w:eastAsia="Times New Roman" w:hint="default"/>
          <w:sz w:val="24"/>
          <w:szCs w:val="24"/>
        </w:rPr>
        <w:t>хиљада динара више од одобрене апропријације по рачунима за исхрану штићеника и по уговору. У 2015. години плаћен је принудном наплатом наведени износ прекорачене апропријације.</w:t>
      </w:r>
    </w:p>
    <w:p>
      <w:pPr>
        <w:spacing w:after="0" w:line="240" w:lineRule="auto"/>
        <w:jc w:val="both"/>
        <w:rPr>
          <w:rFonts w:ascii="Times New Roman" w:hAnsi="Times New Roman" w:cs="Times New Roman" w:eastAsia="Times New Roman" w:hint="default"/>
          <w:sz w:val="24"/>
          <w:szCs w:val="24"/>
        </w:rPr>
        <w:sectPr>
          <w:pgSz w:w="12240" w:h="15840"/>
          <w:pgMar w:header="740" w:footer="1504" w:top="120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ListParagraph"/>
        <w:numPr>
          <w:ilvl w:val="0"/>
          <w:numId w:val="100"/>
        </w:numPr>
        <w:tabs>
          <w:tab w:pos="912" w:val="left" w:leader="none"/>
        </w:tabs>
        <w:spacing w:line="240" w:lineRule="auto" w:before="6" w:after="0"/>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465000 </w:t>
      </w:r>
      <w:r>
        <w:rPr>
          <w:rFonts w:ascii="Times New Roman" w:hAnsi="Times New Roman" w:cs="Times New Roman" w:eastAsia="Times New Roman" w:hint="default"/>
          <w:sz w:val="24"/>
          <w:szCs w:val="24"/>
        </w:rPr>
        <w:t>– остале дотације и трансфери, преузете су обавезе у износу од 59 хиљада динара више од одобрене апропријације, по основу привременог умањења основице за плату за децембар 2014. године</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w:t>
      </w:r>
    </w:p>
    <w:p>
      <w:pPr>
        <w:pStyle w:val="BodyText"/>
        <w:spacing w:line="240" w:lineRule="auto" w:before="139"/>
        <w:ind w:right="175" w:firstLine="566"/>
        <w:jc w:val="both"/>
      </w:pPr>
      <w:r>
        <w:rPr>
          <w:rFonts w:ascii="Times New Roman" w:hAnsi="Times New Roman"/>
          <w:b/>
        </w:rPr>
        <w:t>ПУ Пчелица </w:t>
      </w:r>
      <w:r>
        <w:rPr/>
        <w:t>преузела обавезе преко одобрених  апропријација  у укупном износу од 71.443 хиљаде динара, што је супротно члану 54. Закона о буџетском систему и</w:t>
      </w:r>
      <w:r>
        <w:rPr>
          <w:spacing w:val="-23"/>
        </w:rPr>
        <w:t> </w:t>
      </w:r>
      <w:r>
        <w:rPr/>
        <w:t>то:</w:t>
      </w:r>
    </w:p>
    <w:p>
      <w:pPr>
        <w:pStyle w:val="ListParagraph"/>
        <w:numPr>
          <w:ilvl w:val="2"/>
          <w:numId w:val="99"/>
        </w:numPr>
        <w:tabs>
          <w:tab w:pos="670" w:val="left" w:leader="none"/>
        </w:tabs>
        <w:spacing w:line="240" w:lineRule="auto" w:before="0" w:after="0"/>
        <w:ind w:left="160" w:right="179" w:firstLine="36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413000 </w:t>
      </w:r>
      <w:r>
        <w:rPr>
          <w:rFonts w:ascii="Times New Roman" w:hAnsi="Times New Roman" w:cs="Times New Roman" w:eastAsia="Times New Roman" w:hint="default"/>
          <w:sz w:val="24"/>
          <w:szCs w:val="24"/>
        </w:rPr>
        <w:t>– накнаде у натури, преузете су обавезе у износу од 13.803 хиљаде динара више од одобрене апропријације по основу неплаћених рачуна за превоз на посао и са посла из 2014. године и ранијих</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година</w:t>
      </w:r>
      <w:r>
        <w:rPr>
          <w:rFonts w:ascii="Times New Roman" w:hAnsi="Times New Roman" w:cs="Times New Roman" w:eastAsia="Times New Roman" w:hint="default"/>
          <w:sz w:val="24"/>
          <w:szCs w:val="24"/>
        </w:rPr>
        <w:t>,</w:t>
      </w:r>
    </w:p>
    <w:p>
      <w:pPr>
        <w:pStyle w:val="ListParagraph"/>
        <w:numPr>
          <w:ilvl w:val="3"/>
          <w:numId w:val="99"/>
        </w:numPr>
        <w:tabs>
          <w:tab w:pos="926" w:val="left" w:leader="none"/>
        </w:tabs>
        <w:spacing w:line="240" w:lineRule="auto" w:before="0" w:after="0"/>
        <w:ind w:left="160" w:right="172"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421000 – стални трошкови преузете су обавезе у износу  од 31.613 хиљада динара више од одобрене апропријације по рачунима за сталне трошкове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од којих су обавезе по рачунима за децембар 2014. године у износу од 5.211 хиљада динара</w:t>
      </w:r>
      <w:r>
        <w:rPr>
          <w:rFonts w:ascii="Times New Roman" w:hAnsi="Times New Roman" w:cs="Times New Roman" w:eastAsia="Times New Roman" w:hint="default"/>
          <w:sz w:val="24"/>
          <w:szCs w:val="24"/>
        </w:rPr>
        <w:t>,</w:t>
      </w:r>
    </w:p>
    <w:p>
      <w:pPr>
        <w:pStyle w:val="ListParagraph"/>
        <w:numPr>
          <w:ilvl w:val="3"/>
          <w:numId w:val="99"/>
        </w:numPr>
        <w:tabs>
          <w:tab w:pos="871" w:val="left" w:leader="none"/>
        </w:tabs>
        <w:spacing w:line="240" w:lineRule="auto" w:before="0" w:after="0"/>
        <w:ind w:left="160" w:right="18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424000 </w:t>
      </w:r>
      <w:r>
        <w:rPr>
          <w:rFonts w:ascii="Times New Roman" w:hAnsi="Times New Roman" w:cs="Times New Roman" w:eastAsia="Times New Roman" w:hint="default"/>
          <w:sz w:val="24"/>
          <w:szCs w:val="24"/>
        </w:rPr>
        <w:t>– специјализоване услуге преузете су обавезе у износу од 7.951 хиљаде динара више од одобрене апропријације </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из осталих извора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по</w:t>
      </w:r>
      <w:r>
        <w:rPr>
          <w:rFonts w:ascii="Times New Roman" w:hAnsi="Times New Roman" w:cs="Times New Roman" w:eastAsia="Times New Roman" w:hint="default"/>
          <w:spacing w:val="-21"/>
          <w:sz w:val="24"/>
          <w:szCs w:val="24"/>
        </w:rPr>
        <w:t> </w:t>
      </w:r>
      <w:r>
        <w:rPr>
          <w:rFonts w:ascii="Times New Roman" w:hAnsi="Times New Roman" w:cs="Times New Roman" w:eastAsia="Times New Roman" w:hint="default"/>
          <w:sz w:val="24"/>
          <w:szCs w:val="24"/>
        </w:rPr>
        <w:t>рачунима</w:t>
      </w:r>
      <w:r>
        <w:rPr>
          <w:rFonts w:ascii="Times New Roman" w:hAnsi="Times New Roman" w:cs="Times New Roman" w:eastAsia="Times New Roman" w:hint="default"/>
          <w:sz w:val="24"/>
          <w:szCs w:val="24"/>
        </w:rPr>
        <w:t>,</w:t>
      </w:r>
    </w:p>
    <w:p>
      <w:pPr>
        <w:pStyle w:val="ListParagraph"/>
        <w:numPr>
          <w:ilvl w:val="3"/>
          <w:numId w:val="99"/>
        </w:numPr>
        <w:tabs>
          <w:tab w:pos="902" w:val="left" w:leader="none"/>
        </w:tabs>
        <w:spacing w:line="240" w:lineRule="auto" w:before="0" w:after="0"/>
        <w:ind w:left="160" w:right="170"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425000 </w:t>
      </w:r>
      <w:r>
        <w:rPr>
          <w:rFonts w:ascii="Times New Roman" w:hAnsi="Times New Roman" w:cs="Times New Roman" w:eastAsia="Times New Roman" w:hint="default"/>
          <w:sz w:val="24"/>
          <w:szCs w:val="24"/>
        </w:rPr>
        <w:t>– текуће поправке и одржавање, преузете су обавезе у износу од 728 хиљада динара </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из осталих извора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по</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рачунима</w:t>
      </w:r>
      <w:r>
        <w:rPr>
          <w:rFonts w:ascii="Times New Roman" w:hAnsi="Times New Roman" w:cs="Times New Roman" w:eastAsia="Times New Roman" w:hint="default"/>
          <w:sz w:val="24"/>
          <w:szCs w:val="24"/>
        </w:rPr>
        <w:t>,</w:t>
      </w:r>
    </w:p>
    <w:p>
      <w:pPr>
        <w:pStyle w:val="ListParagraph"/>
        <w:numPr>
          <w:ilvl w:val="3"/>
          <w:numId w:val="99"/>
        </w:numPr>
        <w:tabs>
          <w:tab w:pos="878" w:val="left" w:leader="none"/>
        </w:tabs>
        <w:spacing w:line="240" w:lineRule="auto" w:before="0" w:after="0"/>
        <w:ind w:left="160" w:right="175"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444000 </w:t>
      </w:r>
      <w:r>
        <w:rPr>
          <w:rFonts w:ascii="Times New Roman" w:hAnsi="Times New Roman" w:cs="Times New Roman" w:eastAsia="Times New Roman" w:hint="default"/>
          <w:sz w:val="24"/>
          <w:szCs w:val="24"/>
        </w:rPr>
        <w:t>– пратећи трошкови задуживања исказано је извршење у износу од 1.582 хиљаде динара </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из осталих извора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више у односу на одобрену апропријацију</w:t>
      </w:r>
      <w:r>
        <w:rPr>
          <w:rFonts w:ascii="Times New Roman" w:hAnsi="Times New Roman" w:cs="Times New Roman" w:eastAsia="Times New Roman" w:hint="default"/>
          <w:sz w:val="24"/>
          <w:szCs w:val="24"/>
        </w:rPr>
        <w:t>,</w:t>
      </w:r>
    </w:p>
    <w:p>
      <w:pPr>
        <w:pStyle w:val="ListParagraph"/>
        <w:numPr>
          <w:ilvl w:val="3"/>
          <w:numId w:val="99"/>
        </w:numPr>
        <w:tabs>
          <w:tab w:pos="893" w:val="left" w:leader="none"/>
        </w:tabs>
        <w:spacing w:line="240" w:lineRule="auto" w:before="0" w:after="0"/>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465000 </w:t>
      </w:r>
      <w:r>
        <w:rPr>
          <w:rFonts w:ascii="Times New Roman" w:hAnsi="Times New Roman" w:cs="Times New Roman" w:eastAsia="Times New Roman" w:hint="default"/>
          <w:sz w:val="24"/>
          <w:szCs w:val="24"/>
        </w:rPr>
        <w:t>– остале дотације и трансфери, исказано је извршење у износу од 463 хиљаде динара </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из осталих извора и из буџета Републике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више од одобрене апропријације и преузета је обавеза по основу привременог умањења основице за плату за децембар 2014. године у износу од 3.599 хиљада динара, што је у укупном износу од 4.062 хиљаде динара више од одобрене</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апропријације</w:t>
      </w:r>
      <w:r>
        <w:rPr>
          <w:rFonts w:ascii="Times New Roman" w:hAnsi="Times New Roman" w:cs="Times New Roman" w:eastAsia="Times New Roman" w:hint="default"/>
          <w:sz w:val="24"/>
          <w:szCs w:val="24"/>
        </w:rPr>
        <w:t>,</w:t>
      </w:r>
    </w:p>
    <w:p>
      <w:pPr>
        <w:pStyle w:val="ListParagraph"/>
        <w:numPr>
          <w:ilvl w:val="3"/>
          <w:numId w:val="99"/>
        </w:numPr>
        <w:tabs>
          <w:tab w:pos="914" w:val="left" w:leader="none"/>
        </w:tabs>
        <w:spacing w:line="240" w:lineRule="auto" w:before="0" w:after="0"/>
        <w:ind w:left="160" w:right="174"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482000 </w:t>
      </w:r>
      <w:r>
        <w:rPr>
          <w:rFonts w:ascii="Times New Roman" w:hAnsi="Times New Roman" w:cs="Times New Roman" w:eastAsia="Times New Roman" w:hint="default"/>
          <w:sz w:val="24"/>
          <w:szCs w:val="24"/>
        </w:rPr>
        <w:t>– порези, обавезне таксе, казне и пенали, исказано је извршење у износу од 1.639 хиљада динара </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из осталих извора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више у односу на одобрену</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апропријацију,</w:t>
      </w:r>
    </w:p>
    <w:p>
      <w:pPr>
        <w:pStyle w:val="ListParagraph"/>
        <w:numPr>
          <w:ilvl w:val="3"/>
          <w:numId w:val="99"/>
        </w:numPr>
        <w:tabs>
          <w:tab w:pos="881" w:val="left" w:leader="none"/>
        </w:tabs>
        <w:spacing w:line="240" w:lineRule="auto" w:before="0" w:after="0"/>
        <w:ind w:left="160" w:right="172"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483000 </w:t>
      </w:r>
      <w:r>
        <w:rPr>
          <w:rFonts w:ascii="Times New Roman" w:hAnsi="Times New Roman" w:cs="Times New Roman" w:eastAsia="Times New Roman" w:hint="default"/>
          <w:sz w:val="24"/>
          <w:szCs w:val="24"/>
        </w:rPr>
        <w:t>– новчане казне и пенали по решењу судова, исказано је извршење у износу од 76 хиљада динара </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из осталих извора) више у односу на одобрену апропријацију</w:t>
      </w:r>
      <w:r>
        <w:rPr>
          <w:rFonts w:ascii="Times New Roman" w:hAnsi="Times New Roman" w:cs="Times New Roman" w:eastAsia="Times New Roman" w:hint="default"/>
          <w:sz w:val="24"/>
          <w:szCs w:val="24"/>
        </w:rPr>
        <w:t>,</w:t>
      </w:r>
    </w:p>
    <w:p>
      <w:pPr>
        <w:pStyle w:val="ListParagraph"/>
        <w:numPr>
          <w:ilvl w:val="3"/>
          <w:numId w:val="99"/>
        </w:numPr>
        <w:tabs>
          <w:tab w:pos="917" w:val="left" w:leader="none"/>
        </w:tabs>
        <w:spacing w:line="240" w:lineRule="auto" w:before="0" w:after="0"/>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523000 </w:t>
      </w:r>
      <w:r>
        <w:rPr>
          <w:rFonts w:ascii="Times New Roman" w:hAnsi="Times New Roman" w:cs="Times New Roman" w:eastAsia="Times New Roman" w:hint="default"/>
          <w:sz w:val="24"/>
          <w:szCs w:val="24"/>
        </w:rPr>
        <w:t>– залихе робе за даљу продају преузете су обавезе у износу од 9.989 хиљада динара више од одобрене апропријације </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из осталих извора) по рачунима за набавку</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намирница.</w:t>
      </w:r>
    </w:p>
    <w:p>
      <w:pPr>
        <w:pStyle w:val="BodyText"/>
        <w:spacing w:line="240" w:lineRule="auto" w:before="137"/>
        <w:ind w:left="726" w:right="141"/>
        <w:jc w:val="left"/>
      </w:pPr>
      <w:r>
        <w:rPr>
          <w:rFonts w:ascii="Times New Roman" w:hAnsi="Times New Roman"/>
          <w:b/>
        </w:rPr>
        <w:t>СЦ</w:t>
      </w:r>
      <w:r>
        <w:rPr>
          <w:rFonts w:ascii="Times New Roman" w:hAnsi="Times New Roman"/>
          <w:b/>
          <w:spacing w:val="21"/>
        </w:rPr>
        <w:t> </w:t>
      </w:r>
      <w:r>
        <w:rPr>
          <w:rFonts w:ascii="Times New Roman" w:hAnsi="Times New Roman"/>
          <w:b/>
        </w:rPr>
        <w:t>Чаир</w:t>
      </w:r>
      <w:r>
        <w:rPr>
          <w:rFonts w:ascii="Times New Roman" w:hAnsi="Times New Roman"/>
          <w:b/>
          <w:spacing w:val="23"/>
        </w:rPr>
        <w:t> </w:t>
      </w:r>
      <w:r>
        <w:rPr/>
        <w:t>је</w:t>
      </w:r>
      <w:r>
        <w:rPr>
          <w:spacing w:val="21"/>
        </w:rPr>
        <w:t> </w:t>
      </w:r>
      <w:r>
        <w:rPr/>
        <w:t>преузео</w:t>
      </w:r>
      <w:r>
        <w:rPr>
          <w:spacing w:val="22"/>
        </w:rPr>
        <w:t> </w:t>
      </w:r>
      <w:r>
        <w:rPr/>
        <w:t>обавезе</w:t>
      </w:r>
      <w:r>
        <w:rPr>
          <w:spacing w:val="20"/>
        </w:rPr>
        <w:t> </w:t>
      </w:r>
      <w:r>
        <w:rPr/>
        <w:t>преко</w:t>
      </w:r>
      <w:r>
        <w:rPr>
          <w:spacing w:val="21"/>
        </w:rPr>
        <w:t> </w:t>
      </w:r>
      <w:r>
        <w:rPr/>
        <w:t>одобрених</w:t>
      </w:r>
      <w:r>
        <w:rPr>
          <w:spacing w:val="26"/>
        </w:rPr>
        <w:t> </w:t>
      </w:r>
      <w:r>
        <w:rPr/>
        <w:t>апропријација</w:t>
      </w:r>
      <w:r>
        <w:rPr>
          <w:spacing w:val="24"/>
        </w:rPr>
        <w:t> </w:t>
      </w:r>
      <w:r>
        <w:rPr/>
        <w:t>у</w:t>
      </w:r>
      <w:r>
        <w:rPr>
          <w:spacing w:val="21"/>
        </w:rPr>
        <w:t> </w:t>
      </w:r>
      <w:r>
        <w:rPr/>
        <w:t>укупном</w:t>
      </w:r>
      <w:r>
        <w:rPr>
          <w:spacing w:val="21"/>
        </w:rPr>
        <w:t> </w:t>
      </w:r>
      <w:r>
        <w:rPr/>
        <w:t>износу</w:t>
      </w:r>
      <w:r>
        <w:rPr>
          <w:spacing w:val="16"/>
        </w:rPr>
        <w:t> </w:t>
      </w:r>
      <w:r>
        <w:rPr/>
        <w:t>од</w:t>
      </w:r>
    </w:p>
    <w:p>
      <w:pPr>
        <w:pStyle w:val="BodyText"/>
        <w:spacing w:line="240" w:lineRule="auto"/>
        <w:ind w:right="141"/>
        <w:jc w:val="left"/>
      </w:pPr>
      <w:r>
        <w:rPr/>
        <w:t>39.498 хиљада динара, што је супротно члану 54. Закона о буџетском систему и</w:t>
      </w:r>
      <w:r>
        <w:rPr>
          <w:spacing w:val="-22"/>
        </w:rPr>
        <w:t> </w:t>
      </w:r>
      <w:r>
        <w:rPr/>
        <w:t>то:</w:t>
      </w:r>
    </w:p>
    <w:p>
      <w:pPr>
        <w:pStyle w:val="ListParagraph"/>
        <w:numPr>
          <w:ilvl w:val="3"/>
          <w:numId w:val="99"/>
        </w:numPr>
        <w:tabs>
          <w:tab w:pos="895" w:val="left" w:leader="none"/>
        </w:tabs>
        <w:spacing w:line="240" w:lineRule="auto" w:before="0" w:after="0"/>
        <w:ind w:left="160" w:right="175" w:firstLine="566"/>
        <w:jc w:val="both"/>
        <w:rPr>
          <w:rFonts w:ascii="Times New Roman" w:hAnsi="Times New Roman" w:cs="Times New Roman" w:eastAsia="Times New Roman" w:hint="default"/>
          <w:sz w:val="24"/>
          <w:szCs w:val="24"/>
        </w:rPr>
      </w:pPr>
      <w:r>
        <w:rPr>
          <w:rFonts w:ascii="Times New Roman" w:hAnsi="Times New Roman"/>
          <w:sz w:val="24"/>
        </w:rPr>
        <w:t>за апропријацију </w:t>
      </w:r>
      <w:r>
        <w:rPr>
          <w:rFonts w:ascii="Times New Roman" w:hAnsi="Times New Roman"/>
          <w:sz w:val="24"/>
        </w:rPr>
        <w:t>411000-</w:t>
      </w:r>
      <w:r>
        <w:rPr>
          <w:rFonts w:ascii="Times New Roman" w:hAnsi="Times New Roman"/>
          <w:sz w:val="24"/>
        </w:rPr>
        <w:t>плате, додаци и накнаде запослених преузета обавеза у већем износу за 903 хиљаде динара од одобрене апропријације, за плату за  децембар 2014.</w:t>
      </w:r>
      <w:r>
        <w:rPr>
          <w:rFonts w:ascii="Times New Roman" w:hAnsi="Times New Roman"/>
          <w:spacing w:val="1"/>
          <w:sz w:val="24"/>
        </w:rPr>
        <w:t> </w:t>
      </w:r>
      <w:r>
        <w:rPr>
          <w:rFonts w:ascii="Times New Roman" w:hAnsi="Times New Roman"/>
          <w:sz w:val="24"/>
        </w:rPr>
        <w:t>године</w:t>
      </w:r>
      <w:r>
        <w:rPr>
          <w:rFonts w:ascii="Times New Roman" w:hAnsi="Times New Roman"/>
          <w:sz w:val="24"/>
        </w:rPr>
        <w:t>,</w:t>
      </w:r>
    </w:p>
    <w:p>
      <w:pPr>
        <w:pStyle w:val="ListParagraph"/>
        <w:numPr>
          <w:ilvl w:val="3"/>
          <w:numId w:val="99"/>
        </w:numPr>
        <w:tabs>
          <w:tab w:pos="881" w:val="left" w:leader="none"/>
        </w:tabs>
        <w:spacing w:line="240" w:lineRule="auto" w:before="0" w:after="0"/>
        <w:ind w:left="160" w:right="174" w:firstLine="566"/>
        <w:jc w:val="both"/>
        <w:rPr>
          <w:rFonts w:ascii="Times New Roman" w:hAnsi="Times New Roman" w:cs="Times New Roman" w:eastAsia="Times New Roman" w:hint="default"/>
          <w:sz w:val="24"/>
          <w:szCs w:val="24"/>
        </w:rPr>
      </w:pPr>
      <w:r>
        <w:rPr>
          <w:rFonts w:ascii="Times New Roman" w:hAnsi="Times New Roman"/>
          <w:sz w:val="24"/>
        </w:rPr>
        <w:t>за апропријацију </w:t>
      </w:r>
      <w:r>
        <w:rPr>
          <w:rFonts w:ascii="Times New Roman" w:hAnsi="Times New Roman"/>
          <w:sz w:val="24"/>
        </w:rPr>
        <w:t>412000-</w:t>
      </w:r>
      <w:r>
        <w:rPr>
          <w:rFonts w:ascii="Times New Roman" w:hAnsi="Times New Roman"/>
          <w:sz w:val="24"/>
        </w:rPr>
        <w:t>социјални доприноси преузета је обавеза у већем износу за 137 хиљада динара од одобрене апропријације, за социјалне доприносе за плату за децембар 2014.</w:t>
      </w:r>
      <w:r>
        <w:rPr>
          <w:rFonts w:ascii="Times New Roman" w:hAnsi="Times New Roman"/>
          <w:spacing w:val="-3"/>
          <w:sz w:val="24"/>
        </w:rPr>
        <w:t> </w:t>
      </w:r>
      <w:r>
        <w:rPr>
          <w:rFonts w:ascii="Times New Roman" w:hAnsi="Times New Roman"/>
          <w:sz w:val="24"/>
        </w:rPr>
        <w:t>године</w:t>
      </w:r>
      <w:r>
        <w:rPr>
          <w:rFonts w:ascii="Times New Roman" w:hAnsi="Times New Roman"/>
          <w:sz w:val="24"/>
        </w:rPr>
        <w:t>,</w:t>
      </w:r>
    </w:p>
    <w:p>
      <w:pPr>
        <w:pStyle w:val="ListParagraph"/>
        <w:numPr>
          <w:ilvl w:val="3"/>
          <w:numId w:val="99"/>
        </w:numPr>
        <w:tabs>
          <w:tab w:pos="878" w:val="left" w:leader="none"/>
        </w:tabs>
        <w:spacing w:line="240" w:lineRule="auto" w:before="0" w:after="0"/>
        <w:ind w:left="160" w:right="170" w:firstLine="566"/>
        <w:jc w:val="both"/>
        <w:rPr>
          <w:rFonts w:ascii="Times New Roman" w:hAnsi="Times New Roman" w:cs="Times New Roman" w:eastAsia="Times New Roman" w:hint="default"/>
          <w:sz w:val="24"/>
          <w:szCs w:val="24"/>
        </w:rPr>
      </w:pPr>
      <w:r>
        <w:rPr>
          <w:rFonts w:ascii="Times New Roman" w:hAnsi="Times New Roman"/>
          <w:sz w:val="24"/>
        </w:rPr>
        <w:t>за апропријацију </w:t>
      </w:r>
      <w:r>
        <w:rPr>
          <w:rFonts w:ascii="Times New Roman" w:hAnsi="Times New Roman"/>
          <w:sz w:val="24"/>
        </w:rPr>
        <w:t>415000-</w:t>
      </w:r>
      <w:r>
        <w:rPr>
          <w:rFonts w:ascii="Times New Roman" w:hAnsi="Times New Roman"/>
          <w:sz w:val="24"/>
        </w:rPr>
        <w:t>накнаде трошкова за запослене преузета обавеза у већем износу за 177 хиљада динара од одобрене апропријације из осталих извора за накнаду трошкова за превоз на посао и са посла за</w:t>
      </w:r>
      <w:r>
        <w:rPr>
          <w:rFonts w:ascii="Times New Roman" w:hAnsi="Times New Roman"/>
          <w:spacing w:val="-13"/>
          <w:sz w:val="24"/>
        </w:rPr>
        <w:t> </w:t>
      </w:r>
      <w:r>
        <w:rPr>
          <w:rFonts w:ascii="Times New Roman" w:hAnsi="Times New Roman"/>
          <w:sz w:val="24"/>
        </w:rPr>
        <w:t>децембар</w:t>
      </w:r>
      <w:r>
        <w:rPr>
          <w:rFonts w:ascii="Times New Roman" w:hAnsi="Times New Roman"/>
          <w:sz w:val="24"/>
        </w:rPr>
        <w:t>,</w:t>
      </w:r>
    </w:p>
    <w:p>
      <w:pPr>
        <w:spacing w:after="0" w:line="240" w:lineRule="auto"/>
        <w:jc w:val="both"/>
        <w:rPr>
          <w:rFonts w:ascii="Times New Roman" w:hAnsi="Times New Roman" w:cs="Times New Roman" w:eastAsia="Times New Roman" w:hint="default"/>
          <w:sz w:val="24"/>
          <w:szCs w:val="24"/>
        </w:rPr>
        <w:sectPr>
          <w:pgSz w:w="12240" w:h="15840"/>
          <w:pgMar w:header="740" w:footer="1504" w:top="120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ListParagraph"/>
        <w:numPr>
          <w:ilvl w:val="3"/>
          <w:numId w:val="99"/>
        </w:numPr>
        <w:tabs>
          <w:tab w:pos="895" w:val="left" w:leader="none"/>
        </w:tabs>
        <w:spacing w:line="240" w:lineRule="auto" w:before="6" w:after="0"/>
        <w:ind w:left="894" w:right="0" w:hanging="168"/>
        <w:jc w:val="left"/>
        <w:rPr>
          <w:rFonts w:ascii="Times New Roman" w:hAnsi="Times New Roman" w:cs="Times New Roman" w:eastAsia="Times New Roman" w:hint="default"/>
          <w:sz w:val="24"/>
          <w:szCs w:val="24"/>
        </w:rPr>
      </w:pPr>
      <w:r>
        <w:rPr>
          <w:rFonts w:ascii="Times New Roman" w:hAnsi="Times New Roman"/>
          <w:sz w:val="24"/>
        </w:rPr>
        <w:t>за апропријацију </w:t>
      </w:r>
      <w:r>
        <w:rPr>
          <w:rFonts w:ascii="Times New Roman" w:hAnsi="Times New Roman"/>
          <w:sz w:val="24"/>
        </w:rPr>
        <w:t>421000-</w:t>
      </w:r>
      <w:r>
        <w:rPr>
          <w:rFonts w:ascii="Times New Roman" w:hAnsi="Times New Roman"/>
          <w:sz w:val="24"/>
        </w:rPr>
        <w:t>стални трошкови преузета је обавеза  у већем износу   </w:t>
      </w:r>
      <w:r>
        <w:rPr>
          <w:rFonts w:ascii="Times New Roman" w:hAnsi="Times New Roman"/>
          <w:spacing w:val="17"/>
          <w:sz w:val="24"/>
        </w:rPr>
        <w:t> </w:t>
      </w:r>
      <w:r>
        <w:rPr>
          <w:rFonts w:ascii="Times New Roman" w:hAnsi="Times New Roman"/>
          <w:sz w:val="24"/>
        </w:rPr>
        <w:t>за</w:t>
      </w:r>
    </w:p>
    <w:p>
      <w:pPr>
        <w:pStyle w:val="BodyText"/>
        <w:spacing w:line="240" w:lineRule="auto"/>
        <w:ind w:right="175"/>
        <w:jc w:val="both"/>
      </w:pPr>
      <w:r>
        <w:rPr>
          <w:rFonts w:ascii="Times New Roman" w:hAnsi="Times New Roman"/>
        </w:rPr>
        <w:t>37.454 </w:t>
      </w:r>
      <w:r>
        <w:rPr/>
        <w:t>хиљад</w:t>
      </w:r>
      <w:r>
        <w:rPr>
          <w:rFonts w:ascii="Times New Roman" w:hAnsi="Times New Roman"/>
        </w:rPr>
        <w:t>e </w:t>
      </w:r>
      <w:r>
        <w:rPr/>
        <w:t>динара од одобрене апропријације по доспелим рачунима за електричну енергију, централно грејање, одвоз смећа, телефон, воду, дератизацију, лож уље, осигурање</w:t>
      </w:r>
      <w:r>
        <w:rPr>
          <w:rFonts w:ascii="Times New Roman" w:hAnsi="Times New Roman"/>
        </w:rPr>
        <w:t>, </w:t>
      </w:r>
      <w:r>
        <w:rPr/>
        <w:t>од којих у износу од 8.413 хиљада динара по основу рачуна за децембар 2014. године,</w:t>
      </w:r>
    </w:p>
    <w:p>
      <w:pPr>
        <w:pStyle w:val="ListParagraph"/>
        <w:numPr>
          <w:ilvl w:val="3"/>
          <w:numId w:val="99"/>
        </w:numPr>
        <w:tabs>
          <w:tab w:pos="876" w:val="left" w:leader="none"/>
        </w:tabs>
        <w:spacing w:line="240" w:lineRule="auto" w:before="0" w:after="0"/>
        <w:ind w:left="160" w:right="178" w:firstLine="566"/>
        <w:jc w:val="both"/>
        <w:rPr>
          <w:rFonts w:ascii="Times New Roman" w:hAnsi="Times New Roman" w:cs="Times New Roman" w:eastAsia="Times New Roman" w:hint="default"/>
          <w:sz w:val="24"/>
          <w:szCs w:val="24"/>
        </w:rPr>
      </w:pPr>
      <w:r>
        <w:rPr>
          <w:rFonts w:ascii="Times New Roman" w:hAnsi="Times New Roman"/>
          <w:sz w:val="24"/>
        </w:rPr>
        <w:t>за апропријацију </w:t>
      </w:r>
      <w:r>
        <w:rPr>
          <w:rFonts w:ascii="Times New Roman" w:hAnsi="Times New Roman"/>
          <w:sz w:val="24"/>
        </w:rPr>
        <w:t>465000-</w:t>
      </w:r>
      <w:r>
        <w:rPr>
          <w:rFonts w:ascii="Times New Roman" w:hAnsi="Times New Roman"/>
          <w:sz w:val="24"/>
        </w:rPr>
        <w:t>остале дотације и трансфери преузете су обавезе у већем износу за 397 хиљада динара од одобрене апропријације по основу повраћаја у буџет 10% неисплаћене плате за децембар 2014.</w:t>
      </w:r>
      <w:r>
        <w:rPr>
          <w:rFonts w:ascii="Times New Roman" w:hAnsi="Times New Roman"/>
          <w:spacing w:val="-10"/>
          <w:sz w:val="24"/>
        </w:rPr>
        <w:t> </w:t>
      </w:r>
      <w:r>
        <w:rPr>
          <w:rFonts w:ascii="Times New Roman" w:hAnsi="Times New Roman"/>
          <w:sz w:val="24"/>
        </w:rPr>
        <w:t>године,</w:t>
      </w:r>
    </w:p>
    <w:p>
      <w:pPr>
        <w:pStyle w:val="ListParagraph"/>
        <w:numPr>
          <w:ilvl w:val="3"/>
          <w:numId w:val="99"/>
        </w:numPr>
        <w:tabs>
          <w:tab w:pos="919" w:val="left" w:leader="none"/>
        </w:tabs>
        <w:spacing w:line="240" w:lineRule="auto" w:before="0" w:after="0"/>
        <w:ind w:left="160" w:right="173" w:firstLine="566"/>
        <w:jc w:val="both"/>
        <w:rPr>
          <w:rFonts w:ascii="Times New Roman" w:hAnsi="Times New Roman" w:cs="Times New Roman" w:eastAsia="Times New Roman" w:hint="default"/>
          <w:sz w:val="24"/>
          <w:szCs w:val="24"/>
        </w:rPr>
      </w:pPr>
      <w:r>
        <w:rPr>
          <w:rFonts w:ascii="Times New Roman" w:hAnsi="Times New Roman"/>
          <w:sz w:val="24"/>
        </w:rPr>
        <w:t>за апропријацију </w:t>
      </w:r>
      <w:r>
        <w:rPr>
          <w:rFonts w:ascii="Times New Roman" w:hAnsi="Times New Roman"/>
          <w:sz w:val="24"/>
        </w:rPr>
        <w:t>482000-</w:t>
      </w:r>
      <w:r>
        <w:rPr>
          <w:rFonts w:ascii="Times New Roman" w:hAnsi="Times New Roman"/>
          <w:sz w:val="24"/>
        </w:rPr>
        <w:t>порези, обавезне таксе и казне преузете су обавезе у већем износу за 372 хиљаде динара од одобрене апропријације </w:t>
      </w:r>
      <w:r>
        <w:rPr>
          <w:rFonts w:ascii="Times New Roman" w:hAnsi="Times New Roman"/>
          <w:sz w:val="24"/>
        </w:rPr>
        <w:t>(</w:t>
      </w:r>
      <w:r>
        <w:rPr>
          <w:rFonts w:ascii="Times New Roman" w:hAnsi="Times New Roman"/>
          <w:sz w:val="24"/>
        </w:rPr>
        <w:t>из осталих извора</w:t>
      </w:r>
      <w:r>
        <w:rPr>
          <w:rFonts w:ascii="Times New Roman" w:hAnsi="Times New Roman"/>
          <w:sz w:val="24"/>
        </w:rPr>
        <w:t>)</w:t>
      </w:r>
      <w:r>
        <w:rPr>
          <w:rFonts w:ascii="Times New Roman" w:hAnsi="Times New Roman"/>
          <w:sz w:val="24"/>
        </w:rPr>
        <w:t>, по основу неизмирених</w:t>
      </w:r>
      <w:r>
        <w:rPr>
          <w:rFonts w:ascii="Times New Roman" w:hAnsi="Times New Roman"/>
          <w:spacing w:val="-13"/>
          <w:sz w:val="24"/>
        </w:rPr>
        <w:t> </w:t>
      </w:r>
      <w:r>
        <w:rPr>
          <w:rFonts w:ascii="Times New Roman" w:hAnsi="Times New Roman"/>
          <w:sz w:val="24"/>
        </w:rPr>
        <w:t>обавеза,</w:t>
      </w:r>
    </w:p>
    <w:p>
      <w:pPr>
        <w:pStyle w:val="ListParagraph"/>
        <w:numPr>
          <w:ilvl w:val="3"/>
          <w:numId w:val="99"/>
        </w:numPr>
        <w:tabs>
          <w:tab w:pos="866" w:val="left" w:leader="none"/>
        </w:tabs>
        <w:spacing w:line="240" w:lineRule="auto" w:before="0" w:after="0"/>
        <w:ind w:left="160" w:right="179" w:firstLine="566"/>
        <w:jc w:val="both"/>
        <w:rPr>
          <w:rFonts w:ascii="Times New Roman" w:hAnsi="Times New Roman" w:cs="Times New Roman" w:eastAsia="Times New Roman" w:hint="default"/>
          <w:sz w:val="24"/>
          <w:szCs w:val="24"/>
        </w:rPr>
      </w:pPr>
      <w:r>
        <w:rPr>
          <w:rFonts w:ascii="Times New Roman" w:hAnsi="Times New Roman"/>
          <w:sz w:val="24"/>
        </w:rPr>
        <w:t>за апропријацију </w:t>
      </w:r>
      <w:r>
        <w:rPr>
          <w:rFonts w:ascii="Times New Roman" w:hAnsi="Times New Roman"/>
          <w:sz w:val="24"/>
        </w:rPr>
        <w:t>512000-</w:t>
      </w:r>
      <w:r>
        <w:rPr>
          <w:rFonts w:ascii="Times New Roman" w:hAnsi="Times New Roman"/>
          <w:sz w:val="24"/>
        </w:rPr>
        <w:t>машине и опрема исказано је извршење у већем износу за 58 хиљада динара од одобрене апропријације </w:t>
      </w:r>
      <w:r>
        <w:rPr>
          <w:rFonts w:ascii="Times New Roman" w:hAnsi="Times New Roman"/>
          <w:sz w:val="24"/>
        </w:rPr>
        <w:t>(</w:t>
      </w:r>
      <w:r>
        <w:rPr>
          <w:rFonts w:ascii="Times New Roman" w:hAnsi="Times New Roman"/>
          <w:sz w:val="24"/>
        </w:rPr>
        <w:t>из осталих</w:t>
      </w:r>
      <w:r>
        <w:rPr>
          <w:rFonts w:ascii="Times New Roman" w:hAnsi="Times New Roman"/>
          <w:spacing w:val="-14"/>
          <w:sz w:val="24"/>
        </w:rPr>
        <w:t> </w:t>
      </w:r>
      <w:r>
        <w:rPr>
          <w:rFonts w:ascii="Times New Roman" w:hAnsi="Times New Roman"/>
          <w:sz w:val="24"/>
        </w:rPr>
        <w:t>извора</w:t>
      </w:r>
      <w:r>
        <w:rPr>
          <w:rFonts w:ascii="Times New Roman" w:hAnsi="Times New Roman"/>
          <w:sz w:val="24"/>
        </w:rPr>
        <w:t>).</w:t>
      </w:r>
    </w:p>
    <w:p>
      <w:pPr>
        <w:pStyle w:val="BodyText"/>
        <w:spacing w:line="240" w:lineRule="auto" w:before="139"/>
        <w:ind w:right="170" w:firstLine="566"/>
        <w:jc w:val="both"/>
      </w:pPr>
      <w:r>
        <w:rPr>
          <w:rFonts w:ascii="Times New Roman" w:hAnsi="Times New Roman"/>
          <w:b/>
        </w:rPr>
        <w:t>Нишки културни центар </w:t>
      </w:r>
      <w:r>
        <w:rPr/>
        <w:t>је преузео обавезе преко одобрених апропријација у укупном износу од 4.908 хиљада динара, што је супротно члану 54. Закона о буџетском сиситему и</w:t>
      </w:r>
      <w:r>
        <w:rPr>
          <w:spacing w:val="-7"/>
        </w:rPr>
        <w:t> </w:t>
      </w:r>
      <w:r>
        <w:rPr/>
        <w:t>то:</w:t>
      </w:r>
    </w:p>
    <w:p>
      <w:pPr>
        <w:pStyle w:val="ListParagraph"/>
        <w:numPr>
          <w:ilvl w:val="3"/>
          <w:numId w:val="99"/>
        </w:numPr>
        <w:tabs>
          <w:tab w:pos="869" w:val="left" w:leader="none"/>
        </w:tabs>
        <w:spacing w:line="240" w:lineRule="auto" w:before="0" w:after="0"/>
        <w:ind w:left="160" w:right="172" w:firstLine="566"/>
        <w:jc w:val="both"/>
        <w:rPr>
          <w:rFonts w:ascii="Times New Roman" w:hAnsi="Times New Roman" w:cs="Times New Roman" w:eastAsia="Times New Roman" w:hint="default"/>
          <w:sz w:val="24"/>
          <w:szCs w:val="24"/>
        </w:rPr>
      </w:pPr>
      <w:r>
        <w:rPr>
          <w:rFonts w:ascii="Times New Roman" w:hAnsi="Times New Roman"/>
          <w:sz w:val="24"/>
        </w:rPr>
        <w:t>за апропријацију </w:t>
      </w:r>
      <w:r>
        <w:rPr>
          <w:rFonts w:ascii="Times New Roman" w:hAnsi="Times New Roman"/>
          <w:sz w:val="24"/>
        </w:rPr>
        <w:t>411000-</w:t>
      </w:r>
      <w:r>
        <w:rPr>
          <w:rFonts w:ascii="Times New Roman" w:hAnsi="Times New Roman"/>
          <w:sz w:val="24"/>
        </w:rPr>
        <w:t>плате, додаци и накнаде преузета је обавеза у износу који је за 2.599 хиљада динара већи од одобрене апропријације по основу неисплаћених плата за новембар у износу од 158 хиљада динара и децембар у износу од 2.441 хиљада</w:t>
      </w:r>
      <w:r>
        <w:rPr>
          <w:rFonts w:ascii="Times New Roman" w:hAnsi="Times New Roman"/>
          <w:spacing w:val="-15"/>
          <w:sz w:val="24"/>
        </w:rPr>
        <w:t> </w:t>
      </w:r>
      <w:r>
        <w:rPr>
          <w:rFonts w:ascii="Times New Roman" w:hAnsi="Times New Roman"/>
          <w:sz w:val="24"/>
        </w:rPr>
        <w:t>динара</w:t>
      </w:r>
      <w:r>
        <w:rPr>
          <w:rFonts w:ascii="Times New Roman" w:hAnsi="Times New Roman"/>
          <w:sz w:val="24"/>
        </w:rPr>
        <w:t>,</w:t>
      </w:r>
    </w:p>
    <w:p>
      <w:pPr>
        <w:pStyle w:val="ListParagraph"/>
        <w:numPr>
          <w:ilvl w:val="3"/>
          <w:numId w:val="99"/>
        </w:numPr>
        <w:tabs>
          <w:tab w:pos="910" w:val="left" w:leader="none"/>
        </w:tabs>
        <w:spacing w:line="240" w:lineRule="auto" w:before="0" w:after="0"/>
        <w:ind w:left="160" w:right="172"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412000</w:t>
      </w:r>
      <w:r>
        <w:rPr>
          <w:rFonts w:ascii="Times New Roman" w:hAnsi="Times New Roman" w:cs="Times New Roman" w:eastAsia="Times New Roman" w:hint="default"/>
          <w:sz w:val="24"/>
          <w:szCs w:val="24"/>
        </w:rPr>
        <w:t>–социјални доприноси на терет послодавца преузета је обавеза у износу који је за 464 хиљаде динара већи од одобрене апропријације по основу социјалних доприноса на неисплаћене плате за новембар у износу од 178 хиљада динара и децембар у износу од 286 хиљада</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динара</w:t>
      </w:r>
      <w:r>
        <w:rPr>
          <w:rFonts w:ascii="Times New Roman" w:hAnsi="Times New Roman" w:cs="Times New Roman" w:eastAsia="Times New Roman" w:hint="default"/>
          <w:sz w:val="24"/>
          <w:szCs w:val="24"/>
        </w:rPr>
        <w:t>,</w:t>
      </w:r>
    </w:p>
    <w:p>
      <w:pPr>
        <w:pStyle w:val="ListParagraph"/>
        <w:numPr>
          <w:ilvl w:val="3"/>
          <w:numId w:val="99"/>
        </w:numPr>
        <w:tabs>
          <w:tab w:pos="883" w:val="left" w:leader="none"/>
        </w:tabs>
        <w:spacing w:line="240" w:lineRule="auto" w:before="0" w:after="0"/>
        <w:ind w:left="160" w:right="175"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413000</w:t>
      </w:r>
      <w:r>
        <w:rPr>
          <w:rFonts w:ascii="Times New Roman" w:hAnsi="Times New Roman" w:cs="Times New Roman" w:eastAsia="Times New Roman" w:hint="default"/>
          <w:sz w:val="24"/>
          <w:szCs w:val="24"/>
        </w:rPr>
        <w:t>–накнаде у натури преузета је обавеза у износу који је за 88 хиљада динара већи од одобрене апропријације по основу неисплаћених обавеза за месечне карте за долазак и одлазак са</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посла</w:t>
      </w:r>
      <w:r>
        <w:rPr>
          <w:rFonts w:ascii="Times New Roman" w:hAnsi="Times New Roman" w:cs="Times New Roman" w:eastAsia="Times New Roman" w:hint="default"/>
          <w:sz w:val="24"/>
          <w:szCs w:val="24"/>
        </w:rPr>
        <w:t>,</w:t>
      </w:r>
    </w:p>
    <w:p>
      <w:pPr>
        <w:pStyle w:val="ListParagraph"/>
        <w:numPr>
          <w:ilvl w:val="3"/>
          <w:numId w:val="99"/>
        </w:numPr>
        <w:tabs>
          <w:tab w:pos="898" w:val="left" w:leader="none"/>
        </w:tabs>
        <w:spacing w:line="240" w:lineRule="auto" w:before="0" w:after="0"/>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414000</w:t>
      </w:r>
      <w:r>
        <w:rPr>
          <w:rFonts w:ascii="Times New Roman" w:hAnsi="Times New Roman" w:cs="Times New Roman" w:eastAsia="Times New Roman" w:hint="default"/>
          <w:sz w:val="24"/>
          <w:szCs w:val="24"/>
        </w:rPr>
        <w:t>–социјална давања запосленима исказано је извршење у износу од 310 хиљада динара више од одобрене апропријације (из осталих</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извора)</w:t>
      </w:r>
      <w:r>
        <w:rPr>
          <w:rFonts w:ascii="Times New Roman" w:hAnsi="Times New Roman" w:cs="Times New Roman" w:eastAsia="Times New Roman" w:hint="default"/>
          <w:sz w:val="24"/>
          <w:szCs w:val="24"/>
        </w:rPr>
        <w:t>,</w:t>
      </w:r>
    </w:p>
    <w:p>
      <w:pPr>
        <w:pStyle w:val="ListParagraph"/>
        <w:numPr>
          <w:ilvl w:val="3"/>
          <w:numId w:val="99"/>
        </w:numPr>
        <w:tabs>
          <w:tab w:pos="876" w:val="left" w:leader="none"/>
        </w:tabs>
        <w:spacing w:line="240" w:lineRule="auto" w:before="0" w:after="0"/>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416000</w:t>
      </w:r>
      <w:r>
        <w:rPr>
          <w:rFonts w:ascii="Times New Roman" w:hAnsi="Times New Roman" w:cs="Times New Roman" w:eastAsia="Times New Roman" w:hint="default"/>
          <w:sz w:val="24"/>
          <w:szCs w:val="24"/>
        </w:rPr>
        <w:t>–награде запосленима и остали посебни расходи преузета је обавеза у износу који је за 124 хиљаде динара већи од одобрене апропријације по основу обавеза за неисплаћену отпремнину и</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награде</w:t>
      </w:r>
      <w:r>
        <w:rPr>
          <w:rFonts w:ascii="Times New Roman" w:hAnsi="Times New Roman" w:cs="Times New Roman" w:eastAsia="Times New Roman" w:hint="default"/>
          <w:sz w:val="24"/>
          <w:szCs w:val="24"/>
        </w:rPr>
        <w:t>,</w:t>
      </w:r>
    </w:p>
    <w:p>
      <w:pPr>
        <w:pStyle w:val="ListParagraph"/>
        <w:numPr>
          <w:ilvl w:val="3"/>
          <w:numId w:val="99"/>
        </w:numPr>
        <w:tabs>
          <w:tab w:pos="883" w:val="left" w:leader="none"/>
        </w:tabs>
        <w:spacing w:line="240" w:lineRule="auto" w:before="0" w:after="0"/>
        <w:ind w:left="160" w:right="172"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421000</w:t>
      </w:r>
      <w:r>
        <w:rPr>
          <w:rFonts w:ascii="Times New Roman" w:hAnsi="Times New Roman" w:cs="Times New Roman" w:eastAsia="Times New Roman" w:hint="default"/>
          <w:sz w:val="24"/>
          <w:szCs w:val="24"/>
        </w:rPr>
        <w:t>–стални трошкови преузета је обавеза у износу који је за 559 хиљада динара већи од одобрене апропријације по основу обавеза за електричну енергију, пошту, телефон и централно грејање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од којих у износу од 327 хиљада динара по рачунима за децембар 2014.</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године,</w:t>
      </w:r>
    </w:p>
    <w:p>
      <w:pPr>
        <w:pStyle w:val="ListParagraph"/>
        <w:numPr>
          <w:ilvl w:val="3"/>
          <w:numId w:val="99"/>
        </w:numPr>
        <w:tabs>
          <w:tab w:pos="900" w:val="left" w:leader="none"/>
        </w:tabs>
        <w:spacing w:line="240" w:lineRule="auto" w:before="0" w:after="0"/>
        <w:ind w:left="160" w:right="176"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422000</w:t>
      </w:r>
      <w:r>
        <w:rPr>
          <w:rFonts w:ascii="Times New Roman" w:hAnsi="Times New Roman" w:cs="Times New Roman" w:eastAsia="Times New Roman" w:hint="default"/>
          <w:sz w:val="24"/>
          <w:szCs w:val="24"/>
        </w:rPr>
        <w:t>–трошкови путовања исказано је извршење у износу од 218 хиљада динара више од одобрене апропријације из осталих</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извора</w:t>
      </w:r>
      <w:r>
        <w:rPr>
          <w:rFonts w:ascii="Times New Roman" w:hAnsi="Times New Roman" w:cs="Times New Roman" w:eastAsia="Times New Roman" w:hint="default"/>
          <w:sz w:val="24"/>
          <w:szCs w:val="24"/>
        </w:rPr>
        <w:t>,</w:t>
      </w:r>
    </w:p>
    <w:p>
      <w:pPr>
        <w:pStyle w:val="ListParagraph"/>
        <w:numPr>
          <w:ilvl w:val="3"/>
          <w:numId w:val="99"/>
        </w:numPr>
        <w:tabs>
          <w:tab w:pos="869" w:val="left" w:leader="none"/>
        </w:tabs>
        <w:spacing w:line="240" w:lineRule="auto" w:before="0" w:after="0"/>
        <w:ind w:left="160" w:right="174"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465000</w:t>
      </w:r>
      <w:r>
        <w:rPr>
          <w:rFonts w:ascii="Times New Roman" w:hAnsi="Times New Roman" w:cs="Times New Roman" w:eastAsia="Times New Roman" w:hint="default"/>
          <w:sz w:val="24"/>
          <w:szCs w:val="24"/>
        </w:rPr>
        <w:t>–остале дотације и трансфери преузета је обавеза у износу од 546 хиљада више од одобрене апропријације </w:t>
      </w:r>
      <w:r>
        <w:rPr>
          <w:rFonts w:ascii="Times New Roman" w:hAnsi="Times New Roman" w:cs="Times New Roman" w:eastAsia="Times New Roman" w:hint="default"/>
          <w:spacing w:val="2"/>
          <w:sz w:val="24"/>
          <w:szCs w:val="24"/>
        </w:rPr>
        <w:t>по </w:t>
      </w:r>
      <w:r>
        <w:rPr>
          <w:rFonts w:ascii="Times New Roman" w:hAnsi="Times New Roman" w:cs="Times New Roman" w:eastAsia="Times New Roman" w:hint="default"/>
          <w:sz w:val="24"/>
          <w:szCs w:val="24"/>
        </w:rPr>
        <w:t>основу повраћаја у буџет 10% </w:t>
      </w:r>
      <w:r>
        <w:rPr>
          <w:rFonts w:ascii="Times New Roman" w:hAnsi="Times New Roman" w:cs="Times New Roman" w:eastAsia="Times New Roman" w:hint="default"/>
          <w:sz w:val="24"/>
          <w:szCs w:val="24"/>
        </w:rPr>
        <w:t>неисплаћених плата за новембар у износу од 259 хиљада динара и децембар 2014. године у износу од 287 хиљада</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динара</w:t>
      </w:r>
      <w:r>
        <w:rPr>
          <w:rFonts w:ascii="Times New Roman" w:hAnsi="Times New Roman" w:cs="Times New Roman" w:eastAsia="Times New Roman" w:hint="default"/>
          <w:sz w:val="24"/>
          <w:szCs w:val="24"/>
        </w:rPr>
        <w:t>.</w:t>
      </w:r>
    </w:p>
    <w:p>
      <w:pPr>
        <w:pStyle w:val="BodyText"/>
        <w:spacing w:line="240" w:lineRule="auto" w:before="137"/>
        <w:ind w:right="178" w:firstLine="566"/>
        <w:jc w:val="both"/>
      </w:pPr>
      <w:r>
        <w:rPr>
          <w:rFonts w:ascii="Times New Roman" w:hAnsi="Times New Roman"/>
          <w:b/>
        </w:rPr>
        <w:t>Завод за заштиту споменика културе </w:t>
      </w:r>
      <w:r>
        <w:rPr/>
        <w:t>је преузео обавезе преко одобрених апропријација у укупном износу од 548 хиљада динара, што је супротно члану 54. Закона о буџетском систему и</w:t>
      </w:r>
      <w:r>
        <w:rPr>
          <w:spacing w:val="-6"/>
        </w:rPr>
        <w:t> </w:t>
      </w:r>
      <w:r>
        <w:rPr/>
        <w:t>то:</w:t>
      </w:r>
    </w:p>
    <w:p>
      <w:pPr>
        <w:spacing w:after="0" w:line="240" w:lineRule="auto"/>
        <w:jc w:val="both"/>
        <w:sectPr>
          <w:pgSz w:w="12240" w:h="15840"/>
          <w:pgMar w:header="740" w:footer="1504" w:top="120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ListParagraph"/>
        <w:numPr>
          <w:ilvl w:val="3"/>
          <w:numId w:val="99"/>
        </w:numPr>
        <w:tabs>
          <w:tab w:pos="898" w:val="left" w:leader="none"/>
        </w:tabs>
        <w:spacing w:line="240" w:lineRule="auto" w:before="6" w:after="0"/>
        <w:ind w:left="160" w:right="180" w:firstLine="566"/>
        <w:jc w:val="both"/>
        <w:rPr>
          <w:rFonts w:ascii="Times New Roman" w:hAnsi="Times New Roman" w:cs="Times New Roman" w:eastAsia="Times New Roman" w:hint="default"/>
          <w:sz w:val="24"/>
          <w:szCs w:val="24"/>
        </w:rPr>
      </w:pPr>
      <w:r>
        <w:rPr>
          <w:rFonts w:ascii="Times New Roman" w:hAnsi="Times New Roman"/>
          <w:sz w:val="24"/>
        </w:rPr>
        <w:t>за апропријацију 422000</w:t>
      </w:r>
      <w:r>
        <w:rPr>
          <w:rFonts w:ascii="Times New Roman" w:hAnsi="Times New Roman"/>
          <w:sz w:val="24"/>
        </w:rPr>
        <w:t>-</w:t>
      </w:r>
      <w:r>
        <w:rPr>
          <w:rFonts w:ascii="Times New Roman" w:hAnsi="Times New Roman"/>
          <w:sz w:val="24"/>
        </w:rPr>
        <w:t>трошкови путовања, исказано је извршење у износу од 244 хиљаде динара више од одобреног  (из осталих</w:t>
      </w:r>
      <w:r>
        <w:rPr>
          <w:rFonts w:ascii="Times New Roman" w:hAnsi="Times New Roman"/>
          <w:spacing w:val="-9"/>
          <w:sz w:val="24"/>
        </w:rPr>
        <w:t> </w:t>
      </w:r>
      <w:r>
        <w:rPr>
          <w:rFonts w:ascii="Times New Roman" w:hAnsi="Times New Roman"/>
          <w:sz w:val="24"/>
        </w:rPr>
        <w:t>извора),</w:t>
      </w:r>
    </w:p>
    <w:p>
      <w:pPr>
        <w:pStyle w:val="ListParagraph"/>
        <w:numPr>
          <w:ilvl w:val="3"/>
          <w:numId w:val="99"/>
        </w:numPr>
        <w:tabs>
          <w:tab w:pos="955" w:val="left" w:leader="none"/>
        </w:tabs>
        <w:spacing w:line="240" w:lineRule="auto" w:before="0" w:after="0"/>
        <w:ind w:left="160" w:right="175" w:firstLine="566"/>
        <w:jc w:val="both"/>
        <w:rPr>
          <w:rFonts w:ascii="Times New Roman" w:hAnsi="Times New Roman" w:cs="Times New Roman" w:eastAsia="Times New Roman" w:hint="default"/>
          <w:sz w:val="24"/>
          <w:szCs w:val="24"/>
        </w:rPr>
      </w:pPr>
      <w:r>
        <w:rPr>
          <w:rFonts w:ascii="Times New Roman" w:hAnsi="Times New Roman"/>
          <w:sz w:val="24"/>
        </w:rPr>
        <w:t>за апропријацију 4</w:t>
      </w:r>
      <w:r>
        <w:rPr>
          <w:rFonts w:ascii="Times New Roman" w:hAnsi="Times New Roman"/>
          <w:sz w:val="24"/>
        </w:rPr>
        <w:t>65000-</w:t>
      </w:r>
      <w:r>
        <w:rPr>
          <w:rFonts w:ascii="Times New Roman" w:hAnsi="Times New Roman"/>
          <w:sz w:val="24"/>
        </w:rPr>
        <w:t>остале донације, дотације и трансфери преузета је обавеза у износу од 304 хиљаде динара више од одобрене апропријације по основу обавезе за повраћај 10% плате за неисплаћену плату за новембар у износу од 151 хиљаде динара и децембар у износу од 153 хиљада</w:t>
      </w:r>
      <w:r>
        <w:rPr>
          <w:rFonts w:ascii="Times New Roman" w:hAnsi="Times New Roman"/>
          <w:spacing w:val="-12"/>
          <w:sz w:val="24"/>
        </w:rPr>
        <w:t> </w:t>
      </w:r>
      <w:r>
        <w:rPr>
          <w:rFonts w:ascii="Times New Roman" w:hAnsi="Times New Roman"/>
          <w:sz w:val="24"/>
        </w:rPr>
        <w:t>динара</w:t>
      </w:r>
      <w:r>
        <w:rPr>
          <w:rFonts w:ascii="Times New Roman" w:hAnsi="Times New Roman"/>
          <w:sz w:val="24"/>
        </w:rPr>
        <w:t>.</w:t>
      </w:r>
    </w:p>
    <w:p>
      <w:pPr>
        <w:pStyle w:val="BodyText"/>
        <w:spacing w:line="240" w:lineRule="auto" w:before="139"/>
        <w:ind w:right="170" w:firstLine="566"/>
        <w:jc w:val="both"/>
      </w:pPr>
      <w:r>
        <w:rPr>
          <w:rFonts w:ascii="Times New Roman" w:hAnsi="Times New Roman"/>
          <w:b/>
        </w:rPr>
        <w:t>Туристичка организација </w:t>
      </w:r>
      <w:r>
        <w:rPr/>
        <w:t>је преузела обавезе преко одобрених апропријација у укупном износу од 26.688 хиљада динара, што је супротно члану 54. Закона о буџетском систему и</w:t>
      </w:r>
      <w:r>
        <w:rPr>
          <w:spacing w:val="-5"/>
        </w:rPr>
        <w:t> </w:t>
      </w:r>
      <w:r>
        <w:rPr/>
        <w:t>то:</w:t>
      </w:r>
    </w:p>
    <w:p>
      <w:pPr>
        <w:pStyle w:val="ListParagraph"/>
        <w:numPr>
          <w:ilvl w:val="3"/>
          <w:numId w:val="99"/>
        </w:numPr>
        <w:tabs>
          <w:tab w:pos="876" w:val="left" w:leader="none"/>
        </w:tabs>
        <w:spacing w:line="240" w:lineRule="auto" w:before="0" w:after="0"/>
        <w:ind w:left="160" w:right="178"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423000 – услуге по уговору, преузете су обавезе у износу који је за 26.403 хиљаде динара већи од одобреног буџетом (из осталих извора) по фактурама за услуге репрезентације, услуге информисања, остале опште услуге и</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друго</w:t>
      </w:r>
      <w:r>
        <w:rPr>
          <w:rFonts w:ascii="Times New Roman" w:hAnsi="Times New Roman" w:cs="Times New Roman" w:eastAsia="Times New Roman" w:hint="default"/>
          <w:sz w:val="24"/>
          <w:szCs w:val="24"/>
        </w:rPr>
        <w:t>;</w:t>
      </w:r>
    </w:p>
    <w:p>
      <w:pPr>
        <w:pStyle w:val="ListParagraph"/>
        <w:numPr>
          <w:ilvl w:val="3"/>
          <w:numId w:val="99"/>
        </w:numPr>
        <w:tabs>
          <w:tab w:pos="874" w:val="left" w:leader="none"/>
        </w:tabs>
        <w:spacing w:line="240" w:lineRule="auto" w:before="0" w:after="0"/>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444000 – пратећи трошкови задуживања, исказано је извршење у износу од 27 хиљада динара већем од одобреног буџетом </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из осталих</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извора)</w:t>
      </w:r>
      <w:r>
        <w:rPr>
          <w:rFonts w:ascii="Times New Roman" w:hAnsi="Times New Roman" w:cs="Times New Roman" w:eastAsia="Times New Roman" w:hint="default"/>
          <w:sz w:val="24"/>
          <w:szCs w:val="24"/>
        </w:rPr>
        <w:t>,</w:t>
      </w:r>
    </w:p>
    <w:p>
      <w:pPr>
        <w:pStyle w:val="ListParagraph"/>
        <w:numPr>
          <w:ilvl w:val="3"/>
          <w:numId w:val="99"/>
        </w:numPr>
        <w:tabs>
          <w:tab w:pos="917" w:val="left" w:leader="none"/>
        </w:tabs>
        <w:spacing w:line="240" w:lineRule="auto" w:before="0" w:after="0"/>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465000 – остале дотације и трансфери преузете су обавезе у износу од 96 хиљада динара већем од одобрене апропријације, за повраћај у буџет 10% неисплаћене децембарске</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плате</w:t>
      </w:r>
      <w:r>
        <w:rPr>
          <w:rFonts w:ascii="Times New Roman" w:hAnsi="Times New Roman" w:cs="Times New Roman" w:eastAsia="Times New Roman" w:hint="default"/>
          <w:sz w:val="24"/>
          <w:szCs w:val="24"/>
        </w:rPr>
        <w:t>,</w:t>
      </w:r>
    </w:p>
    <w:p>
      <w:pPr>
        <w:pStyle w:val="ListParagraph"/>
        <w:numPr>
          <w:ilvl w:val="3"/>
          <w:numId w:val="99"/>
        </w:numPr>
        <w:tabs>
          <w:tab w:pos="876" w:val="left" w:leader="none"/>
        </w:tabs>
        <w:spacing w:line="240" w:lineRule="auto" w:before="0" w:after="0"/>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482000 – порези, обавезне таксе и казне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исказано је извршење у износу од 162 хиљаде динара веће од одобреног буџетом </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из осталих</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извора)</w:t>
      </w:r>
      <w:r>
        <w:rPr>
          <w:rFonts w:ascii="Times New Roman" w:hAnsi="Times New Roman" w:cs="Times New Roman" w:eastAsia="Times New Roman" w:hint="default"/>
          <w:sz w:val="24"/>
          <w:szCs w:val="24"/>
        </w:rPr>
        <w:t>.</w:t>
      </w:r>
    </w:p>
    <w:p>
      <w:pPr>
        <w:pStyle w:val="BodyText"/>
        <w:spacing w:line="240" w:lineRule="auto" w:before="137"/>
        <w:ind w:right="176" w:firstLine="566"/>
        <w:jc w:val="both"/>
      </w:pPr>
      <w:r>
        <w:rPr>
          <w:rFonts w:ascii="Times New Roman" w:hAnsi="Times New Roman"/>
          <w:b/>
        </w:rPr>
        <w:t>Народни музеј </w:t>
      </w:r>
      <w:r>
        <w:rPr/>
        <w:t>је преузео обавезе преко одобрених апропријација у укупном износу од 5.997 хиљада динара, што је супротно члану 54. Закона о буџетском систему и то:</w:t>
      </w:r>
    </w:p>
    <w:p>
      <w:pPr>
        <w:pStyle w:val="ListParagraph"/>
        <w:numPr>
          <w:ilvl w:val="0"/>
          <w:numId w:val="101"/>
        </w:numPr>
        <w:tabs>
          <w:tab w:pos="871" w:val="left" w:leader="none"/>
        </w:tabs>
        <w:spacing w:line="240" w:lineRule="auto" w:before="0" w:after="0"/>
        <w:ind w:left="160" w:right="170" w:firstLine="566"/>
        <w:jc w:val="both"/>
        <w:rPr>
          <w:rFonts w:ascii="Times New Roman" w:hAnsi="Times New Roman" w:cs="Times New Roman" w:eastAsia="Times New Roman" w:hint="default"/>
          <w:sz w:val="24"/>
          <w:szCs w:val="24"/>
        </w:rPr>
      </w:pPr>
      <w:r>
        <w:rPr>
          <w:rFonts w:ascii="Times New Roman" w:hAnsi="Times New Roman"/>
          <w:sz w:val="24"/>
        </w:rPr>
        <w:t>за апропријацију </w:t>
      </w:r>
      <w:r>
        <w:rPr>
          <w:rFonts w:ascii="Times New Roman" w:hAnsi="Times New Roman"/>
          <w:sz w:val="24"/>
        </w:rPr>
        <w:t>411000-</w:t>
      </w:r>
      <w:r>
        <w:rPr>
          <w:rFonts w:ascii="Times New Roman" w:hAnsi="Times New Roman"/>
          <w:sz w:val="24"/>
        </w:rPr>
        <w:t>плате, додаци и накнаде запослених преузета је обавеза у већем износу за 3.769 хиљада динара од одобрене апропријације за плату за новембар у износу од 654 хиљаде динара и децембар у износу од 3.115 хиљада</w:t>
      </w:r>
      <w:r>
        <w:rPr>
          <w:rFonts w:ascii="Times New Roman" w:hAnsi="Times New Roman"/>
          <w:spacing w:val="-15"/>
          <w:sz w:val="24"/>
        </w:rPr>
        <w:t> </w:t>
      </w:r>
      <w:r>
        <w:rPr>
          <w:rFonts w:ascii="Times New Roman" w:hAnsi="Times New Roman"/>
          <w:sz w:val="24"/>
        </w:rPr>
        <w:t>динара</w:t>
      </w:r>
      <w:r>
        <w:rPr>
          <w:rFonts w:ascii="Times New Roman" w:hAnsi="Times New Roman"/>
          <w:sz w:val="24"/>
        </w:rPr>
        <w:t>,</w:t>
      </w:r>
    </w:p>
    <w:p>
      <w:pPr>
        <w:pStyle w:val="ListParagraph"/>
        <w:numPr>
          <w:ilvl w:val="0"/>
          <w:numId w:val="101"/>
        </w:numPr>
        <w:tabs>
          <w:tab w:pos="914" w:val="left" w:leader="none"/>
        </w:tabs>
        <w:spacing w:line="240" w:lineRule="auto" w:before="0" w:after="0"/>
        <w:ind w:left="160" w:right="172" w:firstLine="566"/>
        <w:jc w:val="both"/>
        <w:rPr>
          <w:rFonts w:ascii="Times New Roman" w:hAnsi="Times New Roman" w:cs="Times New Roman" w:eastAsia="Times New Roman" w:hint="default"/>
          <w:sz w:val="24"/>
          <w:szCs w:val="24"/>
        </w:rPr>
      </w:pPr>
      <w:r>
        <w:rPr>
          <w:rFonts w:ascii="Times New Roman" w:hAnsi="Times New Roman"/>
          <w:sz w:val="24"/>
        </w:rPr>
        <w:t>за апропријацију </w:t>
      </w:r>
      <w:r>
        <w:rPr>
          <w:rFonts w:ascii="Times New Roman" w:hAnsi="Times New Roman"/>
          <w:sz w:val="24"/>
        </w:rPr>
        <w:t>412000-</w:t>
      </w:r>
      <w:r>
        <w:rPr>
          <w:rFonts w:ascii="Times New Roman" w:hAnsi="Times New Roman"/>
          <w:sz w:val="24"/>
        </w:rPr>
        <w:t>социјални доприноси на терет послодавца преузета је обавеза у већем износу за 673 хиљаде динара од одобрене апропријације за социјалне доприносе за плату за новембар у износу од 116 хиљада динара и децембар </w:t>
      </w:r>
      <w:r>
        <w:rPr>
          <w:rFonts w:ascii="Times New Roman" w:hAnsi="Times New Roman"/>
          <w:sz w:val="24"/>
        </w:rPr>
        <w:t>2014. </w:t>
      </w:r>
      <w:r>
        <w:rPr>
          <w:rFonts w:ascii="Times New Roman" w:hAnsi="Times New Roman"/>
          <w:sz w:val="24"/>
        </w:rPr>
        <w:t>године  у износу од 557 хиљада</w:t>
      </w:r>
      <w:r>
        <w:rPr>
          <w:rFonts w:ascii="Times New Roman" w:hAnsi="Times New Roman"/>
          <w:spacing w:val="-6"/>
          <w:sz w:val="24"/>
        </w:rPr>
        <w:t> </w:t>
      </w:r>
      <w:r>
        <w:rPr>
          <w:rFonts w:ascii="Times New Roman" w:hAnsi="Times New Roman"/>
          <w:sz w:val="24"/>
        </w:rPr>
        <w:t>динара</w:t>
      </w:r>
      <w:r>
        <w:rPr>
          <w:rFonts w:ascii="Times New Roman" w:hAnsi="Times New Roman"/>
          <w:sz w:val="24"/>
        </w:rPr>
        <w:t>,</w:t>
      </w:r>
    </w:p>
    <w:p>
      <w:pPr>
        <w:pStyle w:val="ListParagraph"/>
        <w:numPr>
          <w:ilvl w:val="0"/>
          <w:numId w:val="101"/>
        </w:numPr>
        <w:tabs>
          <w:tab w:pos="934" w:val="left" w:leader="none"/>
        </w:tabs>
        <w:spacing w:line="240" w:lineRule="auto" w:before="0" w:after="0"/>
        <w:ind w:left="160" w:right="173" w:firstLine="566"/>
        <w:jc w:val="both"/>
        <w:rPr>
          <w:rFonts w:ascii="Times New Roman" w:hAnsi="Times New Roman" w:cs="Times New Roman" w:eastAsia="Times New Roman" w:hint="default"/>
          <w:sz w:val="24"/>
          <w:szCs w:val="24"/>
        </w:rPr>
      </w:pPr>
      <w:r>
        <w:rPr>
          <w:rFonts w:ascii="Times New Roman" w:hAnsi="Times New Roman"/>
          <w:sz w:val="24"/>
        </w:rPr>
        <w:t>за апропријацију </w:t>
      </w:r>
      <w:r>
        <w:rPr>
          <w:rFonts w:ascii="Times New Roman" w:hAnsi="Times New Roman"/>
          <w:sz w:val="24"/>
        </w:rPr>
        <w:t>414000-</w:t>
      </w:r>
      <w:r>
        <w:rPr>
          <w:rFonts w:ascii="Times New Roman" w:hAnsi="Times New Roman"/>
          <w:sz w:val="24"/>
        </w:rPr>
        <w:t>социјална давања запосленима преузета је обавеза у већем износу за 756 хиљада динара од одобрене апропријације по решењу  за отпремнину</w:t>
      </w:r>
      <w:r>
        <w:rPr>
          <w:rFonts w:ascii="Times New Roman" w:hAnsi="Times New Roman"/>
          <w:sz w:val="24"/>
        </w:rPr>
        <w:t>,</w:t>
      </w:r>
    </w:p>
    <w:p>
      <w:pPr>
        <w:pStyle w:val="ListParagraph"/>
        <w:numPr>
          <w:ilvl w:val="0"/>
          <w:numId w:val="101"/>
        </w:numPr>
        <w:tabs>
          <w:tab w:pos="936" w:val="left" w:leader="none"/>
        </w:tabs>
        <w:spacing w:line="240" w:lineRule="auto" w:before="0" w:after="0"/>
        <w:ind w:left="160" w:right="175" w:firstLine="566"/>
        <w:jc w:val="both"/>
        <w:rPr>
          <w:rFonts w:ascii="Times New Roman" w:hAnsi="Times New Roman" w:cs="Times New Roman" w:eastAsia="Times New Roman" w:hint="default"/>
          <w:sz w:val="24"/>
          <w:szCs w:val="24"/>
        </w:rPr>
      </w:pPr>
      <w:r>
        <w:rPr>
          <w:rFonts w:ascii="Times New Roman" w:hAnsi="Times New Roman"/>
          <w:sz w:val="24"/>
        </w:rPr>
        <w:t>за апропријацију </w:t>
      </w:r>
      <w:r>
        <w:rPr>
          <w:rFonts w:ascii="Times New Roman" w:hAnsi="Times New Roman"/>
          <w:sz w:val="24"/>
        </w:rPr>
        <w:t>465000-</w:t>
      </w:r>
      <w:r>
        <w:rPr>
          <w:rFonts w:ascii="Times New Roman" w:hAnsi="Times New Roman"/>
          <w:sz w:val="24"/>
        </w:rPr>
        <w:t>остале дотације и трансфери преузета је обавеза по основу повраћаја у буџет 10% неисплаћене плате за новембар у износу од 318 хиљада динара и децембар у износу од 318 хиљада динара, тако да су преузете обавезе у већем износу за 636 хиљада динара од одобрене</w:t>
      </w:r>
      <w:r>
        <w:rPr>
          <w:rFonts w:ascii="Times New Roman" w:hAnsi="Times New Roman"/>
          <w:spacing w:val="-12"/>
          <w:sz w:val="24"/>
        </w:rPr>
        <w:t> </w:t>
      </w:r>
      <w:r>
        <w:rPr>
          <w:rFonts w:ascii="Times New Roman" w:hAnsi="Times New Roman"/>
          <w:sz w:val="24"/>
        </w:rPr>
        <w:t>апропријације,</w:t>
      </w:r>
    </w:p>
    <w:p>
      <w:pPr>
        <w:pStyle w:val="ListParagraph"/>
        <w:numPr>
          <w:ilvl w:val="0"/>
          <w:numId w:val="101"/>
        </w:numPr>
        <w:tabs>
          <w:tab w:pos="905" w:val="left" w:leader="none"/>
        </w:tabs>
        <w:spacing w:line="240" w:lineRule="auto" w:before="0" w:after="0"/>
        <w:ind w:left="160" w:right="174" w:firstLine="566"/>
        <w:jc w:val="both"/>
        <w:rPr>
          <w:rFonts w:ascii="Times New Roman" w:hAnsi="Times New Roman" w:cs="Times New Roman" w:eastAsia="Times New Roman" w:hint="default"/>
          <w:sz w:val="24"/>
          <w:szCs w:val="24"/>
        </w:rPr>
      </w:pPr>
      <w:r>
        <w:rPr>
          <w:rFonts w:ascii="Times New Roman" w:hAnsi="Times New Roman"/>
          <w:sz w:val="24"/>
        </w:rPr>
        <w:t>за апропријацију </w:t>
      </w:r>
      <w:r>
        <w:rPr>
          <w:rFonts w:ascii="Times New Roman" w:hAnsi="Times New Roman"/>
          <w:sz w:val="24"/>
        </w:rPr>
        <w:t>483000-</w:t>
      </w:r>
      <w:r>
        <w:rPr>
          <w:rFonts w:ascii="Times New Roman" w:hAnsi="Times New Roman"/>
          <w:sz w:val="24"/>
        </w:rPr>
        <w:t>новчане казне и пенали по решењу судова исказано је извршење у већем износу за 163 хиљаде динара од одобрене</w:t>
      </w:r>
      <w:r>
        <w:rPr>
          <w:rFonts w:ascii="Times New Roman" w:hAnsi="Times New Roman"/>
          <w:spacing w:val="-17"/>
          <w:sz w:val="24"/>
        </w:rPr>
        <w:t> </w:t>
      </w:r>
      <w:r>
        <w:rPr>
          <w:rFonts w:ascii="Times New Roman" w:hAnsi="Times New Roman"/>
          <w:sz w:val="24"/>
        </w:rPr>
        <w:t>апропријације.</w:t>
      </w:r>
    </w:p>
    <w:p>
      <w:pPr>
        <w:pStyle w:val="BodyText"/>
        <w:spacing w:line="240" w:lineRule="auto" w:before="139"/>
        <w:ind w:right="173" w:firstLine="566"/>
        <w:jc w:val="both"/>
      </w:pPr>
      <w:r>
        <w:rPr>
          <w:rFonts w:ascii="Times New Roman" w:hAnsi="Times New Roman"/>
          <w:b/>
        </w:rPr>
        <w:t>Дечији центар </w:t>
      </w:r>
      <w:r>
        <w:rPr/>
        <w:t>је преузео обавезе преко одобрених апропријација у укупном износу од 4.972 хиљаде динара, што је супротно члану 54. Закона о буџетском систему и то:</w:t>
      </w:r>
    </w:p>
    <w:p>
      <w:pPr>
        <w:pStyle w:val="ListParagraph"/>
        <w:numPr>
          <w:ilvl w:val="0"/>
          <w:numId w:val="101"/>
        </w:numPr>
        <w:tabs>
          <w:tab w:pos="869" w:val="left" w:leader="none"/>
        </w:tabs>
        <w:spacing w:line="240" w:lineRule="auto" w:before="0" w:after="0"/>
        <w:ind w:left="160" w:right="174" w:firstLine="566"/>
        <w:jc w:val="both"/>
        <w:rPr>
          <w:rFonts w:ascii="Times New Roman" w:hAnsi="Times New Roman" w:cs="Times New Roman" w:eastAsia="Times New Roman" w:hint="default"/>
          <w:sz w:val="24"/>
          <w:szCs w:val="24"/>
        </w:rPr>
      </w:pPr>
      <w:r>
        <w:rPr>
          <w:rFonts w:ascii="Times New Roman" w:hAnsi="Times New Roman"/>
          <w:sz w:val="24"/>
        </w:rPr>
        <w:t>за апропријацију </w:t>
      </w:r>
      <w:r>
        <w:rPr>
          <w:rFonts w:ascii="Times New Roman" w:hAnsi="Times New Roman"/>
          <w:sz w:val="24"/>
        </w:rPr>
        <w:t>411000-</w:t>
      </w:r>
      <w:r>
        <w:rPr>
          <w:rFonts w:ascii="Times New Roman" w:hAnsi="Times New Roman"/>
          <w:sz w:val="24"/>
        </w:rPr>
        <w:t>плате, додаци и накнаде преузета је обавеза у износу који је за 1.634 хиљаде динара већи од одобрене апропријације за неисплаћену плату за децембар</w:t>
      </w:r>
      <w:r>
        <w:rPr>
          <w:rFonts w:ascii="Times New Roman" w:hAnsi="Times New Roman"/>
          <w:sz w:val="24"/>
        </w:rPr>
        <w:t>,</w:t>
      </w:r>
    </w:p>
    <w:p>
      <w:pPr>
        <w:spacing w:after="0" w:line="240" w:lineRule="auto"/>
        <w:jc w:val="both"/>
        <w:rPr>
          <w:rFonts w:ascii="Times New Roman" w:hAnsi="Times New Roman" w:cs="Times New Roman" w:eastAsia="Times New Roman" w:hint="default"/>
          <w:sz w:val="24"/>
          <w:szCs w:val="24"/>
        </w:rPr>
        <w:sectPr>
          <w:pgSz w:w="12240" w:h="15840"/>
          <w:pgMar w:header="740" w:footer="1504" w:top="120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ListParagraph"/>
        <w:numPr>
          <w:ilvl w:val="0"/>
          <w:numId w:val="102"/>
        </w:numPr>
        <w:tabs>
          <w:tab w:pos="910" w:val="left" w:leader="none"/>
        </w:tabs>
        <w:spacing w:line="240" w:lineRule="auto" w:before="6" w:after="0"/>
        <w:ind w:left="160" w:right="174"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412000</w:t>
      </w:r>
      <w:r>
        <w:rPr>
          <w:rFonts w:ascii="Times New Roman" w:hAnsi="Times New Roman" w:cs="Times New Roman" w:eastAsia="Times New Roman" w:hint="default"/>
          <w:sz w:val="24"/>
          <w:szCs w:val="24"/>
        </w:rPr>
        <w:t>–социјални доприноси на терет послодавца преузета је обавеза у износу који је за 320 хиљада динара већи од одобрене апропријације за социјалне доприносе на неисплаћену плату за</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децембар</w:t>
      </w:r>
      <w:r>
        <w:rPr>
          <w:rFonts w:ascii="Times New Roman" w:hAnsi="Times New Roman" w:cs="Times New Roman" w:eastAsia="Times New Roman" w:hint="default"/>
          <w:sz w:val="24"/>
          <w:szCs w:val="24"/>
        </w:rPr>
        <w:t>,</w:t>
      </w:r>
    </w:p>
    <w:p>
      <w:pPr>
        <w:pStyle w:val="ListParagraph"/>
        <w:numPr>
          <w:ilvl w:val="0"/>
          <w:numId w:val="102"/>
        </w:numPr>
        <w:tabs>
          <w:tab w:pos="883" w:val="left" w:leader="none"/>
        </w:tabs>
        <w:spacing w:line="240" w:lineRule="auto" w:before="0" w:after="0"/>
        <w:ind w:left="160" w:right="176"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413000</w:t>
      </w:r>
      <w:r>
        <w:rPr>
          <w:rFonts w:ascii="Times New Roman" w:hAnsi="Times New Roman" w:cs="Times New Roman" w:eastAsia="Times New Roman" w:hint="default"/>
          <w:sz w:val="24"/>
          <w:szCs w:val="24"/>
        </w:rPr>
        <w:t>–накнаде у натури преузета је обавеза у износу који је за 498 хиљада динара већи од одобрене апропријације по основу обавеза за месечне карте за долазак и одлазак са посла по фактурама од 2008. године до 2014.</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године.</w:t>
      </w:r>
    </w:p>
    <w:p>
      <w:pPr>
        <w:pStyle w:val="ListParagraph"/>
        <w:numPr>
          <w:ilvl w:val="0"/>
          <w:numId w:val="102"/>
        </w:numPr>
        <w:tabs>
          <w:tab w:pos="898" w:val="left" w:leader="none"/>
        </w:tabs>
        <w:spacing w:line="240" w:lineRule="auto" w:before="0" w:after="0"/>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414000</w:t>
      </w:r>
      <w:r>
        <w:rPr>
          <w:rFonts w:ascii="Times New Roman" w:hAnsi="Times New Roman" w:cs="Times New Roman" w:eastAsia="Times New Roman" w:hint="default"/>
          <w:sz w:val="24"/>
          <w:szCs w:val="24"/>
        </w:rPr>
        <w:t>–социјална давања запосленима исказано је извршење у износу од 200 хиљада динара </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из осталих извора) више од одобрене</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апропријације,</w:t>
      </w:r>
    </w:p>
    <w:p>
      <w:pPr>
        <w:pStyle w:val="ListParagraph"/>
        <w:numPr>
          <w:ilvl w:val="0"/>
          <w:numId w:val="102"/>
        </w:numPr>
        <w:tabs>
          <w:tab w:pos="883" w:val="left" w:leader="none"/>
        </w:tabs>
        <w:spacing w:line="240" w:lineRule="auto" w:before="0" w:after="0"/>
        <w:ind w:left="882" w:right="0" w:hanging="156"/>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423000 </w:t>
      </w:r>
      <w:r>
        <w:rPr>
          <w:rFonts w:ascii="Times New Roman" w:hAnsi="Times New Roman" w:cs="Times New Roman" w:eastAsia="Times New Roman" w:hint="default"/>
          <w:sz w:val="24"/>
          <w:szCs w:val="24"/>
        </w:rPr>
        <w:t>–услуге по уговору   преузета обавеза у износу који је  </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за</w:t>
      </w:r>
    </w:p>
    <w:p>
      <w:pPr>
        <w:pStyle w:val="BodyText"/>
        <w:spacing w:line="240" w:lineRule="auto"/>
        <w:ind w:right="174"/>
        <w:jc w:val="both"/>
        <w:rPr>
          <w:rFonts w:ascii="Times New Roman" w:hAnsi="Times New Roman" w:cs="Times New Roman" w:eastAsia="Times New Roman" w:hint="default"/>
        </w:rPr>
      </w:pPr>
      <w:r>
        <w:rPr/>
        <w:t>2.172 хиљаде динара већи од одобрене апропријације (из осталих извора) по основу обавеза за: компјутерске услуге, услуге информисања, услуге штампања, адвокатске услуге, угоститељске услуге и</w:t>
      </w:r>
      <w:r>
        <w:rPr>
          <w:spacing w:val="-15"/>
        </w:rPr>
        <w:t> </w:t>
      </w:r>
      <w:r>
        <w:rPr/>
        <w:t>репрезентацију</w:t>
      </w:r>
      <w:r>
        <w:rPr>
          <w:rFonts w:ascii="Times New Roman" w:hAnsi="Times New Roman"/>
        </w:rPr>
        <w:t>,</w:t>
      </w:r>
    </w:p>
    <w:p>
      <w:pPr>
        <w:pStyle w:val="BodyText"/>
        <w:spacing w:line="240" w:lineRule="auto"/>
        <w:ind w:right="174" w:firstLine="566"/>
        <w:jc w:val="both"/>
        <w:rPr>
          <w:rFonts w:ascii="Times New Roman" w:hAnsi="Times New Roman" w:cs="Times New Roman" w:eastAsia="Times New Roman" w:hint="default"/>
        </w:rPr>
      </w:pPr>
      <w:r>
        <w:rPr>
          <w:rFonts w:ascii="Times New Roman" w:hAnsi="Times New Roman" w:cs="Times New Roman" w:eastAsia="Times New Roman" w:hint="default"/>
        </w:rPr>
        <w:t>- </w:t>
      </w:r>
      <w:r>
        <w:rPr/>
        <w:t>за апропријацију </w:t>
      </w:r>
      <w:r>
        <w:rPr>
          <w:rFonts w:ascii="Times New Roman" w:hAnsi="Times New Roman" w:cs="Times New Roman" w:eastAsia="Times New Roman" w:hint="default"/>
        </w:rPr>
        <w:t>523000 </w:t>
      </w:r>
      <w:r>
        <w:rPr/>
        <w:t>– залихе робе за даљу продају преузета је обавеза у износу који је за 148 хиљада динара већи од одобрене апропријације (из осталих извора) за набављену робу за даљу продају у 2014.</w:t>
      </w:r>
      <w:r>
        <w:rPr>
          <w:spacing w:val="-6"/>
        </w:rPr>
        <w:t> </w:t>
      </w:r>
      <w:r>
        <w:rPr/>
        <w:t>години</w:t>
      </w:r>
      <w:r>
        <w:rPr>
          <w:rFonts w:ascii="Times New Roman" w:hAnsi="Times New Roman" w:cs="Times New Roman" w:eastAsia="Times New Roman" w:hint="default"/>
        </w:rPr>
        <w:t>.</w:t>
      </w:r>
    </w:p>
    <w:p>
      <w:pPr>
        <w:pStyle w:val="BodyText"/>
        <w:spacing w:line="240" w:lineRule="auto" w:before="139"/>
        <w:ind w:right="179" w:firstLine="566"/>
        <w:jc w:val="both"/>
      </w:pPr>
      <w:r>
        <w:rPr>
          <w:rFonts w:ascii="Times New Roman" w:hAnsi="Times New Roman"/>
          <w:b/>
        </w:rPr>
        <w:t>Галерија савремене ликовне уметности </w:t>
      </w:r>
      <w:r>
        <w:rPr/>
        <w:t>је преузела обавезе преко одобрених апропријација у укупном износу од 1.910 хиљада динара, што је супротно члану 54. Закона о буџетском систему и</w:t>
      </w:r>
      <w:r>
        <w:rPr>
          <w:spacing w:val="-14"/>
        </w:rPr>
        <w:t> </w:t>
      </w:r>
      <w:r>
        <w:rPr/>
        <w:t>то:</w:t>
      </w:r>
    </w:p>
    <w:p>
      <w:pPr>
        <w:pStyle w:val="ListParagraph"/>
        <w:numPr>
          <w:ilvl w:val="0"/>
          <w:numId w:val="103"/>
        </w:numPr>
        <w:tabs>
          <w:tab w:pos="869" w:val="left" w:leader="none"/>
        </w:tabs>
        <w:spacing w:line="240" w:lineRule="auto" w:before="0" w:after="0"/>
        <w:ind w:left="160" w:right="172" w:firstLine="566"/>
        <w:jc w:val="both"/>
        <w:rPr>
          <w:rFonts w:ascii="Times New Roman" w:hAnsi="Times New Roman" w:cs="Times New Roman" w:eastAsia="Times New Roman" w:hint="default"/>
          <w:sz w:val="24"/>
          <w:szCs w:val="24"/>
        </w:rPr>
      </w:pPr>
      <w:r>
        <w:rPr>
          <w:rFonts w:ascii="Times New Roman" w:hAnsi="Times New Roman"/>
          <w:sz w:val="24"/>
        </w:rPr>
        <w:t>за апропријацију </w:t>
      </w:r>
      <w:r>
        <w:rPr>
          <w:rFonts w:ascii="Times New Roman" w:hAnsi="Times New Roman"/>
          <w:sz w:val="24"/>
        </w:rPr>
        <w:t>411000-</w:t>
      </w:r>
      <w:r>
        <w:rPr>
          <w:rFonts w:ascii="Times New Roman" w:hAnsi="Times New Roman"/>
          <w:sz w:val="24"/>
        </w:rPr>
        <w:t>плате, додаци и накнаде преузета је обавеза у износу који је за 1.224 хиљаде динара већи од одобрене апропријације по основу неисплаћене плате  за децембар 2014. године у износу од 1.158 хиљада</w:t>
      </w:r>
      <w:r>
        <w:rPr>
          <w:rFonts w:ascii="Times New Roman" w:hAnsi="Times New Roman"/>
          <w:spacing w:val="-12"/>
          <w:sz w:val="24"/>
        </w:rPr>
        <w:t> </w:t>
      </w:r>
      <w:r>
        <w:rPr>
          <w:rFonts w:ascii="Times New Roman" w:hAnsi="Times New Roman"/>
          <w:sz w:val="24"/>
        </w:rPr>
        <w:t>динара</w:t>
      </w:r>
      <w:r>
        <w:rPr>
          <w:rFonts w:ascii="Times New Roman" w:hAnsi="Times New Roman"/>
          <w:sz w:val="24"/>
        </w:rPr>
        <w:t>,</w:t>
      </w:r>
    </w:p>
    <w:p>
      <w:pPr>
        <w:pStyle w:val="ListParagraph"/>
        <w:numPr>
          <w:ilvl w:val="0"/>
          <w:numId w:val="103"/>
        </w:numPr>
        <w:tabs>
          <w:tab w:pos="900" w:val="left" w:leader="none"/>
        </w:tabs>
        <w:spacing w:line="240" w:lineRule="auto" w:before="0" w:after="0"/>
        <w:ind w:left="160" w:right="174"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412000 </w:t>
      </w:r>
      <w:r>
        <w:rPr>
          <w:rFonts w:ascii="Times New Roman" w:hAnsi="Times New Roman" w:cs="Times New Roman" w:eastAsia="Times New Roman" w:hint="default"/>
          <w:sz w:val="24"/>
          <w:szCs w:val="24"/>
        </w:rPr>
        <w:t>–социјални доприноси на терет послодавца преузета је обавеза у износу који је за 155 хиљада динара већи од одобрене апропријације за социјалне доприносе на неисплаћену плату за</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децембар</w:t>
      </w:r>
      <w:r>
        <w:rPr>
          <w:rFonts w:ascii="Times New Roman" w:hAnsi="Times New Roman" w:cs="Times New Roman" w:eastAsia="Times New Roman" w:hint="default"/>
          <w:sz w:val="24"/>
          <w:szCs w:val="24"/>
        </w:rPr>
        <w:t>,</w:t>
      </w:r>
    </w:p>
    <w:p>
      <w:pPr>
        <w:pStyle w:val="ListParagraph"/>
        <w:numPr>
          <w:ilvl w:val="0"/>
          <w:numId w:val="103"/>
        </w:numPr>
        <w:tabs>
          <w:tab w:pos="871" w:val="left" w:leader="none"/>
        </w:tabs>
        <w:spacing w:line="240" w:lineRule="auto" w:before="0" w:after="0"/>
        <w:ind w:left="160" w:right="175"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413000 </w:t>
      </w:r>
      <w:r>
        <w:rPr>
          <w:rFonts w:ascii="Times New Roman" w:hAnsi="Times New Roman" w:cs="Times New Roman" w:eastAsia="Times New Roman" w:hint="default"/>
          <w:sz w:val="24"/>
          <w:szCs w:val="24"/>
        </w:rPr>
        <w:t>– накнаде у натури преузета је обавеза у износу који је за 149 хиљада динара већи од одобрене апропријације за месечне карте за долазак и одлазак са посла по</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фактурама,</w:t>
      </w:r>
    </w:p>
    <w:p>
      <w:pPr>
        <w:pStyle w:val="ListParagraph"/>
        <w:numPr>
          <w:ilvl w:val="0"/>
          <w:numId w:val="103"/>
        </w:numPr>
        <w:tabs>
          <w:tab w:pos="907" w:val="left" w:leader="none"/>
        </w:tabs>
        <w:spacing w:line="240" w:lineRule="auto" w:before="0" w:after="0"/>
        <w:ind w:left="160" w:right="171"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416000 </w:t>
      </w:r>
      <w:r>
        <w:rPr>
          <w:rFonts w:ascii="Times New Roman" w:hAnsi="Times New Roman" w:cs="Times New Roman" w:eastAsia="Times New Roman" w:hint="default"/>
          <w:sz w:val="24"/>
          <w:szCs w:val="24"/>
        </w:rPr>
        <w:t>– социјална давања запосленима преузета је обавеза у износу који је за 14 хиљада динара већи од одобреног апропријацијом за јубиларну награду у 2014.</w:t>
      </w:r>
      <w:r>
        <w:rPr>
          <w:rFonts w:ascii="Times New Roman" w:hAnsi="Times New Roman" w:cs="Times New Roman" w:eastAsia="Times New Roman" w:hint="default"/>
          <w:spacing w:val="-6"/>
          <w:sz w:val="24"/>
          <w:szCs w:val="24"/>
        </w:rPr>
        <w:t> </w:t>
      </w:r>
      <w:r>
        <w:rPr>
          <w:rFonts w:ascii="Times New Roman" w:hAnsi="Times New Roman" w:cs="Times New Roman" w:eastAsia="Times New Roman" w:hint="default"/>
          <w:sz w:val="24"/>
          <w:szCs w:val="24"/>
        </w:rPr>
        <w:t>години,</w:t>
      </w:r>
    </w:p>
    <w:p>
      <w:pPr>
        <w:pStyle w:val="ListParagraph"/>
        <w:numPr>
          <w:ilvl w:val="0"/>
          <w:numId w:val="104"/>
        </w:numPr>
        <w:tabs>
          <w:tab w:pos="924" w:val="left" w:leader="none"/>
        </w:tabs>
        <w:spacing w:line="240" w:lineRule="auto" w:before="0" w:after="0"/>
        <w:ind w:left="160" w:right="172"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465000 </w:t>
      </w:r>
      <w:r>
        <w:rPr>
          <w:rFonts w:ascii="Times New Roman" w:hAnsi="Times New Roman" w:cs="Times New Roman" w:eastAsia="Times New Roman" w:hint="default"/>
          <w:sz w:val="24"/>
          <w:szCs w:val="24"/>
        </w:rPr>
        <w:t>– остале донације, дотације и трансфери преузета је обавеза у износу који је за 296 хиљада динара већи од одобрене апропријације по основу повраћаја средстава за плате у буџет Републике за плату за децембар 2014.</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године</w:t>
      </w:r>
      <w:r>
        <w:rPr>
          <w:rFonts w:ascii="Times New Roman" w:hAnsi="Times New Roman" w:cs="Times New Roman" w:eastAsia="Times New Roman" w:hint="default"/>
          <w:sz w:val="24"/>
          <w:szCs w:val="24"/>
        </w:rPr>
        <w:t>,</w:t>
      </w:r>
    </w:p>
    <w:p>
      <w:pPr>
        <w:pStyle w:val="ListParagraph"/>
        <w:numPr>
          <w:ilvl w:val="0"/>
          <w:numId w:val="104"/>
        </w:numPr>
        <w:tabs>
          <w:tab w:pos="881" w:val="left" w:leader="none"/>
        </w:tabs>
        <w:spacing w:line="240" w:lineRule="auto" w:before="0" w:after="0"/>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482000 </w:t>
      </w:r>
      <w:r>
        <w:rPr>
          <w:rFonts w:ascii="Times New Roman" w:hAnsi="Times New Roman" w:cs="Times New Roman" w:eastAsia="Times New Roman" w:hint="default"/>
          <w:sz w:val="24"/>
          <w:szCs w:val="24"/>
        </w:rPr>
        <w:t>– порези, обавезне таксе и казне исказано је извршење у износу од  53 хиљаде динара него што је одобрено на апропријацији </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из осталих</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извора</w:t>
      </w:r>
      <w:r>
        <w:rPr>
          <w:rFonts w:ascii="Times New Roman" w:hAnsi="Times New Roman" w:cs="Times New Roman" w:eastAsia="Times New Roman" w:hint="default"/>
          <w:sz w:val="24"/>
          <w:szCs w:val="24"/>
        </w:rPr>
        <w:t>),</w:t>
      </w:r>
    </w:p>
    <w:p>
      <w:pPr>
        <w:pStyle w:val="ListParagraph"/>
        <w:numPr>
          <w:ilvl w:val="0"/>
          <w:numId w:val="104"/>
        </w:numPr>
        <w:tabs>
          <w:tab w:pos="886" w:val="left" w:leader="none"/>
        </w:tabs>
        <w:spacing w:line="240" w:lineRule="auto" w:before="0" w:after="0"/>
        <w:ind w:left="160" w:right="175"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w:t>
      </w:r>
      <w:r>
        <w:rPr>
          <w:rFonts w:ascii="Times New Roman" w:hAnsi="Times New Roman" w:cs="Times New Roman" w:eastAsia="Times New Roman" w:hint="default"/>
          <w:sz w:val="24"/>
          <w:szCs w:val="24"/>
        </w:rPr>
        <w:t>483000 </w:t>
      </w:r>
      <w:r>
        <w:rPr>
          <w:rFonts w:ascii="Times New Roman" w:hAnsi="Times New Roman" w:cs="Times New Roman" w:eastAsia="Times New Roman" w:hint="default"/>
          <w:sz w:val="24"/>
          <w:szCs w:val="24"/>
        </w:rPr>
        <w:t>– новчане казне и пенали по решењу судова исказано је извршење у износу од 19 хиљада динара више него што је одобрено на апропријацији </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из осталих</w:t>
      </w:r>
      <w:r>
        <w:rPr>
          <w:rFonts w:ascii="Times New Roman" w:hAnsi="Times New Roman" w:cs="Times New Roman" w:eastAsia="Times New Roman" w:hint="default"/>
          <w:spacing w:val="-5"/>
          <w:sz w:val="24"/>
          <w:szCs w:val="24"/>
        </w:rPr>
        <w:t> </w:t>
      </w:r>
      <w:r>
        <w:rPr>
          <w:rFonts w:ascii="Times New Roman" w:hAnsi="Times New Roman" w:cs="Times New Roman" w:eastAsia="Times New Roman" w:hint="default"/>
          <w:sz w:val="24"/>
          <w:szCs w:val="24"/>
        </w:rPr>
        <w:t>извора</w:t>
      </w:r>
      <w:r>
        <w:rPr>
          <w:rFonts w:ascii="Times New Roman" w:hAnsi="Times New Roman" w:cs="Times New Roman" w:eastAsia="Times New Roman" w:hint="default"/>
          <w:sz w:val="24"/>
          <w:szCs w:val="24"/>
        </w:rPr>
        <w:t>).</w:t>
      </w:r>
    </w:p>
    <w:p>
      <w:pPr>
        <w:pStyle w:val="BodyText"/>
        <w:spacing w:line="240" w:lineRule="auto" w:before="137"/>
        <w:ind w:right="170" w:firstLine="566"/>
        <w:jc w:val="both"/>
      </w:pPr>
      <w:r>
        <w:rPr>
          <w:rFonts w:ascii="Times New Roman" w:hAnsi="Times New Roman"/>
          <w:b/>
        </w:rPr>
        <w:t>Народна библиотека </w:t>
      </w:r>
      <w:r>
        <w:rPr/>
        <w:t>је преузела обавезе преко одобрених апропријација у укупном износу од 5.011 хиљад</w:t>
      </w:r>
      <w:r>
        <w:rPr>
          <w:rFonts w:ascii="Times New Roman" w:hAnsi="Times New Roman"/>
        </w:rPr>
        <w:t>a </w:t>
      </w:r>
      <w:r>
        <w:rPr/>
        <w:t>динара, што је супротно члану 54. Закона о буџетском систему и</w:t>
      </w:r>
      <w:r>
        <w:rPr>
          <w:spacing w:val="-5"/>
        </w:rPr>
        <w:t> </w:t>
      </w:r>
      <w:r>
        <w:rPr/>
        <w:t>то:</w:t>
      </w:r>
    </w:p>
    <w:p>
      <w:pPr>
        <w:pStyle w:val="ListParagraph"/>
        <w:numPr>
          <w:ilvl w:val="0"/>
          <w:numId w:val="104"/>
        </w:numPr>
        <w:tabs>
          <w:tab w:pos="883" w:val="left" w:leader="none"/>
        </w:tabs>
        <w:spacing w:line="240" w:lineRule="auto" w:before="0" w:after="0"/>
        <w:ind w:left="160" w:right="173"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411000 – плате, додаци и накнаде преузета је обавеза за плате у већем износу од 3.549 хиљада динара од одобрене апропријације за неисплаћене плате у 2014. години, за део новембра  у износу од  21</w:t>
      </w:r>
      <w:r>
        <w:rPr>
          <w:rFonts w:ascii="Times New Roman" w:hAnsi="Times New Roman" w:cs="Times New Roman" w:eastAsia="Times New Roman" w:hint="default"/>
          <w:sz w:val="24"/>
          <w:szCs w:val="24"/>
        </w:rPr>
        <w:t>6  </w:t>
      </w:r>
      <w:r>
        <w:rPr>
          <w:rFonts w:ascii="Times New Roman" w:hAnsi="Times New Roman" w:cs="Times New Roman" w:eastAsia="Times New Roman" w:hint="default"/>
          <w:sz w:val="24"/>
          <w:szCs w:val="24"/>
        </w:rPr>
        <w:t>хиљада динара  и децембар  у износу  </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од</w:t>
      </w:r>
    </w:p>
    <w:p>
      <w:pPr>
        <w:pStyle w:val="ListParagraph"/>
        <w:numPr>
          <w:ilvl w:val="1"/>
          <w:numId w:val="105"/>
        </w:numPr>
        <w:tabs>
          <w:tab w:pos="761" w:val="left" w:leader="none"/>
        </w:tabs>
        <w:spacing w:line="240" w:lineRule="auto" w:before="0" w:after="0"/>
        <w:ind w:left="760" w:right="0" w:hanging="600"/>
        <w:jc w:val="both"/>
        <w:rPr>
          <w:rFonts w:ascii="Times New Roman" w:hAnsi="Times New Roman" w:cs="Times New Roman" w:eastAsia="Times New Roman" w:hint="default"/>
          <w:sz w:val="24"/>
          <w:szCs w:val="24"/>
        </w:rPr>
      </w:pPr>
      <w:r>
        <w:rPr>
          <w:rFonts w:ascii="Times New Roman" w:hAnsi="Times New Roman"/>
          <w:sz w:val="24"/>
        </w:rPr>
        <w:t>хиљаде</w:t>
      </w:r>
      <w:r>
        <w:rPr>
          <w:rFonts w:ascii="Times New Roman" w:hAnsi="Times New Roman"/>
          <w:spacing w:val="-2"/>
          <w:sz w:val="24"/>
        </w:rPr>
        <w:t> </w:t>
      </w:r>
      <w:r>
        <w:rPr>
          <w:rFonts w:ascii="Times New Roman" w:hAnsi="Times New Roman"/>
          <w:sz w:val="24"/>
        </w:rPr>
        <w:t>динара</w:t>
      </w:r>
      <w:r>
        <w:rPr>
          <w:rFonts w:ascii="Times New Roman" w:hAnsi="Times New Roman"/>
          <w:sz w:val="24"/>
        </w:rPr>
        <w:t>,</w:t>
      </w:r>
    </w:p>
    <w:p>
      <w:pPr>
        <w:spacing w:after="0" w:line="240" w:lineRule="auto"/>
        <w:jc w:val="both"/>
        <w:rPr>
          <w:rFonts w:ascii="Times New Roman" w:hAnsi="Times New Roman" w:cs="Times New Roman" w:eastAsia="Times New Roman" w:hint="default"/>
          <w:sz w:val="24"/>
          <w:szCs w:val="24"/>
        </w:rPr>
        <w:sectPr>
          <w:footerReference w:type="default" r:id="rId100"/>
          <w:pgSz w:w="12240" w:h="15840"/>
          <w:pgMar w:footer="1504" w:header="740" w:top="1200" w:bottom="1700" w:left="1400" w:right="1260"/>
          <w:pgNumType w:start="330"/>
        </w:sectPr>
      </w:pPr>
    </w:p>
    <w:p>
      <w:pPr>
        <w:pStyle w:val="BodyText"/>
        <w:spacing w:line="240" w:lineRule="auto" w:before="5"/>
        <w:ind w:right="172"/>
        <w:jc w:val="both"/>
      </w:pPr>
      <w:r>
        <w:rPr/>
        <w:pict>
          <v:group style="position:absolute;margin-left:76.584pt;margin-top:62.939999pt;width:465pt;height:.1pt;mso-position-horizontal-relative:page;mso-position-vertical-relative:page;z-index:-772384" coordorigin="1532,1259" coordsize="9300,2">
            <v:shape style="position:absolute;left:1532;top:1259;width:9300;height:2" coordorigin="1532,1259" coordsize="9300,0" path="m1532,1259l10831,1259e" filled="false" stroked="true" strokeweight="3pt" strokecolor="#612322">
              <v:path arrowok="t"/>
            </v:shape>
            <w10:wrap type="none"/>
          </v:group>
        </w:pict>
      </w:r>
      <w:r>
        <w:rPr/>
        <w:t>обавеза за доприносе у већем износу од 581 хиљаде динара од одобрене апропријације за социјалне доприносе за децембар 2014.</w:t>
      </w:r>
      <w:r>
        <w:rPr>
          <w:spacing w:val="-11"/>
        </w:rPr>
        <w:t> </w:t>
      </w:r>
      <w:r>
        <w:rPr/>
        <w:t>године,</w:t>
      </w:r>
    </w:p>
    <w:p>
      <w:pPr>
        <w:pStyle w:val="ListParagraph"/>
        <w:numPr>
          <w:ilvl w:val="2"/>
          <w:numId w:val="105"/>
        </w:numPr>
        <w:tabs>
          <w:tab w:pos="943" w:val="left" w:leader="none"/>
        </w:tabs>
        <w:spacing w:line="240" w:lineRule="auto" w:before="0" w:after="0"/>
        <w:ind w:left="160" w:right="177"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41</w:t>
      </w:r>
      <w:r>
        <w:rPr>
          <w:rFonts w:ascii="Times New Roman" w:hAnsi="Times New Roman" w:cs="Times New Roman" w:eastAsia="Times New Roman" w:hint="default"/>
          <w:sz w:val="24"/>
          <w:szCs w:val="24"/>
        </w:rPr>
        <w:t>3000 </w:t>
      </w:r>
      <w:r>
        <w:rPr>
          <w:rFonts w:ascii="Times New Roman" w:hAnsi="Times New Roman" w:cs="Times New Roman" w:eastAsia="Times New Roman" w:hint="default"/>
          <w:sz w:val="24"/>
          <w:szCs w:val="24"/>
        </w:rPr>
        <w:t>– накнаде у натури преузета је обавеза по основу неплаћених рачуна за јавни превоз запослених у износу од 13 хиљада динара већем од одобрене апропријације за накнаде у натури за 2014.</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годину,</w:t>
      </w:r>
    </w:p>
    <w:p>
      <w:pPr>
        <w:pStyle w:val="ListParagraph"/>
        <w:numPr>
          <w:ilvl w:val="2"/>
          <w:numId w:val="105"/>
        </w:numPr>
        <w:tabs>
          <w:tab w:pos="931" w:val="left" w:leader="none"/>
        </w:tabs>
        <w:spacing w:line="240" w:lineRule="auto" w:before="0" w:after="0"/>
        <w:ind w:left="160" w:right="175" w:firstLine="62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за апропријацију 465000 – остале дотације и транфери преузета је обавеза у већем износу од 868 хиљада динара од одобрене апропријације за неисплаћен повраћај од 10% неисплаћене плате у 2014. години за новембар у износу од 435 хиљада динара и за децембар у износу од 433 хиљаде</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динара</w:t>
      </w:r>
      <w:r>
        <w:rPr>
          <w:rFonts w:ascii="Times New Roman" w:hAnsi="Times New Roman" w:cs="Times New Roman" w:eastAsia="Times New Roman" w:hint="default"/>
          <w:sz w:val="24"/>
          <w:szCs w:val="24"/>
        </w:rPr>
        <w:t>.</w:t>
      </w:r>
    </w:p>
    <w:p>
      <w:pPr>
        <w:pStyle w:val="Heading1"/>
        <w:numPr>
          <w:ilvl w:val="3"/>
          <w:numId w:val="87"/>
        </w:numPr>
        <w:tabs>
          <w:tab w:pos="480" w:val="left" w:leader="none"/>
        </w:tabs>
        <w:spacing w:line="274" w:lineRule="exact" w:before="144" w:after="0"/>
        <w:ind w:left="479" w:right="0" w:hanging="319"/>
        <w:jc w:val="both"/>
        <w:rPr>
          <w:b w:val="0"/>
          <w:bCs w:val="0"/>
        </w:rPr>
      </w:pPr>
      <w:r>
        <w:rPr/>
        <w:t>Капитал и утврђивање резултата</w:t>
      </w:r>
      <w:r>
        <w:rPr>
          <w:spacing w:val="-14"/>
        </w:rPr>
        <w:t> </w:t>
      </w:r>
      <w:r>
        <w:rPr/>
        <w:t>пословања</w:t>
      </w:r>
      <w:r>
        <w:rPr>
          <w:b w:val="0"/>
        </w:rPr>
      </w:r>
    </w:p>
    <w:p>
      <w:pPr>
        <w:pStyle w:val="BodyText"/>
        <w:spacing w:line="240" w:lineRule="auto"/>
        <w:ind w:right="173" w:firstLine="566"/>
        <w:jc w:val="both"/>
      </w:pPr>
      <w:r>
        <w:rPr/>
        <w:t>Капитал и утврђивање резултата пословања исказани су у износу од </w:t>
      </w:r>
      <w:r>
        <w:rPr>
          <w:rFonts w:ascii="Times New Roman" w:hAnsi="Times New Roman"/>
        </w:rPr>
        <w:t>21.665.428 </w:t>
      </w:r>
      <w:r>
        <w:rPr/>
        <w:t>хиљада</w:t>
      </w:r>
      <w:r>
        <w:rPr>
          <w:spacing w:val="-3"/>
        </w:rPr>
        <w:t> </w:t>
      </w:r>
      <w:r>
        <w:rPr/>
        <w:t>динара.</w:t>
      </w:r>
    </w:p>
    <w:p>
      <w:pPr>
        <w:spacing w:before="0"/>
        <w:ind w:left="160" w:right="174" w:firstLine="566"/>
        <w:jc w:val="both"/>
        <w:rPr>
          <w:rFonts w:ascii="Times New Roman" w:hAnsi="Times New Roman" w:cs="Times New Roman" w:eastAsia="Times New Roman" w:hint="default"/>
          <w:sz w:val="24"/>
          <w:szCs w:val="24"/>
        </w:rPr>
      </w:pPr>
      <w:r>
        <w:rPr>
          <w:rFonts w:ascii="Times New Roman" w:hAnsi="Times New Roman"/>
          <w:b/>
          <w:sz w:val="24"/>
        </w:rPr>
        <w:t>Нефинансијска имовина у сталним средствима</w:t>
      </w:r>
      <w:r>
        <w:rPr>
          <w:rFonts w:ascii="Times New Roman" w:hAnsi="Times New Roman"/>
          <w:sz w:val="24"/>
        </w:rPr>
        <w:t>, </w:t>
      </w:r>
      <w:r>
        <w:rPr>
          <w:rFonts w:ascii="Times New Roman" w:hAnsi="Times New Roman"/>
          <w:b/>
          <w:sz w:val="24"/>
        </w:rPr>
        <w:t>конто 311100 </w:t>
      </w:r>
      <w:r>
        <w:rPr>
          <w:rFonts w:ascii="Times New Roman" w:hAnsi="Times New Roman"/>
          <w:sz w:val="24"/>
        </w:rPr>
        <w:t>- </w:t>
      </w:r>
      <w:r>
        <w:rPr>
          <w:rFonts w:ascii="Times New Roman" w:hAnsi="Times New Roman"/>
          <w:sz w:val="24"/>
        </w:rPr>
        <w:t>Исказана је у износу од </w:t>
      </w:r>
      <w:r>
        <w:rPr>
          <w:rFonts w:ascii="Times New Roman" w:hAnsi="Times New Roman"/>
          <w:sz w:val="24"/>
        </w:rPr>
        <w:t>22.483.297 </w:t>
      </w:r>
      <w:r>
        <w:rPr>
          <w:rFonts w:ascii="Times New Roman" w:hAnsi="Times New Roman"/>
          <w:sz w:val="24"/>
        </w:rPr>
        <w:t>хиљада</w:t>
      </w:r>
      <w:r>
        <w:rPr>
          <w:rFonts w:ascii="Times New Roman" w:hAnsi="Times New Roman"/>
          <w:spacing w:val="-9"/>
          <w:sz w:val="24"/>
        </w:rPr>
        <w:t> </w:t>
      </w:r>
      <w:r>
        <w:rPr>
          <w:rFonts w:ascii="Times New Roman" w:hAnsi="Times New Roman"/>
          <w:sz w:val="24"/>
        </w:rPr>
        <w:t>динара</w:t>
      </w:r>
      <w:r>
        <w:rPr>
          <w:rFonts w:ascii="Times New Roman" w:hAnsi="Times New Roman"/>
          <w:sz w:val="24"/>
        </w:rPr>
        <w:t>.</w:t>
      </w:r>
    </w:p>
    <w:p>
      <w:pPr>
        <w:pStyle w:val="BodyText"/>
        <w:spacing w:line="240" w:lineRule="auto"/>
        <w:ind w:right="175" w:firstLine="566"/>
        <w:jc w:val="both"/>
      </w:pPr>
      <w:r>
        <w:rPr>
          <w:rFonts w:ascii="Times New Roman" w:hAnsi="Times New Roman"/>
          <w:b/>
        </w:rPr>
        <w:t>На основу ревизије узорковане документације утврђено је </w:t>
      </w:r>
      <w:r>
        <w:rPr/>
        <w:t>да нефинансијска имовина у сталним средствима исказана у пасиви консолидованог биланса стања није усаглашена са вредношћу нефинансијске имовине у сталним средствима у активи биланса стања за износ од 2.159 хиљада динара услед неправилног евидентирања </w:t>
      </w:r>
      <w:r>
        <w:rPr>
          <w:spacing w:val="3"/>
        </w:rPr>
        <w:t>код </w:t>
      </w:r>
      <w:r>
        <w:rPr>
          <w:spacing w:val="3"/>
        </w:rPr>
      </w:r>
      <w:r>
        <w:rPr/>
        <w:t>директних и индиректних корисника, што је супротно члану 9. Уредбе о буџетском </w:t>
      </w:r>
      <w:r>
        <w:rPr/>
        <w:t>рачуноводству и Правилнику о стандардном класификационом оквиру и контном плану за буџетски</w:t>
      </w:r>
      <w:r>
        <w:rPr>
          <w:spacing w:val="-10"/>
        </w:rPr>
        <w:t> </w:t>
      </w:r>
      <w:r>
        <w:rPr/>
        <w:t>систем.</w:t>
      </w:r>
    </w:p>
    <w:p>
      <w:pPr>
        <w:pStyle w:val="Heading2"/>
        <w:spacing w:line="240" w:lineRule="auto"/>
        <w:ind w:right="172"/>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BodyText"/>
        <w:spacing w:line="271" w:lineRule="exact"/>
        <w:ind w:right="0"/>
        <w:jc w:val="both"/>
      </w:pPr>
      <w:r>
        <w:rPr/>
        <w:t>Исказано је стање и то</w:t>
      </w:r>
      <w:r>
        <w:rPr>
          <w:spacing w:val="-7"/>
        </w:rPr>
        <w:t> </w:t>
      </w:r>
      <w:r>
        <w:rPr/>
        <w:t>код:</w:t>
      </w:r>
    </w:p>
    <w:p>
      <w:pPr>
        <w:pStyle w:val="ListParagraph"/>
        <w:numPr>
          <w:ilvl w:val="0"/>
          <w:numId w:val="106"/>
        </w:numPr>
        <w:tabs>
          <w:tab w:pos="303"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финансије, изворне приходе локалне самоуправе и јавне набавке </w:t>
      </w:r>
      <w:r>
        <w:rPr>
          <w:rFonts w:ascii="Times New Roman" w:hAnsi="Times New Roman"/>
          <w:sz w:val="24"/>
        </w:rPr>
        <w:t>у износу од </w:t>
      </w:r>
      <w:r>
        <w:rPr>
          <w:rFonts w:ascii="Times New Roman" w:hAnsi="Times New Roman"/>
          <w:sz w:val="24"/>
        </w:rPr>
        <w:t>77.632 хиљаде динара</w:t>
      </w:r>
      <w:r>
        <w:rPr>
          <w:rFonts w:ascii="Times New Roman" w:hAnsi="Times New Roman"/>
          <w:sz w:val="24"/>
        </w:rPr>
        <w:t>, </w:t>
      </w:r>
      <w:r>
        <w:rPr>
          <w:rFonts w:ascii="Times New Roman" w:hAnsi="Times New Roman"/>
          <w:sz w:val="24"/>
        </w:rPr>
        <w:t>за вредност зграда, опреме и нематеријалне</w:t>
      </w:r>
      <w:r>
        <w:rPr>
          <w:rFonts w:ascii="Times New Roman" w:hAnsi="Times New Roman"/>
          <w:spacing w:val="-15"/>
          <w:sz w:val="24"/>
        </w:rPr>
        <w:t> </w:t>
      </w:r>
      <w:r>
        <w:rPr>
          <w:rFonts w:ascii="Times New Roman" w:hAnsi="Times New Roman"/>
          <w:sz w:val="24"/>
        </w:rPr>
        <w:t>имовине.</w:t>
      </w:r>
    </w:p>
    <w:p>
      <w:pPr>
        <w:pStyle w:val="BodyText"/>
        <w:spacing w:line="240" w:lineRule="auto"/>
        <w:ind w:right="176" w:firstLine="566"/>
        <w:jc w:val="both"/>
      </w:pPr>
      <w:r>
        <w:rPr>
          <w:rFonts w:ascii="Times New Roman" w:hAnsi="Times New Roman"/>
          <w:b/>
        </w:rPr>
        <w:t>На основу ревизије узорковане документације утврђено је </w:t>
      </w:r>
      <w:r>
        <w:rPr/>
        <w:t>да нефинансијска имовина у сталним средствима код Управе за финансије, изворне приходе локалне самоуправе и јавне набавке није усаглашена са вредношћу нефинансијске имовине исказане у активи биланса стања за једну хиљаду динара, што је супротно члану 9. Уредбе о буџетском рачуноводству и Правилнику о стандардном класификационом оквиру и контном плану за буџетски</w:t>
      </w:r>
      <w:r>
        <w:rPr>
          <w:spacing w:val="-21"/>
        </w:rPr>
        <w:t> </w:t>
      </w:r>
      <w:r>
        <w:rPr/>
        <w:t>систем.</w:t>
      </w:r>
    </w:p>
    <w:p>
      <w:pPr>
        <w:pStyle w:val="Heading2"/>
        <w:spacing w:line="240" w:lineRule="auto"/>
        <w:ind w:right="174"/>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BodyText"/>
        <w:spacing w:line="240" w:lineRule="auto"/>
        <w:ind w:right="171"/>
        <w:jc w:val="both"/>
        <w:rPr>
          <w:rFonts w:ascii="Times New Roman" w:hAnsi="Times New Roman" w:cs="Times New Roman" w:eastAsia="Times New Roman" w:hint="default"/>
        </w:rPr>
      </w:pPr>
      <w:r>
        <w:rPr/>
        <w:pict>
          <v:group style="position:absolute;margin-left:81.984001pt;margin-top:12.823141pt;width:321.45pt;height:.1pt;mso-position-horizontal-relative:page;mso-position-vertical-relative:paragraph;z-index:-772360" coordorigin="1640,256" coordsize="6429,2">
            <v:shape style="position:absolute;left:1640;top:256;width:6429;height:2" coordorigin="1640,256" coordsize="6429,0" path="m1640,256l8068,256e" filled="false" stroked="true" strokeweight=".599980pt" strokecolor="#000000">
              <v:path arrowok="t"/>
            </v:shape>
            <w10:wrap type="none"/>
          </v:group>
        </w:pict>
      </w:r>
      <w:r>
        <w:rPr>
          <w:rFonts w:ascii="Times New Roman" w:hAnsi="Times New Roman" w:cs="Times New Roman" w:eastAsia="Times New Roman" w:hint="default"/>
        </w:rPr>
        <w:t>-</w:t>
      </w:r>
      <w:r>
        <w:rPr/>
        <w:t>Управе за дечију, социјалну и примарну здравствену заштиту у износу од 1.859 хиљада динара за исказану нефинансијску имовину у сталним средствима код Центра „Мара“ у износу од 1.859 хиљада</w:t>
      </w:r>
      <w:r>
        <w:rPr>
          <w:spacing w:val="-6"/>
        </w:rPr>
        <w:t> </w:t>
      </w:r>
      <w:r>
        <w:rPr/>
        <w:t>динара</w:t>
      </w:r>
      <w:r>
        <w:rPr>
          <w:rFonts w:ascii="Times New Roman" w:hAnsi="Times New Roman" w:cs="Times New Roman" w:eastAsia="Times New Roman" w:hint="default"/>
        </w:rPr>
        <w:t>.</w:t>
      </w:r>
    </w:p>
    <w:p>
      <w:pPr>
        <w:pStyle w:val="Heading1"/>
        <w:spacing w:line="275" w:lineRule="exact"/>
        <w:ind w:right="141"/>
        <w:jc w:val="left"/>
        <w:rPr>
          <w:b w:val="0"/>
          <w:bCs w:val="0"/>
        </w:rPr>
      </w:pPr>
      <w:r>
        <w:rPr/>
        <w:t>На основу ревизије узорковане документације утврђено</w:t>
      </w:r>
      <w:r>
        <w:rPr>
          <w:spacing w:val="-15"/>
        </w:rPr>
        <w:t> </w:t>
      </w:r>
      <w:r>
        <w:rPr/>
        <w:t>је:</w:t>
      </w:r>
      <w:r>
        <w:rPr>
          <w:b w:val="0"/>
        </w:rPr>
      </w:r>
    </w:p>
    <w:p>
      <w:pPr>
        <w:pStyle w:val="ListParagraph"/>
        <w:numPr>
          <w:ilvl w:val="0"/>
          <w:numId w:val="9"/>
        </w:numPr>
        <w:tabs>
          <w:tab w:pos="303"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Нисмо се уверили у тачност и правилност исказане вредности нефинансијске имовине у сталним средствима код Центра „Мара“ услед неправилно исказане вредности опреме у активи</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биланса.</w:t>
      </w:r>
    </w:p>
    <w:p>
      <w:pPr>
        <w:spacing w:after="0" w:line="240" w:lineRule="auto"/>
        <w:jc w:val="both"/>
        <w:rPr>
          <w:rFonts w:ascii="Times New Roman" w:hAnsi="Times New Roman" w:cs="Times New Roman" w:eastAsia="Times New Roman" w:hint="default"/>
          <w:sz w:val="24"/>
          <w:szCs w:val="24"/>
        </w:rPr>
        <w:sectPr>
          <w:headerReference w:type="default" r:id="rId101"/>
          <w:pgSz w:w="12240" w:h="15840"/>
          <w:pgMar w:header="740" w:footer="1504" w:top="154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ListParagraph"/>
        <w:numPr>
          <w:ilvl w:val="0"/>
          <w:numId w:val="9"/>
        </w:numPr>
        <w:tabs>
          <w:tab w:pos="303" w:val="left" w:leader="none"/>
        </w:tabs>
        <w:spacing w:line="240" w:lineRule="auto" w:before="8"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пословним књигама Установе „Сигурна кућа“ на дан 01.01.2014. године није исказано почетно стање на конту 311112, по крајњем стању из књига на дан 31.12.2013. године а које је било исказано у износу од 1.070 хиљада</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динара.</w:t>
      </w:r>
    </w:p>
    <w:p>
      <w:pPr>
        <w:pStyle w:val="ListParagraph"/>
        <w:numPr>
          <w:ilvl w:val="0"/>
          <w:numId w:val="9"/>
        </w:numPr>
        <w:tabs>
          <w:tab w:pos="303" w:val="left" w:leader="none"/>
        </w:tabs>
        <w:spacing w:line="237" w:lineRule="auto" w:before="4" w:after="0"/>
        <w:ind w:left="160" w:right="169"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поступку ревизије нисмо могли да утврдимо вредност нефинансијске имовине у сталним средствима код установе „Сигурна кућа“ услед неправилно исказане садашње вредности опреме у активи биланса</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стања.</w:t>
      </w:r>
    </w:p>
    <w:p>
      <w:pPr>
        <w:pStyle w:val="Heading2"/>
        <w:spacing w:line="240" w:lineRule="auto"/>
        <w:ind w:right="172"/>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BodyText"/>
        <w:spacing w:line="240" w:lineRule="auto"/>
        <w:ind w:right="177"/>
        <w:jc w:val="both"/>
        <w:rPr>
          <w:rFonts w:ascii="Times New Roman" w:hAnsi="Times New Roman" w:cs="Times New Roman" w:eastAsia="Times New Roman" w:hint="default"/>
        </w:rPr>
      </w:pPr>
      <w:r>
        <w:rPr>
          <w:rFonts w:ascii="Times New Roman" w:hAnsi="Times New Roman" w:cs="Times New Roman" w:eastAsia="Times New Roman" w:hint="default"/>
          <w:w w:val="99"/>
        </w:rPr>
      </w:r>
      <w:r>
        <w:rPr>
          <w:rFonts w:ascii="Times New Roman" w:hAnsi="Times New Roman" w:cs="Times New Roman" w:eastAsia="Times New Roman" w:hint="default"/>
          <w:u w:val="single" w:color="000000"/>
        </w:rPr>
        <w:t>-</w:t>
      </w:r>
      <w:r>
        <w:rPr>
          <w:u w:val="single" w:color="000000"/>
        </w:rPr>
        <w:t>Управе за образовање </w:t>
      </w:r>
      <w:r>
        <w:rPr/>
        <w:t>у износу од од 358.807 хиљада динара за исказану нефинансијску </w:t>
      </w:r>
      <w:r>
        <w:rPr/>
        <w:t>имовину у сталним средствима код: ПУ „Пчелица“ у износу од 352.165 хиљада динара, Дечијег центра у износу од 5.028 хиљада динара и Регионалног центра у износу од 1.614 хиљада</w:t>
      </w:r>
      <w:r>
        <w:rPr>
          <w:spacing w:val="-3"/>
        </w:rPr>
        <w:t> </w:t>
      </w:r>
      <w:r>
        <w:rPr/>
        <w:t>динара</w:t>
      </w:r>
      <w:r>
        <w:rPr>
          <w:rFonts w:ascii="Times New Roman" w:hAnsi="Times New Roman" w:cs="Times New Roman" w:eastAsia="Times New Roman" w:hint="default"/>
        </w:rPr>
        <w:t>.</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9"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Код ПУ „Пчелица“ ова позиција више је исказана за износ од најмање 209.153 хиљаде динара за вредност зграда и грађевинских објеката које установа води у својим књигама а које су у својини града Ниша или су без доказа о праву на њима,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систем.</w:t>
      </w:r>
    </w:p>
    <w:p>
      <w:pPr>
        <w:pStyle w:val="ListParagraph"/>
        <w:numPr>
          <w:ilvl w:val="0"/>
          <w:numId w:val="9"/>
        </w:numPr>
        <w:tabs>
          <w:tab w:pos="303" w:val="left" w:leader="none"/>
        </w:tabs>
        <w:spacing w:line="240" w:lineRule="auto" w:before="2" w:after="0"/>
        <w:ind w:left="160" w:right="18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Код ПУ „Пчелица“ ова позиција мање је исказана за износ од 737 хиљада динара по основу неправилно исказане вредности кавеза за контејнере и опреме у припреми,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31"/>
          <w:sz w:val="24"/>
          <w:szCs w:val="24"/>
        </w:rPr>
        <w:t> </w:t>
      </w:r>
      <w:r>
        <w:rPr>
          <w:rFonts w:ascii="Times New Roman" w:hAnsi="Times New Roman" w:cs="Times New Roman" w:eastAsia="Times New Roman" w:hint="default"/>
          <w:sz w:val="24"/>
          <w:szCs w:val="24"/>
        </w:rPr>
        <w:t>систем.</w:t>
      </w:r>
    </w:p>
    <w:p>
      <w:pPr>
        <w:pStyle w:val="ListParagraph"/>
        <w:numPr>
          <w:ilvl w:val="0"/>
          <w:numId w:val="9"/>
        </w:numPr>
        <w:tabs>
          <w:tab w:pos="303" w:val="left" w:leader="none"/>
        </w:tabs>
        <w:spacing w:line="237" w:lineRule="auto" w:before="4"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Код ПУ „Пчелица“ ова позиција исказана је у мањем износу који у поступку ревизије нисмо могли да утврдимо, услед неправилно обрачунате амортизације у ранијим годинама, као што је објашњено код групе 011000 – некретнине и</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опрема</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Ова позиција мање је исказана код ПУ „Пчелица“ за износ од 2.614 хиљада динара за издатке за капитално одржавање објеката и прикључак извршене у 2014. години, што је супротно члану 9. Уредбе о буџетском рачуноводству и Правилнику о стандардном класификационом оквиру и контном плану за буџетски систем. Истовремено, за исти износ мање је исказана позиција 311100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нефинансијска имовина у сталним</w:t>
      </w:r>
      <w:r>
        <w:rPr>
          <w:rFonts w:ascii="Times New Roman" w:hAnsi="Times New Roman" w:cs="Times New Roman" w:eastAsia="Times New Roman" w:hint="default"/>
          <w:spacing w:val="-28"/>
          <w:sz w:val="24"/>
          <w:szCs w:val="24"/>
        </w:rPr>
        <w:t> </w:t>
      </w:r>
      <w:r>
        <w:rPr>
          <w:rFonts w:ascii="Times New Roman" w:hAnsi="Times New Roman" w:cs="Times New Roman" w:eastAsia="Times New Roman" w:hint="default"/>
          <w:sz w:val="24"/>
          <w:szCs w:val="24"/>
        </w:rPr>
        <w:t>средствима</w:t>
      </w:r>
    </w:p>
    <w:p>
      <w:pPr>
        <w:pStyle w:val="ListParagraph"/>
        <w:numPr>
          <w:ilvl w:val="0"/>
          <w:numId w:val="9"/>
        </w:numPr>
        <w:tabs>
          <w:tab w:pos="303" w:val="left" w:leader="none"/>
        </w:tabs>
        <w:spacing w:line="274" w:lineRule="exact" w:before="24"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Нисмо се уверили у тачност исказане вредности ове позиције код Дечијег центра, за вредност зграде од 4.246 хиљада динара за коју нема доказа о</w:t>
      </w:r>
      <w:r>
        <w:rPr>
          <w:rFonts w:ascii="Times New Roman" w:hAnsi="Times New Roman"/>
          <w:spacing w:val="-23"/>
          <w:sz w:val="24"/>
        </w:rPr>
        <w:t> </w:t>
      </w:r>
      <w:r>
        <w:rPr>
          <w:rFonts w:ascii="Times New Roman" w:hAnsi="Times New Roman"/>
          <w:sz w:val="24"/>
        </w:rPr>
        <w:t>власништву.</w:t>
      </w:r>
    </w:p>
    <w:p>
      <w:pPr>
        <w:pStyle w:val="ListParagraph"/>
        <w:numPr>
          <w:ilvl w:val="0"/>
          <w:numId w:val="9"/>
        </w:numPr>
        <w:tabs>
          <w:tab w:pos="303"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Код Регионалног центра мање је исказана нефинансијска имовина у сталним  средствима у износу од 1.091 хиљаде динара због неправилног евидентирања, што је супротно члану 9. Уредбе о буџетском рачуноводству и Правилнику о стандардном касификационом оквиру и контном плану за буџетски</w:t>
      </w:r>
      <w:r>
        <w:rPr>
          <w:rFonts w:ascii="Times New Roman" w:hAnsi="Times New Roman"/>
          <w:spacing w:val="-31"/>
          <w:sz w:val="24"/>
        </w:rPr>
        <w:t> </w:t>
      </w:r>
      <w:r>
        <w:rPr>
          <w:rFonts w:ascii="Times New Roman" w:hAnsi="Times New Roman"/>
          <w:sz w:val="24"/>
        </w:rPr>
        <w:t>систем.</w:t>
      </w:r>
    </w:p>
    <w:p>
      <w:pPr>
        <w:pStyle w:val="Heading2"/>
        <w:spacing w:line="240" w:lineRule="auto"/>
        <w:ind w:right="172"/>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i/>
        </w:rPr>
        <w:t>.</w:t>
      </w:r>
      <w:r>
        <w:rPr>
          <w:rFonts w:ascii="Times New Roman" w:hAnsi="Times New Roman"/>
          <w:b w:val="0"/>
          <w:i w:val="0"/>
        </w:rPr>
      </w:r>
    </w:p>
    <w:p>
      <w:pPr>
        <w:pStyle w:val="BodyText"/>
        <w:spacing w:line="240" w:lineRule="auto"/>
        <w:ind w:right="172"/>
        <w:jc w:val="both"/>
      </w:pPr>
      <w:r>
        <w:rPr>
          <w:rFonts w:ascii="Times New Roman" w:hAnsi="Times New Roman"/>
          <w:w w:val="99"/>
        </w:rPr>
      </w:r>
      <w:r>
        <w:rPr>
          <w:rFonts w:ascii="Times New Roman" w:hAnsi="Times New Roman"/>
          <w:u w:val="single" w:color="000000"/>
        </w:rPr>
        <w:t>-</w:t>
      </w:r>
      <w:r>
        <w:rPr>
          <w:u w:val="single" w:color="000000"/>
        </w:rPr>
        <w:t>Управе за културу </w:t>
      </w:r>
      <w:r>
        <w:rPr/>
        <w:t>у износу од 568.791 хиљаде динара за исказану нефинансијску </w:t>
      </w:r>
      <w:r>
        <w:rPr/>
        <w:t>имовину у сталним средствима код: Народне библиотеке у износу од 61.354 хиљаде динара, Позоришта лутака у износу од </w:t>
      </w:r>
      <w:r>
        <w:rPr>
          <w:rFonts w:ascii="Times New Roman" w:hAnsi="Times New Roman"/>
        </w:rPr>
        <w:t>7.916 </w:t>
      </w:r>
      <w:r>
        <w:rPr/>
        <w:t>хиљада динара, Народног позоришта у износу од </w:t>
      </w:r>
      <w:r>
        <w:rPr>
          <w:rFonts w:ascii="Times New Roman" w:hAnsi="Times New Roman"/>
        </w:rPr>
        <w:t>125.928 </w:t>
      </w:r>
      <w:r>
        <w:rPr/>
        <w:t>хиљада динара, Нишког симфонијског оркестра у износу од 6.662 хиљад</w:t>
      </w:r>
      <w:r>
        <w:rPr>
          <w:rFonts w:ascii="Times New Roman" w:hAnsi="Times New Roman"/>
        </w:rPr>
        <w:t>e  </w:t>
      </w:r>
      <w:r>
        <w:rPr/>
        <w:t>динара</w:t>
      </w:r>
      <w:r>
        <w:rPr>
          <w:rFonts w:ascii="Times New Roman" w:hAnsi="Times New Roman"/>
        </w:rPr>
        <w:t>,  </w:t>
      </w:r>
      <w:r>
        <w:rPr/>
        <w:t>Историјског  архива  у  износу  од  37.734   хиљад</w:t>
      </w:r>
      <w:r>
        <w:rPr>
          <w:rFonts w:ascii="Times New Roman" w:hAnsi="Times New Roman"/>
        </w:rPr>
        <w:t>e  </w:t>
      </w:r>
      <w:r>
        <w:rPr/>
        <w:t>динара</w:t>
      </w:r>
      <w:r>
        <w:rPr>
          <w:rFonts w:ascii="Times New Roman" w:hAnsi="Times New Roman"/>
        </w:rPr>
        <w:t>,      </w:t>
      </w:r>
      <w:r>
        <w:rPr>
          <w:rFonts w:ascii="Times New Roman" w:hAnsi="Times New Roman"/>
          <w:spacing w:val="31"/>
        </w:rPr>
        <w:t> </w:t>
      </w:r>
      <w:r>
        <w:rPr/>
        <w:t>Галерије</w:t>
      </w:r>
    </w:p>
    <w:p>
      <w:pPr>
        <w:spacing w:after="0" w:line="240" w:lineRule="auto"/>
        <w:jc w:val="both"/>
        <w:sectPr>
          <w:headerReference w:type="default" r:id="rId102"/>
          <w:pgSz w:w="12240" w:h="15840"/>
          <w:pgMar w:header="740" w:footer="1504" w:top="120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BodyText"/>
        <w:spacing w:line="240" w:lineRule="auto" w:before="6"/>
        <w:ind w:right="171"/>
        <w:jc w:val="both"/>
        <w:rPr>
          <w:rFonts w:ascii="Times New Roman" w:hAnsi="Times New Roman" w:cs="Times New Roman" w:eastAsia="Times New Roman" w:hint="default"/>
        </w:rPr>
      </w:pPr>
      <w:r>
        <w:rPr/>
        <w:t>савремене ликовне уметности у износу од 29.218 хиљада динара</w:t>
      </w:r>
      <w:r>
        <w:rPr>
          <w:rFonts w:ascii="Times New Roman" w:hAnsi="Times New Roman"/>
        </w:rPr>
        <w:t>, </w:t>
      </w:r>
      <w:r>
        <w:rPr/>
        <w:t>Народног музеја у износу од 227.916 хиљада динара</w:t>
      </w:r>
      <w:r>
        <w:rPr>
          <w:rFonts w:ascii="Times New Roman" w:hAnsi="Times New Roman"/>
        </w:rPr>
        <w:t>, </w:t>
      </w:r>
      <w:r>
        <w:rPr/>
        <w:t>Нишког културног центра у износу од 67.637 хиљада динара и Завода за заштиту споменика културе у износу од 4.426 хиљада</w:t>
      </w:r>
      <w:r>
        <w:rPr>
          <w:spacing w:val="-21"/>
        </w:rPr>
        <w:t> </w:t>
      </w:r>
      <w:r>
        <w:rPr/>
        <w:t>динара</w:t>
      </w:r>
      <w:r>
        <w:rPr>
          <w:rFonts w:ascii="Times New Roman" w:hAnsi="Times New Roman"/>
        </w:rPr>
        <w:t>.</w:t>
      </w:r>
    </w:p>
    <w:p>
      <w:pPr>
        <w:pStyle w:val="Heading1"/>
        <w:spacing w:line="275" w:lineRule="exact"/>
        <w:ind w:right="141"/>
        <w:jc w:val="left"/>
        <w:rPr>
          <w:b w:val="0"/>
          <w:bCs w:val="0"/>
        </w:rPr>
      </w:pPr>
      <w:r>
        <w:rPr/>
        <w:t>На основу ревизије узорковане документације утврђено</w:t>
      </w:r>
      <w:r>
        <w:rPr>
          <w:spacing w:val="-15"/>
        </w:rPr>
        <w:t> </w:t>
      </w:r>
      <w:r>
        <w:rPr/>
        <w:t>је:</w:t>
      </w:r>
      <w:r>
        <w:rPr>
          <w:b w:val="0"/>
        </w:rPr>
      </w:r>
    </w:p>
    <w:p>
      <w:pPr>
        <w:pStyle w:val="ListParagraph"/>
        <w:numPr>
          <w:ilvl w:val="0"/>
          <w:numId w:val="9"/>
        </w:numPr>
        <w:tabs>
          <w:tab w:pos="303"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Ова билансна позиција више је исказана код Народне библиотеке за 166 хиљада динара због  неправилног књижења нематеријалне имовине у ранијим</w:t>
      </w:r>
      <w:r>
        <w:rPr>
          <w:rFonts w:ascii="Times New Roman" w:hAnsi="Times New Roman"/>
          <w:spacing w:val="-19"/>
          <w:sz w:val="24"/>
        </w:rPr>
        <w:t> </w:t>
      </w:r>
      <w:r>
        <w:rPr>
          <w:rFonts w:ascii="Times New Roman" w:hAnsi="Times New Roman"/>
          <w:sz w:val="24"/>
        </w:rPr>
        <w:t>годинама</w:t>
      </w:r>
      <w:r>
        <w:rPr>
          <w:rFonts w:ascii="Times New Roman" w:hAnsi="Times New Roman"/>
          <w:sz w:val="24"/>
        </w:rPr>
        <w:t>.</w:t>
      </w:r>
    </w:p>
    <w:p>
      <w:pPr>
        <w:pStyle w:val="ListParagraph"/>
        <w:numPr>
          <w:ilvl w:val="0"/>
          <w:numId w:val="9"/>
        </w:numPr>
        <w:tabs>
          <w:tab w:pos="303" w:val="left" w:leader="none"/>
        </w:tabs>
        <w:spacing w:line="274" w:lineRule="exact" w:before="24"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Ова позиција мање је исказана за износ од 1.278 хиљада динара код Народног позоришта за неевидентиране радове на</w:t>
      </w:r>
      <w:r>
        <w:rPr>
          <w:rFonts w:ascii="Times New Roman" w:hAnsi="Times New Roman"/>
          <w:spacing w:val="-20"/>
          <w:sz w:val="24"/>
        </w:rPr>
        <w:t> </w:t>
      </w:r>
      <w:r>
        <w:rPr>
          <w:rFonts w:ascii="Times New Roman" w:hAnsi="Times New Roman"/>
          <w:sz w:val="24"/>
        </w:rPr>
        <w:t>крову.</w:t>
      </w:r>
    </w:p>
    <w:p>
      <w:pPr>
        <w:pStyle w:val="ListParagraph"/>
        <w:numPr>
          <w:ilvl w:val="0"/>
          <w:numId w:val="9"/>
        </w:numPr>
        <w:tabs>
          <w:tab w:pos="303" w:val="left" w:leader="none"/>
        </w:tabs>
        <w:spacing w:line="274" w:lineRule="exact" w:before="21" w:after="0"/>
        <w:ind w:left="160" w:right="185" w:firstLine="0"/>
        <w:jc w:val="both"/>
        <w:rPr>
          <w:rFonts w:ascii="Times New Roman" w:hAnsi="Times New Roman" w:cs="Times New Roman" w:eastAsia="Times New Roman" w:hint="default"/>
          <w:sz w:val="24"/>
          <w:szCs w:val="24"/>
        </w:rPr>
      </w:pPr>
      <w:r>
        <w:rPr>
          <w:rFonts w:ascii="Times New Roman" w:hAnsi="Times New Roman"/>
          <w:sz w:val="24"/>
        </w:rPr>
        <w:t>Ова билансна позиција исказана је у већем износу код Позоришта лутака за износ од 6.879 хиљада</w:t>
      </w:r>
      <w:r>
        <w:rPr>
          <w:rFonts w:ascii="Times New Roman" w:hAnsi="Times New Roman"/>
          <w:spacing w:val="-3"/>
          <w:sz w:val="24"/>
        </w:rPr>
        <w:t> </w:t>
      </w:r>
      <w:r>
        <w:rPr>
          <w:rFonts w:ascii="Times New Roman" w:hAnsi="Times New Roman"/>
          <w:sz w:val="24"/>
        </w:rPr>
        <w:t>динара.</w:t>
      </w:r>
    </w:p>
    <w:p>
      <w:pPr>
        <w:pStyle w:val="ListParagraph"/>
        <w:numPr>
          <w:ilvl w:val="0"/>
          <w:numId w:val="9"/>
        </w:numPr>
        <w:tabs>
          <w:tab w:pos="303" w:val="left" w:leader="none"/>
        </w:tabs>
        <w:spacing w:line="274" w:lineRule="exact" w:before="21" w:after="0"/>
        <w:ind w:left="160" w:right="185" w:firstLine="0"/>
        <w:jc w:val="both"/>
        <w:rPr>
          <w:rFonts w:ascii="Times New Roman" w:hAnsi="Times New Roman" w:cs="Times New Roman" w:eastAsia="Times New Roman" w:hint="default"/>
          <w:sz w:val="24"/>
          <w:szCs w:val="24"/>
        </w:rPr>
      </w:pPr>
      <w:r>
        <w:rPr>
          <w:rFonts w:ascii="Times New Roman" w:hAnsi="Times New Roman"/>
          <w:sz w:val="24"/>
        </w:rPr>
        <w:t>Ова билансна позиција исказана је у већем износу за 122.168 хиљада динара код Народног позоришта, за вредност зграде и</w:t>
      </w:r>
      <w:r>
        <w:rPr>
          <w:rFonts w:ascii="Times New Roman" w:hAnsi="Times New Roman"/>
          <w:spacing w:val="-14"/>
          <w:sz w:val="24"/>
        </w:rPr>
        <w:t> </w:t>
      </w:r>
      <w:r>
        <w:rPr>
          <w:rFonts w:ascii="Times New Roman" w:hAnsi="Times New Roman"/>
          <w:sz w:val="24"/>
        </w:rPr>
        <w:t>земљишта.</w:t>
      </w:r>
    </w:p>
    <w:p>
      <w:pPr>
        <w:pStyle w:val="ListParagraph"/>
        <w:numPr>
          <w:ilvl w:val="0"/>
          <w:numId w:val="9"/>
        </w:numPr>
        <w:tabs>
          <w:tab w:pos="303" w:val="left" w:leader="none"/>
        </w:tabs>
        <w:spacing w:line="274" w:lineRule="exact" w:before="21"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Ова билансна позиција исказана је у већем износу за 264 хиљаде динара код Нишког симфонијског оркестра, за вредност</w:t>
      </w:r>
      <w:r>
        <w:rPr>
          <w:rFonts w:ascii="Times New Roman" w:hAnsi="Times New Roman"/>
          <w:spacing w:val="-10"/>
          <w:sz w:val="24"/>
        </w:rPr>
        <w:t> </w:t>
      </w:r>
      <w:r>
        <w:rPr>
          <w:rFonts w:ascii="Times New Roman" w:hAnsi="Times New Roman"/>
          <w:sz w:val="24"/>
        </w:rPr>
        <w:t>зграде.</w:t>
      </w:r>
    </w:p>
    <w:p>
      <w:pPr>
        <w:pStyle w:val="ListParagraph"/>
        <w:numPr>
          <w:ilvl w:val="0"/>
          <w:numId w:val="9"/>
        </w:numPr>
        <w:tabs>
          <w:tab w:pos="303" w:val="left" w:leader="none"/>
        </w:tabs>
        <w:spacing w:line="237" w:lineRule="auto" w:before="1"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Ова билансна позиција исказана је у већем износу за 35.940 хиљада динара код Историјског архива и то у износу од 35.397 хиљада динара за зграду и грађевинске објекте и у износу од 543 хиљаде за</w:t>
      </w:r>
      <w:r>
        <w:rPr>
          <w:rFonts w:ascii="Times New Roman" w:hAnsi="Times New Roman"/>
          <w:spacing w:val="-15"/>
          <w:sz w:val="24"/>
        </w:rPr>
        <w:t> </w:t>
      </w:r>
      <w:r>
        <w:rPr>
          <w:rFonts w:ascii="Times New Roman" w:hAnsi="Times New Roman"/>
          <w:sz w:val="24"/>
        </w:rPr>
        <w:t>земљиште.</w:t>
      </w:r>
    </w:p>
    <w:p>
      <w:pPr>
        <w:pStyle w:val="ListParagraph"/>
        <w:numPr>
          <w:ilvl w:val="0"/>
          <w:numId w:val="9"/>
        </w:numPr>
        <w:tabs>
          <w:tab w:pos="303" w:val="left" w:leader="none"/>
        </w:tabs>
        <w:spacing w:line="240" w:lineRule="auto" w:before="2"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Ова билансна позиција код Галерије савремене ликовне уметности исказана је више за износ који у поступку ревизије нисмо могли да утврдимо, јер галерија није вршила обрачун амортизације, што је супротно Уредби о буџетском рачуноводству и  Правилнику о номенклатури нематеријалних улагања и основних средстава са стопама амортизације</w:t>
      </w:r>
      <w:r>
        <w:rPr>
          <w:rFonts w:ascii="Times New Roman" w:hAnsi="Times New Roman"/>
          <w:sz w:val="24"/>
        </w:rPr>
        <w:t>.</w:t>
      </w:r>
    </w:p>
    <w:p>
      <w:pPr>
        <w:pStyle w:val="ListParagraph"/>
        <w:numPr>
          <w:ilvl w:val="0"/>
          <w:numId w:val="9"/>
        </w:numPr>
        <w:tabs>
          <w:tab w:pos="303" w:val="left" w:leader="none"/>
        </w:tabs>
        <w:spacing w:line="274" w:lineRule="exact" w:before="24" w:after="0"/>
        <w:ind w:left="160" w:right="188" w:firstLine="0"/>
        <w:jc w:val="both"/>
        <w:rPr>
          <w:rFonts w:ascii="Times New Roman" w:hAnsi="Times New Roman" w:cs="Times New Roman" w:eastAsia="Times New Roman" w:hint="default"/>
          <w:sz w:val="24"/>
          <w:szCs w:val="24"/>
        </w:rPr>
      </w:pPr>
      <w:r>
        <w:rPr>
          <w:rFonts w:ascii="Times New Roman" w:hAnsi="Times New Roman"/>
          <w:sz w:val="24"/>
        </w:rPr>
        <w:t>Ова позиција код Народног музеја више је исказана за износ од 21 хиљаде динара услед неправилног</w:t>
      </w:r>
      <w:r>
        <w:rPr>
          <w:rFonts w:ascii="Times New Roman" w:hAnsi="Times New Roman"/>
          <w:spacing w:val="-12"/>
          <w:sz w:val="24"/>
        </w:rPr>
        <w:t> </w:t>
      </w:r>
      <w:r>
        <w:rPr>
          <w:rFonts w:ascii="Times New Roman" w:hAnsi="Times New Roman"/>
          <w:sz w:val="24"/>
        </w:rPr>
        <w:t>евидентирања.</w:t>
      </w:r>
    </w:p>
    <w:p>
      <w:pPr>
        <w:pStyle w:val="ListParagraph"/>
        <w:numPr>
          <w:ilvl w:val="0"/>
          <w:numId w:val="9"/>
        </w:numPr>
        <w:tabs>
          <w:tab w:pos="303" w:val="left" w:leader="none"/>
        </w:tabs>
        <w:spacing w:line="240" w:lineRule="auto" w:before="0" w:after="0"/>
        <w:ind w:left="160" w:right="171" w:firstLine="0"/>
        <w:jc w:val="both"/>
        <w:rPr>
          <w:rFonts w:ascii="Times New Roman" w:hAnsi="Times New Roman" w:cs="Times New Roman" w:eastAsia="Times New Roman" w:hint="default"/>
          <w:sz w:val="24"/>
          <w:szCs w:val="24"/>
        </w:rPr>
      </w:pPr>
      <w:r>
        <w:rPr>
          <w:rFonts w:ascii="Times New Roman" w:hAnsi="Times New Roman"/>
          <w:sz w:val="24"/>
        </w:rPr>
        <w:t>Код Нишког културног центра више је исказана вредност нефинансијске имовине у сталним средствима у износу од 63.576 хиљаде динара и то једна хиљада динара по основу неусаглашене нефинансијске имовине у сталним средствима у односу активе и пасиве, 63.483 хиљаде динара по основу више исказане нефинансијксе имовине у припреми и 92 хиљаде динара по основу више исказаних аванса за нефинанијску имовину</w:t>
      </w:r>
      <w:r>
        <w:rPr>
          <w:rFonts w:ascii="Times New Roman" w:hAnsi="Times New Roman"/>
          <w:sz w:val="24"/>
        </w:rPr>
        <w:t>.</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Код Завода за заштиту споменика ова позиција </w:t>
      </w:r>
      <w:r>
        <w:rPr>
          <w:rFonts w:ascii="Times New Roman" w:hAnsi="Times New Roman"/>
          <w:spacing w:val="2"/>
          <w:sz w:val="24"/>
        </w:rPr>
        <w:t>је </w:t>
      </w:r>
      <w:r>
        <w:rPr>
          <w:rFonts w:ascii="Times New Roman" w:hAnsi="Times New Roman"/>
          <w:sz w:val="24"/>
        </w:rPr>
        <w:t>мање исказана у износу од 80 хиљада </w:t>
      </w:r>
      <w:r>
        <w:rPr>
          <w:rFonts w:ascii="Times New Roman" w:hAnsi="Times New Roman"/>
          <w:sz w:val="24"/>
        </w:rPr>
        <w:t>динара, а више је исказана вредност нефинансијске имовине у залихама у истом износу, што је супротно члану 9. Уредбе о буџетском рачуноводству и Правилнику о стандардном класификационом оквиру и контом плану за буџетски</w:t>
      </w:r>
      <w:r>
        <w:rPr>
          <w:rFonts w:ascii="Times New Roman" w:hAnsi="Times New Roman"/>
          <w:spacing w:val="-24"/>
          <w:sz w:val="24"/>
        </w:rPr>
        <w:t> </w:t>
      </w:r>
      <w:r>
        <w:rPr>
          <w:rFonts w:ascii="Times New Roman" w:hAnsi="Times New Roman"/>
          <w:sz w:val="24"/>
        </w:rPr>
        <w:t>систем.</w:t>
      </w:r>
    </w:p>
    <w:p>
      <w:pPr>
        <w:pStyle w:val="ListParagraph"/>
        <w:numPr>
          <w:ilvl w:val="0"/>
          <w:numId w:val="9"/>
        </w:numPr>
        <w:tabs>
          <w:tab w:pos="303" w:val="left" w:leader="none"/>
        </w:tabs>
        <w:spacing w:line="237" w:lineRule="auto" w:before="4"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Код Завода за заштиту споменика ова позиција мање је исказана за износ од 66.594 хиљаде динара за радове на изградњи заштитне конструкције над Вилом  на  археолошком налазишту</w:t>
      </w:r>
      <w:r>
        <w:rPr>
          <w:rFonts w:ascii="Times New Roman" w:hAnsi="Times New Roman"/>
          <w:spacing w:val="-7"/>
          <w:sz w:val="24"/>
        </w:rPr>
        <w:t> </w:t>
      </w:r>
      <w:r>
        <w:rPr>
          <w:rFonts w:ascii="Times New Roman" w:hAnsi="Times New Roman"/>
          <w:sz w:val="24"/>
        </w:rPr>
        <w:t>Медијана</w:t>
      </w:r>
      <w:r>
        <w:rPr>
          <w:rFonts w:ascii="Times New Roman" w:hAnsi="Times New Roman"/>
          <w:sz w:val="24"/>
        </w:rPr>
        <w:t>.</w:t>
      </w:r>
    </w:p>
    <w:p>
      <w:pPr>
        <w:pStyle w:val="Heading2"/>
        <w:spacing w:line="240" w:lineRule="auto"/>
        <w:ind w:right="172"/>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i/>
        </w:rPr>
        <w:t>.</w:t>
      </w:r>
      <w:r>
        <w:rPr>
          <w:rFonts w:ascii="Times New Roman" w:hAnsi="Times New Roman"/>
          <w:b w:val="0"/>
          <w:i w:val="0"/>
        </w:rPr>
      </w:r>
    </w:p>
    <w:p>
      <w:pPr>
        <w:pStyle w:val="ListParagraph"/>
        <w:numPr>
          <w:ilvl w:val="0"/>
          <w:numId w:val="106"/>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омладину и спорт </w:t>
      </w:r>
      <w:r>
        <w:rPr>
          <w:rFonts w:ascii="Times New Roman" w:hAnsi="Times New Roman"/>
          <w:sz w:val="24"/>
        </w:rPr>
        <w:t>у износу од 294.048 хиљада динара за исказану </w:t>
      </w:r>
      <w:r>
        <w:rPr>
          <w:rFonts w:ascii="Times New Roman" w:hAnsi="Times New Roman"/>
          <w:sz w:val="24"/>
        </w:rPr>
        <w:t>нефинансијску имовину у сталним средствима код СЦ</w:t>
      </w:r>
      <w:r>
        <w:rPr>
          <w:rFonts w:ascii="Times New Roman" w:hAnsi="Times New Roman"/>
          <w:spacing w:val="-20"/>
          <w:sz w:val="24"/>
        </w:rPr>
        <w:t> </w:t>
      </w:r>
      <w:r>
        <w:rPr>
          <w:rFonts w:ascii="Times New Roman" w:hAnsi="Times New Roman"/>
          <w:sz w:val="24"/>
        </w:rPr>
        <w:t>Чаир.</w:t>
      </w:r>
    </w:p>
    <w:p>
      <w:pPr>
        <w:spacing w:before="0"/>
        <w:ind w:left="160" w:right="176"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је код СЦ Чаир мање исказана вредност нефинансијске имовине у сталним средствима у укупном износу од  1.155 хиљдаа динара и то за главни пројекат за санацију објекта затворених базена  </w:t>
      </w:r>
      <w:r>
        <w:rPr>
          <w:rFonts w:ascii="Times New Roman" w:hAnsi="Times New Roman"/>
          <w:spacing w:val="57"/>
          <w:sz w:val="24"/>
        </w:rPr>
        <w:t> </w:t>
      </w:r>
      <w:r>
        <w:rPr>
          <w:rFonts w:ascii="Times New Roman" w:hAnsi="Times New Roman"/>
          <w:sz w:val="24"/>
        </w:rPr>
        <w:t>у</w:t>
      </w:r>
    </w:p>
    <w:p>
      <w:pPr>
        <w:spacing w:after="0"/>
        <w:jc w:val="both"/>
        <w:rPr>
          <w:rFonts w:ascii="Times New Roman" w:hAnsi="Times New Roman" w:cs="Times New Roman" w:eastAsia="Times New Roman" w:hint="default"/>
          <w:sz w:val="24"/>
          <w:szCs w:val="24"/>
        </w:rPr>
        <w:sectPr>
          <w:pgSz w:w="12240" w:h="15840"/>
          <w:pgMar w:header="740" w:footer="1504" w:top="120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BodyText"/>
        <w:spacing w:line="240" w:lineRule="auto" w:before="6"/>
        <w:ind w:right="178"/>
        <w:jc w:val="both"/>
      </w:pPr>
      <w:r>
        <w:rPr/>
        <w:t>износу од 1.007 хиљада динара и за опрему набављену у 2014. години у износу од 148 хиљада</w:t>
      </w:r>
      <w:r>
        <w:rPr>
          <w:spacing w:val="-3"/>
        </w:rPr>
        <w:t> </w:t>
      </w:r>
      <w:r>
        <w:rPr/>
        <w:t>динара.</w:t>
      </w:r>
    </w:p>
    <w:p>
      <w:pPr>
        <w:pStyle w:val="Heading2"/>
        <w:spacing w:line="240" w:lineRule="auto"/>
        <w:ind w:right="172"/>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BodyText"/>
        <w:spacing w:line="240" w:lineRule="auto"/>
        <w:ind w:right="172"/>
        <w:jc w:val="both"/>
        <w:rPr>
          <w:rFonts w:ascii="Times New Roman" w:hAnsi="Times New Roman" w:cs="Times New Roman" w:eastAsia="Times New Roman" w:hint="default"/>
        </w:rPr>
      </w:pPr>
      <w:r>
        <w:rPr>
          <w:rFonts w:ascii="Times New Roman" w:hAnsi="Times New Roman"/>
          <w:w w:val="99"/>
        </w:rPr>
      </w:r>
      <w:r>
        <w:rPr>
          <w:rFonts w:ascii="Times New Roman" w:hAnsi="Times New Roman"/>
          <w:u w:val="single" w:color="000000"/>
        </w:rPr>
        <w:t>-</w:t>
      </w:r>
      <w:r>
        <w:rPr>
          <w:u w:val="single" w:color="000000"/>
        </w:rPr>
        <w:t>Управе за комуналне делатности, енергетику и саобраћај </w:t>
      </w:r>
      <w:r>
        <w:rPr/>
        <w:t>у износу од 695.732 хиљаде </w:t>
      </w:r>
      <w:r>
        <w:rPr/>
        <w:t>динара за исказану нефинансијску имовину у сталним средствима код: Управе у износу од 10.438 хиљада динара и ЈП Дирекција у износу од 685.294 хиљад</w:t>
      </w:r>
      <w:r>
        <w:rPr>
          <w:rFonts w:ascii="Times New Roman" w:hAnsi="Times New Roman"/>
        </w:rPr>
        <w:t>e</w:t>
      </w:r>
      <w:r>
        <w:rPr>
          <w:rFonts w:ascii="Times New Roman" w:hAnsi="Times New Roman"/>
          <w:spacing w:val="-14"/>
        </w:rPr>
        <w:t> </w:t>
      </w:r>
      <w:r>
        <w:rPr/>
        <w:t>динара</w:t>
      </w:r>
      <w:r>
        <w:rPr>
          <w:rFonts w:ascii="Times New Roman" w:hAnsi="Times New Roman"/>
        </w:rPr>
        <w:t>.</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82" w:firstLine="0"/>
        <w:jc w:val="both"/>
        <w:rPr>
          <w:rFonts w:ascii="Times New Roman" w:hAnsi="Times New Roman" w:cs="Times New Roman" w:eastAsia="Times New Roman" w:hint="default"/>
          <w:sz w:val="24"/>
          <w:szCs w:val="24"/>
        </w:rPr>
      </w:pPr>
      <w:r>
        <w:rPr>
          <w:rFonts w:ascii="Times New Roman" w:hAnsi="Times New Roman"/>
          <w:sz w:val="24"/>
        </w:rPr>
        <w:t>Код Управе за комуналне делатности, енергетику и саобраћај ова позиција више је исказана за износ од укупно </w:t>
      </w:r>
      <w:r>
        <w:rPr>
          <w:rFonts w:ascii="Times New Roman" w:hAnsi="Times New Roman"/>
          <w:sz w:val="24"/>
        </w:rPr>
        <w:t>2.048 </w:t>
      </w:r>
      <w:r>
        <w:rPr>
          <w:rFonts w:ascii="Times New Roman" w:hAnsi="Times New Roman"/>
          <w:sz w:val="24"/>
        </w:rPr>
        <w:t>хиљада динара на име неискњиженог</w:t>
      </w:r>
      <w:r>
        <w:rPr>
          <w:rFonts w:ascii="Times New Roman" w:hAnsi="Times New Roman"/>
          <w:spacing w:val="-22"/>
          <w:sz w:val="24"/>
        </w:rPr>
        <w:t> </w:t>
      </w:r>
      <w:r>
        <w:rPr>
          <w:rFonts w:ascii="Times New Roman" w:hAnsi="Times New Roman"/>
          <w:sz w:val="24"/>
        </w:rPr>
        <w:t>возила.</w:t>
      </w:r>
    </w:p>
    <w:p>
      <w:pPr>
        <w:pStyle w:val="ListParagraph"/>
        <w:numPr>
          <w:ilvl w:val="0"/>
          <w:numId w:val="9"/>
        </w:numPr>
        <w:tabs>
          <w:tab w:pos="303" w:val="left" w:leader="none"/>
        </w:tabs>
        <w:spacing w:line="240"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Код ЈП Дирекција ова билансна позиција исказана је у већем износу од 115.504 хиљаде динара јер ЈП Дирекција у својим пословним књигама води зграде и грађевинске објекте који нису у њеном власништу и за које не постоји уредна рачуноводствена  документација и неправилно евидентираних расхода за објекте који нису започети јер се од истих одустало, што је супротно члану 9. Уредбе о буџетском рачуноводству и Правилнику о стандардном класификационом оквиру и контном плану за буџетски систем.</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Нефинансијска имовина у сталним средствима код ЈП Дирекција је више исказана у укупном износу од 29.467 хиљада динара за неправилно евидентиране издатке на класи 500000,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spacing w:val="-24"/>
          <w:sz w:val="24"/>
        </w:rPr>
        <w:t> </w:t>
      </w:r>
      <w:r>
        <w:rPr>
          <w:rFonts w:ascii="Times New Roman" w:hAnsi="Times New Roman"/>
          <w:sz w:val="24"/>
        </w:rPr>
        <w:t>систем.</w:t>
      </w:r>
    </w:p>
    <w:p>
      <w:pPr>
        <w:pStyle w:val="Heading2"/>
        <w:spacing w:line="240" w:lineRule="auto"/>
        <w:ind w:right="181"/>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ListParagraph"/>
        <w:numPr>
          <w:ilvl w:val="0"/>
          <w:numId w:val="106"/>
        </w:numPr>
        <w:tabs>
          <w:tab w:pos="303"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привреду, одрживи развој и заштиту животне средине </w:t>
      </w:r>
      <w:r>
        <w:rPr>
          <w:rFonts w:ascii="Times New Roman" w:hAnsi="Times New Roman"/>
          <w:sz w:val="24"/>
        </w:rPr>
        <w:t>у износу од 20.947 </w:t>
      </w:r>
      <w:r>
        <w:rPr>
          <w:rFonts w:ascii="Times New Roman" w:hAnsi="Times New Roman"/>
          <w:sz w:val="24"/>
        </w:rPr>
        <w:t>хиљада динара за исказану нефинансијску имовину у сталним средствима код: Управе у износу од 17.856 хиљада динара и Туристичке организације у износу од 3.091 хиљаде динара.</w:t>
      </w:r>
    </w:p>
    <w:p>
      <w:pPr>
        <w:spacing w:before="0"/>
        <w:ind w:left="160" w:right="173"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је нефинансијска имовина у сталним средствима (311100) мање исказана код Туристичке организације у износу од 856 хиљада динара за набављени аутомобил на</w:t>
      </w:r>
      <w:r>
        <w:rPr>
          <w:rFonts w:ascii="Times New Roman" w:hAnsi="Times New Roman"/>
          <w:spacing w:val="-18"/>
          <w:sz w:val="24"/>
        </w:rPr>
        <w:t> </w:t>
      </w:r>
      <w:r>
        <w:rPr>
          <w:rFonts w:ascii="Times New Roman" w:hAnsi="Times New Roman"/>
          <w:sz w:val="24"/>
        </w:rPr>
        <w:t>лизинг.</w:t>
      </w:r>
    </w:p>
    <w:p>
      <w:pPr>
        <w:pStyle w:val="Heading2"/>
        <w:spacing w:line="240" w:lineRule="auto"/>
        <w:ind w:right="172"/>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ListParagraph"/>
        <w:numPr>
          <w:ilvl w:val="0"/>
          <w:numId w:val="106"/>
        </w:numPr>
        <w:tabs>
          <w:tab w:pos="303"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пољопривреду и развој села </w:t>
      </w:r>
      <w:r>
        <w:rPr>
          <w:rFonts w:ascii="Times New Roman" w:hAnsi="Times New Roman"/>
          <w:sz w:val="24"/>
        </w:rPr>
        <w:t>у износу од 10.636 хиљада динара за исказану </w:t>
      </w:r>
      <w:r>
        <w:rPr>
          <w:rFonts w:ascii="Times New Roman" w:hAnsi="Times New Roman"/>
          <w:sz w:val="24"/>
        </w:rPr>
        <w:t>нефинансијску имовину у сталним средствима код: Управе за пољопривреду и развој  села у износу од 10.619 хиљада динара и Фонда за развој и самофинансирање у износу од 17 хиљада</w:t>
      </w:r>
      <w:r>
        <w:rPr>
          <w:rFonts w:ascii="Times New Roman" w:hAnsi="Times New Roman"/>
          <w:spacing w:val="-3"/>
          <w:sz w:val="24"/>
        </w:rPr>
        <w:t> </w:t>
      </w:r>
      <w:r>
        <w:rPr>
          <w:rFonts w:ascii="Times New Roman" w:hAnsi="Times New Roman"/>
          <w:sz w:val="24"/>
        </w:rPr>
        <w:t>динара.</w:t>
      </w:r>
    </w:p>
    <w:p>
      <w:pPr>
        <w:pStyle w:val="BodyText"/>
        <w:spacing w:line="240" w:lineRule="auto"/>
        <w:ind w:right="172" w:firstLine="566"/>
        <w:jc w:val="both"/>
      </w:pPr>
      <w:r>
        <w:rPr>
          <w:rFonts w:ascii="Times New Roman" w:hAnsi="Times New Roman" w:cs="Times New Roman" w:eastAsia="Times New Roman" w:hint="default"/>
          <w:b/>
          <w:bCs/>
        </w:rPr>
        <w:t>На основу ревизије узорковане документације утврђено је </w:t>
      </w:r>
      <w:r>
        <w:rPr/>
        <w:t>да је ова билансна позиција више исказана код Управе за пољопривреду за износ од </w:t>
      </w:r>
      <w:r>
        <w:rPr>
          <w:spacing w:val="-3"/>
        </w:rPr>
        <w:t>укупно </w:t>
      </w:r>
      <w:r>
        <w:rPr/>
        <w:t>8.160 хиљада </w:t>
      </w:r>
      <w:r>
        <w:rPr/>
        <w:t>динара и то за 8.072 хиљаде динара за садашњу вредност противградних ракета и за износ од 88 хиљада динара за садашњу вредност заштитне одеће и обуће, док је мање исказана вредност на позицији 311200 – нефинансијска имовина у залихама за износ који у поступку ревизије нисмо могли да</w:t>
      </w:r>
      <w:r>
        <w:rPr>
          <w:spacing w:val="-16"/>
        </w:rPr>
        <w:t> </w:t>
      </w:r>
      <w:r>
        <w:rPr/>
        <w:t>утврдимо.</w:t>
      </w:r>
    </w:p>
    <w:p>
      <w:pPr>
        <w:spacing w:after="0" w:line="240" w:lineRule="auto"/>
        <w:jc w:val="both"/>
        <w:sectPr>
          <w:pgSz w:w="12240" w:h="15840"/>
          <w:pgMar w:header="740" w:footer="1504" w:top="120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Heading2"/>
        <w:spacing w:line="240" w:lineRule="auto" w:before="11"/>
        <w:ind w:right="181"/>
        <w:jc w:val="both"/>
        <w:rPr>
          <w:b w:val="0"/>
          <w:bCs w:val="0"/>
          <w:i w:val="0"/>
        </w:rPr>
      </w:pPr>
      <w:r>
        <w:rPr>
          <w:i/>
        </w:rPr>
        <w:t>Препоручује се одговорним лицима да обезбеде правилну примену одредби Уредбе о буџетском рачуноводству, Правилника о стандардном класификационом оквиру и контном плану за буџетски систем и интерних</w:t>
      </w:r>
      <w:r>
        <w:rPr>
          <w:i/>
          <w:spacing w:val="-14"/>
        </w:rPr>
        <w:t> </w:t>
      </w:r>
      <w:r>
        <w:rPr>
          <w:i/>
        </w:rPr>
        <w:t>аката.</w:t>
      </w:r>
      <w:r>
        <w:rPr>
          <w:b w:val="0"/>
          <w:i w:val="0"/>
        </w:rPr>
      </w:r>
    </w:p>
    <w:p>
      <w:pPr>
        <w:pStyle w:val="ListParagraph"/>
        <w:numPr>
          <w:ilvl w:val="0"/>
          <w:numId w:val="106"/>
        </w:numPr>
        <w:tabs>
          <w:tab w:pos="303" w:val="left" w:leader="none"/>
        </w:tabs>
        <w:spacing w:line="271"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планирање и изградњу </w:t>
      </w:r>
      <w:r>
        <w:rPr>
          <w:rFonts w:ascii="Times New Roman" w:hAnsi="Times New Roman"/>
          <w:sz w:val="24"/>
        </w:rPr>
        <w:t>у износу од 307.512 хиљада</w:t>
      </w:r>
      <w:r>
        <w:rPr>
          <w:rFonts w:ascii="Times New Roman" w:hAnsi="Times New Roman"/>
          <w:spacing w:val="-15"/>
          <w:sz w:val="24"/>
        </w:rPr>
        <w:t> </w:t>
      </w:r>
      <w:r>
        <w:rPr>
          <w:rFonts w:ascii="Times New Roman" w:hAnsi="Times New Roman"/>
          <w:sz w:val="24"/>
        </w:rPr>
        <w:t>динара</w:t>
      </w:r>
      <w:r>
        <w:rPr>
          <w:rFonts w:ascii="Times New Roman" w:hAnsi="Times New Roman"/>
          <w:sz w:val="24"/>
        </w:rPr>
        <w:t>.</w:t>
      </w:r>
    </w:p>
    <w:p>
      <w:pPr>
        <w:pStyle w:val="BodyText"/>
        <w:spacing w:line="240" w:lineRule="auto"/>
        <w:ind w:right="173" w:firstLine="566"/>
        <w:jc w:val="both"/>
        <w:rPr>
          <w:rFonts w:ascii="Times New Roman" w:hAnsi="Times New Roman" w:cs="Times New Roman" w:eastAsia="Times New Roman" w:hint="default"/>
        </w:rPr>
      </w:pPr>
      <w:r>
        <w:rPr>
          <w:rFonts w:ascii="Times New Roman" w:hAnsi="Times New Roman" w:cs="Times New Roman" w:eastAsia="Times New Roman" w:hint="default"/>
          <w:b/>
          <w:bCs/>
        </w:rPr>
        <w:t>На основу ревизије узорковане документације утврђено је </w:t>
      </w:r>
      <w:r>
        <w:rPr/>
        <w:t>да је ова билансна позиција исказана код ЈП ГСА у мањем износу за 14.902 хиљаде динара због  неправилног евидентирања ситуација на категорији </w:t>
      </w:r>
      <w:r>
        <w:rPr>
          <w:rFonts w:ascii="Times New Roman" w:hAnsi="Times New Roman" w:cs="Times New Roman" w:eastAsia="Times New Roman" w:hint="default"/>
        </w:rPr>
        <w:t>500000 </w:t>
      </w:r>
      <w:r>
        <w:rPr/>
        <w:t>– Издаци, који су евидентирани и плаћени у 2014. години, што је супротно члану 9. Уредбе о буџетском рачуноводству и Правилнику о стандардном класификационом оквиру и контном плану за буџетски</w:t>
      </w:r>
      <w:r>
        <w:rPr>
          <w:spacing w:val="-8"/>
        </w:rPr>
        <w:t> </w:t>
      </w:r>
      <w:r>
        <w:rPr/>
        <w:t>систем</w:t>
      </w:r>
      <w:r>
        <w:rPr>
          <w:rFonts w:ascii="Times New Roman" w:hAnsi="Times New Roman" w:cs="Times New Roman" w:eastAsia="Times New Roman" w:hint="default"/>
        </w:rPr>
        <w:t>.</w:t>
      </w:r>
    </w:p>
    <w:p>
      <w:pPr>
        <w:pStyle w:val="Heading2"/>
        <w:spacing w:line="240" w:lineRule="auto"/>
        <w:ind w:right="172"/>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i/>
        </w:rPr>
        <w:t>.</w:t>
      </w:r>
      <w:r>
        <w:rPr>
          <w:rFonts w:ascii="Times New Roman" w:hAnsi="Times New Roman"/>
          <w:b w:val="0"/>
          <w:i w:val="0"/>
        </w:rPr>
      </w:r>
    </w:p>
    <w:p>
      <w:pPr>
        <w:pStyle w:val="ListParagraph"/>
        <w:numPr>
          <w:ilvl w:val="0"/>
          <w:numId w:val="106"/>
        </w:numPr>
        <w:tabs>
          <w:tab w:pos="303" w:val="left" w:leader="none"/>
        </w:tabs>
        <w:spacing w:line="240" w:lineRule="auto" w:before="0" w:after="0"/>
        <w:ind w:left="160" w:right="179"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Службе за одржавање и информатичко</w:t>
      </w:r>
      <w:r>
        <w:rPr>
          <w:rFonts w:ascii="Times New Roman" w:hAnsi="Times New Roman"/>
          <w:sz w:val="24"/>
          <w:u w:val="single" w:color="000000"/>
        </w:rPr>
        <w:t>-</w:t>
      </w:r>
      <w:r>
        <w:rPr>
          <w:rFonts w:ascii="Times New Roman" w:hAnsi="Times New Roman"/>
          <w:sz w:val="24"/>
          <w:u w:val="single" w:color="000000"/>
        </w:rPr>
        <w:t>комуникационе технологије </w:t>
      </w:r>
      <w:r>
        <w:rPr>
          <w:rFonts w:ascii="Times New Roman" w:hAnsi="Times New Roman"/>
          <w:sz w:val="24"/>
        </w:rPr>
        <w:t>у износу од 65.387 </w:t>
      </w:r>
      <w:r>
        <w:rPr>
          <w:rFonts w:ascii="Times New Roman" w:hAnsi="Times New Roman"/>
          <w:sz w:val="24"/>
        </w:rPr>
        <w:t>хиљада</w:t>
      </w:r>
      <w:r>
        <w:rPr>
          <w:rFonts w:ascii="Times New Roman" w:hAnsi="Times New Roman"/>
          <w:spacing w:val="-3"/>
          <w:sz w:val="24"/>
        </w:rPr>
        <w:t> </w:t>
      </w:r>
      <w:r>
        <w:rPr>
          <w:rFonts w:ascii="Times New Roman" w:hAnsi="Times New Roman"/>
          <w:sz w:val="24"/>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2"/>
        </w:rPr>
        <w:t> </w:t>
      </w:r>
      <w:r>
        <w:rPr/>
        <w:t>је:</w:t>
      </w:r>
      <w:r>
        <w:rPr>
          <w:b w:val="0"/>
        </w:rPr>
      </w:r>
    </w:p>
    <w:p>
      <w:pPr>
        <w:pStyle w:val="ListParagraph"/>
        <w:numPr>
          <w:ilvl w:val="0"/>
          <w:numId w:val="9"/>
        </w:numPr>
        <w:tabs>
          <w:tab w:pos="303" w:val="left" w:leader="none"/>
        </w:tabs>
        <w:spacing w:line="237" w:lineRule="auto" w:before="1" w:after="0"/>
        <w:ind w:left="160" w:right="18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поступку ревизије нисмо се уверили у тачност и правилност исказане вредности нефинансијске имовине у сталним средствима, што је објашњено код синтетичког конта </w:t>
      </w:r>
      <w:r>
        <w:rPr>
          <w:rFonts w:ascii="Times New Roman" w:hAnsi="Times New Roman" w:cs="Times New Roman" w:eastAsia="Times New Roman" w:hint="default"/>
          <w:sz w:val="24"/>
          <w:szCs w:val="24"/>
        </w:rPr>
        <w:t>011200 </w:t>
      </w:r>
      <w:r>
        <w:rPr>
          <w:rFonts w:ascii="Times New Roman" w:hAnsi="Times New Roman" w:cs="Times New Roman" w:eastAsia="Times New Roman" w:hint="default"/>
          <w:sz w:val="24"/>
          <w:szCs w:val="24"/>
        </w:rPr>
        <w:t>–</w:t>
      </w:r>
      <w:r>
        <w:rPr>
          <w:rFonts w:ascii="Times New Roman" w:hAnsi="Times New Roman" w:cs="Times New Roman" w:eastAsia="Times New Roman" w:hint="default"/>
          <w:spacing w:val="-4"/>
          <w:sz w:val="24"/>
          <w:szCs w:val="24"/>
        </w:rPr>
        <w:t> </w:t>
      </w:r>
      <w:r>
        <w:rPr>
          <w:rFonts w:ascii="Times New Roman" w:hAnsi="Times New Roman" w:cs="Times New Roman" w:eastAsia="Times New Roman" w:hint="default"/>
          <w:sz w:val="24"/>
          <w:szCs w:val="24"/>
        </w:rPr>
        <w:t>опрема.</w:t>
      </w:r>
    </w:p>
    <w:p>
      <w:pPr>
        <w:pStyle w:val="ListParagraph"/>
        <w:numPr>
          <w:ilvl w:val="0"/>
          <w:numId w:val="9"/>
        </w:numPr>
        <w:tabs>
          <w:tab w:pos="303" w:val="left" w:leader="none"/>
        </w:tabs>
        <w:spacing w:line="240" w:lineRule="auto" w:before="2" w:after="0"/>
        <w:ind w:left="160" w:right="18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Нефинансијска имовина у сталним средствима мање је исказана код Службе за одржавање и информатичко комуникационе технологије за износ од 800 хиљада динара јер није евидентирана набавка опреме по пројекту „1700 година Миланског</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едикта“</w:t>
      </w:r>
      <w:r>
        <w:rPr>
          <w:rFonts w:ascii="Times New Roman" w:hAnsi="Times New Roman" w:cs="Times New Roman" w:eastAsia="Times New Roman" w:hint="default"/>
          <w:sz w:val="24"/>
          <w:szCs w:val="24"/>
        </w:rPr>
        <w:t>.</w:t>
      </w:r>
    </w:p>
    <w:p>
      <w:pPr>
        <w:pStyle w:val="Heading2"/>
        <w:spacing w:line="240" w:lineRule="auto"/>
        <w:ind w:right="177"/>
        <w:jc w:val="both"/>
        <w:rPr>
          <w:b w:val="0"/>
          <w:bCs w:val="0"/>
          <w:i w:val="0"/>
        </w:rPr>
      </w:pPr>
      <w:r>
        <w:rPr>
          <w:i/>
        </w:rPr>
        <w:t>Препоручује се одговорним лицима да тачно и правилно исказују вредност нефинансијске имовине у сталним</w:t>
      </w:r>
      <w:r>
        <w:rPr>
          <w:i/>
          <w:spacing w:val="-20"/>
        </w:rPr>
        <w:t> </w:t>
      </w:r>
      <w:r>
        <w:rPr>
          <w:i/>
        </w:rPr>
        <w:t>средствима.</w:t>
      </w:r>
      <w:r>
        <w:rPr>
          <w:b w:val="0"/>
          <w:i w:val="0"/>
        </w:rPr>
      </w:r>
    </w:p>
    <w:p>
      <w:pPr>
        <w:pStyle w:val="ListParagraph"/>
        <w:numPr>
          <w:ilvl w:val="0"/>
          <w:numId w:val="106"/>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 буџету града Ниша </w:t>
      </w:r>
      <w:r>
        <w:rPr>
          <w:rFonts w:ascii="Times New Roman" w:hAnsi="Times New Roman"/>
          <w:sz w:val="24"/>
        </w:rPr>
        <w:t>исказан је износ од 20.081.946 хиљада динара и усаглашен је са </w:t>
      </w:r>
      <w:r>
        <w:rPr>
          <w:rFonts w:ascii="Times New Roman" w:hAnsi="Times New Roman"/>
          <w:sz w:val="24"/>
        </w:rPr>
        <w:t>вредношћу нефинансијске имовине у сталним средствима исказаним у активи биланса стања.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Ова билансна позиција исказана је више за садашњу вредност станова датих у откуп у износу од најмање 118.802 хиљаде динара и за износ необрачунате амортизације неправилно исказаних чесми у ранијим годинама који у поступку ревизије нисмо могли да</w:t>
      </w:r>
      <w:r>
        <w:rPr>
          <w:rFonts w:ascii="Times New Roman" w:hAnsi="Times New Roman"/>
          <w:spacing w:val="-5"/>
          <w:sz w:val="24"/>
        </w:rPr>
        <w:t> </w:t>
      </w:r>
      <w:r>
        <w:rPr>
          <w:rFonts w:ascii="Times New Roman" w:hAnsi="Times New Roman"/>
          <w:sz w:val="24"/>
        </w:rPr>
        <w:t>утврдимо.</w:t>
      </w:r>
    </w:p>
    <w:p>
      <w:pPr>
        <w:pStyle w:val="ListParagraph"/>
        <w:numPr>
          <w:ilvl w:val="0"/>
          <w:numId w:val="9"/>
        </w:numPr>
        <w:tabs>
          <w:tab w:pos="303" w:val="left" w:leader="none"/>
        </w:tabs>
        <w:spacing w:line="274" w:lineRule="exact" w:before="24"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Ова биланса позиција мање је исказана за вредност неевидентираних станова датих у закуп чији износ у поступку ревизије нисмо могли да</w:t>
      </w:r>
      <w:r>
        <w:rPr>
          <w:rFonts w:ascii="Times New Roman" w:hAnsi="Times New Roman"/>
          <w:spacing w:val="-26"/>
          <w:sz w:val="24"/>
        </w:rPr>
        <w:t> </w:t>
      </w:r>
      <w:r>
        <w:rPr>
          <w:rFonts w:ascii="Times New Roman" w:hAnsi="Times New Roman"/>
          <w:sz w:val="24"/>
        </w:rPr>
        <w:t>утврдимо.</w:t>
      </w:r>
    </w:p>
    <w:p>
      <w:pPr>
        <w:pStyle w:val="ListParagraph"/>
        <w:numPr>
          <w:ilvl w:val="0"/>
          <w:numId w:val="9"/>
        </w:numPr>
        <w:tabs>
          <w:tab w:pos="303" w:val="left" w:leader="none"/>
        </w:tabs>
        <w:spacing w:line="274" w:lineRule="exact" w:before="21" w:after="0"/>
        <w:ind w:left="160" w:right="18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Ова позиција мање је исказана за износ од 2.631 хиљаде динара за земљиште које није евидентирано на групи 541000 – земљиште у 2014.</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години.</w:t>
      </w:r>
    </w:p>
    <w:p>
      <w:pPr>
        <w:pStyle w:val="ListParagraph"/>
        <w:numPr>
          <w:ilvl w:val="0"/>
          <w:numId w:val="9"/>
        </w:numPr>
        <w:tabs>
          <w:tab w:pos="303" w:val="left" w:leader="none"/>
        </w:tabs>
        <w:spacing w:line="240" w:lineRule="auto" w:before="0" w:after="0"/>
        <w:ind w:left="160" w:right="173" w:firstLine="0"/>
        <w:jc w:val="right"/>
        <w:rPr>
          <w:rFonts w:ascii="Times New Roman" w:hAnsi="Times New Roman" w:cs="Times New Roman" w:eastAsia="Times New Roman" w:hint="default"/>
          <w:sz w:val="24"/>
          <w:szCs w:val="24"/>
        </w:rPr>
      </w:pPr>
      <w:r>
        <w:rPr>
          <w:rFonts w:ascii="Times New Roman" w:hAnsi="Times New Roman"/>
          <w:sz w:val="24"/>
        </w:rPr>
        <w:t>Ова позиција више је исказана за износ од 10.019 хиљада динара,</w:t>
      </w:r>
      <w:r>
        <w:rPr>
          <w:rFonts w:ascii="Times New Roman" w:hAnsi="Times New Roman"/>
          <w:spacing w:val="46"/>
          <w:sz w:val="24"/>
        </w:rPr>
        <w:t> </w:t>
      </w:r>
      <w:r>
        <w:rPr>
          <w:rFonts w:ascii="Times New Roman" w:hAnsi="Times New Roman"/>
          <w:sz w:val="24"/>
        </w:rPr>
        <w:t>за</w:t>
      </w:r>
      <w:r>
        <w:rPr>
          <w:rFonts w:ascii="Times New Roman" w:hAnsi="Times New Roman"/>
          <w:spacing w:val="9"/>
          <w:sz w:val="24"/>
        </w:rPr>
        <w:t> </w:t>
      </w:r>
      <w:r>
        <w:rPr>
          <w:rFonts w:ascii="Times New Roman" w:hAnsi="Times New Roman"/>
          <w:sz w:val="24"/>
        </w:rPr>
        <w:t>неправилно</w:t>
      </w:r>
      <w:r>
        <w:rPr>
          <w:rFonts w:ascii="Times New Roman" w:hAnsi="Times New Roman"/>
          <w:sz w:val="24"/>
        </w:rPr>
        <w:t> </w:t>
      </w:r>
      <w:r>
        <w:rPr>
          <w:rFonts w:ascii="Times New Roman" w:hAnsi="Times New Roman"/>
          <w:spacing w:val="-1"/>
          <w:w w:val="100"/>
          <w:sz w:val="24"/>
        </w:rPr>
      </w:r>
      <w:r>
        <w:rPr>
          <w:rFonts w:ascii="Times New Roman" w:hAnsi="Times New Roman"/>
          <w:sz w:val="24"/>
        </w:rPr>
        <w:t>евидентирано увећање вредности земљишта у 2014. години за камате</w:t>
      </w:r>
      <w:r>
        <w:rPr>
          <w:rFonts w:ascii="Times New Roman" w:hAnsi="Times New Roman"/>
          <w:spacing w:val="57"/>
          <w:sz w:val="24"/>
        </w:rPr>
        <w:t> </w:t>
      </w:r>
      <w:r>
        <w:rPr>
          <w:rFonts w:ascii="Times New Roman" w:hAnsi="Times New Roman"/>
          <w:sz w:val="24"/>
        </w:rPr>
        <w:t>и</w:t>
      </w:r>
      <w:r>
        <w:rPr>
          <w:rFonts w:ascii="Times New Roman" w:hAnsi="Times New Roman"/>
          <w:spacing w:val="27"/>
          <w:sz w:val="24"/>
        </w:rPr>
        <w:t> </w:t>
      </w:r>
      <w:r>
        <w:rPr>
          <w:rFonts w:ascii="Times New Roman" w:hAnsi="Times New Roman"/>
          <w:sz w:val="24"/>
        </w:rPr>
        <w:t>трошкове</w:t>
      </w:r>
      <w:r>
        <w:rPr>
          <w:rFonts w:ascii="Times New Roman" w:hAnsi="Times New Roman"/>
          <w:sz w:val="24"/>
        </w:rPr>
        <w:t> </w:t>
      </w:r>
      <w:r>
        <w:rPr>
          <w:rFonts w:ascii="Times New Roman" w:hAnsi="Times New Roman"/>
          <w:w w:val="99"/>
          <w:sz w:val="24"/>
        </w:rPr>
      </w:r>
      <w:r>
        <w:rPr>
          <w:rFonts w:ascii="Times New Roman" w:hAnsi="Times New Roman"/>
          <w:sz w:val="24"/>
        </w:rPr>
        <w:t>извршног поступка, који су извршени преко Управе за имовину и</w:t>
      </w:r>
      <w:r>
        <w:rPr>
          <w:rFonts w:ascii="Times New Roman" w:hAnsi="Times New Roman"/>
          <w:spacing w:val="30"/>
          <w:sz w:val="24"/>
        </w:rPr>
        <w:t> </w:t>
      </w:r>
      <w:r>
        <w:rPr>
          <w:rFonts w:ascii="Times New Roman" w:hAnsi="Times New Roman"/>
          <w:sz w:val="24"/>
        </w:rPr>
        <w:t>инспекцијске</w:t>
      </w:r>
      <w:r>
        <w:rPr>
          <w:rFonts w:ascii="Times New Roman" w:hAnsi="Times New Roman"/>
          <w:spacing w:val="9"/>
          <w:sz w:val="24"/>
        </w:rPr>
        <w:t> </w:t>
      </w:r>
      <w:r>
        <w:rPr>
          <w:rFonts w:ascii="Times New Roman" w:hAnsi="Times New Roman"/>
          <w:sz w:val="24"/>
        </w:rPr>
        <w:t>послове.</w:t>
      </w:r>
      <w:r>
        <w:rPr>
          <w:rFonts w:ascii="Times New Roman" w:hAnsi="Times New Roman"/>
          <w:w w:val="99"/>
          <w:sz w:val="24"/>
        </w:rPr>
        <w:t> </w:t>
      </w:r>
      <w:r>
        <w:rPr>
          <w:rFonts w:ascii="Times New Roman" w:hAnsi="Times New Roman"/>
          <w:w w:val="99"/>
          <w:sz w:val="24"/>
        </w:rPr>
      </w:r>
      <w:r>
        <w:rPr>
          <w:rFonts w:ascii="Times New Roman" w:hAnsi="Times New Roman"/>
          <w:sz w:val="24"/>
        </w:rPr>
        <w:t>Ова</w:t>
      </w:r>
      <w:r>
        <w:rPr>
          <w:rFonts w:ascii="Times New Roman" w:hAnsi="Times New Roman"/>
          <w:spacing w:val="16"/>
          <w:sz w:val="24"/>
        </w:rPr>
        <w:t> </w:t>
      </w:r>
      <w:r>
        <w:rPr>
          <w:rFonts w:ascii="Times New Roman" w:hAnsi="Times New Roman"/>
          <w:sz w:val="24"/>
        </w:rPr>
        <w:t>позиција</w:t>
      </w:r>
      <w:r>
        <w:rPr>
          <w:rFonts w:ascii="Times New Roman" w:hAnsi="Times New Roman"/>
          <w:spacing w:val="16"/>
          <w:sz w:val="24"/>
        </w:rPr>
        <w:t> </w:t>
      </w:r>
      <w:r>
        <w:rPr>
          <w:rFonts w:ascii="Times New Roman" w:hAnsi="Times New Roman"/>
          <w:sz w:val="24"/>
        </w:rPr>
        <w:t>више</w:t>
      </w:r>
      <w:r>
        <w:rPr>
          <w:rFonts w:ascii="Times New Roman" w:hAnsi="Times New Roman"/>
          <w:spacing w:val="16"/>
          <w:sz w:val="24"/>
        </w:rPr>
        <w:t> </w:t>
      </w:r>
      <w:r>
        <w:rPr>
          <w:rFonts w:ascii="Times New Roman" w:hAnsi="Times New Roman"/>
          <w:sz w:val="24"/>
        </w:rPr>
        <w:t>је</w:t>
      </w:r>
      <w:r>
        <w:rPr>
          <w:rFonts w:ascii="Times New Roman" w:hAnsi="Times New Roman"/>
          <w:spacing w:val="16"/>
          <w:sz w:val="24"/>
        </w:rPr>
        <w:t> </w:t>
      </w:r>
      <w:r>
        <w:rPr>
          <w:rFonts w:ascii="Times New Roman" w:hAnsi="Times New Roman"/>
          <w:sz w:val="24"/>
        </w:rPr>
        <w:t>исказана</w:t>
      </w:r>
      <w:r>
        <w:rPr>
          <w:rFonts w:ascii="Times New Roman" w:hAnsi="Times New Roman"/>
          <w:spacing w:val="16"/>
          <w:sz w:val="24"/>
        </w:rPr>
        <w:t> </w:t>
      </w:r>
      <w:r>
        <w:rPr>
          <w:rFonts w:ascii="Times New Roman" w:hAnsi="Times New Roman"/>
          <w:sz w:val="24"/>
        </w:rPr>
        <w:t>за</w:t>
      </w:r>
      <w:r>
        <w:rPr>
          <w:rFonts w:ascii="Times New Roman" w:hAnsi="Times New Roman"/>
          <w:spacing w:val="16"/>
          <w:sz w:val="24"/>
        </w:rPr>
        <w:t> </w:t>
      </w:r>
      <w:r>
        <w:rPr>
          <w:rFonts w:ascii="Times New Roman" w:hAnsi="Times New Roman"/>
          <w:sz w:val="24"/>
        </w:rPr>
        <w:t>износ</w:t>
      </w:r>
      <w:r>
        <w:rPr>
          <w:rFonts w:ascii="Times New Roman" w:hAnsi="Times New Roman"/>
          <w:spacing w:val="16"/>
          <w:sz w:val="24"/>
        </w:rPr>
        <w:t> </w:t>
      </w:r>
      <w:r>
        <w:rPr>
          <w:rFonts w:ascii="Times New Roman" w:hAnsi="Times New Roman"/>
          <w:sz w:val="24"/>
        </w:rPr>
        <w:t>од</w:t>
      </w:r>
      <w:r>
        <w:rPr>
          <w:rFonts w:ascii="Times New Roman" w:hAnsi="Times New Roman"/>
          <w:spacing w:val="19"/>
          <w:sz w:val="24"/>
        </w:rPr>
        <w:t> </w:t>
      </w:r>
      <w:r>
        <w:rPr>
          <w:rFonts w:ascii="Times New Roman" w:hAnsi="Times New Roman"/>
          <w:sz w:val="24"/>
        </w:rPr>
        <w:t>укупно</w:t>
      </w:r>
      <w:r>
        <w:rPr>
          <w:rFonts w:ascii="Times New Roman" w:hAnsi="Times New Roman"/>
          <w:spacing w:val="16"/>
          <w:sz w:val="24"/>
        </w:rPr>
        <w:t> </w:t>
      </w:r>
      <w:r>
        <w:rPr>
          <w:rFonts w:ascii="Times New Roman" w:hAnsi="Times New Roman"/>
          <w:sz w:val="24"/>
        </w:rPr>
        <w:t>6.748</w:t>
      </w:r>
      <w:r>
        <w:rPr>
          <w:rFonts w:ascii="Times New Roman" w:hAnsi="Times New Roman"/>
          <w:spacing w:val="19"/>
          <w:sz w:val="24"/>
        </w:rPr>
        <w:t> </w:t>
      </w:r>
      <w:r>
        <w:rPr>
          <w:rFonts w:ascii="Times New Roman" w:hAnsi="Times New Roman"/>
          <w:sz w:val="24"/>
        </w:rPr>
        <w:t>хиљада</w:t>
      </w:r>
      <w:r>
        <w:rPr>
          <w:rFonts w:ascii="Times New Roman" w:hAnsi="Times New Roman"/>
          <w:spacing w:val="16"/>
          <w:sz w:val="24"/>
        </w:rPr>
        <w:t> </w:t>
      </w:r>
      <w:r>
        <w:rPr>
          <w:rFonts w:ascii="Times New Roman" w:hAnsi="Times New Roman"/>
          <w:sz w:val="24"/>
        </w:rPr>
        <w:t>динара</w:t>
      </w:r>
      <w:r>
        <w:rPr>
          <w:rFonts w:ascii="Times New Roman" w:hAnsi="Times New Roman"/>
          <w:spacing w:val="16"/>
          <w:sz w:val="24"/>
        </w:rPr>
        <w:t> </w:t>
      </w:r>
      <w:r>
        <w:rPr>
          <w:rFonts w:ascii="Times New Roman" w:hAnsi="Times New Roman"/>
          <w:sz w:val="24"/>
        </w:rPr>
        <w:t>за</w:t>
      </w:r>
      <w:r>
        <w:rPr>
          <w:rFonts w:ascii="Times New Roman" w:hAnsi="Times New Roman"/>
          <w:spacing w:val="16"/>
          <w:sz w:val="24"/>
        </w:rPr>
        <w:t> </w:t>
      </w:r>
      <w:r>
        <w:rPr>
          <w:rFonts w:ascii="Times New Roman" w:hAnsi="Times New Roman"/>
          <w:sz w:val="24"/>
        </w:rPr>
        <w:t>неправилно</w:t>
      </w:r>
      <w:r>
        <w:rPr>
          <w:rFonts w:ascii="Times New Roman" w:hAnsi="Times New Roman"/>
          <w:sz w:val="24"/>
        </w:rPr>
        <w:t> </w:t>
      </w:r>
      <w:r>
        <w:rPr>
          <w:rFonts w:ascii="Times New Roman" w:hAnsi="Times New Roman"/>
          <w:spacing w:val="-1"/>
          <w:w w:val="100"/>
          <w:sz w:val="24"/>
        </w:rPr>
      </w:r>
      <w:r>
        <w:rPr>
          <w:rFonts w:ascii="Times New Roman" w:hAnsi="Times New Roman"/>
          <w:sz w:val="24"/>
        </w:rPr>
        <w:t>евидентирано увећање вредности зграда и објеката у 2014. години, као што је </w:t>
      </w:r>
      <w:r>
        <w:rPr>
          <w:rFonts w:ascii="Times New Roman" w:hAnsi="Times New Roman"/>
          <w:spacing w:val="3"/>
          <w:sz w:val="24"/>
        </w:rPr>
        <w:t> </w:t>
      </w:r>
      <w:r>
        <w:rPr>
          <w:rFonts w:ascii="Times New Roman" w:hAnsi="Times New Roman"/>
          <w:sz w:val="24"/>
        </w:rPr>
        <w:t>објашњено</w:t>
      </w:r>
    </w:p>
    <w:p>
      <w:pPr>
        <w:pStyle w:val="BodyText"/>
        <w:spacing w:line="240" w:lineRule="auto"/>
        <w:ind w:right="0"/>
        <w:jc w:val="both"/>
      </w:pPr>
      <w:r>
        <w:rPr/>
        <w:t>код конта 011100 – зграде и грађевински</w:t>
      </w:r>
      <w:r>
        <w:rPr>
          <w:spacing w:val="-10"/>
        </w:rPr>
        <w:t> </w:t>
      </w:r>
      <w:r>
        <w:rPr/>
        <w:t>објекти.</w:t>
      </w:r>
    </w:p>
    <w:p>
      <w:pPr>
        <w:pStyle w:val="ListParagraph"/>
        <w:numPr>
          <w:ilvl w:val="0"/>
          <w:numId w:val="9"/>
        </w:numPr>
        <w:tabs>
          <w:tab w:pos="303" w:val="left" w:leader="none"/>
        </w:tabs>
        <w:spacing w:line="274" w:lineRule="exact" w:before="24" w:after="0"/>
        <w:ind w:left="160" w:right="184" w:firstLine="0"/>
        <w:jc w:val="both"/>
        <w:rPr>
          <w:rFonts w:ascii="Times New Roman" w:hAnsi="Times New Roman" w:cs="Times New Roman" w:eastAsia="Times New Roman" w:hint="default"/>
          <w:sz w:val="24"/>
          <w:szCs w:val="24"/>
        </w:rPr>
      </w:pPr>
      <w:r>
        <w:rPr>
          <w:rFonts w:ascii="Times New Roman" w:hAnsi="Times New Roman"/>
          <w:sz w:val="24"/>
        </w:rPr>
        <w:t>Ова позиција више је исказана за износ од 19.531 хиљаде динара за вредност трафо станице кардиохирургије, објекта који није у својини града Ниша а који је преузет од </w:t>
      </w:r>
      <w:r>
        <w:rPr>
          <w:rFonts w:ascii="Times New Roman" w:hAnsi="Times New Roman"/>
          <w:spacing w:val="50"/>
          <w:sz w:val="24"/>
        </w:rPr>
        <w:t> </w:t>
      </w:r>
      <w:r>
        <w:rPr>
          <w:rFonts w:ascii="Times New Roman" w:hAnsi="Times New Roman"/>
          <w:sz w:val="24"/>
        </w:rPr>
        <w:t>ЈП</w:t>
      </w:r>
    </w:p>
    <w:p>
      <w:pPr>
        <w:spacing w:after="0" w:line="274" w:lineRule="exact"/>
        <w:jc w:val="both"/>
        <w:rPr>
          <w:rFonts w:ascii="Times New Roman" w:hAnsi="Times New Roman" w:cs="Times New Roman" w:eastAsia="Times New Roman" w:hint="default"/>
          <w:sz w:val="24"/>
          <w:szCs w:val="24"/>
        </w:rPr>
        <w:sectPr>
          <w:pgSz w:w="12240" w:h="15840"/>
          <w:pgMar w:header="740" w:footer="1504" w:top="120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BodyText"/>
        <w:spacing w:line="240" w:lineRule="auto" w:before="6"/>
        <w:ind w:right="185"/>
        <w:jc w:val="both"/>
      </w:pPr>
      <w:r>
        <w:rPr/>
        <w:t>Дирекција на основу Записника о промопредаји имовине стечене средствима града  Ниша.</w:t>
      </w:r>
    </w:p>
    <w:p>
      <w:pPr>
        <w:pStyle w:val="Heading2"/>
        <w:spacing w:line="240" w:lineRule="auto"/>
        <w:ind w:right="181"/>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spacing w:line="240" w:lineRule="auto" w:before="0"/>
        <w:ind w:left="160" w:right="176" w:firstLine="566"/>
        <w:jc w:val="both"/>
        <w:rPr>
          <w:rFonts w:ascii="Times New Roman" w:hAnsi="Times New Roman" w:cs="Times New Roman" w:eastAsia="Times New Roman" w:hint="default"/>
          <w:sz w:val="24"/>
          <w:szCs w:val="24"/>
        </w:rPr>
      </w:pPr>
      <w:r>
        <w:rPr>
          <w:rFonts w:ascii="Times New Roman" w:hAnsi="Times New Roman"/>
          <w:b/>
          <w:sz w:val="24"/>
        </w:rPr>
        <w:t>Нефинансијска имовина у залихама, конто 311200 </w:t>
      </w:r>
      <w:r>
        <w:rPr>
          <w:rFonts w:ascii="Times New Roman" w:hAnsi="Times New Roman"/>
          <w:b/>
          <w:sz w:val="24"/>
        </w:rPr>
        <w:t>- </w:t>
      </w:r>
      <w:r>
        <w:rPr>
          <w:rFonts w:ascii="Times New Roman" w:hAnsi="Times New Roman"/>
          <w:sz w:val="24"/>
        </w:rPr>
        <w:t>Исказан је износ од 54.555 хиљада</w:t>
      </w:r>
      <w:r>
        <w:rPr>
          <w:rFonts w:ascii="Times New Roman" w:hAnsi="Times New Roman"/>
          <w:spacing w:val="-3"/>
          <w:sz w:val="24"/>
        </w:rPr>
        <w:t> </w:t>
      </w:r>
      <w:r>
        <w:rPr>
          <w:rFonts w:ascii="Times New Roman" w:hAnsi="Times New Roman"/>
          <w:sz w:val="24"/>
        </w:rPr>
        <w:t>динара</w:t>
      </w:r>
      <w:r>
        <w:rPr>
          <w:rFonts w:ascii="Times New Roman" w:hAnsi="Times New Roman"/>
          <w:sz w:val="24"/>
        </w:rPr>
        <w:t>.</w:t>
      </w:r>
    </w:p>
    <w:p>
      <w:pPr>
        <w:pStyle w:val="BodyText"/>
        <w:spacing w:line="240" w:lineRule="auto"/>
        <w:ind w:right="174" w:firstLine="566"/>
        <w:jc w:val="both"/>
      </w:pPr>
      <w:r>
        <w:rPr>
          <w:rFonts w:ascii="Times New Roman" w:hAnsi="Times New Roman"/>
          <w:b/>
        </w:rPr>
        <w:t>На основу ревизије узорковане документације утврђено је </w:t>
      </w:r>
      <w:r>
        <w:rPr/>
        <w:t>да вредност нефинансијске и имовине у залихама није усаглашена са вредношћу нефинансијске имовине у залихама исказане у активи биланса стања за износ од 20 хиљада динара услед неправилног евидентирања код индиректних корисника, што је супротно члану 9. Уредбе о буџетском рачуноводству и Правилнику о стандардном класификационом оквиру и контном плану за буџетски</w:t>
      </w:r>
      <w:r>
        <w:rPr>
          <w:spacing w:val="-17"/>
        </w:rPr>
        <w:t> </w:t>
      </w:r>
      <w:r>
        <w:rPr/>
        <w:t>систем.</w:t>
      </w:r>
    </w:p>
    <w:p>
      <w:pPr>
        <w:pStyle w:val="Heading2"/>
        <w:spacing w:line="237" w:lineRule="auto" w:before="7"/>
        <w:ind w:right="174"/>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b w:val="0"/>
          <w:i w:val="0"/>
        </w:rPr>
        <w:t>.</w:t>
      </w:r>
    </w:p>
    <w:p>
      <w:pPr>
        <w:pStyle w:val="BodyText"/>
        <w:spacing w:line="240" w:lineRule="auto"/>
        <w:ind w:left="726" w:right="141"/>
        <w:jc w:val="left"/>
      </w:pPr>
      <w:r>
        <w:rPr/>
        <w:t>Исказано је стање и то</w:t>
      </w:r>
      <w:r>
        <w:rPr>
          <w:spacing w:val="-7"/>
        </w:rPr>
        <w:t> </w:t>
      </w:r>
      <w:r>
        <w:rPr/>
        <w:t>код:</w:t>
      </w:r>
    </w:p>
    <w:p>
      <w:pPr>
        <w:pStyle w:val="BodyText"/>
        <w:spacing w:line="240" w:lineRule="auto"/>
        <w:ind w:right="176"/>
        <w:jc w:val="both"/>
      </w:pPr>
      <w:r>
        <w:rPr>
          <w:rFonts w:ascii="Times New Roman" w:hAnsi="Times New Roman" w:cs="Times New Roman" w:eastAsia="Times New Roman" w:hint="default"/>
          <w:w w:val="99"/>
        </w:rPr>
      </w:r>
      <w:r>
        <w:rPr>
          <w:rFonts w:ascii="Times New Roman" w:hAnsi="Times New Roman" w:cs="Times New Roman" w:eastAsia="Times New Roman" w:hint="default"/>
          <w:u w:val="single" w:color="000000"/>
        </w:rPr>
        <w:t>-</w:t>
      </w:r>
      <w:r>
        <w:rPr>
          <w:u w:val="single" w:color="000000"/>
        </w:rPr>
        <w:t>Управе за образовање </w:t>
      </w:r>
      <w:r>
        <w:rPr/>
        <w:t>у износу од 9.686 хиљада динара за исказану нефинансијску </w:t>
      </w:r>
      <w:r>
        <w:rPr/>
        <w:t>имовину у залихама код: ПУ „Пчелица“ у износу од 7.920 хиљада динара, Дечијег центра у износу од осам хиљада динара и Регионалног центра у износу од 1.758 хиљада</w:t>
      </w:r>
      <w:r>
        <w:rPr>
          <w:spacing w:val="-25"/>
        </w:rPr>
        <w:t> </w:t>
      </w:r>
      <w:r>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Код ПУ „Пчелица“ ова позиција више исказана за износ од најмање 496 хиљада динара и то за обрачунату разлику у цени робе за даљу продају у износу од 56 хиљада динара и  за неправилно евидентирану опрему на залихама у износу од 440 хиљада</w:t>
      </w:r>
      <w:r>
        <w:rPr>
          <w:rFonts w:ascii="Times New Roman" w:hAnsi="Times New Roman" w:cs="Times New Roman" w:eastAsia="Times New Roman" w:hint="default"/>
          <w:spacing w:val="-26"/>
          <w:sz w:val="24"/>
          <w:szCs w:val="24"/>
        </w:rPr>
        <w:t> </w:t>
      </w:r>
      <w:r>
        <w:rPr>
          <w:rFonts w:ascii="Times New Roman" w:hAnsi="Times New Roman" w:cs="Times New Roman" w:eastAsia="Times New Roman" w:hint="default"/>
          <w:sz w:val="24"/>
          <w:szCs w:val="24"/>
        </w:rPr>
        <w:t>динара.</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Код Регионалног центра нефинансијска имовина у залихама је мање исказана у износу од 32 хиљаде динара, због неправилног евидентирања, што је супротно члану 9. Уредбе о буџетском рачуноводству и Правилнику о стандардном касификационом оквиру и контном плану за буџетски</w:t>
      </w:r>
      <w:r>
        <w:rPr>
          <w:rFonts w:ascii="Times New Roman" w:hAnsi="Times New Roman"/>
          <w:spacing w:val="-17"/>
          <w:sz w:val="24"/>
        </w:rPr>
        <w:t> </w:t>
      </w:r>
      <w:r>
        <w:rPr>
          <w:rFonts w:ascii="Times New Roman" w:hAnsi="Times New Roman"/>
          <w:sz w:val="24"/>
        </w:rPr>
        <w:t>систем.</w:t>
      </w:r>
    </w:p>
    <w:p>
      <w:pPr>
        <w:pStyle w:val="Heading2"/>
        <w:spacing w:line="240" w:lineRule="auto"/>
        <w:ind w:right="172"/>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i/>
        </w:rPr>
        <w:t>.</w:t>
      </w:r>
      <w:r>
        <w:rPr>
          <w:rFonts w:ascii="Times New Roman" w:hAnsi="Times New Roman"/>
          <w:b w:val="0"/>
          <w:i w:val="0"/>
        </w:rPr>
      </w:r>
    </w:p>
    <w:p>
      <w:pPr>
        <w:pStyle w:val="BodyText"/>
        <w:spacing w:line="240" w:lineRule="auto"/>
        <w:ind w:right="172"/>
        <w:jc w:val="both"/>
      </w:pPr>
      <w:r>
        <w:rPr>
          <w:rFonts w:ascii="Times New Roman" w:hAnsi="Times New Roman"/>
          <w:w w:val="99"/>
        </w:rPr>
      </w:r>
      <w:r>
        <w:rPr>
          <w:rFonts w:ascii="Times New Roman" w:hAnsi="Times New Roman"/>
          <w:u w:val="single" w:color="000000"/>
        </w:rPr>
        <w:t>-</w:t>
      </w:r>
      <w:r>
        <w:rPr>
          <w:u w:val="single" w:color="000000"/>
        </w:rPr>
        <w:t>Управе за културу </w:t>
      </w:r>
      <w:r>
        <w:rPr/>
        <w:t>у износу од 1.377 хиљада динара за исказану нефинансијску имовину </w:t>
      </w:r>
      <w:r>
        <w:rPr/>
        <w:t>у залихама код: Народног позоришта у износу од </w:t>
      </w:r>
      <w:r>
        <w:rPr>
          <w:rFonts w:ascii="Times New Roman" w:hAnsi="Times New Roman"/>
        </w:rPr>
        <w:t>47 </w:t>
      </w:r>
      <w:r>
        <w:rPr/>
        <w:t>хиљада динара</w:t>
      </w:r>
      <w:r>
        <w:rPr>
          <w:rFonts w:ascii="Times New Roman" w:hAnsi="Times New Roman"/>
        </w:rPr>
        <w:t>, </w:t>
      </w:r>
      <w:r>
        <w:rPr/>
        <w:t>Народног музеја у износу од 1.235 хиљада динара, Завода за заштиту споменика у износу од 80 хиљада динара и Народне библиотеке у износу од 15 хиљада</w:t>
      </w:r>
      <w:r>
        <w:rPr>
          <w:spacing w:val="-12"/>
        </w:rPr>
        <w:t> </w:t>
      </w:r>
      <w:r>
        <w:rPr/>
        <w:t>динара.</w:t>
      </w:r>
    </w:p>
    <w:p>
      <w:pPr>
        <w:pStyle w:val="Heading1"/>
        <w:spacing w:line="275" w:lineRule="exact" w:before="2"/>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1"/>
        </w:rPr>
        <w:t> </w:t>
      </w:r>
      <w:r>
        <w:rPr/>
        <w:t>је</w:t>
      </w:r>
      <w:r>
        <w:rPr>
          <w:rFonts w:ascii="Times New Roman" w:hAnsi="Times New Roman"/>
        </w:rPr>
        <w:t>:</w:t>
      </w:r>
      <w:r>
        <w:rPr>
          <w:rFonts w:ascii="Times New Roman" w:hAnsi="Times New Roman"/>
          <w:b w:val="0"/>
        </w:rPr>
      </w:r>
    </w:p>
    <w:p>
      <w:pPr>
        <w:pStyle w:val="ListParagraph"/>
        <w:numPr>
          <w:ilvl w:val="0"/>
          <w:numId w:val="9"/>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Ова позиција мање је исказана код Народног музеја за износ од </w:t>
      </w:r>
      <w:r>
        <w:rPr>
          <w:rFonts w:ascii="Times New Roman" w:hAnsi="Times New Roman"/>
          <w:sz w:val="24"/>
        </w:rPr>
        <w:t>21 </w:t>
      </w:r>
      <w:r>
        <w:rPr>
          <w:rFonts w:ascii="Times New Roman" w:hAnsi="Times New Roman"/>
          <w:sz w:val="24"/>
        </w:rPr>
        <w:t>хиљаде динара услед неправилног</w:t>
      </w:r>
      <w:r>
        <w:rPr>
          <w:rFonts w:ascii="Times New Roman" w:hAnsi="Times New Roman"/>
          <w:spacing w:val="-12"/>
          <w:sz w:val="24"/>
        </w:rPr>
        <w:t> </w:t>
      </w:r>
      <w:r>
        <w:rPr>
          <w:rFonts w:ascii="Times New Roman" w:hAnsi="Times New Roman"/>
          <w:sz w:val="24"/>
        </w:rPr>
        <w:t>евидентирања.</w:t>
      </w:r>
    </w:p>
    <w:p>
      <w:pPr>
        <w:pStyle w:val="ListParagraph"/>
        <w:numPr>
          <w:ilvl w:val="0"/>
          <w:numId w:val="9"/>
        </w:numPr>
        <w:tabs>
          <w:tab w:pos="303" w:val="left" w:leader="none"/>
        </w:tabs>
        <w:spacing w:line="240" w:lineRule="auto" w:before="2" w:after="0"/>
        <w:ind w:left="160" w:right="168" w:firstLine="0"/>
        <w:jc w:val="both"/>
        <w:rPr>
          <w:rFonts w:ascii="Times New Roman" w:hAnsi="Times New Roman" w:cs="Times New Roman" w:eastAsia="Times New Roman" w:hint="default"/>
          <w:sz w:val="24"/>
          <w:szCs w:val="24"/>
        </w:rPr>
      </w:pPr>
      <w:r>
        <w:rPr>
          <w:rFonts w:ascii="Times New Roman" w:hAnsi="Times New Roman"/>
          <w:sz w:val="24"/>
        </w:rPr>
        <w:t>Ова позиција више је исказана код Завода за заштиту споменика у износу од 80 хиљада динара, а мање је исказана вредност нефинансијске имовине у сталним средствима у истом износу, што је супротно члану 9. Уредбе о буџетском рачуноводству и Правилнику о стандардном класификационом оквиру и контом плану за буџетски</w:t>
      </w:r>
      <w:r>
        <w:rPr>
          <w:rFonts w:ascii="Times New Roman" w:hAnsi="Times New Roman"/>
          <w:spacing w:val="-27"/>
          <w:sz w:val="24"/>
        </w:rPr>
        <w:t> </w:t>
      </w:r>
      <w:r>
        <w:rPr>
          <w:rFonts w:ascii="Times New Roman" w:hAnsi="Times New Roman"/>
          <w:sz w:val="24"/>
        </w:rPr>
        <w:t>систем.</w:t>
      </w:r>
    </w:p>
    <w:p>
      <w:pPr>
        <w:pStyle w:val="Heading2"/>
        <w:spacing w:line="240" w:lineRule="auto"/>
        <w:ind w:right="174"/>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i/>
        </w:rPr>
        <w:t>.</w:t>
      </w:r>
      <w:r>
        <w:rPr>
          <w:rFonts w:ascii="Times New Roman" w:hAnsi="Times New Roman"/>
          <w:b w:val="0"/>
          <w:i w:val="0"/>
        </w:rPr>
      </w:r>
    </w:p>
    <w:p>
      <w:pPr>
        <w:pStyle w:val="BodyText"/>
        <w:spacing w:line="271" w:lineRule="exact"/>
        <w:ind w:right="0"/>
        <w:jc w:val="both"/>
      </w:pPr>
      <w:r>
        <w:rPr/>
        <w:pict>
          <v:group style="position:absolute;margin-left:81.984001pt;margin-top:12.584308pt;width:144.75pt;height:.1pt;mso-position-horizontal-relative:page;mso-position-vertical-relative:paragraph;z-index:-772216" coordorigin="1640,252" coordsize="2895,2">
            <v:shape style="position:absolute;left:1640;top:252;width:2895;height:2" coordorigin="1640,252" coordsize="2895,0" path="m1640,252l4534,252e" filled="false" stroked="true" strokeweight=".599980pt" strokecolor="#000000">
              <v:path arrowok="t"/>
            </v:shape>
            <w10:wrap type="none"/>
          </v:group>
        </w:pict>
      </w:r>
      <w:r>
        <w:rPr>
          <w:rFonts w:ascii="Times New Roman" w:hAnsi="Times New Roman"/>
        </w:rPr>
        <w:t>-</w:t>
      </w:r>
      <w:r>
        <w:rPr/>
        <w:t>Управе за омладину и спорт у износу од 2.312 хиљада динара за исказану</w:t>
      </w:r>
      <w:r>
        <w:rPr>
          <w:spacing w:val="-24"/>
        </w:rPr>
        <w:t> </w:t>
      </w:r>
      <w:r>
        <w:rPr/>
        <w:t>нефинансијску</w:t>
      </w:r>
    </w:p>
    <w:p>
      <w:pPr>
        <w:spacing w:after="0" w:line="271" w:lineRule="exact"/>
        <w:jc w:val="both"/>
        <w:sectPr>
          <w:pgSz w:w="12240" w:h="15840"/>
          <w:pgMar w:header="740" w:footer="1504" w:top="120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BodyText"/>
        <w:spacing w:line="240" w:lineRule="auto" w:before="6"/>
        <w:ind w:left="280" w:right="141"/>
        <w:jc w:val="left"/>
      </w:pPr>
      <w:r>
        <w:rPr/>
        <w:t>имовину у залихама код СЦ</w:t>
      </w:r>
      <w:r>
        <w:rPr>
          <w:spacing w:val="-9"/>
        </w:rPr>
        <w:t> </w:t>
      </w:r>
      <w:r>
        <w:rPr/>
        <w:t>Чаир.</w:t>
      </w:r>
    </w:p>
    <w:p>
      <w:pPr>
        <w:pStyle w:val="ListParagraph"/>
        <w:numPr>
          <w:ilvl w:val="0"/>
          <w:numId w:val="107"/>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комуналне делатности </w:t>
      </w:r>
      <w:r>
        <w:rPr>
          <w:rFonts w:ascii="Times New Roman" w:hAnsi="Times New Roman"/>
          <w:sz w:val="24"/>
        </w:rPr>
        <w:t>у износу од 11.145 хиљада динара за исказану </w:t>
      </w:r>
      <w:r>
        <w:rPr>
          <w:rFonts w:ascii="Times New Roman" w:hAnsi="Times New Roman"/>
          <w:sz w:val="24"/>
        </w:rPr>
        <w:t>нефинансијску имовину у залихама код ЈП Дирекција динара и усаглашена је са вредношћу нефинансијске имовине у залихама у активи биланса</w:t>
      </w:r>
      <w:r>
        <w:rPr>
          <w:rFonts w:ascii="Times New Roman" w:hAnsi="Times New Roman"/>
          <w:spacing w:val="-19"/>
          <w:sz w:val="24"/>
        </w:rPr>
        <w:t> </w:t>
      </w:r>
      <w:r>
        <w:rPr>
          <w:rFonts w:ascii="Times New Roman" w:hAnsi="Times New Roman"/>
          <w:sz w:val="24"/>
        </w:rPr>
        <w:t>стања.</w:t>
      </w:r>
    </w:p>
    <w:p>
      <w:pPr>
        <w:pStyle w:val="ListParagraph"/>
        <w:numPr>
          <w:ilvl w:val="0"/>
          <w:numId w:val="107"/>
        </w:numPr>
        <w:tabs>
          <w:tab w:pos="303" w:val="left" w:leader="none"/>
        </w:tabs>
        <w:spacing w:line="240" w:lineRule="auto" w:before="0" w:after="0"/>
        <w:ind w:left="160" w:right="178"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привреду </w:t>
      </w:r>
      <w:r>
        <w:rPr>
          <w:rFonts w:ascii="Times New Roman" w:hAnsi="Times New Roman"/>
          <w:sz w:val="24"/>
        </w:rPr>
        <w:t>у износу од 2.062 хиљаде динара за исказану нефинансијску </w:t>
      </w:r>
      <w:r>
        <w:rPr>
          <w:rFonts w:ascii="Times New Roman" w:hAnsi="Times New Roman"/>
          <w:sz w:val="24"/>
        </w:rPr>
        <w:t>имовину у залихама код Туристичке</w:t>
      </w:r>
      <w:r>
        <w:rPr>
          <w:rFonts w:ascii="Times New Roman" w:hAnsi="Times New Roman"/>
          <w:spacing w:val="-15"/>
          <w:sz w:val="24"/>
        </w:rPr>
        <w:t> </w:t>
      </w:r>
      <w:r>
        <w:rPr>
          <w:rFonts w:ascii="Times New Roman" w:hAnsi="Times New Roman"/>
          <w:sz w:val="24"/>
        </w:rPr>
        <w:t>организације.</w:t>
      </w:r>
    </w:p>
    <w:p>
      <w:pPr>
        <w:pStyle w:val="ListParagraph"/>
        <w:numPr>
          <w:ilvl w:val="0"/>
          <w:numId w:val="107"/>
        </w:numPr>
        <w:tabs>
          <w:tab w:pos="303" w:val="left" w:leader="none"/>
        </w:tabs>
        <w:spacing w:line="240" w:lineRule="auto" w:before="0" w:after="0"/>
        <w:ind w:left="160" w:right="179"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 буџету града Ниша </w:t>
      </w:r>
      <w:r>
        <w:rPr>
          <w:rFonts w:ascii="Times New Roman" w:hAnsi="Times New Roman"/>
          <w:sz w:val="24"/>
        </w:rPr>
        <w:t>исказан је износ од 27.973 хиљаде динара и усаглашен је са </w:t>
      </w:r>
      <w:r>
        <w:rPr>
          <w:rFonts w:ascii="Times New Roman" w:hAnsi="Times New Roman"/>
          <w:sz w:val="24"/>
        </w:rPr>
        <w:t>вредношћу нефинансијске имовине у залихама у активи биланса стања, односи се на вредност залиха робних</w:t>
      </w:r>
      <w:r>
        <w:rPr>
          <w:rFonts w:ascii="Times New Roman" w:hAnsi="Times New Roman"/>
          <w:spacing w:val="-4"/>
          <w:sz w:val="24"/>
        </w:rPr>
        <w:t> </w:t>
      </w:r>
      <w:r>
        <w:rPr>
          <w:rFonts w:ascii="Times New Roman" w:hAnsi="Times New Roman"/>
          <w:sz w:val="24"/>
        </w:rPr>
        <w:t>резерви.</w:t>
      </w:r>
    </w:p>
    <w:p>
      <w:pPr>
        <w:spacing w:before="0"/>
        <w:ind w:left="160" w:right="174"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се у поступку ревизије нисмо уверили у тачност и правилност исказане вредности робних резерви јер се обрачун излаза са залиха не врши на начин утврђен Правилником о буџетском рачуноводству и рачуноводственим</w:t>
      </w:r>
      <w:r>
        <w:rPr>
          <w:rFonts w:ascii="Times New Roman" w:hAnsi="Times New Roman"/>
          <w:spacing w:val="-22"/>
          <w:sz w:val="24"/>
        </w:rPr>
        <w:t> </w:t>
      </w:r>
      <w:r>
        <w:rPr>
          <w:rFonts w:ascii="Times New Roman" w:hAnsi="Times New Roman"/>
          <w:sz w:val="24"/>
        </w:rPr>
        <w:t>политикама.</w:t>
      </w:r>
    </w:p>
    <w:p>
      <w:pPr>
        <w:pStyle w:val="Heading2"/>
        <w:spacing w:line="240" w:lineRule="auto"/>
        <w:ind w:right="175"/>
        <w:jc w:val="both"/>
        <w:rPr>
          <w:b w:val="0"/>
          <w:bCs w:val="0"/>
          <w:i w:val="0"/>
        </w:rPr>
      </w:pPr>
      <w:r>
        <w:rPr>
          <w:i/>
        </w:rPr>
        <w:t>Препоручује се одговорним лицима да обезбеде правилну примену одредби интерних</w:t>
      </w:r>
      <w:r>
        <w:rPr>
          <w:i/>
          <w:spacing w:val="-4"/>
        </w:rPr>
        <w:t> </w:t>
      </w:r>
      <w:r>
        <w:rPr>
          <w:i/>
        </w:rPr>
        <w:t>аката.</w:t>
      </w:r>
      <w:r>
        <w:rPr>
          <w:b w:val="0"/>
          <w:i w:val="0"/>
        </w:rPr>
      </w:r>
    </w:p>
    <w:p>
      <w:pPr>
        <w:pStyle w:val="ListParagraph"/>
        <w:numPr>
          <w:ilvl w:val="0"/>
          <w:numId w:val="107"/>
        </w:numPr>
        <w:tabs>
          <w:tab w:pos="303" w:val="left" w:leader="none"/>
        </w:tabs>
        <w:spacing w:line="271"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У Билансу стања </w:t>
      </w:r>
      <w:r>
        <w:rPr>
          <w:rFonts w:ascii="Times New Roman" w:hAnsi="Times New Roman"/>
          <w:sz w:val="24"/>
        </w:rPr>
      </w:r>
      <w:r>
        <w:rPr>
          <w:rFonts w:ascii="Times New Roman" w:hAnsi="Times New Roman"/>
          <w:sz w:val="24"/>
          <w:u w:val="single" w:color="000000"/>
        </w:rPr>
      </w:r>
      <w:r>
        <w:rPr>
          <w:rFonts w:ascii="Times New Roman" w:hAnsi="Times New Roman"/>
          <w:sz w:val="24"/>
          <w:u w:val="single" w:color="000000"/>
        </w:rPr>
        <w:t>Управе за планирање и изградњу </w:t>
      </w:r>
      <w:r>
        <w:rPr>
          <w:rFonts w:ascii="Times New Roman" w:hAnsi="Times New Roman"/>
          <w:sz w:val="24"/>
        </w:rPr>
        <w:t>није исказан</w:t>
      </w:r>
      <w:r>
        <w:rPr>
          <w:rFonts w:ascii="Times New Roman" w:hAnsi="Times New Roman"/>
          <w:spacing w:val="-24"/>
          <w:sz w:val="24"/>
        </w:rPr>
        <w:t> </w:t>
      </w:r>
      <w:r>
        <w:rPr>
          <w:rFonts w:ascii="Times New Roman" w:hAnsi="Times New Roman"/>
          <w:sz w:val="24"/>
        </w:rPr>
        <w:t>податак.</w:t>
      </w:r>
    </w:p>
    <w:p>
      <w:pPr>
        <w:pStyle w:val="BodyText"/>
        <w:spacing w:line="240" w:lineRule="auto"/>
        <w:ind w:right="174" w:firstLine="566"/>
        <w:jc w:val="both"/>
      </w:pPr>
      <w:r>
        <w:rPr>
          <w:rFonts w:ascii="Times New Roman" w:hAnsi="Times New Roman"/>
          <w:b/>
        </w:rPr>
        <w:t>На основу ревизије узорковане документације утврђено је </w:t>
      </w:r>
      <w:r>
        <w:rPr/>
        <w:t>да је ова позиција мање исказана код ЈП ГСА за износ од </w:t>
      </w:r>
      <w:r>
        <w:rPr>
          <w:rFonts w:ascii="Times New Roman" w:hAnsi="Times New Roman"/>
        </w:rPr>
        <w:t>9.885 </w:t>
      </w:r>
      <w:r>
        <w:rPr/>
        <w:t>хиљада динара (за станове намењене даљој продаји)</w:t>
      </w:r>
      <w:r>
        <w:rPr>
          <w:rFonts w:ascii="Times New Roman" w:hAnsi="Times New Roman"/>
        </w:rPr>
        <w:t>, </w:t>
      </w:r>
      <w:r>
        <w:rPr/>
        <w:t>што је супротно члану 9. Уредбе о буџетском рачуноводству и Правилнику о стандардном класификационом оквиру и контном плану за буџетски</w:t>
      </w:r>
      <w:r>
        <w:rPr>
          <w:spacing w:val="-31"/>
        </w:rPr>
        <w:t> </w:t>
      </w:r>
      <w:r>
        <w:rPr/>
        <w:t>систем.</w:t>
      </w:r>
    </w:p>
    <w:p>
      <w:pPr>
        <w:pStyle w:val="Heading2"/>
        <w:spacing w:line="237" w:lineRule="auto" w:before="7"/>
        <w:ind w:right="181"/>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b w:val="0"/>
          <w:i w:val="0"/>
        </w:rPr>
        <w:t>.</w:t>
      </w:r>
    </w:p>
    <w:p>
      <w:pPr>
        <w:pStyle w:val="ListParagraph"/>
        <w:numPr>
          <w:ilvl w:val="0"/>
          <w:numId w:val="107"/>
        </w:numPr>
        <w:tabs>
          <w:tab w:pos="303" w:val="left" w:leader="none"/>
        </w:tabs>
        <w:spacing w:line="240" w:lineRule="auto" w:before="0"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У Билансу стања </w:t>
      </w:r>
      <w:r>
        <w:rPr>
          <w:rFonts w:ascii="Times New Roman" w:hAnsi="Times New Roman"/>
          <w:sz w:val="24"/>
        </w:rPr>
      </w:r>
      <w:r>
        <w:rPr>
          <w:rFonts w:ascii="Times New Roman" w:hAnsi="Times New Roman"/>
          <w:sz w:val="24"/>
          <w:u w:val="single" w:color="000000"/>
        </w:rPr>
      </w:r>
      <w:r>
        <w:rPr>
          <w:rFonts w:ascii="Times New Roman" w:hAnsi="Times New Roman"/>
          <w:sz w:val="24"/>
          <w:u w:val="single" w:color="000000"/>
        </w:rPr>
        <w:t>Управе за пољопривреду и развој села </w:t>
      </w:r>
      <w:r>
        <w:rPr>
          <w:rFonts w:ascii="Times New Roman" w:hAnsi="Times New Roman"/>
          <w:sz w:val="24"/>
        </w:rPr>
        <w:t>није исказан</w:t>
      </w:r>
      <w:r>
        <w:rPr>
          <w:rFonts w:ascii="Times New Roman" w:hAnsi="Times New Roman"/>
          <w:spacing w:val="-24"/>
          <w:sz w:val="24"/>
        </w:rPr>
        <w:t> </w:t>
      </w:r>
      <w:r>
        <w:rPr>
          <w:rFonts w:ascii="Times New Roman" w:hAnsi="Times New Roman"/>
          <w:sz w:val="24"/>
        </w:rPr>
        <w:t>податак.</w:t>
      </w:r>
    </w:p>
    <w:p>
      <w:pPr>
        <w:pStyle w:val="BodyText"/>
        <w:spacing w:line="240" w:lineRule="auto"/>
        <w:ind w:right="174" w:firstLine="566"/>
        <w:jc w:val="both"/>
      </w:pPr>
      <w:r>
        <w:rPr>
          <w:rFonts w:ascii="Times New Roman" w:hAnsi="Times New Roman"/>
          <w:b/>
        </w:rPr>
        <w:t>На основу ревизије узорковане документације утврђено је </w:t>
      </w:r>
      <w:r>
        <w:rPr/>
        <w:t>да је ова позиција мање исказана код Управе за пољопривреду за износ који у поступку ревизије нисмо могли да утврдимо, због неправилног евидентирања противградних ракета и заштитне одеће и обуће као опреме код које је вршен обрачун</w:t>
      </w:r>
      <w:r>
        <w:rPr>
          <w:spacing w:val="-17"/>
        </w:rPr>
        <w:t> </w:t>
      </w:r>
      <w:r>
        <w:rPr/>
        <w:t>амортизације.</w:t>
      </w:r>
    </w:p>
    <w:p>
      <w:pPr>
        <w:pStyle w:val="Heading2"/>
        <w:spacing w:line="240" w:lineRule="auto"/>
        <w:ind w:right="176"/>
        <w:jc w:val="both"/>
        <w:rPr>
          <w:b w:val="0"/>
          <w:bCs w:val="0"/>
          <w:i w:val="0"/>
        </w:rPr>
      </w:pPr>
      <w:r>
        <w:rPr>
          <w:i/>
        </w:rPr>
        <w:t>Препоручује се одговорним лицима да обезбеде правилну примену одредби Уредбе о буџетском рачуноводству</w:t>
      </w:r>
      <w:r>
        <w:rPr>
          <w:rFonts w:ascii="Times New Roman" w:hAnsi="Times New Roman"/>
          <w:i/>
        </w:rPr>
        <w:t>, </w:t>
      </w:r>
      <w:r>
        <w:rPr>
          <w:i/>
        </w:rPr>
        <w:t>Правилника о стандардном класификационом оквиру и контном плану за буџетски систем и Правилника о буџетском рачуноводству и рачуноводственим</w:t>
      </w:r>
      <w:r>
        <w:rPr>
          <w:i/>
          <w:spacing w:val="-11"/>
        </w:rPr>
        <w:t> </w:t>
      </w:r>
      <w:r>
        <w:rPr>
          <w:i/>
        </w:rPr>
        <w:t>политикама.</w:t>
      </w:r>
      <w:r>
        <w:rPr>
          <w:b w:val="0"/>
          <w:i w:val="0"/>
        </w:rPr>
      </w:r>
    </w:p>
    <w:p>
      <w:pPr>
        <w:spacing w:line="237" w:lineRule="auto" w:before="2"/>
        <w:ind w:left="160" w:right="177"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Исправка вредности сопствених извора нефинансијске имовине, у сталним средствима, за набавке из кредита, конто 311300 – </w:t>
      </w:r>
      <w:r>
        <w:rPr>
          <w:rFonts w:ascii="Times New Roman" w:hAnsi="Times New Roman" w:cs="Times New Roman" w:eastAsia="Times New Roman" w:hint="default"/>
          <w:sz w:val="24"/>
          <w:szCs w:val="24"/>
        </w:rPr>
        <w:t>Исказан је износ од 1.226.635 хиљада динара, у билансу града Ниша по основу узетих</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кредита.</w:t>
      </w:r>
    </w:p>
    <w:p>
      <w:pPr>
        <w:spacing w:before="0"/>
        <w:ind w:left="160" w:right="173"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је ова позиција мање   исказана код  </w:t>
      </w:r>
      <w:r>
        <w:rPr>
          <w:rFonts w:ascii="Times New Roman" w:hAnsi="Times New Roman"/>
          <w:sz w:val="24"/>
        </w:rPr>
      </w:r>
      <w:r>
        <w:rPr>
          <w:rFonts w:ascii="Times New Roman" w:hAnsi="Times New Roman"/>
          <w:sz w:val="24"/>
          <w:u w:val="single" w:color="000000"/>
        </w:rPr>
      </w:r>
      <w:r>
        <w:rPr>
          <w:rFonts w:ascii="Times New Roman" w:hAnsi="Times New Roman"/>
          <w:sz w:val="24"/>
          <w:u w:val="single" w:color="000000"/>
        </w:rPr>
        <w:t>Управе за финансије, изворне приходе локалне смаоуправе и   </w:t>
      </w:r>
      <w:r>
        <w:rPr>
          <w:rFonts w:ascii="Times New Roman" w:hAnsi="Times New Roman"/>
          <w:spacing w:val="40"/>
          <w:sz w:val="24"/>
          <w:u w:val="single" w:color="000000"/>
        </w:rPr>
        <w:t> </w:t>
      </w:r>
      <w:r>
        <w:rPr>
          <w:rFonts w:ascii="Times New Roman" w:hAnsi="Times New Roman"/>
          <w:sz w:val="24"/>
          <w:u w:val="single" w:color="000000"/>
        </w:rPr>
        <w:t>јавне</w:t>
      </w:r>
      <w:r>
        <w:rPr>
          <w:rFonts w:ascii="Times New Roman" w:hAnsi="Times New Roman"/>
          <w:sz w:val="24"/>
        </w:rPr>
      </w:r>
    </w:p>
    <w:p>
      <w:pPr>
        <w:pStyle w:val="BodyText"/>
        <w:spacing w:line="240" w:lineRule="auto"/>
        <w:ind w:right="182"/>
        <w:jc w:val="both"/>
      </w:pPr>
      <w:r>
        <w:rPr>
          <w:rFonts w:ascii="Times New Roman" w:hAnsi="Times New Roman"/>
        </w:rPr>
      </w:r>
      <w:r>
        <w:rPr>
          <w:rFonts w:ascii="Times New Roman" w:hAnsi="Times New Roman"/>
          <w:spacing w:val="-60"/>
          <w:u w:val="single" w:color="000000"/>
        </w:rPr>
        <w:t> </w:t>
      </w:r>
      <w:r>
        <w:rPr>
          <w:u w:val="single" w:color="000000"/>
        </w:rPr>
        <w:t>набавке </w:t>
      </w:r>
      <w:r>
        <w:rPr/>
        <w:t>за износ од 89.752 хиљаде динара услед неправилног евидентирања обавезе по </w:t>
      </w:r>
      <w:r>
        <w:rPr/>
        <w:t>кредиту према Европској банци за обнову и развој, што је супротно члану 9. Уредбе о буџетском рачуноводству и Правилнику о стандардном класификационом оквиру и контном плану за буџетски</w:t>
      </w:r>
      <w:r>
        <w:rPr>
          <w:spacing w:val="-17"/>
        </w:rPr>
        <w:t> </w:t>
      </w:r>
      <w:r>
        <w:rPr/>
        <w:t>систем.</w:t>
      </w:r>
    </w:p>
    <w:p>
      <w:pPr>
        <w:pStyle w:val="Heading2"/>
        <w:spacing w:line="240" w:lineRule="auto"/>
        <w:ind w:right="172"/>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spacing w:line="240" w:lineRule="auto" w:before="0"/>
        <w:ind w:left="160" w:right="179"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Финансијска имовина, конто 311400 – </w:t>
      </w:r>
      <w:r>
        <w:rPr>
          <w:rFonts w:ascii="Times New Roman" w:hAnsi="Times New Roman" w:cs="Times New Roman" w:eastAsia="Times New Roman" w:hint="default"/>
          <w:sz w:val="24"/>
          <w:szCs w:val="24"/>
        </w:rPr>
        <w:t>Исказана је у износу од 11.174 хиљаде динара и то</w:t>
      </w:r>
      <w:r>
        <w:rPr>
          <w:rFonts w:ascii="Times New Roman" w:hAnsi="Times New Roman" w:cs="Times New Roman" w:eastAsia="Times New Roman" w:hint="default"/>
          <w:spacing w:val="-4"/>
          <w:sz w:val="24"/>
          <w:szCs w:val="24"/>
        </w:rPr>
        <w:t> </w:t>
      </w:r>
      <w:r>
        <w:rPr>
          <w:rFonts w:ascii="Times New Roman" w:hAnsi="Times New Roman" w:cs="Times New Roman" w:eastAsia="Times New Roman" w:hint="default"/>
          <w:sz w:val="24"/>
          <w:szCs w:val="24"/>
        </w:rPr>
        <w:t>код:</w:t>
      </w:r>
    </w:p>
    <w:p>
      <w:pPr>
        <w:spacing w:after="0" w:line="240" w:lineRule="auto"/>
        <w:jc w:val="both"/>
        <w:rPr>
          <w:rFonts w:ascii="Times New Roman" w:hAnsi="Times New Roman" w:cs="Times New Roman" w:eastAsia="Times New Roman" w:hint="default"/>
          <w:sz w:val="24"/>
          <w:szCs w:val="24"/>
        </w:rPr>
        <w:sectPr>
          <w:pgSz w:w="12240" w:h="15840"/>
          <w:pgMar w:header="740" w:footer="1504" w:top="120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ListParagraph"/>
        <w:numPr>
          <w:ilvl w:val="0"/>
          <w:numId w:val="108"/>
        </w:numPr>
        <w:tabs>
          <w:tab w:pos="303" w:val="left" w:leader="none"/>
        </w:tabs>
        <w:spacing w:line="240" w:lineRule="auto" w:before="6" w:after="0"/>
        <w:ind w:left="160" w:right="0"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финансије, изворне приходе локалне самоуправе и јавне набавке </w:t>
      </w:r>
      <w:r>
        <w:rPr>
          <w:rFonts w:ascii="Times New Roman" w:hAnsi="Times New Roman"/>
          <w:sz w:val="24"/>
        </w:rPr>
        <w:t>у износу </w:t>
      </w:r>
      <w:r>
        <w:rPr>
          <w:rFonts w:ascii="Times New Roman" w:hAnsi="Times New Roman"/>
          <w:spacing w:val="59"/>
          <w:sz w:val="24"/>
        </w:rPr>
        <w:t> </w:t>
      </w:r>
      <w:r>
        <w:rPr>
          <w:rFonts w:ascii="Times New Roman" w:hAnsi="Times New Roman"/>
          <w:sz w:val="24"/>
        </w:rPr>
        <w:t>од</w:t>
      </w:r>
    </w:p>
    <w:p>
      <w:pPr>
        <w:pStyle w:val="BodyText"/>
        <w:spacing w:line="240" w:lineRule="auto"/>
        <w:ind w:right="0"/>
        <w:jc w:val="both"/>
      </w:pPr>
      <w:r>
        <w:rPr>
          <w:rFonts w:ascii="Times New Roman" w:hAnsi="Times New Roman"/>
        </w:rPr>
        <w:t>4.337 </w:t>
      </w:r>
      <w:r>
        <w:rPr/>
        <w:t>хиљада динара, на име учешћа у капиталу</w:t>
      </w:r>
      <w:r>
        <w:rPr>
          <w:spacing w:val="-21"/>
        </w:rPr>
        <w:t> </w:t>
      </w:r>
      <w:r>
        <w:rPr/>
        <w:t>предузећа.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Ова позиција више је исказана за износ од 4.237 хиљада динара за више исказану вредност домаћих акција и</w:t>
      </w:r>
      <w:r>
        <w:rPr>
          <w:rFonts w:ascii="Times New Roman" w:hAnsi="Times New Roman"/>
          <w:spacing w:val="-12"/>
          <w:sz w:val="24"/>
        </w:rPr>
        <w:t> </w:t>
      </w:r>
      <w:r>
        <w:rPr>
          <w:rFonts w:ascii="Times New Roman" w:hAnsi="Times New Roman"/>
          <w:sz w:val="24"/>
        </w:rPr>
        <w:t>капитала.</w:t>
      </w:r>
    </w:p>
    <w:p>
      <w:pPr>
        <w:pStyle w:val="ListParagraph"/>
        <w:numPr>
          <w:ilvl w:val="0"/>
          <w:numId w:val="9"/>
        </w:numPr>
        <w:tabs>
          <w:tab w:pos="363" w:val="left" w:leader="none"/>
        </w:tabs>
        <w:spacing w:line="240" w:lineRule="auto" w:before="2" w:after="0"/>
        <w:ind w:left="160" w:right="17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Ова билансна позиција мање је исказана за износ од најмање 2.106.464 хиљаде динара  и то за 2.016.712 хиљада динара на име неевидентираних учешћа у капиталу јавних предузећа и привредних друштава, за износ од 89.752 хиљаде динара по основу кредита узетог од Европске банке за обнову и развој а за потребе ЈКП „Наисус“ услед неевидентирања и за вредност учешћа у капиталу Регионалне развојне агенције „Југ“  доо,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систем.</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Ова позиција мање је исказана за износ од 50 хиљада динара на име уплаћеног оснивачког улога Завода за геронтологију и палијативно збрињавање Ниш дана 27.11.2014. године са раздела 3. Управа, глава 3.2.</w:t>
      </w:r>
      <w:r>
        <w:rPr>
          <w:rFonts w:ascii="Times New Roman" w:hAnsi="Times New Roman"/>
          <w:sz w:val="24"/>
        </w:rPr>
        <w:t>-</w:t>
      </w:r>
      <w:r>
        <w:rPr>
          <w:rFonts w:ascii="Times New Roman" w:hAnsi="Times New Roman"/>
          <w:sz w:val="24"/>
        </w:rPr>
        <w:t>Управа за финансије, изворне приходе локалне самоуправе и јавне набавке, док је учешће неправилно исказано у билансу стања града</w:t>
      </w:r>
      <w:r>
        <w:rPr>
          <w:rFonts w:ascii="Times New Roman" w:hAnsi="Times New Roman"/>
          <w:spacing w:val="-3"/>
          <w:sz w:val="24"/>
        </w:rPr>
        <w:t> </w:t>
      </w:r>
      <w:r>
        <w:rPr>
          <w:rFonts w:ascii="Times New Roman" w:hAnsi="Times New Roman"/>
          <w:sz w:val="24"/>
        </w:rPr>
        <w:t>Ниша.</w:t>
      </w:r>
    </w:p>
    <w:p>
      <w:pPr>
        <w:pStyle w:val="Heading2"/>
        <w:spacing w:line="240" w:lineRule="auto"/>
        <w:ind w:right="173"/>
        <w:jc w:val="both"/>
        <w:rPr>
          <w:b w:val="0"/>
          <w:bCs w:val="0"/>
          <w:i w:val="0"/>
        </w:rPr>
      </w:pPr>
      <w:r>
        <w:rPr>
          <w:i/>
        </w:rPr>
        <w:t>Препоручује се одговорним лицима да евидентирају учешћа у капиталу код својих јавних предузећа и оснивачке улоге у привредна друштва,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5"/>
        </w:rPr>
        <w:t> </w:t>
      </w:r>
      <w:r>
        <w:rPr>
          <w:i/>
        </w:rPr>
        <w:t>систем.</w:t>
      </w:r>
      <w:r>
        <w:rPr>
          <w:b w:val="0"/>
          <w:i w:val="0"/>
        </w:rPr>
      </w:r>
    </w:p>
    <w:p>
      <w:pPr>
        <w:pStyle w:val="ListParagraph"/>
        <w:numPr>
          <w:ilvl w:val="0"/>
          <w:numId w:val="108"/>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Управе за дечију, социјалну и примарну здравствену заштиту </w:t>
      </w:r>
      <w:r>
        <w:rPr>
          <w:rFonts w:ascii="Times New Roman" w:hAnsi="Times New Roman" w:cs="Times New Roman" w:eastAsia="Times New Roman" w:hint="default"/>
          <w:sz w:val="24"/>
          <w:szCs w:val="24"/>
        </w:rPr>
        <w:t>у износу од 266 хиљада </w:t>
      </w:r>
      <w:r>
        <w:rPr>
          <w:rFonts w:ascii="Times New Roman" w:hAnsi="Times New Roman" w:cs="Times New Roman" w:eastAsia="Times New Roman" w:hint="default"/>
          <w:sz w:val="24"/>
          <w:szCs w:val="24"/>
        </w:rPr>
        <w:t>динара за исказану финансијску имовину код Установе</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„Мара“.</w:t>
      </w:r>
    </w:p>
    <w:p>
      <w:pPr>
        <w:pStyle w:val="BodyText"/>
        <w:spacing w:line="240" w:lineRule="auto"/>
        <w:ind w:right="177" w:firstLine="566"/>
        <w:jc w:val="both"/>
      </w:pPr>
      <w:r>
        <w:rPr>
          <w:rFonts w:ascii="Times New Roman" w:hAnsi="Times New Roman" w:cs="Times New Roman" w:eastAsia="Times New Roman" w:hint="default"/>
          <w:b/>
          <w:bCs/>
        </w:rPr>
        <w:t>На основу ревизије узорковане документације утврђено је </w:t>
      </w:r>
      <w:r>
        <w:rPr/>
        <w:t>да је вредност финансијске имовине код Установе „Мара“ исказана у већем износу од 266 хиљада динара. Истовремено, за исти износ мање је исказана вредност на позицији  нераспоређени вишак прихода и примања из ранијих година, субаналитички конто </w:t>
      </w:r>
      <w:r>
        <w:rPr>
          <w:rFonts w:ascii="Times New Roman" w:hAnsi="Times New Roman" w:cs="Times New Roman" w:eastAsia="Times New Roman" w:hint="default"/>
        </w:rPr>
        <w:t>321311  (</w:t>
      </w:r>
      <w:r>
        <w:rPr/>
        <w:t>средства се налазе на текућем рачуну у новчаном</w:t>
      </w:r>
      <w:r>
        <w:rPr>
          <w:spacing w:val="-19"/>
        </w:rPr>
        <w:t> </w:t>
      </w:r>
      <w:r>
        <w:rPr/>
        <w:t>облику).</w:t>
      </w:r>
    </w:p>
    <w:p>
      <w:pPr>
        <w:pStyle w:val="Heading2"/>
        <w:spacing w:line="240" w:lineRule="auto"/>
        <w:ind w:right="174" w:firstLine="626"/>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rFonts w:ascii="Times New Roman" w:hAnsi="Times New Roman"/>
          <w:i/>
        </w:rPr>
        <w:t>.</w:t>
      </w:r>
      <w:r>
        <w:rPr>
          <w:rFonts w:ascii="Times New Roman" w:hAnsi="Times New Roman"/>
          <w:b w:val="0"/>
          <w:i w:val="0"/>
        </w:rPr>
      </w:r>
    </w:p>
    <w:p>
      <w:pPr>
        <w:pStyle w:val="ListParagraph"/>
        <w:numPr>
          <w:ilvl w:val="0"/>
          <w:numId w:val="108"/>
        </w:numPr>
        <w:tabs>
          <w:tab w:pos="303" w:val="left" w:leader="none"/>
        </w:tabs>
        <w:spacing w:line="271"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 буџету града Ниша </w:t>
      </w:r>
      <w:r>
        <w:rPr>
          <w:rFonts w:ascii="Times New Roman" w:hAnsi="Times New Roman"/>
          <w:sz w:val="24"/>
        </w:rPr>
        <w:t>исказан је износ од 6.571 хиљаде</w:t>
      </w:r>
      <w:r>
        <w:rPr>
          <w:rFonts w:ascii="Times New Roman" w:hAnsi="Times New Roman"/>
          <w:spacing w:val="-10"/>
          <w:sz w:val="24"/>
        </w:rPr>
        <w:t> </w:t>
      </w:r>
      <w:r>
        <w:rPr>
          <w:rFonts w:ascii="Times New Roman" w:hAnsi="Times New Roman"/>
          <w:sz w:val="24"/>
        </w:rPr>
        <w:t>динара</w:t>
      </w:r>
      <w:r>
        <w:rPr>
          <w:rFonts w:ascii="Times New Roman" w:hAnsi="Times New Roman"/>
          <w:sz w:val="24"/>
        </w:rPr>
        <w:t>.</w:t>
      </w:r>
    </w:p>
    <w:p>
      <w:pPr>
        <w:spacing w:before="0"/>
        <w:ind w:left="160" w:right="173"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је ова позиција више исказана за износ од укупно </w:t>
      </w:r>
      <w:r>
        <w:rPr>
          <w:rFonts w:ascii="Times New Roman" w:hAnsi="Times New Roman"/>
          <w:sz w:val="24"/>
        </w:rPr>
        <w:t>1.59</w:t>
      </w:r>
      <w:r>
        <w:rPr>
          <w:rFonts w:ascii="Times New Roman" w:hAnsi="Times New Roman"/>
          <w:sz w:val="24"/>
        </w:rPr>
        <w:t>7 хиљада динара за више исказану вредност домаћих акција и</w:t>
      </w:r>
      <w:r>
        <w:rPr>
          <w:rFonts w:ascii="Times New Roman" w:hAnsi="Times New Roman"/>
          <w:spacing w:val="-10"/>
          <w:sz w:val="24"/>
        </w:rPr>
        <w:t> </w:t>
      </w:r>
      <w:r>
        <w:rPr>
          <w:rFonts w:ascii="Times New Roman" w:hAnsi="Times New Roman"/>
          <w:sz w:val="24"/>
        </w:rPr>
        <w:t>капитала.</w:t>
      </w:r>
    </w:p>
    <w:p>
      <w:pPr>
        <w:pStyle w:val="Heading2"/>
        <w:spacing w:line="240" w:lineRule="auto"/>
        <w:ind w:right="172"/>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i/>
        </w:rPr>
        <w:t>.</w:t>
      </w:r>
      <w:r>
        <w:rPr>
          <w:rFonts w:ascii="Times New Roman" w:hAnsi="Times New Roman"/>
          <w:b w:val="0"/>
          <w:i w:val="0"/>
        </w:rPr>
      </w:r>
    </w:p>
    <w:p>
      <w:pPr>
        <w:pStyle w:val="ListParagraph"/>
        <w:numPr>
          <w:ilvl w:val="0"/>
          <w:numId w:val="108"/>
        </w:numPr>
        <w:tabs>
          <w:tab w:pos="303" w:val="left" w:leader="none"/>
        </w:tabs>
        <w:spacing w:line="271"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У Билансу стања </w:t>
      </w:r>
      <w:r>
        <w:rPr>
          <w:rFonts w:ascii="Times New Roman" w:hAnsi="Times New Roman"/>
          <w:sz w:val="24"/>
        </w:rPr>
      </w:r>
      <w:r>
        <w:rPr>
          <w:rFonts w:ascii="Times New Roman" w:hAnsi="Times New Roman"/>
          <w:sz w:val="24"/>
          <w:u w:val="single" w:color="000000"/>
        </w:rPr>
      </w:r>
      <w:r>
        <w:rPr>
          <w:rFonts w:ascii="Times New Roman" w:hAnsi="Times New Roman"/>
          <w:sz w:val="24"/>
          <w:u w:val="single" w:color="000000"/>
        </w:rPr>
        <w:t>Управе за омладину и спорт </w:t>
      </w:r>
      <w:r>
        <w:rPr>
          <w:rFonts w:ascii="Times New Roman" w:hAnsi="Times New Roman"/>
          <w:sz w:val="24"/>
        </w:rPr>
        <w:t>није исказан</w:t>
      </w:r>
      <w:r>
        <w:rPr>
          <w:rFonts w:ascii="Times New Roman" w:hAnsi="Times New Roman"/>
          <w:spacing w:val="-19"/>
          <w:sz w:val="24"/>
        </w:rPr>
        <w:t> </w:t>
      </w:r>
      <w:r>
        <w:rPr>
          <w:rFonts w:ascii="Times New Roman" w:hAnsi="Times New Roman"/>
          <w:sz w:val="24"/>
        </w:rPr>
        <w:t>износ.</w:t>
      </w:r>
    </w:p>
    <w:p>
      <w:pPr>
        <w:pStyle w:val="BodyText"/>
        <w:spacing w:line="240" w:lineRule="auto"/>
        <w:ind w:right="173" w:firstLine="566"/>
        <w:jc w:val="both"/>
      </w:pPr>
      <w:r>
        <w:rPr>
          <w:rFonts w:ascii="Times New Roman" w:hAnsi="Times New Roman"/>
          <w:b/>
        </w:rPr>
        <w:t>На основу ревизије узорковане документације утврђено је </w:t>
      </w:r>
      <w:r>
        <w:rPr/>
        <w:t>да обзиром да је код СЦ Чаир евидентирана дугорочна финансијска имовина у износу од 282 хиљаде динара, мање је исказана финансијска имовина у износу од 282 хиљаде динара. Како је у поступку ревизије утврђено да је вредност дугорочне домаће финансијске имовине 122 хиљаде динара, то финансијска имовина није исказана у износу од 122 хиљаде</w:t>
      </w:r>
      <w:r>
        <w:rPr>
          <w:spacing w:val="-24"/>
        </w:rPr>
        <w:t> </w:t>
      </w:r>
      <w:r>
        <w:rPr/>
        <w:t>динара.</w:t>
      </w:r>
    </w:p>
    <w:p>
      <w:pPr>
        <w:spacing w:after="0" w:line="240" w:lineRule="auto"/>
        <w:jc w:val="both"/>
        <w:sectPr>
          <w:pgSz w:w="12240" w:h="15840"/>
          <w:pgMar w:header="740" w:footer="1504" w:top="120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Heading2"/>
        <w:spacing w:line="240" w:lineRule="auto" w:before="11"/>
        <w:ind w:right="172"/>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spacing w:line="240" w:lineRule="auto" w:before="0"/>
        <w:ind w:left="160" w:right="175"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Извори новчаних средстава, конто 311500 </w:t>
      </w:r>
      <w:r>
        <w:rPr>
          <w:rFonts w:ascii="Times New Roman" w:hAnsi="Times New Roman" w:cs="Times New Roman" w:eastAsia="Times New Roman" w:hint="default"/>
          <w:sz w:val="24"/>
          <w:szCs w:val="24"/>
        </w:rPr>
        <w:t>– Исказан је износ од 4.797 хиљада динара и то</w:t>
      </w:r>
      <w:r>
        <w:rPr>
          <w:rFonts w:ascii="Times New Roman" w:hAnsi="Times New Roman" w:cs="Times New Roman" w:eastAsia="Times New Roman" w:hint="default"/>
          <w:spacing w:val="-4"/>
          <w:sz w:val="24"/>
          <w:szCs w:val="24"/>
        </w:rPr>
        <w:t> </w:t>
      </w:r>
      <w:r>
        <w:rPr>
          <w:rFonts w:ascii="Times New Roman" w:hAnsi="Times New Roman" w:cs="Times New Roman" w:eastAsia="Times New Roman" w:hint="default"/>
          <w:sz w:val="24"/>
          <w:szCs w:val="24"/>
        </w:rPr>
        <w:t>код:</w:t>
      </w:r>
    </w:p>
    <w:p>
      <w:pPr>
        <w:pStyle w:val="BodyText"/>
        <w:spacing w:line="240" w:lineRule="auto"/>
        <w:ind w:right="179"/>
        <w:jc w:val="both"/>
      </w:pPr>
      <w:r>
        <w:rPr>
          <w:rFonts w:ascii="Times New Roman" w:hAnsi="Times New Roman"/>
        </w:rPr>
        <w:t>- </w:t>
      </w:r>
      <w:r>
        <w:rPr>
          <w:rFonts w:ascii="Times New Roman" w:hAnsi="Times New Roman"/>
        </w:rPr>
      </w:r>
      <w:r>
        <w:rPr>
          <w:rFonts w:ascii="Times New Roman" w:hAnsi="Times New Roman"/>
          <w:u w:val="single" w:color="000000"/>
        </w:rPr>
      </w:r>
      <w:r>
        <w:rPr>
          <w:u w:val="single" w:color="000000"/>
        </w:rPr>
        <w:t>Управе за омладину и спорт </w:t>
      </w:r>
      <w:r>
        <w:rPr/>
        <w:t>у износу од 1.425 хиљада динара за исказане изворе </w:t>
      </w:r>
      <w:r>
        <w:rPr/>
        <w:t>новчаних средстава код СЦ</w:t>
      </w:r>
      <w:r>
        <w:rPr>
          <w:spacing w:val="-9"/>
        </w:rPr>
        <w:t> </w:t>
      </w:r>
      <w:r>
        <w:rPr/>
        <w:t>Чаир.</w:t>
      </w:r>
    </w:p>
    <w:p>
      <w:pPr>
        <w:spacing w:before="0"/>
        <w:ind w:left="160" w:right="179"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су код СЦ Чаир извори новчаних средстава више исказани у износу од 1.425 хиљада</w:t>
      </w:r>
      <w:r>
        <w:rPr>
          <w:rFonts w:ascii="Times New Roman" w:hAnsi="Times New Roman"/>
          <w:spacing w:val="-18"/>
          <w:sz w:val="24"/>
        </w:rPr>
        <w:t> </w:t>
      </w:r>
      <w:r>
        <w:rPr>
          <w:rFonts w:ascii="Times New Roman" w:hAnsi="Times New Roman"/>
          <w:sz w:val="24"/>
        </w:rPr>
        <w:t>динара</w:t>
      </w:r>
      <w:r>
        <w:rPr>
          <w:rFonts w:ascii="Times New Roman" w:hAnsi="Times New Roman"/>
          <w:sz w:val="24"/>
        </w:rPr>
        <w:t>.</w:t>
      </w:r>
    </w:p>
    <w:p>
      <w:pPr>
        <w:pStyle w:val="Heading2"/>
        <w:spacing w:line="240" w:lineRule="auto"/>
        <w:ind w:right="172"/>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i/>
        </w:rPr>
        <w:t>.</w:t>
      </w:r>
      <w:r>
        <w:rPr>
          <w:rFonts w:ascii="Times New Roman" w:hAnsi="Times New Roman"/>
          <w:b w:val="0"/>
          <w:i w:val="0"/>
        </w:rPr>
      </w:r>
    </w:p>
    <w:p>
      <w:pPr>
        <w:pStyle w:val="BodyText"/>
        <w:spacing w:line="240" w:lineRule="auto"/>
        <w:ind w:left="302" w:right="141" w:hanging="142"/>
        <w:jc w:val="left"/>
      </w:pPr>
      <w:r>
        <w:rPr>
          <w:rFonts w:ascii="Times New Roman" w:hAnsi="Times New Roman"/>
          <w:b/>
        </w:rPr>
        <w:t>- </w:t>
      </w:r>
      <w:r>
        <w:rPr>
          <w:rFonts w:ascii="Times New Roman" w:hAnsi="Times New Roman"/>
        </w:rPr>
      </w:r>
      <w:r>
        <w:rPr>
          <w:rFonts w:ascii="Times New Roman" w:hAnsi="Times New Roman"/>
          <w:u w:val="single" w:color="000000"/>
        </w:rPr>
      </w:r>
      <w:r>
        <w:rPr>
          <w:u w:val="single" w:color="000000"/>
        </w:rPr>
        <w:t>Управе за привреду, одрживи развој и заштиту животне средине </w:t>
      </w:r>
      <w:r>
        <w:rPr/>
        <w:t>у износу од 16 хиљада </w:t>
      </w:r>
      <w:r>
        <w:rPr/>
        <w:t>динара за исказане изворе новчаних средстава код Туристичке</w:t>
      </w:r>
      <w:r>
        <w:rPr>
          <w:spacing w:val="-21"/>
        </w:rPr>
        <w:t> </w:t>
      </w:r>
      <w:r>
        <w:rPr/>
        <w:t>организације.</w:t>
      </w:r>
    </w:p>
    <w:p>
      <w:pPr>
        <w:spacing w:before="0"/>
        <w:ind w:left="160" w:right="175"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су извори  новчаних средстава више исказани код Туристичке организације у износу од 16 хиљада динара, по основу обрачунате амортизације, од које су средства потрошена ранијих година.</w:t>
      </w:r>
    </w:p>
    <w:p>
      <w:pPr>
        <w:pStyle w:val="Heading2"/>
        <w:spacing w:line="240" w:lineRule="auto"/>
        <w:ind w:right="172"/>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ListParagraph"/>
        <w:numPr>
          <w:ilvl w:val="0"/>
          <w:numId w:val="109"/>
        </w:numPr>
        <w:tabs>
          <w:tab w:pos="36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културу </w:t>
      </w:r>
      <w:r>
        <w:rPr>
          <w:rFonts w:ascii="Times New Roman" w:hAnsi="Times New Roman"/>
          <w:sz w:val="24"/>
        </w:rPr>
        <w:t>у износу од 3.356 хиљада динара за исказане изворе новчаних </w:t>
      </w:r>
      <w:r>
        <w:rPr>
          <w:rFonts w:ascii="Times New Roman" w:hAnsi="Times New Roman"/>
          <w:sz w:val="24"/>
        </w:rPr>
        <w:t>средстава код: Народне библиотеке у износу од 65 хиљада динара, Позоришта лутака у износу од 437 хиљада динара, Народног позоришта у износу од 185 хиљада динара, Нишког симфонијског оркестра у износу од 209 хиљада динара, Галерије савремене ликовне уметности у износу од 379 хиљада динара, по основу средстава амортизације грађевинских</w:t>
      </w:r>
      <w:r>
        <w:rPr>
          <w:rFonts w:ascii="Times New Roman" w:hAnsi="Times New Roman"/>
          <w:spacing w:val="35"/>
          <w:sz w:val="24"/>
        </w:rPr>
        <w:t> </w:t>
      </w:r>
      <w:r>
        <w:rPr>
          <w:rFonts w:ascii="Times New Roman" w:hAnsi="Times New Roman"/>
          <w:sz w:val="24"/>
        </w:rPr>
        <w:t>објеката,</w:t>
      </w:r>
      <w:r>
        <w:rPr>
          <w:rFonts w:ascii="Times New Roman" w:hAnsi="Times New Roman"/>
          <w:spacing w:val="31"/>
          <w:sz w:val="24"/>
        </w:rPr>
        <w:t> </w:t>
      </w:r>
      <w:r>
        <w:rPr>
          <w:rFonts w:ascii="Times New Roman" w:hAnsi="Times New Roman"/>
          <w:sz w:val="24"/>
        </w:rPr>
        <w:t>опреме</w:t>
      </w:r>
      <w:r>
        <w:rPr>
          <w:rFonts w:ascii="Times New Roman" w:hAnsi="Times New Roman"/>
          <w:spacing w:val="32"/>
          <w:sz w:val="24"/>
        </w:rPr>
        <w:t> </w:t>
      </w:r>
      <w:r>
        <w:rPr>
          <w:rFonts w:ascii="Times New Roman" w:hAnsi="Times New Roman"/>
          <w:sz w:val="24"/>
        </w:rPr>
        <w:t>и</w:t>
      </w:r>
      <w:r>
        <w:rPr>
          <w:rFonts w:ascii="Times New Roman" w:hAnsi="Times New Roman"/>
          <w:spacing w:val="34"/>
          <w:sz w:val="24"/>
        </w:rPr>
        <w:t> </w:t>
      </w:r>
      <w:r>
        <w:rPr>
          <w:rFonts w:ascii="Times New Roman" w:hAnsi="Times New Roman"/>
          <w:sz w:val="24"/>
        </w:rPr>
        <w:t>нематеријалне</w:t>
      </w:r>
      <w:r>
        <w:rPr>
          <w:rFonts w:ascii="Times New Roman" w:hAnsi="Times New Roman"/>
          <w:spacing w:val="32"/>
          <w:sz w:val="24"/>
        </w:rPr>
        <w:t> </w:t>
      </w:r>
      <w:r>
        <w:rPr>
          <w:rFonts w:ascii="Times New Roman" w:hAnsi="Times New Roman"/>
          <w:sz w:val="24"/>
        </w:rPr>
        <w:t>имовине</w:t>
      </w:r>
      <w:r>
        <w:rPr>
          <w:rFonts w:ascii="Times New Roman" w:hAnsi="Times New Roman"/>
          <w:sz w:val="24"/>
        </w:rPr>
        <w:t>,</w:t>
      </w:r>
      <w:r>
        <w:rPr>
          <w:rFonts w:ascii="Times New Roman" w:hAnsi="Times New Roman"/>
          <w:spacing w:val="34"/>
          <w:sz w:val="24"/>
        </w:rPr>
        <w:t> </w:t>
      </w:r>
      <w:r>
        <w:rPr>
          <w:rFonts w:ascii="Times New Roman" w:hAnsi="Times New Roman"/>
          <w:sz w:val="24"/>
        </w:rPr>
        <w:t>Народног</w:t>
      </w:r>
      <w:r>
        <w:rPr>
          <w:rFonts w:ascii="Times New Roman" w:hAnsi="Times New Roman"/>
          <w:spacing w:val="33"/>
          <w:sz w:val="24"/>
        </w:rPr>
        <w:t> </w:t>
      </w:r>
      <w:r>
        <w:rPr>
          <w:rFonts w:ascii="Times New Roman" w:hAnsi="Times New Roman"/>
          <w:sz w:val="24"/>
        </w:rPr>
        <w:t>музеја</w:t>
      </w:r>
      <w:r>
        <w:rPr>
          <w:rFonts w:ascii="Times New Roman" w:hAnsi="Times New Roman"/>
          <w:spacing w:val="40"/>
          <w:sz w:val="24"/>
        </w:rPr>
        <w:t> </w:t>
      </w:r>
      <w:r>
        <w:rPr>
          <w:rFonts w:ascii="Times New Roman" w:hAnsi="Times New Roman"/>
          <w:sz w:val="24"/>
        </w:rPr>
        <w:t>у</w:t>
      </w:r>
      <w:r>
        <w:rPr>
          <w:rFonts w:ascii="Times New Roman" w:hAnsi="Times New Roman"/>
          <w:spacing w:val="28"/>
          <w:sz w:val="24"/>
        </w:rPr>
        <w:t> </w:t>
      </w:r>
      <w:r>
        <w:rPr>
          <w:rFonts w:ascii="Times New Roman" w:hAnsi="Times New Roman"/>
          <w:sz w:val="24"/>
        </w:rPr>
        <w:t>износу</w:t>
      </w:r>
      <w:r>
        <w:rPr>
          <w:rFonts w:ascii="Times New Roman" w:hAnsi="Times New Roman"/>
          <w:spacing w:val="28"/>
          <w:sz w:val="24"/>
        </w:rPr>
        <w:t> </w:t>
      </w:r>
      <w:r>
        <w:rPr>
          <w:rFonts w:ascii="Times New Roman" w:hAnsi="Times New Roman"/>
          <w:sz w:val="24"/>
        </w:rPr>
        <w:t>од</w:t>
      </w:r>
    </w:p>
    <w:p>
      <w:pPr>
        <w:pStyle w:val="BodyText"/>
        <w:spacing w:line="240" w:lineRule="auto"/>
        <w:ind w:right="173"/>
        <w:jc w:val="both"/>
      </w:pPr>
      <w:r>
        <w:rPr/>
        <w:t>1.549 хиљада динара од амортизације из ранијег периода, Нишког културног центра у износу од 425 хиљада динара, по основу амортизације из ранијих година и Завода за заштиту споменика у износу од 107 хиљада</w:t>
      </w:r>
      <w:r>
        <w:rPr>
          <w:spacing w:val="-14"/>
        </w:rPr>
        <w:t> </w:t>
      </w:r>
      <w:r>
        <w:rPr/>
        <w:t>динара.</w:t>
      </w:r>
    </w:p>
    <w:p>
      <w:pPr>
        <w:pStyle w:val="BodyText"/>
        <w:spacing w:line="240" w:lineRule="auto"/>
        <w:ind w:right="173" w:firstLine="566"/>
        <w:jc w:val="both"/>
      </w:pPr>
      <w:r>
        <w:rPr>
          <w:rFonts w:ascii="Times New Roman" w:hAnsi="Times New Roman"/>
          <w:b/>
        </w:rPr>
        <w:t>На основу ревизије узорковане документације утврђено је </w:t>
      </w:r>
      <w:r>
        <w:rPr/>
        <w:t>да су стални извори новчаних средстава више исказани у укупном износу од 3.249 хиљада динара и то код: Народне библиотке у износу од 65 хиљада динара</w:t>
      </w:r>
      <w:r>
        <w:rPr>
          <w:rFonts w:ascii="Times New Roman" w:hAnsi="Times New Roman"/>
        </w:rPr>
        <w:t>, </w:t>
      </w:r>
      <w:r>
        <w:rPr/>
        <w:t>Позоришта лутака у износу од </w:t>
      </w:r>
      <w:r>
        <w:rPr>
          <w:rFonts w:ascii="Times New Roman" w:hAnsi="Times New Roman"/>
        </w:rPr>
        <w:t>437 </w:t>
      </w:r>
      <w:r>
        <w:rPr/>
        <w:t>хиљада динара, Народног позоришта у износу од 185 хиљада динара, Нишког симфонијског  оркестра  у износу од  209  хиљада  динара</w:t>
      </w:r>
      <w:r>
        <w:rPr>
          <w:rFonts w:ascii="Times New Roman" w:hAnsi="Times New Roman"/>
        </w:rPr>
        <w:t>,  </w:t>
      </w:r>
      <w:r>
        <w:rPr/>
        <w:t>Народног  музеја  у износу</w:t>
      </w:r>
      <w:r>
        <w:rPr>
          <w:spacing w:val="40"/>
        </w:rPr>
        <w:t> </w:t>
      </w:r>
      <w:r>
        <w:rPr/>
        <w:t>од</w:t>
      </w:r>
    </w:p>
    <w:p>
      <w:pPr>
        <w:pStyle w:val="BodyText"/>
        <w:spacing w:line="240" w:lineRule="auto"/>
        <w:ind w:right="175"/>
        <w:jc w:val="both"/>
        <w:rPr>
          <w:rFonts w:ascii="Times New Roman" w:hAnsi="Times New Roman" w:cs="Times New Roman" w:eastAsia="Times New Roman" w:hint="default"/>
        </w:rPr>
      </w:pPr>
      <w:r>
        <w:rPr/>
        <w:t>1.549 хиљада динара</w:t>
      </w:r>
      <w:r>
        <w:rPr>
          <w:rFonts w:ascii="Times New Roman" w:hAnsi="Times New Roman"/>
        </w:rPr>
        <w:t>, </w:t>
      </w:r>
      <w:r>
        <w:rPr/>
        <w:t>Галерије савремене ликовне уметности у износу од 379 хиљада динара, Нишког културног центра у износу од 425 хиљада динара</w:t>
      </w:r>
      <w:r>
        <w:rPr>
          <w:rFonts w:ascii="Times New Roman" w:hAnsi="Times New Roman"/>
        </w:rPr>
        <w:t>, </w:t>
      </w:r>
      <w:r>
        <w:rPr/>
        <w:t>услед неправилног евидентирања приликом утрошка ових средстава за издатке настале током година, што је супротно Правилнику о стандардном класификационом оквиру и контном плану за буџетски</w:t>
      </w:r>
      <w:r>
        <w:rPr>
          <w:spacing w:val="-8"/>
        </w:rPr>
        <w:t> </w:t>
      </w:r>
      <w:r>
        <w:rPr/>
        <w:t>систем</w:t>
      </w:r>
      <w:r>
        <w:rPr>
          <w:rFonts w:ascii="Times New Roman" w:hAnsi="Times New Roman"/>
        </w:rPr>
        <w:t>.</w:t>
      </w:r>
    </w:p>
    <w:p>
      <w:pPr>
        <w:pStyle w:val="Heading2"/>
        <w:spacing w:line="240" w:lineRule="auto"/>
        <w:ind w:right="182"/>
        <w:jc w:val="both"/>
        <w:rPr>
          <w:b w:val="0"/>
          <w:bCs w:val="0"/>
          <w:i w:val="0"/>
        </w:rPr>
      </w:pPr>
      <w:r>
        <w:rPr>
          <w:i/>
        </w:rPr>
        <w:t>Препоручује се одговорним лицима да обезбеде правилну примену одредби Правилника о стандардном класификационом оквиру и контном плану за буџетски систем.</w:t>
      </w:r>
      <w:r>
        <w:rPr>
          <w:b w:val="0"/>
          <w:i w:val="0"/>
        </w:rPr>
      </w:r>
    </w:p>
    <w:p>
      <w:pPr>
        <w:pStyle w:val="ListParagraph"/>
        <w:numPr>
          <w:ilvl w:val="0"/>
          <w:numId w:val="109"/>
        </w:numPr>
        <w:tabs>
          <w:tab w:pos="303" w:val="left" w:leader="none"/>
        </w:tabs>
        <w:spacing w:line="272"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У Билансу стања </w:t>
      </w:r>
      <w:r>
        <w:rPr>
          <w:rFonts w:ascii="Times New Roman" w:hAnsi="Times New Roman"/>
          <w:sz w:val="24"/>
        </w:rPr>
      </w:r>
      <w:r>
        <w:rPr>
          <w:rFonts w:ascii="Times New Roman" w:hAnsi="Times New Roman"/>
          <w:sz w:val="24"/>
          <w:u w:val="single" w:color="000000"/>
        </w:rPr>
      </w:r>
      <w:r>
        <w:rPr>
          <w:rFonts w:ascii="Times New Roman" w:hAnsi="Times New Roman"/>
          <w:sz w:val="24"/>
          <w:u w:val="single" w:color="000000"/>
        </w:rPr>
        <w:t>Управе за планирање и изградњу </w:t>
      </w:r>
      <w:r>
        <w:rPr>
          <w:rFonts w:ascii="Times New Roman" w:hAnsi="Times New Roman"/>
          <w:sz w:val="24"/>
        </w:rPr>
        <w:t>није исказан</w:t>
      </w:r>
      <w:r>
        <w:rPr>
          <w:rFonts w:ascii="Times New Roman" w:hAnsi="Times New Roman"/>
          <w:spacing w:val="-24"/>
          <w:sz w:val="24"/>
        </w:rPr>
        <w:t> </w:t>
      </w:r>
      <w:r>
        <w:rPr>
          <w:rFonts w:ascii="Times New Roman" w:hAnsi="Times New Roman"/>
          <w:sz w:val="24"/>
        </w:rPr>
        <w:t>податак.</w:t>
      </w:r>
    </w:p>
    <w:p>
      <w:pPr>
        <w:spacing w:before="0"/>
        <w:ind w:left="160" w:right="172"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је ова билансна позиција  исказана  у  мањем  износу  </w:t>
      </w:r>
      <w:r>
        <w:rPr>
          <w:rFonts w:ascii="Times New Roman" w:hAnsi="Times New Roman"/>
          <w:spacing w:val="-7"/>
          <w:sz w:val="24"/>
        </w:rPr>
        <w:t>код  </w:t>
      </w:r>
      <w:r>
        <w:rPr>
          <w:rFonts w:ascii="Times New Roman" w:hAnsi="Times New Roman"/>
          <w:sz w:val="24"/>
        </w:rPr>
        <w:t>ЈП  </w:t>
      </w:r>
      <w:r>
        <w:rPr>
          <w:rFonts w:ascii="Times New Roman" w:hAnsi="Times New Roman"/>
          <w:spacing w:val="-5"/>
          <w:sz w:val="24"/>
        </w:rPr>
        <w:t>ГСА  </w:t>
      </w:r>
      <w:r>
        <w:rPr>
          <w:rFonts w:ascii="Times New Roman" w:hAnsi="Times New Roman"/>
          <w:sz w:val="24"/>
        </w:rPr>
        <w:t>за  46.637  хиљада  динара,  јер   </w:t>
      </w:r>
      <w:r>
        <w:rPr>
          <w:rFonts w:ascii="Times New Roman" w:hAnsi="Times New Roman"/>
          <w:spacing w:val="27"/>
          <w:sz w:val="24"/>
        </w:rPr>
        <w:t> </w:t>
      </w:r>
      <w:r>
        <w:rPr>
          <w:rFonts w:ascii="Times New Roman" w:hAnsi="Times New Roman"/>
          <w:sz w:val="24"/>
        </w:rPr>
        <w:t>нису</w:t>
      </w:r>
    </w:p>
    <w:p>
      <w:pPr>
        <w:spacing w:after="0"/>
        <w:jc w:val="both"/>
        <w:rPr>
          <w:rFonts w:ascii="Times New Roman" w:hAnsi="Times New Roman" w:cs="Times New Roman" w:eastAsia="Times New Roman" w:hint="default"/>
          <w:sz w:val="24"/>
          <w:szCs w:val="24"/>
        </w:rPr>
        <w:sectPr>
          <w:pgSz w:w="12240" w:h="15840"/>
          <w:pgMar w:header="740" w:footer="1504" w:top="120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BodyText"/>
        <w:spacing w:line="240" w:lineRule="auto" w:before="6"/>
        <w:ind w:right="175"/>
        <w:jc w:val="both"/>
        <w:rPr>
          <w:rFonts w:ascii="Times New Roman" w:hAnsi="Times New Roman" w:cs="Times New Roman" w:eastAsia="Times New Roman" w:hint="default"/>
        </w:rPr>
      </w:pPr>
      <w:r>
        <w:rPr/>
        <w:t>евидентирани кредити физичким лицима и домаћинствима у земљи </w:t>
      </w:r>
      <w:r>
        <w:rPr>
          <w:rFonts w:ascii="Times New Roman" w:hAnsi="Times New Roman"/>
        </w:rPr>
        <w:t>- </w:t>
      </w:r>
      <w:r>
        <w:rPr>
          <w:spacing w:val="-4"/>
        </w:rPr>
        <w:t>конто </w:t>
      </w:r>
      <w:r>
        <w:rPr>
          <w:spacing w:val="-3"/>
        </w:rPr>
        <w:t>111600, </w:t>
      </w:r>
      <w:r>
        <w:rPr/>
        <w:t>што је </w:t>
      </w:r>
      <w:r>
        <w:rPr/>
        <w:t>супротно члану 9. Уредбе о буџетском рачуноводству и Правилнику о стандардном класификационом оквиру и контном плану за буџетски</w:t>
      </w:r>
      <w:r>
        <w:rPr>
          <w:spacing w:val="-24"/>
        </w:rPr>
        <w:t> </w:t>
      </w:r>
      <w:r>
        <w:rPr/>
        <w:t>систем</w:t>
      </w:r>
      <w:r>
        <w:rPr>
          <w:rFonts w:ascii="Times New Roman" w:hAnsi="Times New Roman"/>
        </w:rPr>
        <w:t>.</w:t>
      </w:r>
    </w:p>
    <w:p>
      <w:pPr>
        <w:pStyle w:val="Heading2"/>
        <w:spacing w:line="240" w:lineRule="auto"/>
        <w:ind w:right="172"/>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BodyText"/>
        <w:spacing w:line="271" w:lineRule="exact"/>
        <w:ind w:right="0"/>
        <w:jc w:val="both"/>
      </w:pPr>
      <w:r>
        <w:rPr>
          <w:rFonts w:ascii="Times New Roman" w:hAnsi="Times New Roman"/>
        </w:rPr>
        <w:t>- </w:t>
      </w:r>
      <w:r>
        <w:rPr/>
        <w:t>У Билансу стања </w:t>
      </w:r>
      <w:r>
        <w:rPr>
          <w:rFonts w:ascii="Times New Roman" w:hAnsi="Times New Roman"/>
        </w:rPr>
      </w:r>
      <w:r>
        <w:rPr>
          <w:rFonts w:ascii="Times New Roman" w:hAnsi="Times New Roman"/>
          <w:u w:val="single" w:color="000000"/>
        </w:rPr>
      </w:r>
      <w:r>
        <w:rPr>
          <w:u w:val="single" w:color="000000"/>
        </w:rPr>
        <w:t>Управе за имовину и инспекцијске послове </w:t>
      </w:r>
      <w:r>
        <w:rPr/>
        <w:t>није исказан</w:t>
      </w:r>
      <w:r>
        <w:rPr>
          <w:spacing w:val="-26"/>
        </w:rPr>
        <w:t> </w:t>
      </w:r>
      <w:r>
        <w:rPr/>
        <w:t>податак.</w:t>
      </w:r>
    </w:p>
    <w:p>
      <w:pPr>
        <w:pStyle w:val="BodyText"/>
        <w:spacing w:line="240" w:lineRule="auto"/>
        <w:ind w:right="172" w:firstLine="566"/>
        <w:jc w:val="right"/>
      </w:pPr>
      <w:r>
        <w:rPr>
          <w:rFonts w:ascii="Times New Roman" w:hAnsi="Times New Roman"/>
          <w:b/>
        </w:rPr>
        <w:t>На</w:t>
      </w:r>
      <w:r>
        <w:rPr>
          <w:rFonts w:ascii="Times New Roman" w:hAnsi="Times New Roman"/>
          <w:b/>
          <w:spacing w:val="39"/>
        </w:rPr>
        <w:t> </w:t>
      </w:r>
      <w:r>
        <w:rPr>
          <w:rFonts w:ascii="Times New Roman" w:hAnsi="Times New Roman"/>
          <w:b/>
        </w:rPr>
        <w:t>основу</w:t>
      </w:r>
      <w:r>
        <w:rPr>
          <w:rFonts w:ascii="Times New Roman" w:hAnsi="Times New Roman"/>
          <w:b/>
          <w:spacing w:val="39"/>
        </w:rPr>
        <w:t> </w:t>
      </w:r>
      <w:r>
        <w:rPr>
          <w:rFonts w:ascii="Times New Roman" w:hAnsi="Times New Roman"/>
          <w:b/>
        </w:rPr>
        <w:t>ревизије</w:t>
      </w:r>
      <w:r>
        <w:rPr>
          <w:rFonts w:ascii="Times New Roman" w:hAnsi="Times New Roman"/>
          <w:b/>
          <w:spacing w:val="37"/>
        </w:rPr>
        <w:t> </w:t>
      </w:r>
      <w:r>
        <w:rPr>
          <w:rFonts w:ascii="Times New Roman" w:hAnsi="Times New Roman"/>
          <w:b/>
        </w:rPr>
        <w:t>узорковане</w:t>
      </w:r>
      <w:r>
        <w:rPr>
          <w:rFonts w:ascii="Times New Roman" w:hAnsi="Times New Roman"/>
          <w:b/>
          <w:spacing w:val="37"/>
        </w:rPr>
        <w:t> </w:t>
      </w:r>
      <w:r>
        <w:rPr>
          <w:rFonts w:ascii="Times New Roman" w:hAnsi="Times New Roman"/>
          <w:b/>
        </w:rPr>
        <w:t>документације</w:t>
      </w:r>
      <w:r>
        <w:rPr>
          <w:rFonts w:ascii="Times New Roman" w:hAnsi="Times New Roman"/>
          <w:b/>
          <w:spacing w:val="36"/>
        </w:rPr>
        <w:t> </w:t>
      </w:r>
      <w:r>
        <w:rPr>
          <w:rFonts w:ascii="Times New Roman" w:hAnsi="Times New Roman"/>
          <w:b/>
        </w:rPr>
        <w:t>утврђено</w:t>
      </w:r>
      <w:r>
        <w:rPr>
          <w:rFonts w:ascii="Times New Roman" w:hAnsi="Times New Roman"/>
          <w:b/>
          <w:spacing w:val="38"/>
        </w:rPr>
        <w:t> </w:t>
      </w:r>
      <w:r>
        <w:rPr>
          <w:rFonts w:ascii="Times New Roman" w:hAnsi="Times New Roman"/>
          <w:b/>
        </w:rPr>
        <w:t>је</w:t>
      </w:r>
      <w:r>
        <w:rPr>
          <w:rFonts w:ascii="Times New Roman" w:hAnsi="Times New Roman"/>
          <w:b/>
          <w:spacing w:val="41"/>
        </w:rPr>
        <w:t> </w:t>
      </w:r>
      <w:r>
        <w:rPr/>
        <w:t>да</w:t>
      </w:r>
      <w:r>
        <w:rPr>
          <w:spacing w:val="37"/>
        </w:rPr>
        <w:t> </w:t>
      </w:r>
      <w:r>
        <w:rPr/>
        <w:t>је</w:t>
      </w:r>
      <w:r>
        <w:rPr>
          <w:spacing w:val="38"/>
        </w:rPr>
        <w:t> </w:t>
      </w:r>
      <w:r>
        <w:rPr/>
        <w:t>ова</w:t>
      </w:r>
      <w:r>
        <w:rPr>
          <w:spacing w:val="37"/>
        </w:rPr>
        <w:t> </w:t>
      </w:r>
      <w:r>
        <w:rPr/>
        <w:t>билансна</w:t>
      </w:r>
      <w:r>
        <w:rPr>
          <w:w w:val="100"/>
        </w:rPr>
        <w:t> </w:t>
      </w:r>
      <w:r>
        <w:rPr/>
        <w:t>позиција исказана у мањем износу </w:t>
      </w:r>
      <w:r>
        <w:rPr>
          <w:spacing w:val="-7"/>
        </w:rPr>
        <w:t>код </w:t>
      </w:r>
      <w:r>
        <w:rPr>
          <w:spacing w:val="-4"/>
        </w:rPr>
        <w:t>Управе </w:t>
      </w:r>
      <w:r>
        <w:rPr/>
        <w:t>за имовину и инспекцијске</w:t>
      </w:r>
      <w:r>
        <w:rPr>
          <w:spacing w:val="11"/>
        </w:rPr>
        <w:t> </w:t>
      </w:r>
      <w:r>
        <w:rPr/>
        <w:t>послове</w:t>
      </w:r>
      <w:r>
        <w:rPr>
          <w:spacing w:val="42"/>
        </w:rPr>
        <w:t> </w:t>
      </w:r>
      <w:r>
        <w:rPr/>
        <w:t>за</w:t>
      </w:r>
      <w:r>
        <w:rPr>
          <w:w w:val="100"/>
        </w:rPr>
        <w:t> </w:t>
      </w:r>
      <w:r>
        <w:rPr/>
        <w:t>вредност неотплаћених рата за станове дате у </w:t>
      </w:r>
      <w:r>
        <w:rPr>
          <w:spacing w:val="-3"/>
        </w:rPr>
        <w:t>откуп коју </w:t>
      </w:r>
      <w:r>
        <w:rPr/>
        <w:t>у</w:t>
      </w:r>
      <w:r>
        <w:rPr>
          <w:spacing w:val="26"/>
        </w:rPr>
        <w:t> </w:t>
      </w:r>
      <w:r>
        <w:rPr/>
        <w:t>поступку ревизије</w:t>
      </w:r>
      <w:r>
        <w:rPr>
          <w:spacing w:val="50"/>
        </w:rPr>
        <w:t> </w:t>
      </w:r>
      <w:r>
        <w:rPr/>
        <w:t>нисмо</w:t>
      </w:r>
      <w:r>
        <w:rPr/>
        <w:t> </w:t>
      </w:r>
      <w:r>
        <w:rPr>
          <w:spacing w:val="-3"/>
        </w:rPr>
        <w:t>могли </w:t>
      </w:r>
      <w:r>
        <w:rPr/>
        <w:t>да утврдимо јер </w:t>
      </w:r>
      <w:r>
        <w:rPr>
          <w:spacing w:val="-2"/>
        </w:rPr>
        <w:t>тачна </w:t>
      </w:r>
      <w:r>
        <w:rPr/>
        <w:t>и </w:t>
      </w:r>
      <w:r>
        <w:rPr>
          <w:spacing w:val="-3"/>
        </w:rPr>
        <w:t>поуздана </w:t>
      </w:r>
      <w:r>
        <w:rPr/>
        <w:t>евиденција о становима датих у </w:t>
      </w:r>
      <w:r>
        <w:rPr>
          <w:spacing w:val="-3"/>
        </w:rPr>
        <w:t>откуп </w:t>
      </w:r>
      <w:r>
        <w:rPr/>
        <w:t>не</w:t>
      </w:r>
      <w:r>
        <w:rPr>
          <w:spacing w:val="-1"/>
        </w:rPr>
        <w:t> </w:t>
      </w:r>
      <w:r>
        <w:rPr/>
        <w:t>постоји.</w:t>
      </w:r>
    </w:p>
    <w:p>
      <w:pPr>
        <w:pStyle w:val="Heading2"/>
        <w:spacing w:line="240" w:lineRule="auto"/>
        <w:ind w:right="172"/>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spacing w:line="240" w:lineRule="auto" w:before="0"/>
        <w:ind w:left="160" w:right="176"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Пренета неутрошена средства из ранијих година, конто 311700 </w:t>
      </w:r>
      <w:r>
        <w:rPr>
          <w:rFonts w:ascii="Times New Roman" w:hAnsi="Times New Roman" w:cs="Times New Roman" w:eastAsia="Times New Roman" w:hint="default"/>
          <w:sz w:val="24"/>
          <w:szCs w:val="24"/>
        </w:rPr>
        <w:t>– Исказан је износ од 271.615 хиљада динара и то</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код:</w:t>
      </w:r>
    </w:p>
    <w:p>
      <w:pPr>
        <w:pStyle w:val="BodyText"/>
        <w:spacing w:line="240" w:lineRule="auto"/>
        <w:ind w:right="183"/>
        <w:jc w:val="both"/>
      </w:pPr>
      <w:r>
        <w:rPr>
          <w:rFonts w:ascii="Times New Roman" w:hAnsi="Times New Roman"/>
        </w:rPr>
        <w:t>- </w:t>
      </w:r>
      <w:r>
        <w:rPr>
          <w:rFonts w:ascii="Times New Roman" w:hAnsi="Times New Roman"/>
        </w:rPr>
      </w:r>
      <w:r>
        <w:rPr>
          <w:rFonts w:ascii="Times New Roman" w:hAnsi="Times New Roman"/>
          <w:u w:val="single" w:color="000000"/>
        </w:rPr>
      </w:r>
      <w:r>
        <w:rPr>
          <w:u w:val="single" w:color="000000"/>
        </w:rPr>
        <w:t>Управе за образовање </w:t>
      </w:r>
      <w:r>
        <w:rPr/>
        <w:t>у износу од 584 хиљаде динара за исказана пренета неутрошена </w:t>
      </w:r>
      <w:r>
        <w:rPr/>
        <w:t>средства из ранијих година код Регионалног</w:t>
      </w:r>
      <w:r>
        <w:rPr>
          <w:spacing w:val="-18"/>
        </w:rPr>
        <w:t> </w:t>
      </w:r>
      <w:r>
        <w:rPr/>
        <w:t>центра.</w:t>
      </w:r>
    </w:p>
    <w:p>
      <w:pPr>
        <w:pStyle w:val="BodyText"/>
        <w:spacing w:line="240" w:lineRule="auto"/>
        <w:ind w:right="177" w:firstLine="566"/>
        <w:jc w:val="both"/>
      </w:pPr>
      <w:r>
        <w:rPr>
          <w:rFonts w:ascii="Times New Roman" w:hAnsi="Times New Roman"/>
          <w:b/>
        </w:rPr>
        <w:t>На основу ревизије узорковане документације утврђено је </w:t>
      </w:r>
      <w:r>
        <w:rPr/>
        <w:t>да су пренета неутрошена средства из ранијих година више исказана код Регионалног центра у износу од 584 хиљаде динара, због неправилног евидентирања, што је супротно члану 9. Уредбе о буџетском рачуноводству и Правилнику о стандардном касификационом оквиру и контном плану за буџетски</w:t>
      </w:r>
      <w:r>
        <w:rPr>
          <w:spacing w:val="-17"/>
        </w:rPr>
        <w:t> </w:t>
      </w:r>
      <w:r>
        <w:rPr/>
        <w:t>систем.</w:t>
      </w:r>
    </w:p>
    <w:p>
      <w:pPr>
        <w:pStyle w:val="Heading2"/>
        <w:spacing w:line="240" w:lineRule="auto"/>
        <w:ind w:right="172"/>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i/>
        </w:rPr>
        <w:t>.</w:t>
      </w:r>
      <w:r>
        <w:rPr>
          <w:rFonts w:ascii="Times New Roman" w:hAnsi="Times New Roman"/>
          <w:b w:val="0"/>
          <w:i w:val="0"/>
        </w:rPr>
      </w:r>
    </w:p>
    <w:p>
      <w:pPr>
        <w:pStyle w:val="BodyText"/>
        <w:spacing w:line="240" w:lineRule="auto"/>
        <w:ind w:right="173"/>
        <w:jc w:val="both"/>
      </w:pPr>
      <w:r>
        <w:rPr>
          <w:rFonts w:ascii="Times New Roman" w:hAnsi="Times New Roman"/>
          <w:b/>
          <w:i/>
        </w:rPr>
        <w:t>- </w:t>
      </w:r>
      <w:r>
        <w:rPr>
          <w:rFonts w:ascii="Times New Roman" w:hAnsi="Times New Roman"/>
        </w:rPr>
      </w:r>
      <w:r>
        <w:rPr>
          <w:rFonts w:ascii="Times New Roman" w:hAnsi="Times New Roman"/>
          <w:u w:val="single" w:color="000000"/>
        </w:rPr>
      </w:r>
      <w:r>
        <w:rPr>
          <w:u w:val="single" w:color="000000"/>
        </w:rPr>
        <w:t>Управе за културу </w:t>
      </w:r>
      <w:r>
        <w:rPr/>
        <w:t>у износу од 4.449 хиљада динара за исказана пренета неутрошена </w:t>
      </w:r>
      <w:r>
        <w:rPr/>
        <w:t>средства из ранијих година код: Позоришта лутака у износу од </w:t>
      </w:r>
      <w:r>
        <w:rPr>
          <w:rFonts w:ascii="Times New Roman" w:hAnsi="Times New Roman"/>
        </w:rPr>
        <w:t>424 </w:t>
      </w:r>
      <w:r>
        <w:rPr/>
        <w:t>хиљаде динара, Народног музеја у износу од 157 хиљада динара и Завода за заштиту споменика у износу од 3.868 хиљада</w:t>
      </w:r>
      <w:r>
        <w:rPr>
          <w:spacing w:val="-3"/>
        </w:rPr>
        <w:t> </w:t>
      </w:r>
      <w:r>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8"/>
        </w:rPr>
        <w:t> </w:t>
      </w:r>
      <w:r>
        <w:rPr/>
        <w:t>је:</w:t>
      </w:r>
      <w:r>
        <w:rPr>
          <w:b w:val="0"/>
        </w:rPr>
      </w:r>
    </w:p>
    <w:p>
      <w:pPr>
        <w:pStyle w:val="ListParagraph"/>
        <w:numPr>
          <w:ilvl w:val="0"/>
          <w:numId w:val="9"/>
        </w:numPr>
        <w:tabs>
          <w:tab w:pos="341"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Ова билансна позиција исказана је у већем износу од </w:t>
      </w:r>
      <w:r>
        <w:rPr>
          <w:rFonts w:ascii="Times New Roman" w:hAnsi="Times New Roman"/>
          <w:sz w:val="24"/>
        </w:rPr>
        <w:t>424 </w:t>
      </w:r>
      <w:r>
        <w:rPr>
          <w:rFonts w:ascii="Times New Roman" w:hAnsi="Times New Roman"/>
          <w:sz w:val="24"/>
        </w:rPr>
        <w:t>хиљаде динара код  Позоришта лутака, јер није затворена приликом утрошка ових средстава за издатке настале током година, што је супротно Правилнику о стандардном класификационом оквиру и контном плану за буџетски</w:t>
      </w:r>
      <w:r>
        <w:rPr>
          <w:rFonts w:ascii="Times New Roman" w:hAnsi="Times New Roman"/>
          <w:spacing w:val="-16"/>
          <w:sz w:val="24"/>
        </w:rPr>
        <w:t> </w:t>
      </w:r>
      <w:r>
        <w:rPr>
          <w:rFonts w:ascii="Times New Roman" w:hAnsi="Times New Roman"/>
          <w:sz w:val="24"/>
        </w:rPr>
        <w:t>систем</w:t>
      </w:r>
      <w:r>
        <w:rPr>
          <w:rFonts w:ascii="Times New Roman" w:hAnsi="Times New Roman"/>
          <w:sz w:val="24"/>
        </w:rPr>
        <w:t>.</w:t>
      </w:r>
    </w:p>
    <w:p>
      <w:pPr>
        <w:pStyle w:val="ListParagraph"/>
        <w:numPr>
          <w:ilvl w:val="0"/>
          <w:numId w:val="9"/>
        </w:numPr>
        <w:tabs>
          <w:tab w:pos="341" w:val="left" w:leader="none"/>
        </w:tabs>
        <w:spacing w:line="274" w:lineRule="exact" w:before="24"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Код Народног музеја више су исказана пренета неутрошена средства из ранијих година у износу од 157  хиљада динара, која су грешком</w:t>
      </w:r>
      <w:r>
        <w:rPr>
          <w:rFonts w:ascii="Times New Roman" w:hAnsi="Times New Roman"/>
          <w:spacing w:val="-13"/>
          <w:sz w:val="24"/>
        </w:rPr>
        <w:t> </w:t>
      </w:r>
      <w:r>
        <w:rPr>
          <w:rFonts w:ascii="Times New Roman" w:hAnsi="Times New Roman"/>
          <w:sz w:val="24"/>
        </w:rPr>
        <w:t>прокњижена</w:t>
      </w:r>
      <w:r>
        <w:rPr>
          <w:rFonts w:ascii="Times New Roman" w:hAnsi="Times New Roman"/>
          <w:sz w:val="24"/>
        </w:rPr>
        <w:t>.</w:t>
      </w:r>
    </w:p>
    <w:p>
      <w:pPr>
        <w:pStyle w:val="Heading2"/>
        <w:spacing w:line="240" w:lineRule="auto" w:before="2"/>
        <w:ind w:right="174"/>
        <w:jc w:val="both"/>
        <w:rPr>
          <w:b w:val="0"/>
          <w:bCs w:val="0"/>
          <w:i w:val="0"/>
        </w:rPr>
      </w:pPr>
      <w:r>
        <w:rPr>
          <w:i/>
        </w:rPr>
        <w:t>Препоручује се одговорним лицима да обезбеде правилну примену одредби Правилника о стандардном класификационом оквиру и контном плану за буџетски систем.</w:t>
      </w:r>
      <w:r>
        <w:rPr>
          <w:b w:val="0"/>
          <w:i w:val="0"/>
        </w:rPr>
      </w:r>
    </w:p>
    <w:p>
      <w:pPr>
        <w:pStyle w:val="ListParagraph"/>
        <w:numPr>
          <w:ilvl w:val="0"/>
          <w:numId w:val="110"/>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омладину и спорт </w:t>
      </w:r>
      <w:r>
        <w:rPr>
          <w:rFonts w:ascii="Times New Roman" w:hAnsi="Times New Roman"/>
          <w:sz w:val="24"/>
        </w:rPr>
        <w:t>у износу од 304 хиљаде динара за исказана пренета </w:t>
      </w:r>
      <w:r>
        <w:rPr>
          <w:rFonts w:ascii="Times New Roman" w:hAnsi="Times New Roman"/>
          <w:sz w:val="24"/>
        </w:rPr>
        <w:t>неутрошена средства из ранијих година код СЦ</w:t>
      </w:r>
      <w:r>
        <w:rPr>
          <w:rFonts w:ascii="Times New Roman" w:hAnsi="Times New Roman"/>
          <w:spacing w:val="-20"/>
          <w:sz w:val="24"/>
        </w:rPr>
        <w:t> </w:t>
      </w:r>
      <w:r>
        <w:rPr>
          <w:rFonts w:ascii="Times New Roman" w:hAnsi="Times New Roman"/>
          <w:sz w:val="24"/>
        </w:rPr>
        <w:t>Чаир.</w:t>
      </w:r>
    </w:p>
    <w:p>
      <w:pPr>
        <w:spacing w:before="0"/>
        <w:ind w:left="160" w:right="177"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су пренета неутрошена средства из ранијих година више исказана код СЦ Чаир у износу од 304 хиљаде</w:t>
      </w:r>
      <w:r>
        <w:rPr>
          <w:rFonts w:ascii="Times New Roman" w:hAnsi="Times New Roman"/>
          <w:spacing w:val="-3"/>
          <w:sz w:val="24"/>
        </w:rPr>
        <w:t> </w:t>
      </w:r>
      <w:r>
        <w:rPr>
          <w:rFonts w:ascii="Times New Roman" w:hAnsi="Times New Roman"/>
          <w:sz w:val="24"/>
        </w:rPr>
        <w:t>динара.</w:t>
      </w:r>
    </w:p>
    <w:p>
      <w:pPr>
        <w:spacing w:after="0"/>
        <w:jc w:val="both"/>
        <w:rPr>
          <w:rFonts w:ascii="Times New Roman" w:hAnsi="Times New Roman" w:cs="Times New Roman" w:eastAsia="Times New Roman" w:hint="default"/>
          <w:sz w:val="24"/>
          <w:szCs w:val="24"/>
        </w:rPr>
        <w:sectPr>
          <w:footerReference w:type="default" r:id="rId103"/>
          <w:pgSz w:w="12240" w:h="15840"/>
          <w:pgMar w:footer="1504" w:header="740" w:top="1200" w:bottom="1700" w:left="1400" w:right="1260"/>
          <w:pgNumType w:start="34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Heading2"/>
        <w:spacing w:line="240" w:lineRule="auto" w:before="11"/>
        <w:ind w:right="174"/>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Правилника о стандардном класификационом оквиру и контном плану за буџетски систем</w:t>
      </w:r>
      <w:r>
        <w:rPr>
          <w:rFonts w:ascii="Times New Roman" w:hAnsi="Times New Roman"/>
          <w:i/>
        </w:rPr>
        <w:t>.</w:t>
      </w:r>
      <w:r>
        <w:rPr>
          <w:rFonts w:ascii="Times New Roman" w:hAnsi="Times New Roman"/>
          <w:b w:val="0"/>
          <w:i w:val="0"/>
        </w:rPr>
      </w:r>
    </w:p>
    <w:p>
      <w:pPr>
        <w:pStyle w:val="ListParagraph"/>
        <w:numPr>
          <w:ilvl w:val="0"/>
          <w:numId w:val="110"/>
        </w:numPr>
        <w:tabs>
          <w:tab w:pos="303"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комуналне делатности, енергетику и саобраћај </w:t>
      </w:r>
      <w:r>
        <w:rPr>
          <w:rFonts w:ascii="Times New Roman" w:hAnsi="Times New Roman"/>
          <w:sz w:val="24"/>
        </w:rPr>
        <w:t>у износу од 1.485 хиљада </w:t>
      </w:r>
      <w:r>
        <w:rPr>
          <w:rFonts w:ascii="Times New Roman" w:hAnsi="Times New Roman"/>
          <w:sz w:val="24"/>
        </w:rPr>
        <w:t>динара за исказана пренета неутрошена средства из ранијих година код ЈП Дирекција, односи се на изворе новчаних средства амортизације из ранијих година, а која се на дан 31.12.2014. године, не налазе на текућем рачуну, јер су искоришћена за набавку опреме у ранијим годинама, што није правилно</w:t>
      </w:r>
      <w:r>
        <w:rPr>
          <w:rFonts w:ascii="Times New Roman" w:hAnsi="Times New Roman"/>
          <w:spacing w:val="-19"/>
          <w:sz w:val="24"/>
        </w:rPr>
        <w:t> </w:t>
      </w:r>
      <w:r>
        <w:rPr>
          <w:rFonts w:ascii="Times New Roman" w:hAnsi="Times New Roman"/>
          <w:sz w:val="24"/>
        </w:rPr>
        <w:t>евидентирано.</w:t>
      </w:r>
    </w:p>
    <w:p>
      <w:pPr>
        <w:pStyle w:val="Heading1"/>
        <w:spacing w:line="275" w:lineRule="exact"/>
        <w:ind w:right="141"/>
        <w:jc w:val="left"/>
        <w:rPr>
          <w:b w:val="0"/>
          <w:bCs w:val="0"/>
        </w:rPr>
      </w:pPr>
      <w:r>
        <w:rPr/>
        <w:t>На основу ревизије узорковане документације утврђено</w:t>
      </w:r>
      <w:r>
        <w:rPr>
          <w:spacing w:val="-13"/>
        </w:rPr>
        <w:t> </w:t>
      </w:r>
      <w:r>
        <w:rPr/>
        <w:t>је:</w:t>
      </w:r>
      <w:r>
        <w:rPr>
          <w:b w:val="0"/>
        </w:rPr>
      </w:r>
    </w:p>
    <w:p>
      <w:pPr>
        <w:pStyle w:val="ListParagraph"/>
        <w:numPr>
          <w:ilvl w:val="0"/>
          <w:numId w:val="9"/>
        </w:numPr>
        <w:tabs>
          <w:tab w:pos="303" w:val="left" w:leader="none"/>
        </w:tabs>
        <w:spacing w:line="240" w:lineRule="auto" w:before="0"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Код ЈП Дирекција ова билансна позиција исказана је у већем износу од 1.485 хиљада динара, што је супротно Правилнику о стандардном класификационом оквиру и контном плану за буџетски</w:t>
      </w:r>
      <w:r>
        <w:rPr>
          <w:rFonts w:ascii="Times New Roman" w:hAnsi="Times New Roman"/>
          <w:spacing w:val="-11"/>
          <w:sz w:val="24"/>
        </w:rPr>
        <w:t> </w:t>
      </w:r>
      <w:r>
        <w:rPr>
          <w:rFonts w:ascii="Times New Roman" w:hAnsi="Times New Roman"/>
          <w:sz w:val="24"/>
        </w:rPr>
        <w:t>систем</w:t>
      </w:r>
      <w:r>
        <w:rPr>
          <w:rFonts w:ascii="Times New Roman" w:hAnsi="Times New Roman"/>
          <w:sz w:val="24"/>
        </w:rPr>
        <w:t>.</w:t>
      </w:r>
    </w:p>
    <w:p>
      <w:pPr>
        <w:pStyle w:val="ListParagraph"/>
        <w:numPr>
          <w:ilvl w:val="0"/>
          <w:numId w:val="9"/>
        </w:numPr>
        <w:tabs>
          <w:tab w:pos="303" w:val="left" w:leader="none"/>
        </w:tabs>
        <w:spacing w:line="237" w:lineRule="auto" w:before="4"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Надзорни одбор ЈП Дирекција је у поступку ревизије донео Одлуку број 05</w:t>
      </w:r>
      <w:r>
        <w:rPr>
          <w:rFonts w:ascii="Times New Roman" w:hAnsi="Times New Roman"/>
          <w:sz w:val="24"/>
        </w:rPr>
        <w:t>-3695-5/2015 </w:t>
      </w:r>
      <w:r>
        <w:rPr>
          <w:rFonts w:ascii="Times New Roman" w:hAnsi="Times New Roman"/>
          <w:sz w:val="24"/>
        </w:rPr>
        <w:t>од 25.05.2015. године о отклањању недостатака у пословним књигама за 2015. годину, што је спроведено налогом број 20</w:t>
      </w:r>
      <w:r>
        <w:rPr>
          <w:rFonts w:ascii="Times New Roman" w:hAnsi="Times New Roman"/>
          <w:sz w:val="24"/>
        </w:rPr>
        <w:t>-</w:t>
      </w:r>
      <w:r>
        <w:rPr>
          <w:rFonts w:ascii="Times New Roman" w:hAnsi="Times New Roman"/>
          <w:sz w:val="24"/>
        </w:rPr>
        <w:t>154 дана 25.05.2015.</w:t>
      </w:r>
      <w:r>
        <w:rPr>
          <w:rFonts w:ascii="Times New Roman" w:hAnsi="Times New Roman"/>
          <w:spacing w:val="-6"/>
          <w:sz w:val="24"/>
        </w:rPr>
        <w:t> </w:t>
      </w:r>
      <w:r>
        <w:rPr>
          <w:rFonts w:ascii="Times New Roman" w:hAnsi="Times New Roman"/>
          <w:sz w:val="24"/>
        </w:rPr>
        <w:t>године.</w:t>
      </w:r>
    </w:p>
    <w:p>
      <w:pPr>
        <w:pStyle w:val="Heading2"/>
        <w:spacing w:line="240" w:lineRule="auto"/>
        <w:ind w:right="174"/>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Правилника о стандардном класификационом оквиру и контном плану за буџетски систем</w:t>
      </w:r>
      <w:r>
        <w:rPr>
          <w:rFonts w:ascii="Times New Roman" w:hAnsi="Times New Roman"/>
          <w:i/>
        </w:rPr>
        <w:t>.</w:t>
      </w:r>
      <w:r>
        <w:rPr>
          <w:rFonts w:ascii="Times New Roman" w:hAnsi="Times New Roman"/>
          <w:b w:val="0"/>
          <w:i w:val="0"/>
        </w:rPr>
      </w:r>
    </w:p>
    <w:p>
      <w:pPr>
        <w:pStyle w:val="ListParagraph"/>
        <w:numPr>
          <w:ilvl w:val="0"/>
          <w:numId w:val="110"/>
        </w:numPr>
        <w:tabs>
          <w:tab w:pos="303" w:val="left" w:leader="none"/>
        </w:tabs>
        <w:spacing w:line="271"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у </w:t>
      </w:r>
      <w:r>
        <w:rPr>
          <w:rFonts w:ascii="Times New Roman" w:hAnsi="Times New Roman"/>
          <w:sz w:val="24"/>
        </w:rPr>
      </w:r>
      <w:r>
        <w:rPr>
          <w:rFonts w:ascii="Times New Roman" w:hAnsi="Times New Roman"/>
          <w:sz w:val="24"/>
          <w:u w:val="single" w:color="000000"/>
        </w:rPr>
      </w:r>
      <w:r>
        <w:rPr>
          <w:rFonts w:ascii="Times New Roman" w:hAnsi="Times New Roman"/>
          <w:sz w:val="24"/>
          <w:u w:val="single" w:color="000000"/>
        </w:rPr>
        <w:t>Буџету града Ниша </w:t>
      </w:r>
      <w:r>
        <w:rPr>
          <w:rFonts w:ascii="Times New Roman" w:hAnsi="Times New Roman"/>
          <w:sz w:val="24"/>
        </w:rPr>
        <w:t>исказан је износ од 264.793 хиљаде</w:t>
      </w:r>
      <w:r>
        <w:rPr>
          <w:rFonts w:ascii="Times New Roman" w:hAnsi="Times New Roman"/>
          <w:spacing w:val="-13"/>
          <w:sz w:val="24"/>
        </w:rPr>
        <w:t> </w:t>
      </w:r>
      <w:r>
        <w:rPr>
          <w:rFonts w:ascii="Times New Roman" w:hAnsi="Times New Roman"/>
          <w:sz w:val="24"/>
        </w:rPr>
        <w:t>динара</w:t>
      </w:r>
      <w:r>
        <w:rPr>
          <w:rFonts w:ascii="Times New Roman" w:hAnsi="Times New Roman"/>
          <w:sz w:val="24"/>
        </w:rPr>
        <w:t>.</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86" w:firstLine="0"/>
        <w:jc w:val="both"/>
        <w:rPr>
          <w:rFonts w:ascii="Times New Roman" w:hAnsi="Times New Roman" w:cs="Times New Roman" w:eastAsia="Times New Roman" w:hint="default"/>
          <w:sz w:val="24"/>
          <w:szCs w:val="24"/>
        </w:rPr>
      </w:pPr>
      <w:r>
        <w:rPr>
          <w:rFonts w:ascii="Times New Roman" w:hAnsi="Times New Roman"/>
          <w:sz w:val="24"/>
        </w:rPr>
        <w:t>Нисмо се уверили у тачност и правилност исказаног износа пренетих неутрошених средстава из ранијих година у билансу стања града Ниша, јер истих нема у новчаном облику на текућим рачунима на дан 31.12.2014. године у исказаном</w:t>
      </w:r>
      <w:r>
        <w:rPr>
          <w:rFonts w:ascii="Times New Roman" w:hAnsi="Times New Roman"/>
          <w:spacing w:val="-26"/>
          <w:sz w:val="24"/>
        </w:rPr>
        <w:t> </w:t>
      </w:r>
      <w:r>
        <w:rPr>
          <w:rFonts w:ascii="Times New Roman" w:hAnsi="Times New Roman"/>
          <w:sz w:val="24"/>
        </w:rPr>
        <w:t>износу.</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Салдо средстава на конту пренета неутрошена средства из ранијих година (субаналитички конто 311712 </w:t>
      </w:r>
      <w:r>
        <w:rPr>
          <w:rFonts w:ascii="Times New Roman" w:hAnsi="Times New Roman"/>
          <w:sz w:val="24"/>
        </w:rPr>
        <w:t>-</w:t>
      </w:r>
      <w:r>
        <w:rPr>
          <w:rFonts w:ascii="Times New Roman" w:hAnsi="Times New Roman"/>
          <w:sz w:val="24"/>
        </w:rPr>
        <w:t>пренета неутрошена средства за посебне намене у износу од 13.585 хиљада динара и субаналитички конто 311711 </w:t>
      </w:r>
      <w:r>
        <w:rPr>
          <w:rFonts w:ascii="Times New Roman" w:hAnsi="Times New Roman"/>
          <w:sz w:val="24"/>
        </w:rPr>
        <w:t>- </w:t>
      </w:r>
      <w:r>
        <w:rPr>
          <w:rFonts w:ascii="Times New Roman" w:hAnsi="Times New Roman"/>
          <w:sz w:val="24"/>
        </w:rPr>
        <w:t>пренета неутрошена средства од приватизације у износу од 250.855 хиљада динара) потиче из ранијих година и преноси се из године у годину. У поступку ревизије нисмо могли да утврдимо где су средства утрошена и да ли су утрошена у складу са</w:t>
      </w:r>
      <w:r>
        <w:rPr>
          <w:rFonts w:ascii="Times New Roman" w:hAnsi="Times New Roman"/>
          <w:spacing w:val="-20"/>
          <w:sz w:val="24"/>
        </w:rPr>
        <w:t> </w:t>
      </w:r>
      <w:r>
        <w:rPr>
          <w:rFonts w:ascii="Times New Roman" w:hAnsi="Times New Roman"/>
          <w:sz w:val="24"/>
        </w:rPr>
        <w:t>наменом.</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Пренета неутрошена средства из ранијих година исказана су више за износ од 3</w:t>
      </w:r>
      <w:r>
        <w:rPr>
          <w:rFonts w:ascii="Times New Roman" w:hAnsi="Times New Roman" w:cs="Times New Roman" w:eastAsia="Times New Roman" w:hint="default"/>
          <w:sz w:val="24"/>
          <w:szCs w:val="24"/>
        </w:rPr>
        <w:t>53 </w:t>
      </w:r>
      <w:r>
        <w:rPr>
          <w:rFonts w:ascii="Times New Roman" w:hAnsi="Times New Roman" w:cs="Times New Roman" w:eastAsia="Times New Roman" w:hint="default"/>
          <w:sz w:val="24"/>
          <w:szCs w:val="24"/>
        </w:rPr>
        <w:t>хиљаде динара за примања од продаје капитала у поступку приватизације остварена у 2014. години, док је мање исказан износ на субаналитичком конту 321121 – вишак прихода и примања –</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суфицит.</w:t>
      </w:r>
    </w:p>
    <w:p>
      <w:pPr>
        <w:pStyle w:val="Heading2"/>
        <w:spacing w:line="240" w:lineRule="auto"/>
        <w:ind w:right="173"/>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i w:val="0"/>
        </w:rPr>
        <w:t>.</w:t>
      </w:r>
      <w:r>
        <w:rPr>
          <w:rFonts w:ascii="Times New Roman" w:hAnsi="Times New Roman"/>
          <w:b w:val="0"/>
          <w:i w:val="0"/>
        </w:rPr>
      </w:r>
    </w:p>
    <w:p>
      <w:pPr>
        <w:pStyle w:val="BodyText"/>
        <w:spacing w:line="240" w:lineRule="auto"/>
        <w:ind w:right="175" w:firstLine="566"/>
        <w:jc w:val="both"/>
        <w:rPr>
          <w:rFonts w:ascii="Times New Roman" w:hAnsi="Times New Roman" w:cs="Times New Roman" w:eastAsia="Times New Roman" w:hint="default"/>
        </w:rPr>
      </w:pPr>
      <w:r>
        <w:rPr>
          <w:rFonts w:ascii="Times New Roman" w:hAnsi="Times New Roman"/>
          <w:b/>
        </w:rPr>
        <w:t>Остали сопствени извори, конто 311900 </w:t>
      </w:r>
      <w:r>
        <w:rPr>
          <w:rFonts w:ascii="Times New Roman" w:hAnsi="Times New Roman"/>
        </w:rPr>
        <w:t>- </w:t>
      </w:r>
      <w:r>
        <w:rPr/>
        <w:t>На овој билансној позицији исказан је износ од 10 хиљада динара код </w:t>
      </w:r>
      <w:r>
        <w:rPr>
          <w:rFonts w:ascii="Times New Roman" w:hAnsi="Times New Roman"/>
        </w:rPr>
      </w:r>
      <w:r>
        <w:rPr>
          <w:rFonts w:ascii="Times New Roman" w:hAnsi="Times New Roman"/>
          <w:u w:val="single" w:color="000000"/>
        </w:rPr>
      </w:r>
      <w:r>
        <w:rPr>
          <w:u w:val="single" w:color="000000"/>
        </w:rPr>
        <w:t>Управе за културу </w:t>
      </w:r>
      <w:r>
        <w:rPr/>
        <w:t>за остале сопствене изворе исказане у </w:t>
      </w:r>
      <w:r>
        <w:rPr/>
        <w:t>билансу стања Народне</w:t>
      </w:r>
      <w:r>
        <w:rPr>
          <w:spacing w:val="-5"/>
        </w:rPr>
        <w:t> </w:t>
      </w:r>
      <w:r>
        <w:rPr/>
        <w:t>бибилиотеке</w:t>
      </w:r>
      <w:r>
        <w:rPr>
          <w:rFonts w:ascii="Times New Roman" w:hAnsi="Times New Roman"/>
        </w:rPr>
        <w:t>.</w:t>
      </w:r>
    </w:p>
    <w:p>
      <w:pPr>
        <w:spacing w:before="0"/>
        <w:ind w:left="160" w:right="174"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су стални извори новчаних средстава више исказани код Народне библиотеке у износу од 10 хиљада динара по основу неправилног књижења у 2004.</w:t>
      </w:r>
      <w:r>
        <w:rPr>
          <w:rFonts w:ascii="Times New Roman" w:hAnsi="Times New Roman"/>
          <w:spacing w:val="-12"/>
          <w:sz w:val="24"/>
        </w:rPr>
        <w:t> </w:t>
      </w:r>
      <w:r>
        <w:rPr>
          <w:rFonts w:ascii="Times New Roman" w:hAnsi="Times New Roman"/>
          <w:sz w:val="24"/>
        </w:rPr>
        <w:t>години.</w:t>
      </w:r>
    </w:p>
    <w:p>
      <w:pPr>
        <w:pStyle w:val="Heading2"/>
        <w:spacing w:line="240" w:lineRule="auto"/>
        <w:ind w:right="181"/>
        <w:jc w:val="both"/>
        <w:rPr>
          <w:rFonts w:ascii="Times New Roman" w:hAnsi="Times New Roman" w:cs="Times New Roman" w:eastAsia="Times New Roman" w:hint="default"/>
          <w:b w:val="0"/>
          <w:bCs w:val="0"/>
          <w:i w:val="0"/>
        </w:rPr>
      </w:pPr>
      <w:r>
        <w:rPr>
          <w:i/>
        </w:rPr>
        <w:t>Препоручује се одговорним лицима да примењују одредбе Правилника о стандардном класификационом оквиру и контном плану за буџетски</w:t>
      </w:r>
      <w:r>
        <w:rPr>
          <w:i/>
          <w:spacing w:val="-20"/>
        </w:rPr>
        <w:t> </w:t>
      </w:r>
      <w:r>
        <w:rPr>
          <w:i/>
        </w:rPr>
        <w:t>систем</w:t>
      </w:r>
      <w:r>
        <w:rPr>
          <w:rFonts w:ascii="Times New Roman" w:hAnsi="Times New Roman"/>
          <w:i/>
        </w:rPr>
        <w:t>.</w:t>
      </w:r>
      <w:r>
        <w:rPr>
          <w:rFonts w:ascii="Times New Roman" w:hAnsi="Times New Roman"/>
          <w:b w:val="0"/>
          <w:i w:val="0"/>
        </w:rPr>
      </w:r>
    </w:p>
    <w:p>
      <w:pPr>
        <w:spacing w:line="240" w:lineRule="auto" w:before="0"/>
        <w:ind w:left="160" w:right="176"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Вишак прихода и примања – суфицит, субаналитички конто 321121 – </w:t>
      </w:r>
      <w:r>
        <w:rPr>
          <w:rFonts w:ascii="Times New Roman" w:hAnsi="Times New Roman" w:cs="Times New Roman" w:eastAsia="Times New Roman" w:hint="default"/>
          <w:sz w:val="24"/>
          <w:szCs w:val="24"/>
        </w:rPr>
        <w:t>На овој билансној позицији исказан је износ од </w:t>
      </w:r>
      <w:r>
        <w:rPr>
          <w:rFonts w:ascii="Times New Roman" w:hAnsi="Times New Roman" w:cs="Times New Roman" w:eastAsia="Times New Roman" w:hint="default"/>
          <w:sz w:val="24"/>
          <w:szCs w:val="24"/>
        </w:rPr>
        <w:t>22.329 </w:t>
      </w:r>
      <w:r>
        <w:rPr>
          <w:rFonts w:ascii="Times New Roman" w:hAnsi="Times New Roman" w:cs="Times New Roman" w:eastAsia="Times New Roman" w:hint="default"/>
          <w:sz w:val="24"/>
          <w:szCs w:val="24"/>
        </w:rPr>
        <w:t>хиљада</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динара</w:t>
      </w:r>
      <w:r>
        <w:rPr>
          <w:rFonts w:ascii="Times New Roman" w:hAnsi="Times New Roman" w:cs="Times New Roman" w:eastAsia="Times New Roman" w:hint="default"/>
          <w:sz w:val="24"/>
          <w:szCs w:val="24"/>
        </w:rPr>
        <w:t>.</w:t>
      </w:r>
    </w:p>
    <w:p>
      <w:pPr>
        <w:spacing w:after="0" w:line="240" w:lineRule="auto"/>
        <w:jc w:val="both"/>
        <w:rPr>
          <w:rFonts w:ascii="Times New Roman" w:hAnsi="Times New Roman" w:cs="Times New Roman" w:eastAsia="Times New Roman" w:hint="default"/>
          <w:sz w:val="24"/>
          <w:szCs w:val="24"/>
        </w:rPr>
        <w:sectPr>
          <w:pgSz w:w="12240" w:h="15840"/>
          <w:pgMar w:header="740" w:footer="1504" w:top="120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Heading1"/>
        <w:spacing w:line="275" w:lineRule="exact" w:before="11"/>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BodyText"/>
        <w:spacing w:line="240" w:lineRule="auto"/>
        <w:ind w:right="173"/>
        <w:jc w:val="both"/>
      </w:pPr>
      <w:r>
        <w:rPr>
          <w:rFonts w:ascii="Times New Roman" w:hAnsi="Times New Roman" w:cs="Times New Roman" w:eastAsia="Times New Roman" w:hint="default"/>
        </w:rPr>
      </w:r>
      <w:r>
        <w:rPr>
          <w:rFonts w:ascii="Times New Roman" w:hAnsi="Times New Roman" w:cs="Times New Roman" w:eastAsia="Times New Roman" w:hint="default"/>
          <w:strike/>
          <w:spacing w:val="-60"/>
        </w:rPr>
        <w:t> </w:t>
      </w:r>
      <w:r>
        <w:rPr>
          <w:rFonts w:ascii="Symbol" w:hAnsi="Symbol" w:cs="Symbol" w:eastAsia="Symbol" w:hint="default"/>
          <w:strike/>
        </w:rPr>
        <w:t></w:t>
      </w:r>
      <w:r>
        <w:rPr>
          <w:rFonts w:ascii="Times New Roman" w:hAnsi="Times New Roman" w:cs="Times New Roman" w:eastAsia="Times New Roman" w:hint="default"/>
          <w:strike/>
        </w:rPr>
        <w:t> </w:t>
      </w:r>
      <w:r>
        <w:rPr>
          <w:rFonts w:ascii="Symbol" w:hAnsi="Symbol" w:cs="Symbol" w:eastAsia="Symbol" w:hint="default"/>
          <w:strike w:val="0"/>
        </w:rPr>
      </w:r>
      <w:r>
        <w:rPr>
          <w:rFonts w:ascii="Times New Roman" w:hAnsi="Times New Roman" w:cs="Times New Roman" w:eastAsia="Times New Roman" w:hint="default"/>
          <w:strike w:val="0"/>
        </w:rPr>
      </w:r>
      <w:r>
        <w:rPr>
          <w:strike w:val="0"/>
        </w:rPr>
        <w:t>Исказан суфицит у износу од 22.329 хиљада динара неправилно је утврђен  и представља разлику између укупног суфицита који су исказали корисници у својим билансима у износу од 28.892 хиљаде динара и укупног дефицита исказаног у билансима корисника у износу од 6.563 хиљаде динара. Вишак прихода и примања </w:t>
      </w:r>
      <w:r>
        <w:rPr>
          <w:rFonts w:ascii="Times New Roman" w:hAnsi="Times New Roman" w:cs="Times New Roman" w:eastAsia="Times New Roman" w:hint="default"/>
          <w:strike w:val="0"/>
        </w:rPr>
        <w:t>- </w:t>
      </w:r>
      <w:r>
        <w:rPr>
          <w:strike w:val="0"/>
        </w:rPr>
        <w:t>суфицит исказан је у износу од: 500 хиљада динара код Центра „Мара“ (на дан 31.12.2014. године налази се у новчаном облику); 184 хиљаде динара код Народне библиотеке (слаже се са износом средстава на жиро рачуну); 896 хиљда динара код Позоришта лутака (средства се у новчаном облику налазе на подрачуну); 100 хиљада динара код  Народног позоришта; 99 хиљада динара код Нишког симфонијског оркестра; 119 хиљада динара код Галерије савремене ликовне уметности; 703 хиљаде динара код Народног музеја; 64 хиљаде динара код Нишког културног центра; 97 хиљада динара код СЦ Чаир; 176 хиљада</w:t>
      </w:r>
      <w:r>
        <w:rPr>
          <w:strike w:val="0"/>
          <w:spacing w:val="21"/>
        </w:rPr>
        <w:t> </w:t>
      </w:r>
      <w:r>
        <w:rPr>
          <w:strike w:val="0"/>
        </w:rPr>
        <w:t>динара</w:t>
      </w:r>
      <w:r>
        <w:rPr>
          <w:strike w:val="0"/>
          <w:spacing w:val="22"/>
        </w:rPr>
        <w:t> </w:t>
      </w:r>
      <w:r>
        <w:rPr>
          <w:strike w:val="0"/>
        </w:rPr>
        <w:t>код</w:t>
      </w:r>
      <w:r>
        <w:rPr>
          <w:strike w:val="0"/>
          <w:spacing w:val="22"/>
        </w:rPr>
        <w:t> </w:t>
      </w:r>
      <w:r>
        <w:rPr>
          <w:strike w:val="0"/>
        </w:rPr>
        <w:t>Туристичке</w:t>
      </w:r>
      <w:r>
        <w:rPr>
          <w:strike w:val="0"/>
          <w:spacing w:val="20"/>
        </w:rPr>
        <w:t> </w:t>
      </w:r>
      <w:r>
        <w:rPr>
          <w:strike w:val="0"/>
        </w:rPr>
        <w:t>организације;</w:t>
      </w:r>
      <w:r>
        <w:rPr>
          <w:strike w:val="0"/>
          <w:spacing w:val="19"/>
        </w:rPr>
        <w:t> </w:t>
      </w:r>
      <w:r>
        <w:rPr>
          <w:strike w:val="0"/>
        </w:rPr>
        <w:t>560</w:t>
      </w:r>
      <w:r>
        <w:rPr>
          <w:strike w:val="0"/>
          <w:spacing w:val="21"/>
        </w:rPr>
        <w:t> </w:t>
      </w:r>
      <w:r>
        <w:rPr>
          <w:strike w:val="0"/>
        </w:rPr>
        <w:t>хиљада</w:t>
      </w:r>
      <w:r>
        <w:rPr>
          <w:strike w:val="0"/>
          <w:spacing w:val="21"/>
        </w:rPr>
        <w:t> </w:t>
      </w:r>
      <w:r>
        <w:rPr>
          <w:strike w:val="0"/>
        </w:rPr>
        <w:t>динара</w:t>
      </w:r>
      <w:r>
        <w:rPr>
          <w:strike w:val="0"/>
          <w:spacing w:val="20"/>
        </w:rPr>
        <w:t> </w:t>
      </w:r>
      <w:r>
        <w:rPr>
          <w:strike w:val="0"/>
        </w:rPr>
        <w:t>код</w:t>
      </w:r>
      <w:r>
        <w:rPr>
          <w:strike w:val="0"/>
          <w:spacing w:val="22"/>
        </w:rPr>
        <w:t> </w:t>
      </w:r>
      <w:r>
        <w:rPr>
          <w:strike w:val="0"/>
        </w:rPr>
        <w:t>Фонда</w:t>
      </w:r>
      <w:r>
        <w:rPr>
          <w:strike w:val="0"/>
          <w:spacing w:val="21"/>
        </w:rPr>
        <w:t> </w:t>
      </w:r>
      <w:r>
        <w:rPr>
          <w:strike w:val="0"/>
        </w:rPr>
        <w:t>за</w:t>
      </w:r>
      <w:r>
        <w:rPr>
          <w:strike w:val="0"/>
          <w:spacing w:val="20"/>
        </w:rPr>
        <w:t> </w:t>
      </w:r>
      <w:r>
        <w:rPr>
          <w:strike w:val="0"/>
        </w:rPr>
        <w:t>развој</w:t>
      </w:r>
      <w:r>
        <w:rPr>
          <w:strike w:val="0"/>
          <w:spacing w:val="19"/>
        </w:rPr>
        <w:t> </w:t>
      </w:r>
      <w:r>
        <w:rPr>
          <w:strike w:val="0"/>
        </w:rPr>
        <w:t>и</w:t>
      </w:r>
    </w:p>
    <w:p>
      <w:pPr>
        <w:pStyle w:val="BodyText"/>
        <w:spacing w:line="240" w:lineRule="auto"/>
        <w:ind w:right="171"/>
        <w:jc w:val="both"/>
      </w:pPr>
      <w:r>
        <w:rPr/>
        <w:t>25.394 хиљаде динара код града Ниша. Мањак прихода и примања –дефицит исказан је у износу од: 771 хиљаде динара код Установе „Сигурна кућа“, 82 хиљаде динара код Историјског архива, </w:t>
      </w:r>
      <w:r>
        <w:rPr>
          <w:rFonts w:ascii="Times New Roman" w:hAnsi="Times New Roman" w:cs="Times New Roman" w:eastAsia="Times New Roman" w:hint="default"/>
        </w:rPr>
        <w:t>4.78</w:t>
      </w:r>
      <w:r>
        <w:rPr/>
        <w:t>8 хиљада динара код ПУ „Пчелица“ (који је Одлуком Управног одбора Установе број 1097 од 25.02.2015. године, делимично покривен нераспоређеним вишком прихода и примања из ранијих година на дан 01.01.2015. године), 438 хиљада динара код Регионалног центра, 484 хиљаде динара код ЈП</w:t>
      </w:r>
      <w:r>
        <w:rPr>
          <w:spacing w:val="-23"/>
        </w:rPr>
        <w:t> </w:t>
      </w:r>
      <w:r>
        <w:rPr/>
        <w:t>Дирекција.</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Ова билансна позиција више је исказана за износ од укупно 632 хиљаде динара за неправилно утврђен резултат код индиректних буџетских корисника и то: за 60 хиљада динара код Народног позоришта због неправилног књижења расхода и издатака који су плаћени током године, за 88 хиљада динара код Народног музеја и за износ од </w:t>
      </w:r>
      <w:r>
        <w:rPr>
          <w:rFonts w:ascii="Times New Roman" w:hAnsi="Times New Roman"/>
          <w:sz w:val="24"/>
        </w:rPr>
        <w:t>484 </w:t>
      </w:r>
      <w:r>
        <w:rPr>
          <w:rFonts w:ascii="Times New Roman" w:hAnsi="Times New Roman"/>
          <w:sz w:val="24"/>
        </w:rPr>
        <w:t>хиљада динара код ЈП Дирекција, што је супротно члану 9. Уредбе о буџетском рачуноводству и Правилнику о стандардном класификационом оквиру и контном плану за буџетски систем. Надзорни одбор ЈП Дирекција је у поступку ревизије донео Одлуку број 05</w:t>
      </w:r>
      <w:r>
        <w:rPr>
          <w:rFonts w:ascii="Times New Roman" w:hAnsi="Times New Roman"/>
          <w:sz w:val="24"/>
        </w:rPr>
        <w:t>-3695-</w:t>
      </w:r>
      <w:r>
        <w:rPr>
          <w:rFonts w:ascii="Times New Roman" w:hAnsi="Times New Roman"/>
          <w:sz w:val="24"/>
        </w:rPr>
        <w:t>5/2015 од 25.05.2015. године о отклањању недостатака у пословним књигама за 2015. годину, што је спроведено налогом број 20</w:t>
      </w:r>
      <w:r>
        <w:rPr>
          <w:rFonts w:ascii="Times New Roman" w:hAnsi="Times New Roman"/>
          <w:sz w:val="24"/>
        </w:rPr>
        <w:t>-</w:t>
      </w:r>
      <w:r>
        <w:rPr>
          <w:rFonts w:ascii="Times New Roman" w:hAnsi="Times New Roman"/>
          <w:sz w:val="24"/>
        </w:rPr>
        <w:t>154 дана 25.05.2015.</w:t>
      </w:r>
      <w:r>
        <w:rPr>
          <w:rFonts w:ascii="Times New Roman" w:hAnsi="Times New Roman"/>
          <w:spacing w:val="-12"/>
          <w:sz w:val="24"/>
        </w:rPr>
        <w:t> </w:t>
      </w:r>
      <w:r>
        <w:rPr>
          <w:rFonts w:ascii="Times New Roman" w:hAnsi="Times New Roman"/>
          <w:sz w:val="24"/>
        </w:rPr>
        <w:t>године.</w:t>
      </w:r>
    </w:p>
    <w:p>
      <w:pPr>
        <w:pStyle w:val="ListParagraph"/>
        <w:numPr>
          <w:ilvl w:val="0"/>
          <w:numId w:val="9"/>
        </w:numPr>
        <w:tabs>
          <w:tab w:pos="303"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Ова билансна позиција мање је исказана за износ од укупно 4.076 хиљада динара за неправилно исказан резултат код индиректних корисника и то за 31 хиљаду динара код Галерије савремене ликовне уметности, 990 хиљада динара код Нишког културног центра, за </w:t>
      </w:r>
      <w:r>
        <w:rPr>
          <w:rFonts w:ascii="Times New Roman" w:hAnsi="Times New Roman" w:cs="Times New Roman" w:eastAsia="Times New Roman" w:hint="default"/>
          <w:sz w:val="24"/>
          <w:szCs w:val="24"/>
        </w:rPr>
        <w:t>876 </w:t>
      </w:r>
      <w:r>
        <w:rPr>
          <w:rFonts w:ascii="Times New Roman" w:hAnsi="Times New Roman" w:cs="Times New Roman" w:eastAsia="Times New Roman" w:hint="default"/>
          <w:sz w:val="24"/>
          <w:szCs w:val="24"/>
        </w:rPr>
        <w:t>хиљада динара код СЦ Чаир, за 76 хиљада динара код Дечијег центра, за 148 хиљада динара за мање исказани суфицит и за износ од 428 хиљада динара за више исказани дефицит код Регионалног центра, за 771 хиљаду динара код установе „Сигурна кућа“ за више исказани дефицит, за </w:t>
      </w:r>
      <w:r>
        <w:rPr>
          <w:rFonts w:ascii="Times New Roman" w:hAnsi="Times New Roman" w:cs="Times New Roman" w:eastAsia="Times New Roman" w:hint="default"/>
          <w:sz w:val="24"/>
          <w:szCs w:val="24"/>
        </w:rPr>
        <w:t>82 </w:t>
      </w:r>
      <w:r>
        <w:rPr>
          <w:rFonts w:ascii="Times New Roman" w:hAnsi="Times New Roman" w:cs="Times New Roman" w:eastAsia="Times New Roman" w:hint="default"/>
          <w:sz w:val="24"/>
          <w:szCs w:val="24"/>
        </w:rPr>
        <w:t>хиљаде динара код Историјског архива за више исказани дефицит, за 674 хиљаде динара код ПУ „Пчелица“ за неевидентиране готовинске уплате и евидентиране расходе за исплате извршене у ранијим</w:t>
      </w:r>
      <w:r>
        <w:rPr>
          <w:rFonts w:ascii="Times New Roman" w:hAnsi="Times New Roman" w:cs="Times New Roman" w:eastAsia="Times New Roman" w:hint="default"/>
          <w:spacing w:val="-26"/>
          <w:sz w:val="24"/>
          <w:szCs w:val="24"/>
        </w:rPr>
        <w:t> </w:t>
      </w:r>
      <w:r>
        <w:rPr>
          <w:rFonts w:ascii="Times New Roman" w:hAnsi="Times New Roman" w:cs="Times New Roman" w:eastAsia="Times New Roman" w:hint="default"/>
          <w:sz w:val="24"/>
          <w:szCs w:val="24"/>
        </w:rPr>
        <w:t>годинама</w:t>
      </w:r>
      <w:r>
        <w:rPr>
          <w:rFonts w:ascii="Times New Roman" w:hAnsi="Times New Roman" w:cs="Times New Roman" w:eastAsia="Times New Roman" w:hint="default"/>
          <w:sz w:val="24"/>
          <w:szCs w:val="24"/>
        </w:rPr>
        <w:t>.</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Код ПУ „Пчелица“ мањак прихода и примања – дефицит више је исказан услед  примене обрачунске основе у делу вођења пословних књига и то: корекције наплаћених примања за износ обрачунатог пореза на додату вредност, и плаћених расхода за износ обрачунатог претходног пореза на додату вредност, чији ефекат у поступку ревизије нисмо могли да утврдимо, што је супротно члану 5. Уредбе о буџетском</w:t>
      </w:r>
      <w:r>
        <w:rPr>
          <w:rFonts w:ascii="Times New Roman" w:hAnsi="Times New Roman" w:cs="Times New Roman" w:eastAsia="Times New Roman" w:hint="default"/>
          <w:spacing w:val="-26"/>
          <w:sz w:val="24"/>
          <w:szCs w:val="24"/>
        </w:rPr>
        <w:t> </w:t>
      </w:r>
      <w:r>
        <w:rPr>
          <w:rFonts w:ascii="Times New Roman" w:hAnsi="Times New Roman" w:cs="Times New Roman" w:eastAsia="Times New Roman" w:hint="default"/>
          <w:sz w:val="24"/>
          <w:szCs w:val="24"/>
        </w:rPr>
        <w:t>рачуноводству.</w:t>
      </w:r>
    </w:p>
    <w:p>
      <w:pPr>
        <w:pStyle w:val="ListParagraph"/>
        <w:numPr>
          <w:ilvl w:val="0"/>
          <w:numId w:val="9"/>
        </w:numPr>
        <w:tabs>
          <w:tab w:pos="303" w:val="left" w:leader="none"/>
        </w:tabs>
        <w:spacing w:line="240" w:lineRule="auto" w:before="2" w:after="0"/>
        <w:ind w:left="160" w:right="181" w:firstLine="0"/>
        <w:jc w:val="both"/>
        <w:rPr>
          <w:rFonts w:ascii="Times New Roman" w:hAnsi="Times New Roman" w:cs="Times New Roman" w:eastAsia="Times New Roman" w:hint="default"/>
          <w:sz w:val="24"/>
          <w:szCs w:val="24"/>
        </w:rPr>
      </w:pPr>
      <w:r>
        <w:rPr>
          <w:rFonts w:ascii="Times New Roman" w:hAnsi="Times New Roman"/>
          <w:sz w:val="24"/>
        </w:rPr>
        <w:t>Ова билансна позиција мање је исказана у пословним књигама Управе за финансије, изворне приходе локалне самоуправе и јавне набавке града Ниша у износу од 353 хиљаде динара по основу примања од продаје капитала у поступку приватизације која су остварена у 2014.</w:t>
      </w:r>
      <w:r>
        <w:rPr>
          <w:rFonts w:ascii="Times New Roman" w:hAnsi="Times New Roman"/>
          <w:spacing w:val="-5"/>
          <w:sz w:val="24"/>
        </w:rPr>
        <w:t> </w:t>
      </w:r>
      <w:r>
        <w:rPr>
          <w:rFonts w:ascii="Times New Roman" w:hAnsi="Times New Roman"/>
          <w:sz w:val="24"/>
        </w:rPr>
        <w:t>години.</w:t>
      </w:r>
    </w:p>
    <w:p>
      <w:pPr>
        <w:spacing w:after="0" w:line="240" w:lineRule="auto"/>
        <w:jc w:val="both"/>
        <w:rPr>
          <w:rFonts w:ascii="Times New Roman" w:hAnsi="Times New Roman" w:cs="Times New Roman" w:eastAsia="Times New Roman" w:hint="default"/>
          <w:sz w:val="24"/>
          <w:szCs w:val="24"/>
        </w:rPr>
        <w:sectPr>
          <w:pgSz w:w="12240" w:h="15840"/>
          <w:pgMar w:header="740" w:footer="1504" w:top="120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ListParagraph"/>
        <w:numPr>
          <w:ilvl w:val="0"/>
          <w:numId w:val="9"/>
        </w:numPr>
        <w:tabs>
          <w:tab w:pos="303" w:val="left" w:leader="none"/>
        </w:tabs>
        <w:spacing w:line="240" w:lineRule="auto" w:before="8"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Ова позиција мање је исказана за износ од 11.943 хиљаде динара за примљена средства на наменском девизном подрачуну која нису евидентирана на одговарајући субаналитички конто класе 700000 – текући приходи и за износ од две хиљаде динара која се воде на девизном рачуну код АИК банке, што је супротно члану 9. Уредбе о буџетском рачуноводству, Правилнику о стандардном класификационом оквиру и контном плану за буџетски систем и Правилнику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буџетских</w:t>
      </w:r>
      <w:r>
        <w:rPr>
          <w:rFonts w:ascii="Times New Roman" w:hAnsi="Times New Roman" w:cs="Times New Roman" w:eastAsia="Times New Roman" w:hint="default"/>
          <w:spacing w:val="-22"/>
          <w:sz w:val="24"/>
          <w:szCs w:val="24"/>
        </w:rPr>
        <w:t> </w:t>
      </w:r>
      <w:r>
        <w:rPr>
          <w:rFonts w:ascii="Times New Roman" w:hAnsi="Times New Roman" w:cs="Times New Roman" w:eastAsia="Times New Roman" w:hint="default"/>
          <w:sz w:val="24"/>
          <w:szCs w:val="24"/>
        </w:rPr>
        <w:t>фондова.</w:t>
      </w:r>
    </w:p>
    <w:p>
      <w:pPr>
        <w:pStyle w:val="ListParagraph"/>
        <w:numPr>
          <w:ilvl w:val="0"/>
          <w:numId w:val="9"/>
        </w:numPr>
        <w:tabs>
          <w:tab w:pos="303" w:val="left" w:leader="none"/>
        </w:tabs>
        <w:spacing w:line="240" w:lineRule="auto" w:before="2"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Ова билансна позиција мање је исказана за износ који у поступку ревизије нисмо могли да утврдимо због неевидентирања стања и промена новчаних средстава на издвојеним подрачунима у пословним књигама Управе за финансије, изворне приходе локалне самоуправе и јавне набавке града</w:t>
      </w:r>
      <w:r>
        <w:rPr>
          <w:rFonts w:ascii="Times New Roman" w:hAnsi="Times New Roman"/>
          <w:spacing w:val="-13"/>
          <w:sz w:val="24"/>
        </w:rPr>
        <w:t> </w:t>
      </w:r>
      <w:r>
        <w:rPr>
          <w:rFonts w:ascii="Times New Roman" w:hAnsi="Times New Roman"/>
          <w:sz w:val="24"/>
        </w:rPr>
        <w:t>Ниша.</w:t>
      </w:r>
    </w:p>
    <w:p>
      <w:pPr>
        <w:pStyle w:val="ListParagraph"/>
        <w:numPr>
          <w:ilvl w:val="0"/>
          <w:numId w:val="9"/>
        </w:numPr>
        <w:tabs>
          <w:tab w:pos="303"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Одлуком о усвајању консолидованог завршног рачуна Града Ниша број 06</w:t>
      </w:r>
      <w:r>
        <w:rPr>
          <w:rFonts w:ascii="Times New Roman" w:hAnsi="Times New Roman" w:cs="Times New Roman" w:eastAsia="Times New Roman" w:hint="default"/>
          <w:sz w:val="24"/>
          <w:szCs w:val="24"/>
        </w:rPr>
        <w:t>-246/2015-2- </w:t>
      </w:r>
      <w:r>
        <w:rPr>
          <w:rFonts w:ascii="Times New Roman" w:hAnsi="Times New Roman" w:cs="Times New Roman" w:eastAsia="Times New Roman" w:hint="default"/>
          <w:sz w:val="24"/>
          <w:szCs w:val="24"/>
        </w:rPr>
        <w:t>02 од 08.06.2015. године, коју је донела Скупштина Града вишак прихода и примања – суфицит из биланса стања града Ниша у износу од 25.394 хиљаде динара расподељен је  за следеће намене: програме у области културе у износу од 13.763 хиљаде динара, помоћ избеглим и расељеним лицима (уплаћен од стране Комесаријата за избеглице) у износу од 4.765 хиљада динара, за финансирање развоја инфраструктуре по посебној одлуци Скупштине града Ниша (средства приватизације остварена у 2014. години и раније) у износу од 3.783 хиљаде динара и за заштиту животне средине у износу од 3.083 хиљаде динара. Чланом 13. наведене Одлуке утврђено је да примања остварена од продаје капитала у поступку приватизације у 2014. години износе 353 хиљаде динара  и  користиће се у складу са законом за намене које утврди Скупштина града</w:t>
      </w:r>
      <w:r>
        <w:rPr>
          <w:rFonts w:ascii="Times New Roman" w:hAnsi="Times New Roman" w:cs="Times New Roman" w:eastAsia="Times New Roman" w:hint="default"/>
          <w:spacing w:val="-29"/>
          <w:sz w:val="24"/>
          <w:szCs w:val="24"/>
        </w:rPr>
        <w:t> </w:t>
      </w:r>
      <w:r>
        <w:rPr>
          <w:rFonts w:ascii="Times New Roman" w:hAnsi="Times New Roman" w:cs="Times New Roman" w:eastAsia="Times New Roman" w:hint="default"/>
          <w:sz w:val="24"/>
          <w:szCs w:val="24"/>
        </w:rPr>
        <w:t>Ниша.</w:t>
      </w:r>
    </w:p>
    <w:p>
      <w:pPr>
        <w:pStyle w:val="Heading2"/>
        <w:spacing w:line="240" w:lineRule="auto"/>
        <w:ind w:right="172"/>
        <w:jc w:val="both"/>
        <w:rPr>
          <w:b w:val="0"/>
          <w:bCs w:val="0"/>
          <w:i w:val="0"/>
        </w:rPr>
      </w:pPr>
      <w:r>
        <w:rPr>
          <w:i/>
        </w:rPr>
        <w:t>Препоручује се одговорним лицима да обезбеде правилну примену одредби Уредбе о буџетском рачуноводству, Правилника о стандардном класификационом оквиру и контном плану за буџетски систем и Правилника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буџетских</w:t>
      </w:r>
      <w:r>
        <w:rPr>
          <w:i/>
          <w:spacing w:val="-11"/>
        </w:rPr>
        <w:t> </w:t>
      </w:r>
      <w:r>
        <w:rPr>
          <w:i/>
        </w:rPr>
        <w:t>фондова.</w:t>
      </w:r>
      <w:r>
        <w:rPr>
          <w:b w:val="0"/>
          <w:i w:val="0"/>
        </w:rPr>
      </w:r>
    </w:p>
    <w:p>
      <w:pPr>
        <w:spacing w:line="272" w:lineRule="exact" w:before="6"/>
        <w:ind w:left="160" w:right="184"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Нераспоређени вишак прихода и примања из ранијих година, субаналитички конто 321311 </w:t>
      </w:r>
      <w:r>
        <w:rPr>
          <w:rFonts w:ascii="Times New Roman" w:hAnsi="Times New Roman" w:cs="Times New Roman" w:eastAsia="Times New Roman" w:hint="default"/>
          <w:sz w:val="24"/>
          <w:szCs w:val="24"/>
        </w:rPr>
        <w:t>– Исказан је износ од 334.407 хиљада динара и то</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код:</w:t>
      </w:r>
    </w:p>
    <w:p>
      <w:pPr>
        <w:pStyle w:val="ListParagraph"/>
        <w:numPr>
          <w:ilvl w:val="0"/>
          <w:numId w:val="110"/>
        </w:numPr>
        <w:tabs>
          <w:tab w:pos="303" w:val="left" w:leader="none"/>
        </w:tabs>
        <w:spacing w:line="240" w:lineRule="auto" w:before="0" w:after="0"/>
        <w:ind w:left="160" w:right="17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Управе за дечију заштиту </w:t>
      </w:r>
      <w:r>
        <w:rPr>
          <w:rFonts w:ascii="Times New Roman" w:hAnsi="Times New Roman" w:cs="Times New Roman" w:eastAsia="Times New Roman" w:hint="default"/>
          <w:sz w:val="24"/>
          <w:szCs w:val="24"/>
        </w:rPr>
        <w:t>у износу од 3.579 хиљада динара за исказани нераспоређени </w:t>
      </w:r>
      <w:r>
        <w:rPr>
          <w:rFonts w:ascii="Times New Roman" w:hAnsi="Times New Roman" w:cs="Times New Roman" w:eastAsia="Times New Roman" w:hint="default"/>
          <w:sz w:val="24"/>
          <w:szCs w:val="24"/>
        </w:rPr>
        <w:t>вишак прихода и примања из ранијих година код: Центра „Мара“ у износу од 280  хиљада динара који се на дан 31.12.2014. године налази у новчаном облику на рачуну и Установе „Сигурна кућа“ у износу од 3.299 хиљада</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динара.</w:t>
      </w:r>
    </w:p>
    <w:p>
      <w:pPr>
        <w:pStyle w:val="Heading1"/>
        <w:spacing w:line="275" w:lineRule="exact"/>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1"/>
        </w:rPr>
        <w:t> </w:t>
      </w:r>
      <w:r>
        <w:rPr/>
        <w:t>је</w:t>
      </w:r>
      <w:r>
        <w:rPr>
          <w:rFonts w:ascii="Times New Roman" w:hAnsi="Times New Roman"/>
        </w:rPr>
        <w:t>:</w:t>
      </w:r>
      <w:r>
        <w:rPr>
          <w:rFonts w:ascii="Times New Roman" w:hAnsi="Times New Roman"/>
          <w:b w:val="0"/>
        </w:rPr>
      </w:r>
    </w:p>
    <w:p>
      <w:pPr>
        <w:pStyle w:val="ListParagraph"/>
        <w:numPr>
          <w:ilvl w:val="0"/>
          <w:numId w:val="9"/>
        </w:numPr>
        <w:tabs>
          <w:tab w:pos="303" w:val="left" w:leader="none"/>
        </w:tabs>
        <w:spacing w:line="292"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Ова позиција мање је исказана код Центра „Мара“ у износу од 266 хиљада</w:t>
      </w:r>
      <w:r>
        <w:rPr>
          <w:rFonts w:ascii="Times New Roman" w:hAnsi="Times New Roman" w:cs="Times New Roman" w:eastAsia="Times New Roman" w:hint="default"/>
          <w:spacing w:val="-23"/>
          <w:sz w:val="24"/>
          <w:szCs w:val="24"/>
        </w:rPr>
        <w:t> </w:t>
      </w:r>
      <w:r>
        <w:rPr>
          <w:rFonts w:ascii="Times New Roman" w:hAnsi="Times New Roman" w:cs="Times New Roman" w:eastAsia="Times New Roman" w:hint="default"/>
          <w:sz w:val="24"/>
          <w:szCs w:val="24"/>
        </w:rPr>
        <w:t>динара.</w:t>
      </w:r>
    </w:p>
    <w:p>
      <w:pPr>
        <w:pStyle w:val="ListParagraph"/>
        <w:numPr>
          <w:ilvl w:val="0"/>
          <w:numId w:val="9"/>
        </w:numPr>
        <w:tabs>
          <w:tab w:pos="303" w:val="left" w:leader="none"/>
        </w:tabs>
        <w:spacing w:line="237" w:lineRule="auto" w:before="2" w:after="0"/>
        <w:ind w:left="160" w:right="179"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Ова позиција више је исказана код Установе „Сигурна кућа“ у износу од 1.737 хиљада динара, јер је почетком године на дан 01.01.2014. године почетно стање неправилно евидентирано.</w:t>
      </w:r>
    </w:p>
    <w:p>
      <w:pPr>
        <w:pStyle w:val="Heading2"/>
        <w:spacing w:line="240" w:lineRule="auto"/>
        <w:ind w:right="172"/>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0"/>
        </w:rPr>
        <w:t> </w:t>
      </w:r>
      <w:r>
        <w:rPr>
          <w:i/>
        </w:rPr>
        <w:t>систем.</w:t>
      </w:r>
      <w:r>
        <w:rPr>
          <w:b w:val="0"/>
          <w:i w:val="0"/>
        </w:rPr>
      </w:r>
    </w:p>
    <w:p>
      <w:pPr>
        <w:pStyle w:val="ListParagraph"/>
        <w:numPr>
          <w:ilvl w:val="0"/>
          <w:numId w:val="110"/>
        </w:numPr>
        <w:tabs>
          <w:tab w:pos="303"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pacing w:val="-60"/>
          <w:w w:val="99"/>
          <w:sz w:val="24"/>
          <w:szCs w:val="24"/>
          <w:u w:val="single" w:color="000000"/>
        </w:rPr>
        <w:t> </w:t>
      </w:r>
      <w:r>
        <w:rPr>
          <w:rFonts w:ascii="Times New Roman" w:hAnsi="Times New Roman" w:cs="Times New Roman" w:eastAsia="Times New Roman" w:hint="default"/>
          <w:sz w:val="24"/>
          <w:szCs w:val="24"/>
          <w:u w:val="single" w:color="000000"/>
        </w:rPr>
        <w:t>Управе за образовање </w:t>
      </w:r>
      <w:r>
        <w:rPr>
          <w:rFonts w:ascii="Times New Roman" w:hAnsi="Times New Roman" w:cs="Times New Roman" w:eastAsia="Times New Roman" w:hint="default"/>
          <w:sz w:val="24"/>
          <w:szCs w:val="24"/>
        </w:rPr>
        <w:t>у износу од 2.569 хиљада динара за исказани нераспоређени </w:t>
      </w:r>
      <w:r>
        <w:rPr>
          <w:rFonts w:ascii="Times New Roman" w:hAnsi="Times New Roman" w:cs="Times New Roman" w:eastAsia="Times New Roman" w:hint="default"/>
          <w:sz w:val="24"/>
          <w:szCs w:val="24"/>
        </w:rPr>
        <w:t>вишак прихода и примања из ранијих година код: ПУ „Пчелица“ у износу од 2.304 хиљада динара и Дечијег центра у износу од 265 хиљада</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динара.</w:t>
      </w:r>
    </w:p>
    <w:p>
      <w:pPr>
        <w:pStyle w:val="Heading1"/>
        <w:spacing w:line="240" w:lineRule="auto"/>
        <w:ind w:right="141"/>
        <w:jc w:val="left"/>
        <w:rPr>
          <w:b w:val="0"/>
          <w:bCs w:val="0"/>
        </w:rPr>
      </w:pPr>
      <w:r>
        <w:rPr/>
        <w:t>На основу ревизије узорковане документације утврђено</w:t>
      </w:r>
      <w:r>
        <w:rPr>
          <w:spacing w:val="-14"/>
        </w:rPr>
        <w:t> </w:t>
      </w:r>
      <w:r>
        <w:rPr/>
        <w:t>је:</w:t>
      </w:r>
      <w:r>
        <w:rPr>
          <w:b w:val="0"/>
        </w:rPr>
      </w:r>
    </w:p>
    <w:p>
      <w:pPr>
        <w:spacing w:after="0" w:line="240" w:lineRule="auto"/>
        <w:jc w:val="left"/>
        <w:sectPr>
          <w:pgSz w:w="12240" w:h="15840"/>
          <w:pgMar w:header="740" w:footer="1504" w:top="120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ListParagraph"/>
        <w:numPr>
          <w:ilvl w:val="0"/>
          <w:numId w:val="9"/>
        </w:numPr>
        <w:tabs>
          <w:tab w:pos="303" w:val="left" w:leader="none"/>
        </w:tabs>
        <w:spacing w:line="240" w:lineRule="auto" w:before="8" w:after="0"/>
        <w:ind w:left="302" w:right="180" w:hanging="142"/>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Код ПУ „Пчелица“ ова позиција исказана више у износу од најмање 108 хиљада динара јер није вршено евидентирање трошкова путовања у моменту настанка трошка у ранијим годинама, што је супротно члану 5. Уредбе о буџетском</w:t>
      </w:r>
      <w:r>
        <w:rPr>
          <w:rFonts w:ascii="Times New Roman" w:hAnsi="Times New Roman" w:cs="Times New Roman" w:eastAsia="Times New Roman" w:hint="default"/>
          <w:spacing w:val="-20"/>
          <w:sz w:val="24"/>
          <w:szCs w:val="24"/>
        </w:rPr>
        <w:t> </w:t>
      </w:r>
      <w:r>
        <w:rPr>
          <w:rFonts w:ascii="Times New Roman" w:hAnsi="Times New Roman" w:cs="Times New Roman" w:eastAsia="Times New Roman" w:hint="default"/>
          <w:sz w:val="24"/>
          <w:szCs w:val="24"/>
        </w:rPr>
        <w:t>рачуноводству.</w:t>
      </w:r>
    </w:p>
    <w:p>
      <w:pPr>
        <w:pStyle w:val="ListParagraph"/>
        <w:numPr>
          <w:ilvl w:val="0"/>
          <w:numId w:val="9"/>
        </w:numPr>
        <w:tabs>
          <w:tab w:pos="303" w:val="left" w:leader="none"/>
        </w:tabs>
        <w:spacing w:line="274" w:lineRule="exact" w:before="24" w:after="0"/>
        <w:ind w:left="302" w:right="184" w:hanging="142"/>
        <w:jc w:val="both"/>
        <w:rPr>
          <w:rFonts w:ascii="Times New Roman" w:hAnsi="Times New Roman" w:cs="Times New Roman" w:eastAsia="Times New Roman" w:hint="default"/>
          <w:sz w:val="24"/>
          <w:szCs w:val="24"/>
        </w:rPr>
      </w:pPr>
      <w:r>
        <w:rPr>
          <w:rFonts w:ascii="Times New Roman" w:hAnsi="Times New Roman"/>
          <w:sz w:val="24"/>
        </w:rPr>
        <w:t>Код Дечијег центра више је исказан нераспоређени вишак прихода и примања из ранијих година у износу од 265 хиљада</w:t>
      </w:r>
      <w:r>
        <w:rPr>
          <w:rFonts w:ascii="Times New Roman" w:hAnsi="Times New Roman"/>
          <w:spacing w:val="-15"/>
          <w:sz w:val="24"/>
        </w:rPr>
        <w:t> </w:t>
      </w:r>
      <w:r>
        <w:rPr>
          <w:rFonts w:ascii="Times New Roman" w:hAnsi="Times New Roman"/>
          <w:sz w:val="24"/>
        </w:rPr>
        <w:t>динара.</w:t>
      </w:r>
    </w:p>
    <w:p>
      <w:pPr>
        <w:pStyle w:val="Heading2"/>
        <w:spacing w:line="240" w:lineRule="auto" w:before="2"/>
        <w:ind w:right="176"/>
        <w:jc w:val="both"/>
        <w:rPr>
          <w:b w:val="0"/>
          <w:bCs w:val="0"/>
          <w:i w:val="0"/>
        </w:rPr>
      </w:pPr>
      <w:r>
        <w:rPr>
          <w:i/>
        </w:rPr>
        <w:t>Препоручује се одговорним лицима да обезбеде правилну приемну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ListParagraph"/>
        <w:numPr>
          <w:ilvl w:val="0"/>
          <w:numId w:val="110"/>
        </w:numPr>
        <w:tabs>
          <w:tab w:pos="303"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културу </w:t>
      </w:r>
      <w:r>
        <w:rPr>
          <w:rFonts w:ascii="Times New Roman" w:hAnsi="Times New Roman"/>
          <w:sz w:val="24"/>
        </w:rPr>
        <w:t>у износу од 1.815 хиљада динара за исказани нераспоређени вишак </w:t>
      </w:r>
      <w:r>
        <w:rPr>
          <w:rFonts w:ascii="Times New Roman" w:hAnsi="Times New Roman"/>
          <w:sz w:val="24"/>
        </w:rPr>
        <w:t>прихода и примања из ранијих година код Историјског архива у износу од 208 хиљада динара, Народног музеја у износу од 785 хиљада динара, Нишког културног центра у износу од 282 хиљаде динара и Завода за заштиту споменика културеу износу од од 540 хиљада</w:t>
      </w:r>
      <w:r>
        <w:rPr>
          <w:rFonts w:ascii="Times New Roman" w:hAnsi="Times New Roman"/>
          <w:spacing w:val="-3"/>
          <w:sz w:val="24"/>
        </w:rPr>
        <w:t> </w:t>
      </w:r>
      <w:r>
        <w:rPr>
          <w:rFonts w:ascii="Times New Roman" w:hAnsi="Times New Roman"/>
          <w:sz w:val="24"/>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Ова билансна позиција исказана је у већем износу од </w:t>
      </w:r>
      <w:r>
        <w:rPr>
          <w:rFonts w:ascii="Times New Roman" w:hAnsi="Times New Roman"/>
          <w:sz w:val="24"/>
        </w:rPr>
        <w:t>88 </w:t>
      </w:r>
      <w:r>
        <w:rPr>
          <w:rFonts w:ascii="Times New Roman" w:hAnsi="Times New Roman"/>
          <w:sz w:val="24"/>
        </w:rPr>
        <w:t>хиљада динара  код  Историјског архива</w:t>
      </w:r>
      <w:r>
        <w:rPr>
          <w:rFonts w:ascii="Times New Roman" w:hAnsi="Times New Roman"/>
          <w:sz w:val="24"/>
        </w:rPr>
        <w:t>, </w:t>
      </w:r>
      <w:r>
        <w:rPr>
          <w:rFonts w:ascii="Times New Roman" w:hAnsi="Times New Roman"/>
          <w:sz w:val="24"/>
        </w:rPr>
        <w:t>јер није правилно утврђен резултат пословања, што је супротно Правилнику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буџетских</w:t>
      </w:r>
      <w:r>
        <w:rPr>
          <w:rFonts w:ascii="Times New Roman" w:hAnsi="Times New Roman"/>
          <w:spacing w:val="-9"/>
          <w:sz w:val="24"/>
        </w:rPr>
        <w:t> </w:t>
      </w:r>
      <w:r>
        <w:rPr>
          <w:rFonts w:ascii="Times New Roman" w:hAnsi="Times New Roman"/>
          <w:sz w:val="24"/>
        </w:rPr>
        <w:t>фондова.</w:t>
      </w:r>
    </w:p>
    <w:p>
      <w:pPr>
        <w:pStyle w:val="BodyText"/>
        <w:spacing w:line="240" w:lineRule="auto" w:before="2"/>
        <w:ind w:right="177"/>
        <w:jc w:val="both"/>
      </w:pPr>
      <w:r>
        <w:rPr>
          <w:rFonts w:ascii="Times New Roman" w:hAnsi="Times New Roman" w:cs="Times New Roman" w:eastAsia="Times New Roman" w:hint="default"/>
        </w:rPr>
      </w:r>
      <w:r>
        <w:rPr>
          <w:rFonts w:ascii="Times New Roman" w:hAnsi="Times New Roman" w:cs="Times New Roman" w:eastAsia="Times New Roman" w:hint="default"/>
          <w:strike/>
          <w:spacing w:val="-60"/>
        </w:rPr>
        <w:t> </w:t>
      </w:r>
      <w:r>
        <w:rPr>
          <w:rFonts w:ascii="Symbol" w:hAnsi="Symbol" w:cs="Symbol" w:eastAsia="Symbol" w:hint="default"/>
          <w:strike/>
        </w:rPr>
        <w:t></w:t>
      </w:r>
      <w:r>
        <w:rPr>
          <w:rFonts w:ascii="Times New Roman" w:hAnsi="Times New Roman" w:cs="Times New Roman" w:eastAsia="Times New Roman" w:hint="default"/>
          <w:strike/>
        </w:rPr>
        <w:t> </w:t>
      </w:r>
      <w:r>
        <w:rPr>
          <w:rFonts w:ascii="Symbol" w:hAnsi="Symbol" w:cs="Symbol" w:eastAsia="Symbol" w:hint="default"/>
          <w:strike w:val="0"/>
        </w:rPr>
      </w:r>
      <w:r>
        <w:rPr>
          <w:rFonts w:ascii="Times New Roman" w:hAnsi="Times New Roman" w:cs="Times New Roman" w:eastAsia="Times New Roman" w:hint="default"/>
          <w:strike w:val="0"/>
        </w:rPr>
      </w:r>
      <w:r>
        <w:rPr>
          <w:strike w:val="0"/>
        </w:rPr>
        <w:t>Код Народног музеја више је исказан вишак прихода и примања из ранијих година у износу од 785 хиљада динара, а по основу наменских средстава добијених од Министарства, која су потрошена за другу намену. За Пројекат „Изложба Константиново доба – 1700 година“ од Министарства културе, информисања и информационог друштва су дана 06.08.2012. године, по Уговору број 02</w:t>
      </w:r>
      <w:r>
        <w:rPr>
          <w:rFonts w:ascii="Times New Roman" w:hAnsi="Times New Roman" w:cs="Times New Roman" w:eastAsia="Times New Roman" w:hint="default"/>
          <w:strike w:val="0"/>
        </w:rPr>
        <w:t>-242/ 1-</w:t>
      </w:r>
      <w:r>
        <w:rPr>
          <w:strike w:val="0"/>
        </w:rPr>
        <w:t>12 од 19.03.2012. године уплаћена средства у износу од 1.910 хиљада динара на уплатни рачун јавних прихода 733144, а потом је град пренео средства на буџетски рачун. Од наведеног износа искоришћена је 761 хиљада динара. Застало се са пројектом због радова које спроводи Завод за заштиту споменика културе, тако да је неискоришћено остало 1.149 хиљада динара. Народни  музеј је средства искористио за плаћање по Пројекту „Виртуелни музеј“ који се финансира из ИПА фондова, а кад се износ</w:t>
      </w:r>
      <w:r>
        <w:rPr>
          <w:strike w:val="0"/>
          <w:spacing w:val="-18"/>
        </w:rPr>
        <w:t> </w:t>
      </w:r>
      <w:r>
        <w:rPr>
          <w:strike w:val="0"/>
        </w:rPr>
        <w:t>рефундира.</w:t>
      </w:r>
    </w:p>
    <w:p>
      <w:pPr>
        <w:pStyle w:val="Heading2"/>
        <w:spacing w:line="240" w:lineRule="auto"/>
        <w:ind w:right="173"/>
        <w:jc w:val="both"/>
        <w:rPr>
          <w:b w:val="0"/>
          <w:bCs w:val="0"/>
          <w:i w:val="0"/>
        </w:rPr>
      </w:pPr>
      <w:r>
        <w:rPr>
          <w:i/>
        </w:rPr>
        <w:t>Препоручује се одговорним лицима да обезбеде правилну примену Правилника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буџетских</w:t>
      </w:r>
      <w:r>
        <w:rPr>
          <w:i/>
          <w:spacing w:val="-9"/>
        </w:rPr>
        <w:t> </w:t>
      </w:r>
      <w:r>
        <w:rPr>
          <w:i/>
        </w:rPr>
        <w:t>фондова.</w:t>
      </w:r>
      <w:r>
        <w:rPr>
          <w:b w:val="0"/>
          <w:i w:val="0"/>
        </w:rPr>
      </w:r>
    </w:p>
    <w:p>
      <w:pPr>
        <w:pStyle w:val="BodyText"/>
        <w:spacing w:line="240" w:lineRule="auto"/>
        <w:ind w:right="178"/>
        <w:jc w:val="both"/>
      </w:pPr>
      <w:r>
        <w:rPr/>
        <w:pict>
          <v:group style="position:absolute;margin-left:81.984001pt;margin-top:12.823101pt;width:145pt;height:.1pt;mso-position-horizontal-relative:page;mso-position-vertical-relative:paragraph;z-index:-772000" coordorigin="1640,256" coordsize="2900,2">
            <v:shape style="position:absolute;left:1640;top:256;width:2900;height:2" coordorigin="1640,256" coordsize="2900,0" path="m1640,256l4539,256e" filled="false" stroked="true" strokeweight=".60004pt" strokecolor="#000000">
              <v:path arrowok="t"/>
            </v:shape>
            <w10:wrap type="none"/>
          </v:group>
        </w:pict>
      </w:r>
      <w:r>
        <w:rPr>
          <w:rFonts w:ascii="Times New Roman" w:hAnsi="Times New Roman"/>
        </w:rPr>
        <w:t>-</w:t>
      </w:r>
      <w:r>
        <w:rPr/>
        <w:t>Управе за омладину и спорт у износу од 1.230 хиљада динара за исказани нераспоређени вишак прихода и примања из ранијих година код СЦ</w:t>
      </w:r>
      <w:r>
        <w:rPr>
          <w:spacing w:val="-20"/>
        </w:rPr>
        <w:t> </w:t>
      </w:r>
      <w:r>
        <w:rPr/>
        <w:t>Чаир.</w:t>
      </w:r>
    </w:p>
    <w:p>
      <w:pPr>
        <w:pStyle w:val="ListParagraph"/>
        <w:numPr>
          <w:ilvl w:val="0"/>
          <w:numId w:val="111"/>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комуналне делатности, енергетику и саобраћај </w:t>
      </w:r>
      <w:r>
        <w:rPr>
          <w:rFonts w:ascii="Times New Roman" w:hAnsi="Times New Roman"/>
          <w:sz w:val="24"/>
        </w:rPr>
        <w:t>у износу од 10.195 хиљада </w:t>
      </w:r>
      <w:r>
        <w:rPr>
          <w:rFonts w:ascii="Times New Roman" w:hAnsi="Times New Roman"/>
          <w:sz w:val="24"/>
        </w:rPr>
        <w:t>динара за исказани нераспоређени вишак прихода и примања из ранијих година код ЈП Дирекција.</w:t>
      </w:r>
    </w:p>
    <w:p>
      <w:pPr>
        <w:spacing w:before="0"/>
        <w:ind w:left="160" w:right="173"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је ова билансна позиција исказана у већем износу од 7.965 хиљада динара, јер није исправно утврђен резултат пословања, што је супротно Правилнику о стандардном класификационом оквиру и контном плану за буџетски</w:t>
      </w:r>
      <w:r>
        <w:rPr>
          <w:rFonts w:ascii="Times New Roman" w:hAnsi="Times New Roman"/>
          <w:spacing w:val="-21"/>
          <w:sz w:val="24"/>
        </w:rPr>
        <w:t> </w:t>
      </w:r>
      <w:r>
        <w:rPr>
          <w:rFonts w:ascii="Times New Roman" w:hAnsi="Times New Roman"/>
          <w:sz w:val="24"/>
        </w:rPr>
        <w:t>систем.</w:t>
      </w:r>
    </w:p>
    <w:p>
      <w:pPr>
        <w:pStyle w:val="BodyText"/>
        <w:spacing w:line="240" w:lineRule="auto"/>
        <w:ind w:right="172" w:firstLine="566"/>
        <w:jc w:val="both"/>
      </w:pPr>
      <w:r>
        <w:rPr/>
        <w:t>Надзорни одбор ЈП Дирекција је у поступку ревизије донео Одлуку број 05</w:t>
      </w:r>
      <w:r>
        <w:rPr>
          <w:rFonts w:ascii="Times New Roman" w:hAnsi="Times New Roman"/>
        </w:rPr>
        <w:t>-3695- </w:t>
      </w:r>
      <w:r>
        <w:rPr/>
        <w:t>5/2015 од 25.05.2015. године о отклањању недостатака у пословним књигама за 2015. годину, што је спроведено налогом број 20</w:t>
      </w:r>
      <w:r>
        <w:rPr>
          <w:rFonts w:ascii="Times New Roman" w:hAnsi="Times New Roman"/>
        </w:rPr>
        <w:t>-</w:t>
      </w:r>
      <w:r>
        <w:rPr/>
        <w:t>154 дана 25.05.2015.</w:t>
      </w:r>
      <w:r>
        <w:rPr>
          <w:spacing w:val="-9"/>
        </w:rPr>
        <w:t> </w:t>
      </w:r>
      <w:r>
        <w:rPr/>
        <w:t>године.</w:t>
      </w:r>
    </w:p>
    <w:p>
      <w:pPr>
        <w:spacing w:after="0" w:line="240" w:lineRule="auto"/>
        <w:jc w:val="both"/>
        <w:sectPr>
          <w:pgSz w:w="12240" w:h="15840"/>
          <w:pgMar w:header="740" w:footer="1504" w:top="120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ListParagraph"/>
        <w:numPr>
          <w:ilvl w:val="0"/>
          <w:numId w:val="111"/>
        </w:numPr>
        <w:tabs>
          <w:tab w:pos="303" w:val="left" w:leader="none"/>
        </w:tabs>
        <w:spacing w:line="240" w:lineRule="auto" w:before="6" w:after="0"/>
        <w:ind w:left="160" w:right="178"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привреду, одрживи развој и заштиту животне средине </w:t>
      </w:r>
      <w:r>
        <w:rPr>
          <w:rFonts w:ascii="Times New Roman" w:hAnsi="Times New Roman"/>
          <w:sz w:val="24"/>
        </w:rPr>
        <w:t>у износу од седам </w:t>
      </w:r>
      <w:r>
        <w:rPr>
          <w:rFonts w:ascii="Times New Roman" w:hAnsi="Times New Roman"/>
          <w:sz w:val="24"/>
        </w:rPr>
        <w:t>хиљада динара за исказани нераспоређени вишак прихода и примања из ранијих година код Туристичке</w:t>
      </w:r>
      <w:r>
        <w:rPr>
          <w:rFonts w:ascii="Times New Roman" w:hAnsi="Times New Roman"/>
          <w:spacing w:val="-10"/>
          <w:sz w:val="24"/>
        </w:rPr>
        <w:t> </w:t>
      </w:r>
      <w:r>
        <w:rPr>
          <w:rFonts w:ascii="Times New Roman" w:hAnsi="Times New Roman"/>
          <w:sz w:val="24"/>
        </w:rPr>
        <w:t>организације.</w:t>
      </w:r>
    </w:p>
    <w:p>
      <w:pPr>
        <w:pStyle w:val="ListParagraph"/>
        <w:numPr>
          <w:ilvl w:val="0"/>
          <w:numId w:val="111"/>
        </w:numPr>
        <w:tabs>
          <w:tab w:pos="303"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пољопривреду и развој села </w:t>
      </w:r>
      <w:r>
        <w:rPr>
          <w:rFonts w:ascii="Times New Roman" w:hAnsi="Times New Roman"/>
          <w:sz w:val="24"/>
        </w:rPr>
        <w:t>у износу од 18 хиљада динара за исказани </w:t>
      </w:r>
      <w:r>
        <w:rPr>
          <w:rFonts w:ascii="Times New Roman" w:hAnsi="Times New Roman"/>
          <w:sz w:val="24"/>
        </w:rPr>
        <w:t>нераспоређени вишак прихода и примања из ранијих година код Фонда за развој и самофинансирање.</w:t>
      </w:r>
    </w:p>
    <w:p>
      <w:pPr>
        <w:pStyle w:val="ListParagraph"/>
        <w:numPr>
          <w:ilvl w:val="0"/>
          <w:numId w:val="111"/>
        </w:numPr>
        <w:tabs>
          <w:tab w:pos="303" w:val="left" w:leader="none"/>
        </w:tabs>
        <w:spacing w:line="240" w:lineRule="auto" w:before="0" w:after="0"/>
        <w:ind w:left="160" w:right="179"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планирање и изградњу </w:t>
      </w:r>
      <w:r>
        <w:rPr>
          <w:rFonts w:ascii="Times New Roman" w:hAnsi="Times New Roman"/>
          <w:sz w:val="24"/>
        </w:rPr>
        <w:t>у износу од 304.252 хиљаде динара за исказани </w:t>
      </w:r>
      <w:r>
        <w:rPr>
          <w:rFonts w:ascii="Times New Roman" w:hAnsi="Times New Roman"/>
          <w:sz w:val="24"/>
        </w:rPr>
        <w:t>нераспоређени вишак прихода и примања из ранијих година код ЈП</w:t>
      </w:r>
      <w:r>
        <w:rPr>
          <w:rFonts w:ascii="Times New Roman" w:hAnsi="Times New Roman"/>
          <w:spacing w:val="-19"/>
          <w:sz w:val="24"/>
        </w:rPr>
        <w:t> </w:t>
      </w:r>
      <w:r>
        <w:rPr>
          <w:rFonts w:ascii="Times New Roman" w:hAnsi="Times New Roman"/>
          <w:sz w:val="24"/>
        </w:rPr>
        <w:t>ГСА.</w:t>
      </w:r>
    </w:p>
    <w:p>
      <w:pPr>
        <w:pStyle w:val="BodyText"/>
        <w:spacing w:line="240" w:lineRule="auto"/>
        <w:ind w:right="174" w:firstLine="566"/>
        <w:jc w:val="both"/>
      </w:pPr>
      <w:r>
        <w:rPr>
          <w:rFonts w:ascii="Times New Roman" w:hAnsi="Times New Roman"/>
          <w:b/>
        </w:rPr>
        <w:t>На основу ревизије узорковане документације утврђено је </w:t>
      </w:r>
      <w:r>
        <w:rPr/>
        <w:t>да је нераспоређени вишак прихода и примања из ранијих година исказан у већем износу код ЈП ГСА за 277.769 хиљада динара, јер ЈП ГСА није правилно утврдила стање на овом конту, што је супротно члану 9. Уредбе о буџетском рачуноводству и Правилнику о стандардном класификационом овиру и контном плану за буџетски</w:t>
      </w:r>
      <w:r>
        <w:rPr>
          <w:spacing w:val="-28"/>
        </w:rPr>
        <w:t> </w:t>
      </w:r>
      <w:r>
        <w:rPr/>
        <w:t>систем.</w:t>
      </w:r>
    </w:p>
    <w:p>
      <w:pPr>
        <w:pStyle w:val="Heading2"/>
        <w:spacing w:line="240" w:lineRule="auto"/>
        <w:ind w:right="172"/>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i/>
        </w:rPr>
        <w:t>.</w:t>
      </w:r>
      <w:r>
        <w:rPr>
          <w:rFonts w:ascii="Times New Roman" w:hAnsi="Times New Roman"/>
          <w:b w:val="0"/>
          <w:i w:val="0"/>
        </w:rPr>
      </w:r>
    </w:p>
    <w:p>
      <w:pPr>
        <w:pStyle w:val="ListParagraph"/>
        <w:numPr>
          <w:ilvl w:val="0"/>
          <w:numId w:val="111"/>
        </w:numPr>
        <w:tabs>
          <w:tab w:pos="303" w:val="left" w:leader="none"/>
        </w:tabs>
        <w:spacing w:line="271"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 буџету града Ниша </w:t>
      </w:r>
      <w:r>
        <w:rPr>
          <w:rFonts w:ascii="Times New Roman" w:hAnsi="Times New Roman"/>
          <w:sz w:val="24"/>
        </w:rPr>
        <w:t>исказан је износ од 10.742 хиљаде</w:t>
      </w:r>
      <w:r>
        <w:rPr>
          <w:rFonts w:ascii="Times New Roman" w:hAnsi="Times New Roman"/>
          <w:spacing w:val="-11"/>
          <w:sz w:val="24"/>
        </w:rPr>
        <w:t> </w:t>
      </w:r>
      <w:r>
        <w:rPr>
          <w:rFonts w:ascii="Times New Roman" w:hAnsi="Times New Roman"/>
          <w:sz w:val="24"/>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37" w:lineRule="auto" w:before="1"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Ова позиција мање је исказана за износ од укупно 361 хиљаде динара за  неевидентирана девизна средства на девизном подрачуну у износу од 199 хиљада динара и  у девизној благајни у износу од 162 хиљаде</w:t>
      </w:r>
      <w:r>
        <w:rPr>
          <w:rFonts w:ascii="Times New Roman" w:hAnsi="Times New Roman"/>
          <w:spacing w:val="-14"/>
          <w:sz w:val="24"/>
        </w:rPr>
        <w:t> </w:t>
      </w:r>
      <w:r>
        <w:rPr>
          <w:rFonts w:ascii="Times New Roman" w:hAnsi="Times New Roman"/>
          <w:sz w:val="24"/>
        </w:rPr>
        <w:t>динара.</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Ова позиција мање је исказана за износ који у поступку ревизије нисмо могли да утврдимо због неевидентирања стања и промена новчаних средстава на издвојеним подрачунима у пословним књигама Управе за финансије, изворне приходе локалне самоуправе и јавне набавке града</w:t>
      </w:r>
      <w:r>
        <w:rPr>
          <w:rFonts w:ascii="Times New Roman" w:hAnsi="Times New Roman"/>
          <w:spacing w:val="-13"/>
          <w:sz w:val="24"/>
        </w:rPr>
        <w:t> </w:t>
      </w:r>
      <w:r>
        <w:rPr>
          <w:rFonts w:ascii="Times New Roman" w:hAnsi="Times New Roman"/>
          <w:sz w:val="24"/>
        </w:rPr>
        <w:t>Ниша.</w:t>
      </w:r>
    </w:p>
    <w:p>
      <w:pPr>
        <w:pStyle w:val="ListParagraph"/>
        <w:numPr>
          <w:ilvl w:val="0"/>
          <w:numId w:val="9"/>
        </w:numPr>
        <w:tabs>
          <w:tab w:pos="303" w:val="left" w:leader="none"/>
        </w:tabs>
        <w:spacing w:line="237" w:lineRule="auto" w:before="4"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У поступку ревизије нисмо се уверили у тачност исказаног нераспоређеног вишка прихода и примања из ранијих година у пословним књигама Управе за финансије, изворне приходе локалне самоуправе и јавне набавке града</w:t>
      </w:r>
      <w:r>
        <w:rPr>
          <w:rFonts w:ascii="Times New Roman" w:hAnsi="Times New Roman"/>
          <w:spacing w:val="-21"/>
          <w:sz w:val="24"/>
        </w:rPr>
        <w:t> </w:t>
      </w:r>
      <w:r>
        <w:rPr>
          <w:rFonts w:ascii="Times New Roman" w:hAnsi="Times New Roman"/>
          <w:sz w:val="24"/>
        </w:rPr>
        <w:t>Ниша.</w:t>
      </w:r>
    </w:p>
    <w:p>
      <w:pPr>
        <w:pStyle w:val="Heading2"/>
        <w:spacing w:line="240" w:lineRule="auto"/>
        <w:ind w:right="177"/>
        <w:jc w:val="both"/>
        <w:rPr>
          <w:b w:val="0"/>
          <w:bCs w:val="0"/>
          <w:i w:val="0"/>
        </w:rPr>
      </w:pPr>
      <w:r>
        <w:rPr>
          <w:i/>
        </w:rPr>
        <w:t>Препоручује се одговорним лицима да правилно и тачно исказују нераспоређени вишак прихода и примања из ранијих</w:t>
      </w:r>
      <w:r>
        <w:rPr>
          <w:i/>
          <w:spacing w:val="-14"/>
        </w:rPr>
        <w:t> </w:t>
      </w:r>
      <w:r>
        <w:rPr>
          <w:i/>
        </w:rPr>
        <w:t>година.</w:t>
      </w:r>
      <w:r>
        <w:rPr>
          <w:b w:val="0"/>
          <w:i w:val="0"/>
        </w:rPr>
      </w:r>
    </w:p>
    <w:p>
      <w:pPr>
        <w:spacing w:line="271" w:lineRule="exact" w:before="0"/>
        <w:ind w:left="786" w:right="141" w:firstLine="0"/>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Дефицит из ранијих година, субаналитички конто 321312 </w:t>
      </w:r>
      <w:r>
        <w:rPr>
          <w:rFonts w:ascii="Times New Roman" w:hAnsi="Times New Roman" w:cs="Times New Roman" w:eastAsia="Times New Roman" w:hint="default"/>
          <w:sz w:val="24"/>
          <w:szCs w:val="24"/>
        </w:rPr>
        <w:t>– Исказан је износ </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од</w:t>
      </w:r>
    </w:p>
    <w:p>
      <w:pPr>
        <w:pStyle w:val="BodyText"/>
        <w:spacing w:line="240" w:lineRule="auto"/>
        <w:ind w:right="0"/>
        <w:jc w:val="both"/>
      </w:pPr>
      <w:r>
        <w:rPr/>
        <w:t>290.121 хиљаде динара</w:t>
      </w:r>
      <w:r>
        <w:rPr>
          <w:spacing w:val="-3"/>
        </w:rPr>
        <w:t> </w:t>
      </w:r>
      <w:r>
        <w:rPr/>
        <w:t>код:</w:t>
      </w:r>
    </w:p>
    <w:p>
      <w:pPr>
        <w:pStyle w:val="BodyText"/>
        <w:spacing w:line="240" w:lineRule="auto"/>
        <w:ind w:right="170"/>
        <w:jc w:val="both"/>
      </w:pPr>
      <w:r>
        <w:rPr>
          <w:rFonts w:ascii="Times New Roman" w:hAnsi="Times New Roman"/>
          <w:w w:val="99"/>
        </w:rPr>
      </w:r>
      <w:r>
        <w:rPr>
          <w:rFonts w:ascii="Times New Roman" w:hAnsi="Times New Roman"/>
          <w:u w:val="single" w:color="000000"/>
        </w:rPr>
        <w:t>-</w:t>
      </w:r>
      <w:r>
        <w:rPr>
          <w:u w:val="single" w:color="000000"/>
        </w:rPr>
        <w:t>Управе за културу </w:t>
      </w:r>
      <w:r>
        <w:rPr/>
        <w:t>у износу од 1.608 хиљада динара за исказани дефицит из ранијих </w:t>
      </w:r>
      <w:r>
        <w:rPr/>
        <w:t>година код: Позоришта лутака у износу од 859 хиљада динара, Народног позоришта у износу од 248 хиљада динара,Нишког симфонијског оркестра у износу од 151 хиљаде динара и Галерије савремене ликовне уметности у износу од 350 хиљада</w:t>
      </w:r>
      <w:r>
        <w:rPr>
          <w:spacing w:val="-26"/>
        </w:rPr>
        <w:t> </w:t>
      </w:r>
      <w:r>
        <w:rPr/>
        <w:t>динара.</w:t>
      </w:r>
    </w:p>
    <w:p>
      <w:pPr>
        <w:pStyle w:val="BodyText"/>
        <w:spacing w:line="240" w:lineRule="auto"/>
        <w:ind w:right="175" w:firstLine="578"/>
        <w:jc w:val="both"/>
      </w:pPr>
      <w:r>
        <w:rPr>
          <w:rFonts w:ascii="Times New Roman" w:hAnsi="Times New Roman"/>
          <w:b/>
        </w:rPr>
        <w:t>На основу ревизије узорковане документације утврђено је </w:t>
      </w:r>
      <w:r>
        <w:rPr/>
        <w:t>да је ова билансна позиција исказана у већем износу од укупно 1.608 хиљада динара и то за 859 хиљада динара код Позоришта лутака, за 248 хиљада динара код Народног позоришта, за 151 хиљаду динара код Нишког симфонијског оркестра и за 350 хиљада динара код Галерије савремене ликовне уметности, услед неправилног евидентирања утрошка средстава амортизације у ранијим годинама, што је супротно члану 9. Уредбе о буџетском рачуноводству и Правилника о стандардном класификационом оквиру и контном плану за буџетски</w:t>
      </w:r>
      <w:r>
        <w:rPr>
          <w:spacing w:val="-10"/>
        </w:rPr>
        <w:t> </w:t>
      </w:r>
      <w:r>
        <w:rPr/>
        <w:t>систем.</w:t>
      </w:r>
    </w:p>
    <w:p>
      <w:pPr>
        <w:spacing w:after="0" w:line="240" w:lineRule="auto"/>
        <w:jc w:val="both"/>
        <w:sectPr>
          <w:pgSz w:w="12240" w:h="15840"/>
          <w:pgMar w:header="740" w:footer="1504" w:top="120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Heading2"/>
        <w:spacing w:line="240" w:lineRule="auto" w:before="11"/>
        <w:ind w:right="179" w:firstLine="578"/>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7"/>
        </w:rPr>
        <w:t> </w:t>
      </w:r>
      <w:r>
        <w:rPr>
          <w:i/>
        </w:rPr>
        <w:t>систем.</w:t>
      </w:r>
      <w:r>
        <w:rPr>
          <w:b w:val="0"/>
          <w:i w:val="0"/>
        </w:rPr>
      </w:r>
    </w:p>
    <w:p>
      <w:pPr>
        <w:pStyle w:val="ListParagraph"/>
        <w:numPr>
          <w:ilvl w:val="0"/>
          <w:numId w:val="112"/>
        </w:numPr>
        <w:tabs>
          <w:tab w:pos="303" w:val="left" w:leader="none"/>
        </w:tabs>
        <w:spacing w:line="240" w:lineRule="auto" w:before="0" w:after="0"/>
        <w:ind w:left="302" w:right="179" w:hanging="142"/>
        <w:jc w:val="left"/>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комуналне делатности </w:t>
      </w:r>
      <w:r>
        <w:rPr>
          <w:rFonts w:ascii="Times New Roman" w:hAnsi="Times New Roman"/>
          <w:sz w:val="24"/>
        </w:rPr>
        <w:t>у износу од 13.331 хиљаде динара за исказани дефицит </w:t>
      </w:r>
      <w:r>
        <w:rPr>
          <w:rFonts w:ascii="Times New Roman" w:hAnsi="Times New Roman"/>
          <w:sz w:val="24"/>
        </w:rPr>
        <w:t>из ранијих година код  ЈП</w:t>
      </w:r>
      <w:r>
        <w:rPr>
          <w:rFonts w:ascii="Times New Roman" w:hAnsi="Times New Roman"/>
          <w:spacing w:val="-12"/>
          <w:sz w:val="24"/>
        </w:rPr>
        <w:t> </w:t>
      </w:r>
      <w:r>
        <w:rPr>
          <w:rFonts w:ascii="Times New Roman" w:hAnsi="Times New Roman"/>
          <w:sz w:val="24"/>
        </w:rPr>
        <w:t>Дирекција.</w:t>
      </w:r>
    </w:p>
    <w:p>
      <w:pPr>
        <w:pStyle w:val="BodyText"/>
        <w:spacing w:line="240" w:lineRule="auto"/>
        <w:ind w:right="175" w:firstLine="578"/>
        <w:jc w:val="both"/>
      </w:pPr>
      <w:r>
        <w:rPr>
          <w:rFonts w:ascii="Times New Roman" w:hAnsi="Times New Roman"/>
          <w:b/>
        </w:rPr>
        <w:t>На основу ревизије узорковане документације утврђено је </w:t>
      </w:r>
      <w:r>
        <w:rPr/>
        <w:t>да је ова позиција код ЈП Дирекција исказана у већем износу од 13.331 хиљаде динара, јер није исправно утврђен резултат пословања, што је супротно Правилнику о стандардном класификационом оквиру и контном плану за буџетски</w:t>
      </w:r>
      <w:r>
        <w:rPr>
          <w:spacing w:val="-31"/>
        </w:rPr>
        <w:t> </w:t>
      </w:r>
      <w:r>
        <w:rPr/>
        <w:t>систем.</w:t>
      </w:r>
    </w:p>
    <w:p>
      <w:pPr>
        <w:pStyle w:val="BodyText"/>
        <w:spacing w:line="240" w:lineRule="auto"/>
        <w:ind w:right="172" w:firstLine="566"/>
        <w:jc w:val="both"/>
      </w:pPr>
      <w:r>
        <w:rPr/>
        <w:t>Надзорни одбор ЈП Дирекција је у поступку ревизије донео Одлуку број 05</w:t>
      </w:r>
      <w:r>
        <w:rPr>
          <w:rFonts w:ascii="Times New Roman" w:hAnsi="Times New Roman"/>
        </w:rPr>
        <w:t>-3695- </w:t>
      </w:r>
      <w:r>
        <w:rPr/>
        <w:t>5/2015 од 25.05.2015. године о отклањању недостатака у пословним књигама за 2015. годину, што је спроведено налогом број 20</w:t>
      </w:r>
      <w:r>
        <w:rPr>
          <w:rFonts w:ascii="Times New Roman" w:hAnsi="Times New Roman"/>
        </w:rPr>
        <w:t>-</w:t>
      </w:r>
      <w:r>
        <w:rPr/>
        <w:t>154 дана 25.05.2015.</w:t>
      </w:r>
      <w:r>
        <w:rPr>
          <w:spacing w:val="-9"/>
        </w:rPr>
        <w:t> </w:t>
      </w:r>
      <w:r>
        <w:rPr/>
        <w:t>године.</w:t>
      </w:r>
    </w:p>
    <w:p>
      <w:pPr>
        <w:pStyle w:val="ListParagraph"/>
        <w:numPr>
          <w:ilvl w:val="0"/>
          <w:numId w:val="112"/>
        </w:numPr>
        <w:tabs>
          <w:tab w:pos="303" w:val="left" w:leader="none"/>
        </w:tabs>
        <w:spacing w:line="240" w:lineRule="auto" w:before="0"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у </w:t>
      </w:r>
      <w:r>
        <w:rPr>
          <w:rFonts w:ascii="Times New Roman" w:hAnsi="Times New Roman"/>
          <w:sz w:val="24"/>
        </w:rPr>
      </w:r>
      <w:r>
        <w:rPr>
          <w:rFonts w:ascii="Times New Roman" w:hAnsi="Times New Roman"/>
          <w:sz w:val="24"/>
          <w:u w:val="single" w:color="000000"/>
        </w:rPr>
      </w:r>
      <w:r>
        <w:rPr>
          <w:rFonts w:ascii="Times New Roman" w:hAnsi="Times New Roman"/>
          <w:sz w:val="24"/>
          <w:u w:val="single" w:color="000000"/>
        </w:rPr>
        <w:t>Буџету града Ниша </w:t>
      </w:r>
      <w:r>
        <w:rPr>
          <w:rFonts w:ascii="Times New Roman" w:hAnsi="Times New Roman"/>
          <w:sz w:val="24"/>
        </w:rPr>
        <w:t>исказан је износ од 275.182 хиљаде</w:t>
      </w:r>
      <w:r>
        <w:rPr>
          <w:rFonts w:ascii="Times New Roman" w:hAnsi="Times New Roman"/>
          <w:spacing w:val="-14"/>
          <w:sz w:val="24"/>
        </w:rPr>
        <w:t> </w:t>
      </w:r>
      <w:r>
        <w:rPr>
          <w:rFonts w:ascii="Times New Roman" w:hAnsi="Times New Roman"/>
          <w:sz w:val="24"/>
        </w:rPr>
        <w:t>динара.</w:t>
      </w:r>
    </w:p>
    <w:p>
      <w:pPr>
        <w:pStyle w:val="BodyText"/>
        <w:spacing w:line="240" w:lineRule="auto"/>
        <w:ind w:right="173" w:firstLine="566"/>
        <w:jc w:val="both"/>
      </w:pPr>
      <w:r>
        <w:rPr>
          <w:rFonts w:ascii="Times New Roman" w:hAnsi="Times New Roman"/>
          <w:b/>
        </w:rPr>
        <w:t>На основу ревизије узорковане документације утврђено је </w:t>
      </w:r>
      <w:r>
        <w:rPr/>
        <w:t>да је ова билансна позиција исказана у већем износу од 275.182 хиљаде динара услед неправилног евидентирања, потиче из периода од пре 2011. године и преноси се из године у годину, што је супротно члану 9. Уредбе о буџетском рачуноводству и Правилнику о стандардном класификационом оквиру и контном плану за буџетски</w:t>
      </w:r>
      <w:r>
        <w:rPr>
          <w:spacing w:val="-26"/>
        </w:rPr>
        <w:t> </w:t>
      </w:r>
      <w:r>
        <w:rPr/>
        <w:t>систем.</w:t>
      </w:r>
    </w:p>
    <w:p>
      <w:pPr>
        <w:pStyle w:val="Heading2"/>
        <w:spacing w:line="240" w:lineRule="auto"/>
        <w:ind w:right="181"/>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Правивилника о стандардном класификационом  оквиру и контном плану за буџетски</w:t>
      </w:r>
      <w:r>
        <w:rPr>
          <w:i/>
          <w:spacing w:val="-17"/>
        </w:rPr>
        <w:t> </w:t>
      </w:r>
      <w:r>
        <w:rPr>
          <w:i/>
        </w:rPr>
        <w:t>систем.</w:t>
      </w:r>
      <w:r>
        <w:rPr>
          <w:b w:val="0"/>
          <w:i w:val="0"/>
        </w:rPr>
      </w:r>
    </w:p>
    <w:p>
      <w:pPr>
        <w:spacing w:line="240" w:lineRule="auto" w:before="0"/>
        <w:ind w:left="160" w:right="180" w:firstLine="566"/>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Ванбилансна пасива, група 352000 </w:t>
      </w:r>
      <w:r>
        <w:rPr>
          <w:rFonts w:ascii="Times New Roman" w:hAnsi="Times New Roman" w:cs="Times New Roman" w:eastAsia="Times New Roman" w:hint="default"/>
          <w:sz w:val="24"/>
          <w:szCs w:val="24"/>
        </w:rPr>
        <w:t>– Исказан је износ од 82.795 хиљада динара и то код:</w:t>
      </w:r>
    </w:p>
    <w:p>
      <w:pPr>
        <w:pStyle w:val="BodyText"/>
        <w:spacing w:line="240" w:lineRule="auto"/>
        <w:ind w:right="178" w:firstLine="566"/>
        <w:jc w:val="both"/>
        <w:rPr>
          <w:rFonts w:ascii="Times New Roman" w:hAnsi="Times New Roman" w:cs="Times New Roman" w:eastAsia="Times New Roman" w:hint="default"/>
        </w:rPr>
      </w:pPr>
      <w:r>
        <w:rPr>
          <w:rFonts w:ascii="Times New Roman" w:hAnsi="Times New Roman"/>
        </w:rPr>
        <w:t>- </w:t>
      </w:r>
      <w:r>
        <w:rPr>
          <w:rFonts w:ascii="Times New Roman" w:hAnsi="Times New Roman"/>
        </w:rPr>
      </w:r>
      <w:r>
        <w:rPr>
          <w:rFonts w:ascii="Times New Roman" w:hAnsi="Times New Roman"/>
          <w:u w:val="single" w:color="000000"/>
        </w:rPr>
      </w:r>
      <w:r>
        <w:rPr>
          <w:u w:val="single" w:color="000000"/>
        </w:rPr>
        <w:t>Управе за образовање </w:t>
      </w:r>
      <w:r>
        <w:rPr/>
        <w:t>у износу од 3.292 хиљаде динара за исказану ванбилансну </w:t>
      </w:r>
      <w:r>
        <w:rPr/>
        <w:t>пасиву  код Дечијег</w:t>
      </w:r>
      <w:r>
        <w:rPr>
          <w:spacing w:val="-7"/>
        </w:rPr>
        <w:t> </w:t>
      </w:r>
      <w:r>
        <w:rPr/>
        <w:t>центра</w:t>
      </w:r>
      <w:r>
        <w:rPr>
          <w:rFonts w:ascii="Times New Roman" w:hAnsi="Times New Roman"/>
        </w:rPr>
        <w:t>.</w:t>
      </w:r>
    </w:p>
    <w:p>
      <w:pPr>
        <w:pStyle w:val="BodyText"/>
        <w:spacing w:line="240" w:lineRule="auto"/>
        <w:ind w:right="175" w:firstLine="626"/>
        <w:jc w:val="both"/>
      </w:pPr>
      <w:r>
        <w:rPr>
          <w:rFonts w:ascii="Times New Roman" w:hAnsi="Times New Roman"/>
          <w:b/>
        </w:rPr>
        <w:t>На основу ревизије узорковане документације утврђено је </w:t>
      </w:r>
      <w:r>
        <w:rPr/>
        <w:t>да код ПУ Пчелица није евидентирана у ванбилансној пасиви вредност меница примљених на име гаранције за добро извршење посла у износу од најмање 11.766 хиљада динара, што је супротно члану 13. Правилника о стандардном класификационом оквиру и контном плану за буџетски систем, а што је објашњено код ванбилансне</w:t>
      </w:r>
      <w:r>
        <w:rPr>
          <w:spacing w:val="-19"/>
        </w:rPr>
        <w:t> </w:t>
      </w:r>
      <w:r>
        <w:rPr/>
        <w:t>активе.</w:t>
      </w:r>
    </w:p>
    <w:p>
      <w:pPr>
        <w:pStyle w:val="Heading2"/>
        <w:spacing w:line="240" w:lineRule="auto"/>
        <w:ind w:right="183"/>
        <w:jc w:val="both"/>
        <w:rPr>
          <w:b w:val="0"/>
          <w:bCs w:val="0"/>
          <w:i w:val="0"/>
        </w:rPr>
      </w:pPr>
      <w:r>
        <w:rPr>
          <w:i/>
        </w:rPr>
        <w:t>Препоручује се одговорним лицима да утврде и у пословне књиге унесу вредност ванбилансне пасиве и да предузму мере ради објективног, тачног и правилног исказивања стања ванбилансне</w:t>
      </w:r>
      <w:r>
        <w:rPr>
          <w:i/>
          <w:spacing w:val="-14"/>
        </w:rPr>
        <w:t> </w:t>
      </w:r>
      <w:r>
        <w:rPr>
          <w:i/>
        </w:rPr>
        <w:t>евиденције.</w:t>
      </w:r>
      <w:r>
        <w:rPr>
          <w:b w:val="0"/>
          <w:i w:val="0"/>
        </w:rPr>
      </w:r>
    </w:p>
    <w:p>
      <w:pPr>
        <w:pStyle w:val="BodyText"/>
        <w:spacing w:line="240" w:lineRule="auto"/>
        <w:ind w:right="173"/>
        <w:jc w:val="both"/>
      </w:pPr>
      <w:r>
        <w:rPr>
          <w:rFonts w:ascii="Times New Roman" w:hAnsi="Times New Roman"/>
          <w:w w:val="99"/>
        </w:rPr>
      </w:r>
      <w:r>
        <w:rPr>
          <w:rFonts w:ascii="Times New Roman" w:hAnsi="Times New Roman"/>
          <w:u w:val="single" w:color="000000"/>
        </w:rPr>
        <w:t>-</w:t>
      </w:r>
      <w:r>
        <w:rPr>
          <w:u w:val="single" w:color="000000"/>
        </w:rPr>
        <w:t>Управе за културу </w:t>
      </w:r>
      <w:r>
        <w:rPr/>
        <w:t>у износу од 1.210 хиљада динара за исказану ванбилансну пасиву  </w:t>
      </w:r>
      <w:r>
        <w:rPr/>
        <w:t>код: Народне библиотеке у износу од 21 хиљаде динара и Нишког културног центра у износу од 1.189 хиљада</w:t>
      </w:r>
      <w:r>
        <w:rPr>
          <w:spacing w:val="-8"/>
        </w:rPr>
        <w:t> </w:t>
      </w:r>
      <w:r>
        <w:rPr/>
        <w:t>динара.</w:t>
      </w:r>
    </w:p>
    <w:p>
      <w:pPr>
        <w:pStyle w:val="BodyText"/>
        <w:spacing w:line="240" w:lineRule="auto"/>
        <w:ind w:right="173" w:firstLine="566"/>
        <w:jc w:val="both"/>
      </w:pPr>
      <w:r>
        <w:rPr>
          <w:rFonts w:ascii="Times New Roman" w:hAnsi="Times New Roman"/>
          <w:b/>
        </w:rPr>
        <w:t>На основу ревизије узорковане документације утврђено је </w:t>
      </w:r>
      <w:r>
        <w:rPr/>
        <w:t>да је ова позиција мање исказана за износ од најмање 13.347 хиљада динара за вредност примљених меница за добро извршење посла по уговорима и то код Народног музеја за износ од 1.288 хиљада динара и код Завода за заштиту споменика у износу од 12.059 хиљада динара </w:t>
      </w:r>
      <w:r>
        <w:rPr>
          <w:spacing w:val="3"/>
        </w:rPr>
        <w:t>јер </w:t>
      </w:r>
      <w:r>
        <w:rPr>
          <w:spacing w:val="3"/>
        </w:rPr>
      </w:r>
      <w:r>
        <w:rPr/>
        <w:t>нису</w:t>
      </w:r>
      <w:r>
        <w:rPr>
          <w:spacing w:val="-10"/>
        </w:rPr>
        <w:t> </w:t>
      </w:r>
      <w:r>
        <w:rPr/>
        <w:t>евидентиране.</w:t>
      </w:r>
    </w:p>
    <w:p>
      <w:pPr>
        <w:pStyle w:val="Heading2"/>
        <w:spacing w:line="240" w:lineRule="auto"/>
        <w:ind w:right="182"/>
        <w:jc w:val="both"/>
        <w:rPr>
          <w:b w:val="0"/>
          <w:bCs w:val="0"/>
          <w:i w:val="0"/>
        </w:rPr>
      </w:pPr>
      <w:r>
        <w:rPr>
          <w:i/>
        </w:rPr>
        <w:t>Препоручује се одговорним лицима да обазбеде правилну примену одредби  Уредбе о буџетском рачуноводству и Правилнику о стандардном класификационом оквиру и контном плану за буџетски</w:t>
      </w:r>
      <w:r>
        <w:rPr>
          <w:i/>
          <w:spacing w:val="-17"/>
        </w:rPr>
        <w:t> </w:t>
      </w:r>
      <w:r>
        <w:rPr>
          <w:i/>
        </w:rPr>
        <w:t>систем.</w:t>
      </w:r>
      <w:r>
        <w:rPr>
          <w:b w:val="0"/>
          <w:i w:val="0"/>
        </w:rPr>
      </w:r>
    </w:p>
    <w:p>
      <w:pPr>
        <w:pStyle w:val="ListParagraph"/>
        <w:numPr>
          <w:ilvl w:val="0"/>
          <w:numId w:val="113"/>
        </w:numPr>
        <w:tabs>
          <w:tab w:pos="303" w:val="left" w:leader="none"/>
        </w:tabs>
        <w:spacing w:line="240" w:lineRule="auto" w:before="0" w:after="0"/>
        <w:ind w:left="160" w:right="180"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омладину и спорт </w:t>
      </w:r>
      <w:r>
        <w:rPr>
          <w:rFonts w:ascii="Times New Roman" w:hAnsi="Times New Roman"/>
          <w:sz w:val="24"/>
        </w:rPr>
        <w:t>у износу од 5.200 хиљада динара за исказану ванбилансну </w:t>
      </w:r>
      <w:r>
        <w:rPr>
          <w:rFonts w:ascii="Times New Roman" w:hAnsi="Times New Roman"/>
          <w:sz w:val="24"/>
        </w:rPr>
        <w:t>пасиву код СЦ</w:t>
      </w:r>
      <w:r>
        <w:rPr>
          <w:rFonts w:ascii="Times New Roman" w:hAnsi="Times New Roman"/>
          <w:spacing w:val="-8"/>
          <w:sz w:val="24"/>
        </w:rPr>
        <w:t> </w:t>
      </w:r>
      <w:r>
        <w:rPr>
          <w:rFonts w:ascii="Times New Roman" w:hAnsi="Times New Roman"/>
          <w:sz w:val="24"/>
        </w:rPr>
        <w:t>Чаир.</w:t>
      </w:r>
    </w:p>
    <w:p>
      <w:pPr>
        <w:spacing w:after="0" w:line="240" w:lineRule="auto"/>
        <w:jc w:val="both"/>
        <w:rPr>
          <w:rFonts w:ascii="Times New Roman" w:hAnsi="Times New Roman" w:cs="Times New Roman" w:eastAsia="Times New Roman" w:hint="default"/>
          <w:sz w:val="24"/>
          <w:szCs w:val="24"/>
        </w:rPr>
        <w:sectPr>
          <w:pgSz w:w="12240" w:h="15840"/>
          <w:pgMar w:header="740" w:footer="1504" w:top="120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Heading1"/>
        <w:spacing w:line="275" w:lineRule="exact" w:before="11"/>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83" w:firstLine="0"/>
        <w:jc w:val="both"/>
        <w:rPr>
          <w:rFonts w:ascii="Times New Roman" w:hAnsi="Times New Roman" w:cs="Times New Roman" w:eastAsia="Times New Roman" w:hint="default"/>
          <w:sz w:val="24"/>
          <w:szCs w:val="24"/>
        </w:rPr>
      </w:pPr>
      <w:r>
        <w:rPr>
          <w:rFonts w:ascii="Times New Roman" w:hAnsi="Times New Roman"/>
          <w:sz w:val="24"/>
        </w:rPr>
        <w:t>Ванбилансна пасива мање је исказана код Управе за омладину и спорт за износ од 720 хиљада динара за примљене</w:t>
      </w:r>
      <w:r>
        <w:rPr>
          <w:rFonts w:ascii="Times New Roman" w:hAnsi="Times New Roman"/>
          <w:spacing w:val="-11"/>
          <w:sz w:val="24"/>
        </w:rPr>
        <w:t> </w:t>
      </w:r>
      <w:r>
        <w:rPr>
          <w:rFonts w:ascii="Times New Roman" w:hAnsi="Times New Roman"/>
          <w:sz w:val="24"/>
        </w:rPr>
        <w:t>менице.</w:t>
      </w:r>
    </w:p>
    <w:p>
      <w:pPr>
        <w:pStyle w:val="ListParagraph"/>
        <w:numPr>
          <w:ilvl w:val="0"/>
          <w:numId w:val="9"/>
        </w:numPr>
        <w:tabs>
          <w:tab w:pos="303" w:val="left" w:leader="none"/>
        </w:tabs>
        <w:spacing w:line="274" w:lineRule="exact" w:before="24" w:after="0"/>
        <w:ind w:left="160" w:right="179" w:firstLine="0"/>
        <w:jc w:val="both"/>
        <w:rPr>
          <w:rFonts w:ascii="Times New Roman" w:hAnsi="Times New Roman" w:cs="Times New Roman" w:eastAsia="Times New Roman" w:hint="default"/>
          <w:sz w:val="24"/>
          <w:szCs w:val="24"/>
        </w:rPr>
      </w:pPr>
      <w:r>
        <w:rPr>
          <w:rFonts w:ascii="Times New Roman" w:hAnsi="Times New Roman"/>
          <w:sz w:val="24"/>
        </w:rPr>
        <w:t>Ванбилансна пасива код код СЦ Чаир је мање исказана у износу од 2.208 хиљада динара, по основу</w:t>
      </w:r>
      <w:r>
        <w:rPr>
          <w:rFonts w:ascii="Times New Roman" w:hAnsi="Times New Roman"/>
          <w:spacing w:val="-10"/>
          <w:sz w:val="24"/>
        </w:rPr>
        <w:t> </w:t>
      </w:r>
      <w:r>
        <w:rPr>
          <w:rFonts w:ascii="Times New Roman" w:hAnsi="Times New Roman"/>
          <w:sz w:val="24"/>
        </w:rPr>
        <w:t>меница.</w:t>
      </w:r>
    </w:p>
    <w:p>
      <w:pPr>
        <w:pStyle w:val="Heading2"/>
        <w:spacing w:line="240" w:lineRule="auto" w:before="2"/>
        <w:ind w:right="181"/>
        <w:jc w:val="both"/>
        <w:rPr>
          <w:b w:val="0"/>
          <w:bCs w:val="0"/>
          <w:i w:val="0"/>
        </w:rPr>
      </w:pPr>
      <w:r>
        <w:rPr>
          <w:i/>
        </w:rPr>
        <w:t>Препоручује се одговорним лицима да тачно и правилно искажу примљене менице.</w:t>
      </w:r>
      <w:r>
        <w:rPr>
          <w:b w:val="0"/>
          <w:i w:val="0"/>
        </w:rPr>
      </w:r>
    </w:p>
    <w:p>
      <w:pPr>
        <w:pStyle w:val="ListParagraph"/>
        <w:numPr>
          <w:ilvl w:val="0"/>
          <w:numId w:val="113"/>
        </w:numPr>
        <w:tabs>
          <w:tab w:pos="303" w:val="left" w:leader="none"/>
        </w:tabs>
        <w:spacing w:line="240" w:lineRule="auto" w:before="0" w:after="0"/>
        <w:ind w:left="160" w:right="172"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комуналне делатности, енергетику и саобраћај </w:t>
      </w:r>
      <w:r>
        <w:rPr>
          <w:rFonts w:ascii="Times New Roman" w:hAnsi="Times New Roman"/>
          <w:sz w:val="24"/>
        </w:rPr>
        <w:t>у износу од 41.210 хиљада </w:t>
      </w:r>
      <w:r>
        <w:rPr>
          <w:rFonts w:ascii="Times New Roman" w:hAnsi="Times New Roman"/>
          <w:sz w:val="24"/>
        </w:rPr>
        <w:t>динара за исказану ванбилансну пасиву код ЈП</w:t>
      </w:r>
      <w:r>
        <w:rPr>
          <w:rFonts w:ascii="Times New Roman" w:hAnsi="Times New Roman"/>
          <w:spacing w:val="-14"/>
          <w:sz w:val="24"/>
        </w:rPr>
        <w:t> </w:t>
      </w:r>
      <w:r>
        <w:rPr>
          <w:rFonts w:ascii="Times New Roman" w:hAnsi="Times New Roman"/>
          <w:sz w:val="24"/>
        </w:rPr>
        <w:t>Дирекција</w:t>
      </w:r>
      <w:r>
        <w:rPr>
          <w:rFonts w:ascii="Times New Roman" w:hAnsi="Times New Roman"/>
          <w:sz w:val="24"/>
        </w:rPr>
        <w:t>.</w:t>
      </w:r>
    </w:p>
    <w:p>
      <w:pPr>
        <w:pStyle w:val="Heading1"/>
        <w:spacing w:line="275" w:lineRule="exact"/>
        <w:ind w:right="141"/>
        <w:jc w:val="left"/>
        <w:rPr>
          <w:b w:val="0"/>
          <w:bCs w:val="0"/>
        </w:rPr>
      </w:pPr>
      <w:r>
        <w:rPr/>
        <w:t>На основу ревизије узорковане документације утврђено</w:t>
      </w:r>
      <w:r>
        <w:rPr>
          <w:spacing w:val="-16"/>
        </w:rPr>
        <w:t> </w:t>
      </w:r>
      <w:r>
        <w:rPr/>
        <w:t>је:</w:t>
      </w:r>
      <w:r>
        <w:rPr>
          <w:b w:val="0"/>
        </w:rPr>
      </w:r>
    </w:p>
    <w:p>
      <w:pPr>
        <w:pStyle w:val="ListParagraph"/>
        <w:numPr>
          <w:ilvl w:val="0"/>
          <w:numId w:val="9"/>
        </w:numPr>
        <w:tabs>
          <w:tab w:pos="303"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Ова билансна позиција мање је исказана код Управе за комуналне делатности, енергетику и саобраћај у износу од 402 хиљаде динара за вредност примљених меница за добро извршење</w:t>
      </w:r>
      <w:r>
        <w:rPr>
          <w:rFonts w:ascii="Times New Roman" w:hAnsi="Times New Roman"/>
          <w:spacing w:val="-5"/>
          <w:sz w:val="24"/>
        </w:rPr>
        <w:t> </w:t>
      </w:r>
      <w:r>
        <w:rPr>
          <w:rFonts w:ascii="Times New Roman" w:hAnsi="Times New Roman"/>
          <w:sz w:val="24"/>
        </w:rPr>
        <w:t>посла.</w:t>
      </w:r>
    </w:p>
    <w:p>
      <w:pPr>
        <w:pStyle w:val="ListParagraph"/>
        <w:numPr>
          <w:ilvl w:val="0"/>
          <w:numId w:val="9"/>
        </w:numPr>
        <w:tabs>
          <w:tab w:pos="303" w:val="left" w:leader="none"/>
        </w:tabs>
        <w:spacing w:line="240" w:lineRule="auto" w:before="2"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Ова позиција је код ЈП Дирекција исказана у мањем износу од </w:t>
      </w:r>
      <w:r>
        <w:rPr>
          <w:rFonts w:ascii="Times New Roman" w:hAnsi="Times New Roman"/>
          <w:sz w:val="24"/>
        </w:rPr>
        <w:t>37.914 </w:t>
      </w:r>
      <w:r>
        <w:rPr>
          <w:rFonts w:ascii="Times New Roman" w:hAnsi="Times New Roman"/>
          <w:sz w:val="24"/>
        </w:rPr>
        <w:t>хиљада динара,  јер није евидентирала менице које су дате од стране извођача радова за добро извршење посла и банкарске гаранције за закључене уговоре, што је супротно члану 9. Уредбе о буџетском рачуноводству и Правилнику о стандардном класификационом оквиру и контном плану за буџетски</w:t>
      </w:r>
      <w:r>
        <w:rPr>
          <w:rFonts w:ascii="Times New Roman" w:hAnsi="Times New Roman"/>
          <w:spacing w:val="-17"/>
          <w:sz w:val="24"/>
        </w:rPr>
        <w:t> </w:t>
      </w:r>
      <w:r>
        <w:rPr>
          <w:rFonts w:ascii="Times New Roman" w:hAnsi="Times New Roman"/>
          <w:sz w:val="24"/>
        </w:rPr>
        <w:t>систем.</w:t>
      </w:r>
    </w:p>
    <w:p>
      <w:pPr>
        <w:pStyle w:val="Heading2"/>
        <w:spacing w:line="240" w:lineRule="auto"/>
        <w:ind w:right="173"/>
        <w:jc w:val="both"/>
        <w:rPr>
          <w:b w:val="0"/>
          <w:bCs w:val="0"/>
          <w:i w:val="0"/>
        </w:rPr>
      </w:pPr>
      <w:r>
        <w:rPr>
          <w:i/>
        </w:rPr>
        <w:t>Препоручује се одговорним лицима да обезбеде правилну примену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ListParagraph"/>
        <w:numPr>
          <w:ilvl w:val="0"/>
          <w:numId w:val="113"/>
        </w:numPr>
        <w:tabs>
          <w:tab w:pos="303"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привреду, одрживи развој и заштиту животне средине </w:t>
      </w:r>
      <w:r>
        <w:rPr>
          <w:rFonts w:ascii="Times New Roman" w:hAnsi="Times New Roman"/>
          <w:sz w:val="24"/>
        </w:rPr>
        <w:t>у износу од 262  </w:t>
      </w:r>
      <w:r>
        <w:rPr>
          <w:rFonts w:ascii="Times New Roman" w:hAnsi="Times New Roman"/>
          <w:sz w:val="24"/>
        </w:rPr>
        <w:t>хиљаде динара за исказану ванбилансну пасиву код Туристичке организације за комисиону</w:t>
      </w:r>
      <w:r>
        <w:rPr>
          <w:rFonts w:ascii="Times New Roman" w:hAnsi="Times New Roman"/>
          <w:spacing w:val="-8"/>
          <w:sz w:val="24"/>
        </w:rPr>
        <w:t> </w:t>
      </w:r>
      <w:r>
        <w:rPr>
          <w:rFonts w:ascii="Times New Roman" w:hAnsi="Times New Roman"/>
          <w:sz w:val="24"/>
        </w:rPr>
        <w:t>робу.</w:t>
      </w:r>
    </w:p>
    <w:p>
      <w:pPr>
        <w:spacing w:before="0"/>
        <w:ind w:left="160" w:right="173" w:firstLine="566"/>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је ова билансна позиција мање исказана код Управе за привреду, одрживи развој и заштиту животне средине у износу од 8.362 хиљаде динара, јер нису евидентиране менице, примљене као гаранција за добро извршење</w:t>
      </w:r>
      <w:r>
        <w:rPr>
          <w:rFonts w:ascii="Times New Roman" w:hAnsi="Times New Roman"/>
          <w:spacing w:val="-12"/>
          <w:sz w:val="24"/>
        </w:rPr>
        <w:t> </w:t>
      </w:r>
      <w:r>
        <w:rPr>
          <w:rFonts w:ascii="Times New Roman" w:hAnsi="Times New Roman"/>
          <w:sz w:val="24"/>
        </w:rPr>
        <w:t>посла.</w:t>
      </w:r>
    </w:p>
    <w:p>
      <w:pPr>
        <w:pStyle w:val="Heading2"/>
        <w:spacing w:line="240" w:lineRule="auto"/>
        <w:ind w:right="181"/>
        <w:jc w:val="both"/>
        <w:rPr>
          <w:b w:val="0"/>
          <w:bCs w:val="0"/>
          <w:i w:val="0"/>
        </w:rPr>
      </w:pPr>
      <w:r>
        <w:rPr>
          <w:i/>
        </w:rPr>
        <w:t>Препоручује се одговорним лицима да обезбеде правилну примену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ListParagraph"/>
        <w:numPr>
          <w:ilvl w:val="0"/>
          <w:numId w:val="114"/>
        </w:numPr>
        <w:tabs>
          <w:tab w:pos="303" w:val="left" w:leader="none"/>
        </w:tabs>
        <w:spacing w:line="240" w:lineRule="auto" w:before="0" w:after="0"/>
        <w:ind w:left="160" w:right="176" w:firstLine="0"/>
        <w:jc w:val="both"/>
        <w:rPr>
          <w:rFonts w:ascii="Times New Roman" w:hAnsi="Times New Roman" w:cs="Times New Roman" w:eastAsia="Times New Roman" w:hint="default"/>
          <w:sz w:val="24"/>
          <w:szCs w:val="24"/>
        </w:rPr>
      </w:pPr>
      <w:r>
        <w:rPr>
          <w:rFonts w:ascii="Times New Roman" w:hAnsi="Times New Roman"/>
          <w:spacing w:val="-60"/>
          <w:w w:val="99"/>
          <w:sz w:val="24"/>
          <w:u w:val="single" w:color="000000"/>
        </w:rPr>
        <w:t> </w:t>
      </w:r>
      <w:r>
        <w:rPr>
          <w:rFonts w:ascii="Times New Roman" w:hAnsi="Times New Roman"/>
          <w:sz w:val="24"/>
          <w:u w:val="single" w:color="000000"/>
        </w:rPr>
        <w:t>Управе за планирање и изградњу </w:t>
      </w:r>
      <w:r>
        <w:rPr>
          <w:rFonts w:ascii="Times New Roman" w:hAnsi="Times New Roman"/>
          <w:sz w:val="24"/>
        </w:rPr>
        <w:t>у износу од 31.621 хиљаде динара за исказану </w:t>
      </w:r>
      <w:r>
        <w:rPr>
          <w:rFonts w:ascii="Times New Roman" w:hAnsi="Times New Roman"/>
          <w:sz w:val="24"/>
        </w:rPr>
        <w:t>ванбилансну пасиву код ЈП ГСА и односи се на евидентиране банкарске гаранције  којима је рок важности</w:t>
      </w:r>
      <w:r>
        <w:rPr>
          <w:rFonts w:ascii="Times New Roman" w:hAnsi="Times New Roman"/>
          <w:spacing w:val="-8"/>
          <w:sz w:val="24"/>
        </w:rPr>
        <w:t> </w:t>
      </w:r>
      <w:r>
        <w:rPr>
          <w:rFonts w:ascii="Times New Roman" w:hAnsi="Times New Roman"/>
          <w:sz w:val="24"/>
        </w:rPr>
        <w:t>истекао.</w:t>
      </w:r>
    </w:p>
    <w:p>
      <w:pPr>
        <w:pStyle w:val="Heading1"/>
        <w:spacing w:line="275" w:lineRule="exact"/>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2"/>
        </w:rPr>
        <w:t> </w:t>
      </w:r>
      <w:r>
        <w:rPr/>
        <w:t>је</w:t>
      </w:r>
      <w:r>
        <w:rPr>
          <w:rFonts w:ascii="Times New Roman" w:hAnsi="Times New Roman"/>
        </w:rPr>
        <w:t>:</w:t>
      </w:r>
      <w:r>
        <w:rPr>
          <w:rFonts w:ascii="Times New Roman" w:hAnsi="Times New Roman"/>
          <w:b w:val="0"/>
        </w:rPr>
      </w:r>
    </w:p>
    <w:p>
      <w:pPr>
        <w:pStyle w:val="ListParagraph"/>
        <w:numPr>
          <w:ilvl w:val="0"/>
          <w:numId w:val="9"/>
        </w:numPr>
        <w:tabs>
          <w:tab w:pos="303" w:val="left" w:leader="none"/>
        </w:tabs>
        <w:spacing w:line="274" w:lineRule="exact" w:before="20"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Ова позиција више је исказана код ЈП ГСА у износу од 31.621 хиљаде динара, јер је евидентирала банкарске гаранције којима је рок важности</w:t>
      </w:r>
      <w:r>
        <w:rPr>
          <w:rFonts w:ascii="Times New Roman" w:hAnsi="Times New Roman"/>
          <w:spacing w:val="-12"/>
          <w:sz w:val="24"/>
        </w:rPr>
        <w:t> </w:t>
      </w:r>
      <w:r>
        <w:rPr>
          <w:rFonts w:ascii="Times New Roman" w:hAnsi="Times New Roman"/>
          <w:sz w:val="24"/>
        </w:rPr>
        <w:t>истекао</w:t>
      </w:r>
      <w:r>
        <w:rPr>
          <w:rFonts w:ascii="Times New Roman" w:hAnsi="Times New Roman"/>
          <w:sz w:val="24"/>
        </w:rPr>
        <w:t>.</w:t>
      </w:r>
    </w:p>
    <w:p>
      <w:pPr>
        <w:pStyle w:val="ListParagraph"/>
        <w:numPr>
          <w:ilvl w:val="0"/>
          <w:numId w:val="9"/>
        </w:numPr>
        <w:tabs>
          <w:tab w:pos="303" w:val="left" w:leader="none"/>
        </w:tabs>
        <w:spacing w:line="240" w:lineRule="auto" w:before="0" w:after="0"/>
        <w:ind w:left="160" w:right="17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Ова позиција мање је исказана код ЈП ГСА у износу од 57.492 хиљаде динара, јер нису евидентиране банкарске гаранције дате од стране извођача радова „Тончев градња“ доо Сурдулица, што је супротно Уредби о буџетском рачуноводству и Правилника о стандардном класификационом оквиру и контном плану за буџетски</w:t>
      </w:r>
      <w:r>
        <w:rPr>
          <w:rFonts w:ascii="Times New Roman" w:hAnsi="Times New Roman" w:cs="Times New Roman" w:eastAsia="Times New Roman" w:hint="default"/>
          <w:spacing w:val="-31"/>
          <w:sz w:val="24"/>
          <w:szCs w:val="24"/>
        </w:rPr>
        <w:t> </w:t>
      </w:r>
      <w:r>
        <w:rPr>
          <w:rFonts w:ascii="Times New Roman" w:hAnsi="Times New Roman" w:cs="Times New Roman" w:eastAsia="Times New Roman" w:hint="default"/>
          <w:sz w:val="24"/>
          <w:szCs w:val="24"/>
        </w:rPr>
        <w:t>систем.</w:t>
      </w:r>
    </w:p>
    <w:p>
      <w:pPr>
        <w:pStyle w:val="Heading2"/>
        <w:spacing w:line="240" w:lineRule="auto"/>
        <w:ind w:right="172"/>
        <w:jc w:val="both"/>
        <w:rPr>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2"/>
        </w:rPr>
        <w:t> </w:t>
      </w:r>
      <w:r>
        <w:rPr>
          <w:i/>
        </w:rPr>
        <w:t>систем.</w:t>
      </w:r>
      <w:r>
        <w:rPr>
          <w:b w:val="0"/>
          <w:i w:val="0"/>
        </w:rPr>
      </w:r>
    </w:p>
    <w:p>
      <w:pPr>
        <w:pStyle w:val="ListParagraph"/>
        <w:numPr>
          <w:ilvl w:val="0"/>
          <w:numId w:val="114"/>
        </w:numPr>
        <w:tabs>
          <w:tab w:pos="303" w:val="left" w:leader="none"/>
        </w:tabs>
        <w:spacing w:line="271" w:lineRule="exact" w:before="0" w:after="0"/>
        <w:ind w:left="302" w:right="0" w:hanging="142"/>
        <w:jc w:val="both"/>
        <w:rPr>
          <w:rFonts w:ascii="Times New Roman" w:hAnsi="Times New Roman" w:cs="Times New Roman" w:eastAsia="Times New Roman" w:hint="default"/>
          <w:sz w:val="24"/>
          <w:szCs w:val="24"/>
        </w:rPr>
      </w:pPr>
      <w:r>
        <w:rPr>
          <w:rFonts w:ascii="Times New Roman" w:hAnsi="Times New Roman"/>
          <w:sz w:val="24"/>
        </w:rPr>
        <w:t>У Билансу стања </w:t>
      </w:r>
      <w:r>
        <w:rPr>
          <w:rFonts w:ascii="Times New Roman" w:hAnsi="Times New Roman"/>
          <w:sz w:val="24"/>
        </w:rPr>
      </w:r>
      <w:r>
        <w:rPr>
          <w:rFonts w:ascii="Times New Roman" w:hAnsi="Times New Roman"/>
          <w:sz w:val="24"/>
          <w:u w:val="single" w:color="000000"/>
        </w:rPr>
      </w:r>
      <w:r>
        <w:rPr>
          <w:rFonts w:ascii="Times New Roman" w:hAnsi="Times New Roman"/>
          <w:sz w:val="24"/>
          <w:u w:val="single" w:color="000000"/>
        </w:rPr>
        <w:t>Управе за пољопривреду и развој села </w:t>
      </w:r>
      <w:r>
        <w:rPr>
          <w:rFonts w:ascii="Times New Roman" w:hAnsi="Times New Roman"/>
          <w:sz w:val="24"/>
        </w:rPr>
        <w:t>није исказан</w:t>
      </w:r>
      <w:r>
        <w:rPr>
          <w:rFonts w:ascii="Times New Roman" w:hAnsi="Times New Roman"/>
          <w:spacing w:val="-22"/>
          <w:sz w:val="24"/>
        </w:rPr>
        <w:t> </w:t>
      </w:r>
      <w:r>
        <w:rPr>
          <w:rFonts w:ascii="Times New Roman" w:hAnsi="Times New Roman"/>
          <w:sz w:val="24"/>
        </w:rPr>
        <w:t>износ.</w:t>
      </w:r>
    </w:p>
    <w:p>
      <w:pPr>
        <w:spacing w:after="0" w:line="271" w:lineRule="exact"/>
        <w:jc w:val="both"/>
        <w:rPr>
          <w:rFonts w:ascii="Times New Roman" w:hAnsi="Times New Roman" w:cs="Times New Roman" w:eastAsia="Times New Roman" w:hint="default"/>
          <w:sz w:val="24"/>
          <w:szCs w:val="24"/>
        </w:rPr>
        <w:sectPr>
          <w:pgSz w:w="12240" w:h="15840"/>
          <w:pgMar w:header="740" w:footer="1504" w:top="120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BodyText"/>
        <w:spacing w:line="240" w:lineRule="auto" w:before="6"/>
        <w:ind w:right="175" w:firstLine="566"/>
        <w:jc w:val="both"/>
      </w:pPr>
      <w:r>
        <w:rPr>
          <w:rFonts w:ascii="Times New Roman" w:hAnsi="Times New Roman"/>
          <w:b/>
        </w:rPr>
        <w:t>На основу ревизије узорковане документације утврђено је </w:t>
      </w:r>
      <w:r>
        <w:rPr/>
        <w:t>да код Управе за пољопривреду и развој села није исказана вредност примљених меница у износу од најмање 11.698 хиљада динара по основу гаранције за добро извршење посла и гарантни рок као ни вредност дате менице Националној агенцији за регионални развој у </w:t>
      </w:r>
      <w:r>
        <w:rPr>
          <w:spacing w:val="2"/>
        </w:rPr>
        <w:t>износу </w:t>
      </w:r>
      <w:r>
        <w:rPr/>
        <w:t>од </w:t>
      </w:r>
      <w:r>
        <w:rPr/>
        <w:t>187 хиљада динара, јер исте нису</w:t>
      </w:r>
      <w:r>
        <w:rPr>
          <w:spacing w:val="-14"/>
        </w:rPr>
        <w:t> </w:t>
      </w:r>
      <w:r>
        <w:rPr/>
        <w:t>евидентиране.</w:t>
      </w:r>
    </w:p>
    <w:p>
      <w:pPr>
        <w:pStyle w:val="Heading2"/>
        <w:spacing w:line="274" w:lineRule="exact"/>
        <w:ind w:left="726" w:right="141" w:firstLine="0"/>
        <w:jc w:val="left"/>
        <w:rPr>
          <w:b w:val="0"/>
          <w:bCs w:val="0"/>
          <w:i w:val="0"/>
        </w:rPr>
      </w:pPr>
      <w:r>
        <w:rPr>
          <w:i/>
        </w:rPr>
        <w:t>Препоручује се одговорним лицима да евидентирају примљене и дате</w:t>
      </w:r>
      <w:r>
        <w:rPr>
          <w:i/>
          <w:spacing w:val="-21"/>
        </w:rPr>
        <w:t> </w:t>
      </w:r>
      <w:r>
        <w:rPr>
          <w:i/>
        </w:rPr>
        <w:t>менице.</w:t>
      </w:r>
      <w:r>
        <w:rPr>
          <w:b w:val="0"/>
          <w:i w:val="0"/>
        </w:rPr>
      </w:r>
    </w:p>
    <w:p>
      <w:pPr>
        <w:pStyle w:val="BodyText"/>
        <w:spacing w:line="240" w:lineRule="auto"/>
        <w:ind w:right="141"/>
        <w:jc w:val="left"/>
      </w:pPr>
      <w:r>
        <w:rPr>
          <w:rFonts w:ascii="Times New Roman" w:hAnsi="Times New Roman"/>
        </w:rPr>
        <w:t>-</w:t>
      </w:r>
      <w:r>
        <w:rPr/>
        <w:t>У Билансу стања </w:t>
      </w:r>
      <w:r>
        <w:rPr>
          <w:rFonts w:ascii="Times New Roman" w:hAnsi="Times New Roman"/>
        </w:rPr>
      </w:r>
      <w:r>
        <w:rPr>
          <w:rFonts w:ascii="Times New Roman" w:hAnsi="Times New Roman"/>
          <w:u w:val="single" w:color="000000"/>
        </w:rPr>
      </w:r>
      <w:r>
        <w:rPr>
          <w:u w:val="single" w:color="000000"/>
        </w:rPr>
        <w:t>Управе за дечију, социјалну и примарну здравствену заштиту </w:t>
      </w:r>
      <w:r>
        <w:rPr/>
        <w:t>није </w:t>
      </w:r>
      <w:r>
        <w:rPr/>
        <w:t>исказан</w:t>
      </w:r>
      <w:r>
        <w:rPr>
          <w:spacing w:val="-6"/>
        </w:rPr>
        <w:t> </w:t>
      </w:r>
      <w:r>
        <w:rPr/>
        <w:t>износ.</w:t>
      </w:r>
    </w:p>
    <w:p>
      <w:pPr>
        <w:spacing w:before="0"/>
        <w:ind w:left="160" w:right="173" w:firstLine="578"/>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код Управе за дечију, социјалну и примарну здравствену заштиту није исказана вредност примљених меница у износу од </w:t>
      </w:r>
      <w:r>
        <w:rPr>
          <w:rFonts w:ascii="Times New Roman" w:hAnsi="Times New Roman"/>
          <w:sz w:val="24"/>
        </w:rPr>
        <w:t>689 </w:t>
      </w:r>
      <w:r>
        <w:rPr>
          <w:rFonts w:ascii="Times New Roman" w:hAnsi="Times New Roman"/>
          <w:sz w:val="24"/>
        </w:rPr>
        <w:t>хиљада динара по основу гаранције за добро извршење</w:t>
      </w:r>
      <w:r>
        <w:rPr>
          <w:rFonts w:ascii="Times New Roman" w:hAnsi="Times New Roman"/>
          <w:spacing w:val="-27"/>
          <w:sz w:val="24"/>
        </w:rPr>
        <w:t> </w:t>
      </w:r>
      <w:r>
        <w:rPr>
          <w:rFonts w:ascii="Times New Roman" w:hAnsi="Times New Roman"/>
          <w:sz w:val="24"/>
        </w:rPr>
        <w:t>посла.</w:t>
      </w:r>
    </w:p>
    <w:p>
      <w:pPr>
        <w:pStyle w:val="Heading2"/>
        <w:spacing w:line="274" w:lineRule="exact"/>
        <w:ind w:left="726" w:right="141" w:firstLine="0"/>
        <w:jc w:val="left"/>
        <w:rPr>
          <w:b w:val="0"/>
          <w:bCs w:val="0"/>
          <w:i w:val="0"/>
        </w:rPr>
      </w:pPr>
      <w:r>
        <w:rPr>
          <w:i/>
        </w:rPr>
        <w:t>Препоручује се одговорним лицима да евидентирају примљене</w:t>
      </w:r>
      <w:r>
        <w:rPr>
          <w:i/>
          <w:spacing w:val="-17"/>
        </w:rPr>
        <w:t> </w:t>
      </w:r>
      <w:r>
        <w:rPr>
          <w:i/>
        </w:rPr>
        <w:t>менице.</w:t>
      </w:r>
      <w:r>
        <w:rPr>
          <w:b w:val="0"/>
          <w:i w:val="0"/>
        </w:rPr>
      </w:r>
    </w:p>
    <w:p>
      <w:pPr>
        <w:pStyle w:val="ListParagraph"/>
        <w:numPr>
          <w:ilvl w:val="0"/>
          <w:numId w:val="115"/>
        </w:numPr>
        <w:tabs>
          <w:tab w:pos="300" w:val="left" w:leader="none"/>
        </w:tabs>
        <w:spacing w:line="274" w:lineRule="exact" w:before="0" w:after="0"/>
        <w:ind w:left="299" w:right="0" w:hanging="139"/>
        <w:jc w:val="left"/>
        <w:rPr>
          <w:rFonts w:ascii="Times New Roman" w:hAnsi="Times New Roman" w:cs="Times New Roman" w:eastAsia="Times New Roman" w:hint="default"/>
          <w:sz w:val="24"/>
          <w:szCs w:val="24"/>
        </w:rPr>
      </w:pPr>
      <w:r>
        <w:rPr>
          <w:rFonts w:ascii="Times New Roman" w:hAnsi="Times New Roman"/>
          <w:sz w:val="24"/>
        </w:rPr>
        <w:t>У Билансу стања </w:t>
      </w:r>
      <w:r>
        <w:rPr>
          <w:rFonts w:ascii="Times New Roman" w:hAnsi="Times New Roman"/>
          <w:sz w:val="24"/>
        </w:rPr>
      </w:r>
      <w:r>
        <w:rPr>
          <w:rFonts w:ascii="Times New Roman" w:hAnsi="Times New Roman"/>
          <w:sz w:val="24"/>
          <w:u w:val="single" w:color="000000"/>
        </w:rPr>
      </w:r>
      <w:r>
        <w:rPr>
          <w:rFonts w:ascii="Times New Roman" w:hAnsi="Times New Roman"/>
          <w:sz w:val="24"/>
          <w:u w:val="single" w:color="000000"/>
        </w:rPr>
        <w:t>Управе за имовину и инспекцијске послове </w:t>
      </w:r>
      <w:r>
        <w:rPr>
          <w:rFonts w:ascii="Times New Roman" w:hAnsi="Times New Roman"/>
          <w:sz w:val="24"/>
        </w:rPr>
        <w:t>није исказан</w:t>
      </w:r>
      <w:r>
        <w:rPr>
          <w:rFonts w:ascii="Times New Roman" w:hAnsi="Times New Roman"/>
          <w:spacing w:val="-25"/>
          <w:sz w:val="24"/>
        </w:rPr>
        <w:t> </w:t>
      </w:r>
      <w:r>
        <w:rPr>
          <w:rFonts w:ascii="Times New Roman" w:hAnsi="Times New Roman"/>
          <w:sz w:val="24"/>
        </w:rPr>
        <w:t>износ.</w:t>
      </w:r>
    </w:p>
    <w:p>
      <w:pPr>
        <w:pStyle w:val="BodyText"/>
        <w:spacing w:line="240" w:lineRule="auto"/>
        <w:ind w:right="173" w:firstLine="578"/>
        <w:jc w:val="both"/>
      </w:pPr>
      <w:r>
        <w:rPr>
          <w:rFonts w:ascii="Times New Roman" w:hAnsi="Times New Roman"/>
          <w:b/>
        </w:rPr>
        <w:t>На основу ревизије узорковане документације утврђено је </w:t>
      </w:r>
      <w:r>
        <w:rPr/>
        <w:t>да код Управе за имовину и инспекцијске послове није исказана вредност примљених меница у износу од </w:t>
      </w:r>
      <w:r>
        <w:rPr>
          <w:rFonts w:ascii="Times New Roman" w:hAnsi="Times New Roman"/>
        </w:rPr>
        <w:t>926 </w:t>
      </w:r>
      <w:r>
        <w:rPr/>
        <w:t>хиљада динара по основу гаранција за добро извршење посла, као и вредност примљених меница закупаца на име гаранције чији износ у поступку ревизије нисмо могли да утврдимо, јер исте нису</w:t>
      </w:r>
      <w:r>
        <w:rPr>
          <w:spacing w:val="-14"/>
        </w:rPr>
        <w:t> </w:t>
      </w:r>
      <w:r>
        <w:rPr/>
        <w:t>евидентиране.</w:t>
      </w:r>
    </w:p>
    <w:p>
      <w:pPr>
        <w:pStyle w:val="Heading2"/>
        <w:spacing w:line="274" w:lineRule="exact"/>
        <w:ind w:left="738" w:right="141" w:firstLine="0"/>
        <w:jc w:val="left"/>
        <w:rPr>
          <w:b w:val="0"/>
          <w:bCs w:val="0"/>
          <w:i w:val="0"/>
        </w:rPr>
      </w:pPr>
      <w:r>
        <w:rPr>
          <w:i/>
        </w:rPr>
        <w:t>Препоручује се одговорним лицима да евидентирају примљене</w:t>
      </w:r>
      <w:r>
        <w:rPr>
          <w:i/>
          <w:spacing w:val="-17"/>
        </w:rPr>
        <w:t> </w:t>
      </w:r>
      <w:r>
        <w:rPr>
          <w:i/>
        </w:rPr>
        <w:t>менице.</w:t>
      </w:r>
      <w:r>
        <w:rPr>
          <w:b w:val="0"/>
          <w:i w:val="0"/>
        </w:rPr>
      </w:r>
    </w:p>
    <w:p>
      <w:pPr>
        <w:pStyle w:val="ListParagraph"/>
        <w:numPr>
          <w:ilvl w:val="0"/>
          <w:numId w:val="115"/>
        </w:numPr>
        <w:tabs>
          <w:tab w:pos="339" w:val="left" w:leader="none"/>
        </w:tabs>
        <w:spacing w:line="274" w:lineRule="exact" w:before="0" w:after="0"/>
        <w:ind w:left="338" w:right="0" w:hanging="178"/>
        <w:jc w:val="left"/>
        <w:rPr>
          <w:rFonts w:ascii="Times New Roman" w:hAnsi="Times New Roman" w:cs="Times New Roman" w:eastAsia="Times New Roman" w:hint="default"/>
          <w:sz w:val="24"/>
          <w:szCs w:val="24"/>
        </w:rPr>
      </w:pPr>
      <w:r>
        <w:rPr>
          <w:rFonts w:ascii="Times New Roman" w:hAnsi="Times New Roman"/>
          <w:sz w:val="24"/>
        </w:rPr>
        <w:t>У</w:t>
      </w:r>
      <w:r>
        <w:rPr>
          <w:rFonts w:ascii="Times New Roman" w:hAnsi="Times New Roman"/>
          <w:spacing w:val="37"/>
          <w:sz w:val="24"/>
        </w:rPr>
        <w:t> </w:t>
      </w:r>
      <w:r>
        <w:rPr>
          <w:rFonts w:ascii="Times New Roman" w:hAnsi="Times New Roman"/>
          <w:sz w:val="24"/>
        </w:rPr>
        <w:t>Билансу</w:t>
      </w:r>
      <w:r>
        <w:rPr>
          <w:rFonts w:ascii="Times New Roman" w:hAnsi="Times New Roman"/>
          <w:spacing w:val="34"/>
          <w:sz w:val="24"/>
        </w:rPr>
        <w:t> </w:t>
      </w:r>
      <w:r>
        <w:rPr>
          <w:rFonts w:ascii="Times New Roman" w:hAnsi="Times New Roman"/>
          <w:sz w:val="24"/>
        </w:rPr>
        <w:t>стања</w:t>
      </w:r>
      <w:r>
        <w:rPr>
          <w:rFonts w:ascii="Times New Roman" w:hAnsi="Times New Roman"/>
          <w:spacing w:val="37"/>
          <w:sz w:val="24"/>
        </w:rPr>
        <w:t> </w:t>
      </w:r>
      <w:r>
        <w:rPr>
          <w:rFonts w:ascii="Times New Roman" w:hAnsi="Times New Roman"/>
          <w:spacing w:val="37"/>
          <w:sz w:val="24"/>
        </w:rPr>
      </w:r>
      <w:r>
        <w:rPr>
          <w:rFonts w:ascii="Times New Roman" w:hAnsi="Times New Roman"/>
          <w:spacing w:val="37"/>
          <w:sz w:val="24"/>
          <w:u w:val="single" w:color="000000"/>
        </w:rPr>
      </w:r>
      <w:r>
        <w:rPr>
          <w:rFonts w:ascii="Times New Roman" w:hAnsi="Times New Roman"/>
          <w:sz w:val="24"/>
          <w:u w:val="single" w:color="000000"/>
        </w:rPr>
        <w:t>Управе</w:t>
      </w:r>
      <w:r>
        <w:rPr>
          <w:rFonts w:ascii="Times New Roman" w:hAnsi="Times New Roman"/>
          <w:spacing w:val="35"/>
          <w:sz w:val="24"/>
          <w:u w:val="single" w:color="000000"/>
        </w:rPr>
        <w:t> </w:t>
      </w:r>
      <w:r>
        <w:rPr>
          <w:rFonts w:ascii="Times New Roman" w:hAnsi="Times New Roman"/>
          <w:sz w:val="24"/>
          <w:u w:val="single" w:color="000000"/>
        </w:rPr>
        <w:t>за</w:t>
      </w:r>
      <w:r>
        <w:rPr>
          <w:rFonts w:ascii="Times New Roman" w:hAnsi="Times New Roman"/>
          <w:spacing w:val="36"/>
          <w:sz w:val="24"/>
          <w:u w:val="single" w:color="000000"/>
        </w:rPr>
        <w:t> </w:t>
      </w:r>
      <w:r>
        <w:rPr>
          <w:rFonts w:ascii="Times New Roman" w:hAnsi="Times New Roman"/>
          <w:sz w:val="24"/>
          <w:u w:val="single" w:color="000000"/>
        </w:rPr>
        <w:t>финансије,</w:t>
      </w:r>
      <w:r>
        <w:rPr>
          <w:rFonts w:ascii="Times New Roman" w:hAnsi="Times New Roman"/>
          <w:spacing w:val="36"/>
          <w:sz w:val="24"/>
          <w:u w:val="single" w:color="000000"/>
        </w:rPr>
        <w:t> </w:t>
      </w:r>
      <w:r>
        <w:rPr>
          <w:rFonts w:ascii="Times New Roman" w:hAnsi="Times New Roman"/>
          <w:sz w:val="24"/>
          <w:u w:val="single" w:color="000000"/>
        </w:rPr>
        <w:t>изворне</w:t>
      </w:r>
      <w:r>
        <w:rPr>
          <w:rFonts w:ascii="Times New Roman" w:hAnsi="Times New Roman"/>
          <w:spacing w:val="36"/>
          <w:sz w:val="24"/>
          <w:u w:val="single" w:color="000000"/>
        </w:rPr>
        <w:t> </w:t>
      </w:r>
      <w:r>
        <w:rPr>
          <w:rFonts w:ascii="Times New Roman" w:hAnsi="Times New Roman"/>
          <w:sz w:val="24"/>
          <w:u w:val="single" w:color="000000"/>
        </w:rPr>
        <w:t>приходе</w:t>
      </w:r>
      <w:r>
        <w:rPr>
          <w:rFonts w:ascii="Times New Roman" w:hAnsi="Times New Roman"/>
          <w:spacing w:val="36"/>
          <w:sz w:val="24"/>
          <w:u w:val="single" w:color="000000"/>
        </w:rPr>
        <w:t> </w:t>
      </w:r>
      <w:r>
        <w:rPr>
          <w:rFonts w:ascii="Times New Roman" w:hAnsi="Times New Roman"/>
          <w:sz w:val="24"/>
          <w:u w:val="single" w:color="000000"/>
        </w:rPr>
        <w:t>локалне</w:t>
      </w:r>
      <w:r>
        <w:rPr>
          <w:rFonts w:ascii="Times New Roman" w:hAnsi="Times New Roman"/>
          <w:spacing w:val="36"/>
          <w:sz w:val="24"/>
          <w:u w:val="single" w:color="000000"/>
        </w:rPr>
        <w:t> </w:t>
      </w:r>
      <w:r>
        <w:rPr>
          <w:rFonts w:ascii="Times New Roman" w:hAnsi="Times New Roman"/>
          <w:sz w:val="24"/>
          <w:u w:val="single" w:color="000000"/>
        </w:rPr>
        <w:t>самоуправе</w:t>
      </w:r>
      <w:r>
        <w:rPr>
          <w:rFonts w:ascii="Times New Roman" w:hAnsi="Times New Roman"/>
          <w:spacing w:val="36"/>
          <w:sz w:val="24"/>
          <w:u w:val="single" w:color="000000"/>
        </w:rPr>
        <w:t> </w:t>
      </w:r>
      <w:r>
        <w:rPr>
          <w:rFonts w:ascii="Times New Roman" w:hAnsi="Times New Roman"/>
          <w:sz w:val="24"/>
          <w:u w:val="single" w:color="000000"/>
        </w:rPr>
        <w:t>и</w:t>
      </w:r>
      <w:r>
        <w:rPr>
          <w:rFonts w:ascii="Times New Roman" w:hAnsi="Times New Roman"/>
          <w:spacing w:val="38"/>
          <w:sz w:val="24"/>
          <w:u w:val="single" w:color="000000"/>
        </w:rPr>
        <w:t> </w:t>
      </w:r>
      <w:r>
        <w:rPr>
          <w:rFonts w:ascii="Times New Roman" w:hAnsi="Times New Roman"/>
          <w:sz w:val="24"/>
          <w:u w:val="single" w:color="000000"/>
        </w:rPr>
        <w:t>јавне</w:t>
      </w:r>
      <w:r>
        <w:rPr>
          <w:rFonts w:ascii="Times New Roman" w:hAnsi="Times New Roman"/>
          <w:sz w:val="24"/>
        </w:rPr>
      </w:r>
    </w:p>
    <w:p>
      <w:pPr>
        <w:pStyle w:val="BodyText"/>
        <w:spacing w:line="240" w:lineRule="auto"/>
        <w:ind w:right="141"/>
        <w:jc w:val="left"/>
      </w:pPr>
      <w:r>
        <w:rPr>
          <w:rFonts w:ascii="Times New Roman" w:hAnsi="Times New Roman"/>
        </w:rPr>
      </w:r>
      <w:r>
        <w:rPr>
          <w:rFonts w:ascii="Times New Roman" w:hAnsi="Times New Roman"/>
          <w:spacing w:val="-60"/>
          <w:u w:val="single" w:color="000000"/>
        </w:rPr>
        <w:t> </w:t>
      </w:r>
      <w:r>
        <w:rPr>
          <w:u w:val="single" w:color="000000"/>
        </w:rPr>
        <w:t>набавке </w:t>
      </w:r>
      <w:r>
        <w:rPr/>
        <w:t>није исказан</w:t>
      </w:r>
      <w:r>
        <w:rPr>
          <w:spacing w:val="-11"/>
        </w:rPr>
        <w:t> </w:t>
      </w:r>
      <w:r>
        <w:rPr/>
        <w:t>износ.</w:t>
      </w:r>
    </w:p>
    <w:p>
      <w:pPr>
        <w:pStyle w:val="BodyText"/>
        <w:spacing w:line="240" w:lineRule="auto"/>
        <w:ind w:right="177" w:firstLine="566"/>
        <w:jc w:val="both"/>
      </w:pPr>
      <w:r>
        <w:rPr>
          <w:rFonts w:ascii="Times New Roman" w:hAnsi="Times New Roman"/>
          <w:b/>
        </w:rPr>
        <w:t>На основу ревизије узорковане документације утврђено је </w:t>
      </w:r>
      <w:r>
        <w:rPr/>
        <w:t>да код Управе за финансије, изворне приходе локалне самоуправе и јавне набавке није исказана вредност датих меница у износу од 73.951 хиљаде динара по основу обезбеђења плаћања кредита узетог од Фонда за развој Републике</w:t>
      </w:r>
      <w:r>
        <w:rPr>
          <w:spacing w:val="-10"/>
        </w:rPr>
        <w:t> </w:t>
      </w:r>
      <w:r>
        <w:rPr/>
        <w:t>Србије.</w:t>
      </w:r>
    </w:p>
    <w:p>
      <w:pPr>
        <w:pStyle w:val="Heading2"/>
        <w:spacing w:line="274" w:lineRule="exact"/>
        <w:ind w:left="786" w:right="141" w:firstLine="0"/>
        <w:jc w:val="left"/>
        <w:rPr>
          <w:b w:val="0"/>
          <w:bCs w:val="0"/>
          <w:i w:val="0"/>
        </w:rPr>
      </w:pPr>
      <w:r>
        <w:rPr>
          <w:i/>
        </w:rPr>
        <w:t>Препоручује се одговорним лицима да евидентирају дате</w:t>
      </w:r>
      <w:r>
        <w:rPr>
          <w:i/>
          <w:spacing w:val="-15"/>
        </w:rPr>
        <w:t> </w:t>
      </w:r>
      <w:r>
        <w:rPr>
          <w:i/>
        </w:rPr>
        <w:t>менице.</w:t>
      </w:r>
      <w:r>
        <w:rPr>
          <w:b w:val="0"/>
          <w:i w:val="0"/>
        </w:rPr>
      </w:r>
    </w:p>
    <w:p>
      <w:pPr>
        <w:pStyle w:val="ListParagraph"/>
        <w:numPr>
          <w:ilvl w:val="0"/>
          <w:numId w:val="116"/>
        </w:numPr>
        <w:tabs>
          <w:tab w:pos="339" w:val="left" w:leader="none"/>
        </w:tabs>
        <w:spacing w:line="240" w:lineRule="auto" w:before="0" w:after="0"/>
        <w:ind w:left="160" w:right="172" w:firstLine="0"/>
        <w:jc w:val="left"/>
        <w:rPr>
          <w:rFonts w:ascii="Times New Roman" w:hAnsi="Times New Roman" w:cs="Times New Roman" w:eastAsia="Times New Roman" w:hint="default"/>
          <w:sz w:val="24"/>
          <w:szCs w:val="24"/>
        </w:rPr>
      </w:pPr>
      <w:r>
        <w:rPr>
          <w:rFonts w:ascii="Times New Roman" w:hAnsi="Times New Roman"/>
          <w:sz w:val="24"/>
        </w:rPr>
        <w:t>У Билансу стања </w:t>
      </w:r>
      <w:r>
        <w:rPr>
          <w:rFonts w:ascii="Times New Roman" w:hAnsi="Times New Roman"/>
          <w:sz w:val="24"/>
        </w:rPr>
      </w:r>
      <w:r>
        <w:rPr>
          <w:rFonts w:ascii="Times New Roman" w:hAnsi="Times New Roman"/>
          <w:sz w:val="24"/>
          <w:u w:val="single" w:color="000000"/>
        </w:rPr>
      </w:r>
      <w:r>
        <w:rPr>
          <w:rFonts w:ascii="Times New Roman" w:hAnsi="Times New Roman"/>
          <w:sz w:val="24"/>
          <w:u w:val="single" w:color="000000"/>
        </w:rPr>
        <w:t>Службе за одржавање и информатичко</w:t>
      </w:r>
      <w:r>
        <w:rPr>
          <w:rFonts w:ascii="Times New Roman" w:hAnsi="Times New Roman"/>
          <w:sz w:val="24"/>
          <w:u w:val="single" w:color="000000"/>
        </w:rPr>
        <w:t>-</w:t>
      </w:r>
      <w:r>
        <w:rPr>
          <w:rFonts w:ascii="Times New Roman" w:hAnsi="Times New Roman"/>
          <w:sz w:val="24"/>
          <w:u w:val="single" w:color="000000"/>
        </w:rPr>
        <w:t>комуникационе технологије </w:t>
      </w:r>
      <w:r>
        <w:rPr>
          <w:rFonts w:ascii="Times New Roman" w:hAnsi="Times New Roman"/>
          <w:sz w:val="24"/>
        </w:rPr>
      </w:r>
      <w:r>
        <w:rPr>
          <w:rFonts w:ascii="Times New Roman" w:hAnsi="Times New Roman"/>
          <w:sz w:val="24"/>
        </w:rPr>
        <w:t>није исказан</w:t>
      </w:r>
      <w:r>
        <w:rPr>
          <w:rFonts w:ascii="Times New Roman" w:hAnsi="Times New Roman"/>
          <w:spacing w:val="-8"/>
          <w:sz w:val="24"/>
        </w:rPr>
        <w:t> </w:t>
      </w:r>
      <w:r>
        <w:rPr>
          <w:rFonts w:ascii="Times New Roman" w:hAnsi="Times New Roman"/>
          <w:sz w:val="24"/>
        </w:rPr>
        <w:t>износ.</w:t>
      </w:r>
    </w:p>
    <w:p>
      <w:pPr>
        <w:spacing w:before="0"/>
        <w:ind w:left="160" w:right="173" w:firstLine="578"/>
        <w:jc w:val="both"/>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 је </w:t>
      </w:r>
      <w:r>
        <w:rPr>
          <w:rFonts w:ascii="Times New Roman" w:hAnsi="Times New Roman"/>
          <w:sz w:val="24"/>
        </w:rPr>
        <w:t>да код Службе за одржавање и информатичко</w:t>
      </w:r>
      <w:r>
        <w:rPr>
          <w:rFonts w:ascii="Times New Roman" w:hAnsi="Times New Roman"/>
          <w:sz w:val="24"/>
        </w:rPr>
        <w:t>-</w:t>
      </w:r>
      <w:r>
        <w:rPr>
          <w:rFonts w:ascii="Times New Roman" w:hAnsi="Times New Roman"/>
          <w:sz w:val="24"/>
        </w:rPr>
        <w:t>комуникационе технологије није исказана вредност примљених меница у износу од </w:t>
      </w:r>
      <w:r>
        <w:rPr>
          <w:rFonts w:ascii="Times New Roman" w:hAnsi="Times New Roman"/>
          <w:sz w:val="24"/>
        </w:rPr>
        <w:t>4.727 </w:t>
      </w:r>
      <w:r>
        <w:rPr>
          <w:rFonts w:ascii="Times New Roman" w:hAnsi="Times New Roman"/>
          <w:sz w:val="24"/>
        </w:rPr>
        <w:t>хиљада динара по основу гаранција за добро извршење посла, јер исте нису</w:t>
      </w:r>
      <w:r>
        <w:rPr>
          <w:rFonts w:ascii="Times New Roman" w:hAnsi="Times New Roman"/>
          <w:spacing w:val="-8"/>
          <w:sz w:val="24"/>
        </w:rPr>
        <w:t> </w:t>
      </w:r>
      <w:r>
        <w:rPr>
          <w:rFonts w:ascii="Times New Roman" w:hAnsi="Times New Roman"/>
          <w:sz w:val="24"/>
        </w:rPr>
        <w:t>евидентиране</w:t>
      </w:r>
      <w:r>
        <w:rPr>
          <w:rFonts w:ascii="Times New Roman" w:hAnsi="Times New Roman"/>
          <w:sz w:val="24"/>
        </w:rPr>
        <w:t>.</w:t>
      </w:r>
    </w:p>
    <w:p>
      <w:pPr>
        <w:pStyle w:val="Heading2"/>
        <w:spacing w:line="240" w:lineRule="auto"/>
        <w:ind w:left="738" w:right="141" w:firstLine="0"/>
        <w:jc w:val="left"/>
        <w:rPr>
          <w:b w:val="0"/>
          <w:bCs w:val="0"/>
          <w:i w:val="0"/>
        </w:rPr>
      </w:pPr>
      <w:r>
        <w:rPr>
          <w:i/>
        </w:rPr>
        <w:t>Препоручује се одговорним лицима да евидентирају примљене</w:t>
      </w:r>
      <w:r>
        <w:rPr>
          <w:i/>
          <w:spacing w:val="-20"/>
        </w:rPr>
        <w:t> </w:t>
      </w:r>
      <w:r>
        <w:rPr>
          <w:i/>
        </w:rPr>
        <w:t>менице.</w:t>
      </w:r>
      <w:r>
        <w:rPr>
          <w:b w:val="0"/>
          <w:i w:val="0"/>
        </w:rPr>
      </w:r>
    </w:p>
    <w:p>
      <w:pPr>
        <w:spacing w:line="240" w:lineRule="auto" w:before="1"/>
        <w:rPr>
          <w:rFonts w:ascii="Times New Roman" w:hAnsi="Times New Roman" w:cs="Times New Roman" w:eastAsia="Times New Roman" w:hint="default"/>
          <w:b/>
          <w:bCs/>
          <w:i/>
          <w:sz w:val="24"/>
          <w:szCs w:val="24"/>
        </w:rPr>
      </w:pPr>
    </w:p>
    <w:p>
      <w:pPr>
        <w:pStyle w:val="Heading1"/>
        <w:tabs>
          <w:tab w:pos="726" w:val="left" w:leader="none"/>
        </w:tabs>
        <w:spacing w:line="274" w:lineRule="exact" w:before="0"/>
        <w:ind w:left="160" w:right="141"/>
        <w:jc w:val="left"/>
        <w:rPr>
          <w:rFonts w:ascii="Times New Roman" w:hAnsi="Times New Roman" w:cs="Times New Roman" w:eastAsia="Times New Roman" w:hint="default"/>
          <w:b w:val="0"/>
          <w:bCs w:val="0"/>
        </w:rPr>
      </w:pPr>
      <w:bookmarkStart w:name="_bookmark56" w:id="97"/>
      <w:bookmarkEnd w:id="97"/>
      <w:r>
        <w:rPr>
          <w:b w:val="0"/>
        </w:rPr>
      </w:r>
      <w:r>
        <w:rPr>
          <w:rFonts w:ascii="Times New Roman" w:hAnsi="Times New Roman"/>
        </w:rPr>
        <w:t>4.4</w:t>
        <w:tab/>
      </w:r>
      <w:r>
        <w:rPr>
          <w:rFonts w:ascii="Times New Roman" w:hAnsi="Times New Roman"/>
        </w:rPr>
        <w:t>Остали извештаји завршног</w:t>
      </w:r>
      <w:r>
        <w:rPr>
          <w:rFonts w:ascii="Times New Roman" w:hAnsi="Times New Roman"/>
          <w:spacing w:val="-12"/>
        </w:rPr>
        <w:t> </w:t>
      </w:r>
      <w:r>
        <w:rPr>
          <w:rFonts w:ascii="Times New Roman" w:hAnsi="Times New Roman"/>
        </w:rPr>
        <w:t>рачуна</w:t>
      </w:r>
      <w:r>
        <w:rPr>
          <w:rFonts w:ascii="Times New Roman" w:hAnsi="Times New Roman"/>
          <w:b w:val="0"/>
        </w:rPr>
      </w:r>
    </w:p>
    <w:p>
      <w:pPr>
        <w:pStyle w:val="BodyText"/>
        <w:spacing w:line="240" w:lineRule="auto"/>
        <w:ind w:right="177" w:firstLine="566"/>
        <w:jc w:val="both"/>
      </w:pPr>
      <w:r>
        <w:rPr/>
        <w:t>Град Ниш је приликом израде Завршног рачуна за 2014. годину припремио следеће финансијске</w:t>
      </w:r>
      <w:r>
        <w:rPr>
          <w:spacing w:val="-6"/>
        </w:rPr>
        <w:t> </w:t>
      </w:r>
      <w:r>
        <w:rPr/>
        <w:t>извештаје:</w:t>
      </w:r>
    </w:p>
    <w:p>
      <w:pPr>
        <w:pStyle w:val="ListParagraph"/>
        <w:numPr>
          <w:ilvl w:val="0"/>
          <w:numId w:val="117"/>
        </w:numPr>
        <w:tabs>
          <w:tab w:pos="444" w:val="left" w:leader="none"/>
        </w:tabs>
        <w:spacing w:line="240" w:lineRule="auto" w:before="0" w:after="0"/>
        <w:ind w:left="443" w:right="0" w:hanging="283"/>
        <w:jc w:val="left"/>
        <w:rPr>
          <w:rFonts w:ascii="Times New Roman" w:hAnsi="Times New Roman" w:cs="Times New Roman" w:eastAsia="Times New Roman" w:hint="default"/>
          <w:sz w:val="24"/>
          <w:szCs w:val="24"/>
        </w:rPr>
      </w:pPr>
      <w:r>
        <w:rPr>
          <w:rFonts w:ascii="Times New Roman" w:hAnsi="Times New Roman"/>
          <w:sz w:val="24"/>
        </w:rPr>
        <w:t>Биланс стања на дан 31.12.2014.</w:t>
      </w:r>
      <w:r>
        <w:rPr>
          <w:rFonts w:ascii="Times New Roman" w:hAnsi="Times New Roman"/>
          <w:spacing w:val="-6"/>
          <w:sz w:val="24"/>
        </w:rPr>
        <w:t> </w:t>
      </w:r>
      <w:r>
        <w:rPr>
          <w:rFonts w:ascii="Times New Roman" w:hAnsi="Times New Roman"/>
          <w:sz w:val="24"/>
        </w:rPr>
        <w:t>године</w:t>
      </w:r>
    </w:p>
    <w:p>
      <w:pPr>
        <w:pStyle w:val="ListParagraph"/>
        <w:numPr>
          <w:ilvl w:val="0"/>
          <w:numId w:val="117"/>
        </w:numPr>
        <w:tabs>
          <w:tab w:pos="444" w:val="left" w:leader="none"/>
        </w:tabs>
        <w:spacing w:line="240" w:lineRule="auto" w:before="0" w:after="0"/>
        <w:ind w:left="443" w:right="0" w:hanging="283"/>
        <w:jc w:val="left"/>
        <w:rPr>
          <w:rFonts w:ascii="Times New Roman" w:hAnsi="Times New Roman" w:cs="Times New Roman" w:eastAsia="Times New Roman" w:hint="default"/>
          <w:sz w:val="24"/>
          <w:szCs w:val="24"/>
        </w:rPr>
      </w:pPr>
      <w:r>
        <w:rPr>
          <w:rFonts w:ascii="Times New Roman" w:hAnsi="Times New Roman"/>
          <w:sz w:val="24"/>
        </w:rPr>
        <w:t>Биланс прихода и расхода у периоду од 01.01.2014. до 31.12.2014.</w:t>
      </w:r>
      <w:r>
        <w:rPr>
          <w:rFonts w:ascii="Times New Roman" w:hAnsi="Times New Roman"/>
          <w:spacing w:val="-11"/>
          <w:sz w:val="24"/>
        </w:rPr>
        <w:t> </w:t>
      </w:r>
      <w:r>
        <w:rPr>
          <w:rFonts w:ascii="Times New Roman" w:hAnsi="Times New Roman"/>
          <w:sz w:val="24"/>
        </w:rPr>
        <w:t>годинe</w:t>
      </w:r>
    </w:p>
    <w:p>
      <w:pPr>
        <w:pStyle w:val="ListParagraph"/>
        <w:numPr>
          <w:ilvl w:val="0"/>
          <w:numId w:val="117"/>
        </w:numPr>
        <w:tabs>
          <w:tab w:pos="444" w:val="left" w:leader="none"/>
        </w:tabs>
        <w:spacing w:line="240" w:lineRule="auto" w:before="0" w:after="0"/>
        <w:ind w:left="443" w:right="184" w:hanging="283"/>
        <w:jc w:val="left"/>
        <w:rPr>
          <w:rFonts w:ascii="Times New Roman" w:hAnsi="Times New Roman" w:cs="Times New Roman" w:eastAsia="Times New Roman" w:hint="default"/>
          <w:sz w:val="24"/>
          <w:szCs w:val="24"/>
        </w:rPr>
      </w:pPr>
      <w:r>
        <w:rPr>
          <w:rFonts w:ascii="Times New Roman" w:hAnsi="Times New Roman"/>
          <w:sz w:val="24"/>
        </w:rPr>
        <w:t>Извештај о капиталним издацима и примањима у периоду од 01.01.2014. до  </w:t>
      </w:r>
      <w:r>
        <w:rPr>
          <w:rFonts w:ascii="Times New Roman" w:hAnsi="Times New Roman"/>
          <w:sz w:val="24"/>
        </w:rPr>
        <w:t>31.12.2014.</w:t>
      </w:r>
      <w:r>
        <w:rPr>
          <w:rFonts w:ascii="Times New Roman" w:hAnsi="Times New Roman"/>
          <w:spacing w:val="59"/>
          <w:sz w:val="24"/>
        </w:rPr>
        <w:t> </w:t>
      </w:r>
      <w:r>
        <w:rPr>
          <w:rFonts w:ascii="Times New Roman" w:hAnsi="Times New Roman"/>
          <w:sz w:val="24"/>
        </w:rPr>
        <w:t>годинe</w:t>
      </w:r>
    </w:p>
    <w:p>
      <w:pPr>
        <w:pStyle w:val="ListParagraph"/>
        <w:numPr>
          <w:ilvl w:val="0"/>
          <w:numId w:val="117"/>
        </w:numPr>
        <w:tabs>
          <w:tab w:pos="444" w:val="left" w:leader="none"/>
        </w:tabs>
        <w:spacing w:line="240" w:lineRule="auto" w:before="0" w:after="0"/>
        <w:ind w:left="443" w:right="0" w:hanging="283"/>
        <w:jc w:val="left"/>
        <w:rPr>
          <w:rFonts w:ascii="Times New Roman" w:hAnsi="Times New Roman" w:cs="Times New Roman" w:eastAsia="Times New Roman" w:hint="default"/>
          <w:sz w:val="24"/>
          <w:szCs w:val="24"/>
        </w:rPr>
      </w:pPr>
      <w:r>
        <w:rPr>
          <w:rFonts w:ascii="Times New Roman" w:hAnsi="Times New Roman"/>
          <w:sz w:val="24"/>
        </w:rPr>
        <w:t>Извештај о новчаним токовима у периоду од 01.01.2014. до </w:t>
      </w:r>
      <w:r>
        <w:rPr>
          <w:rFonts w:ascii="Times New Roman" w:hAnsi="Times New Roman"/>
          <w:sz w:val="24"/>
        </w:rPr>
        <w:t>3</w:t>
      </w:r>
      <w:r>
        <w:rPr>
          <w:rFonts w:ascii="Times New Roman" w:hAnsi="Times New Roman"/>
          <w:sz w:val="24"/>
        </w:rPr>
        <w:t>1.12.2014.</w:t>
      </w:r>
      <w:r>
        <w:rPr>
          <w:rFonts w:ascii="Times New Roman" w:hAnsi="Times New Roman"/>
          <w:spacing w:val="-9"/>
          <w:sz w:val="24"/>
        </w:rPr>
        <w:t> </w:t>
      </w:r>
      <w:r>
        <w:rPr>
          <w:rFonts w:ascii="Times New Roman" w:hAnsi="Times New Roman"/>
          <w:sz w:val="24"/>
        </w:rPr>
        <w:t>годинe</w:t>
      </w:r>
    </w:p>
    <w:p>
      <w:pPr>
        <w:pStyle w:val="ListParagraph"/>
        <w:numPr>
          <w:ilvl w:val="0"/>
          <w:numId w:val="117"/>
        </w:numPr>
        <w:tabs>
          <w:tab w:pos="444" w:val="left" w:leader="none"/>
        </w:tabs>
        <w:spacing w:line="240" w:lineRule="auto" w:before="0" w:after="0"/>
        <w:ind w:left="443" w:right="0" w:hanging="283"/>
        <w:jc w:val="left"/>
        <w:rPr>
          <w:rFonts w:ascii="Times New Roman" w:hAnsi="Times New Roman" w:cs="Times New Roman" w:eastAsia="Times New Roman" w:hint="default"/>
          <w:sz w:val="24"/>
          <w:szCs w:val="24"/>
        </w:rPr>
      </w:pPr>
      <w:r>
        <w:rPr>
          <w:rFonts w:ascii="Times New Roman" w:hAnsi="Times New Roman"/>
          <w:sz w:val="24"/>
        </w:rPr>
        <w:t>Извештај о извршењу буџета, у периоду од 01.01.2014. до 31.12.2014.</w:t>
      </w:r>
      <w:r>
        <w:rPr>
          <w:rFonts w:ascii="Times New Roman" w:hAnsi="Times New Roman"/>
          <w:spacing w:val="-12"/>
          <w:sz w:val="24"/>
        </w:rPr>
        <w:t> </w:t>
      </w:r>
      <w:r>
        <w:rPr>
          <w:rFonts w:ascii="Times New Roman" w:hAnsi="Times New Roman"/>
          <w:sz w:val="24"/>
        </w:rPr>
        <w:t>годинe</w:t>
      </w:r>
    </w:p>
    <w:p>
      <w:pPr>
        <w:pStyle w:val="ListParagraph"/>
        <w:numPr>
          <w:ilvl w:val="0"/>
          <w:numId w:val="117"/>
        </w:numPr>
        <w:tabs>
          <w:tab w:pos="444" w:val="left" w:leader="none"/>
        </w:tabs>
        <w:spacing w:line="240" w:lineRule="auto" w:before="0" w:after="0"/>
        <w:ind w:left="443" w:right="0" w:hanging="283"/>
        <w:jc w:val="left"/>
        <w:rPr>
          <w:rFonts w:ascii="Times New Roman" w:hAnsi="Times New Roman" w:cs="Times New Roman" w:eastAsia="Times New Roman" w:hint="default"/>
          <w:sz w:val="24"/>
          <w:szCs w:val="24"/>
        </w:rPr>
      </w:pPr>
      <w:r>
        <w:rPr>
          <w:rFonts w:ascii="Times New Roman" w:hAnsi="Times New Roman"/>
          <w:sz w:val="24"/>
        </w:rPr>
        <w:t>Извештај о извршењу одлуке о буџету града Ниша за 2014.</w:t>
      </w:r>
      <w:r>
        <w:rPr>
          <w:rFonts w:ascii="Times New Roman" w:hAnsi="Times New Roman"/>
          <w:spacing w:val="-12"/>
          <w:sz w:val="24"/>
        </w:rPr>
        <w:t> </w:t>
      </w:r>
      <w:r>
        <w:rPr>
          <w:rFonts w:ascii="Times New Roman" w:hAnsi="Times New Roman"/>
          <w:sz w:val="24"/>
        </w:rPr>
        <w:t>годину</w:t>
      </w:r>
    </w:p>
    <w:p>
      <w:pPr>
        <w:pStyle w:val="ListParagraph"/>
        <w:numPr>
          <w:ilvl w:val="0"/>
          <w:numId w:val="117"/>
        </w:numPr>
        <w:tabs>
          <w:tab w:pos="444" w:val="left" w:leader="none"/>
        </w:tabs>
        <w:spacing w:line="240" w:lineRule="auto" w:before="0" w:after="0"/>
        <w:ind w:left="460" w:right="267" w:hanging="300"/>
        <w:jc w:val="left"/>
        <w:rPr>
          <w:rFonts w:ascii="Times New Roman" w:hAnsi="Times New Roman" w:cs="Times New Roman" w:eastAsia="Times New Roman" w:hint="default"/>
          <w:sz w:val="24"/>
          <w:szCs w:val="24"/>
        </w:rPr>
      </w:pPr>
      <w:r>
        <w:rPr>
          <w:rFonts w:ascii="Times New Roman" w:hAnsi="Times New Roman"/>
          <w:sz w:val="24"/>
        </w:rPr>
        <w:t>Извештај о примљеним донацијама и кредитима, домаћим и иностраним и извршеним отплатама дугова у периоду од 01.01.</w:t>
      </w:r>
      <w:r>
        <w:rPr>
          <w:rFonts w:ascii="Times New Roman" w:hAnsi="Times New Roman"/>
          <w:sz w:val="24"/>
        </w:rPr>
        <w:t>2014. </w:t>
      </w:r>
      <w:r>
        <w:rPr>
          <w:rFonts w:ascii="Times New Roman" w:hAnsi="Times New Roman"/>
          <w:sz w:val="24"/>
        </w:rPr>
        <w:t>до 31.12.201</w:t>
      </w:r>
      <w:r>
        <w:rPr>
          <w:rFonts w:ascii="Times New Roman" w:hAnsi="Times New Roman"/>
          <w:sz w:val="24"/>
        </w:rPr>
        <w:t>4</w:t>
      </w:r>
      <w:r>
        <w:rPr>
          <w:rFonts w:ascii="Times New Roman" w:hAnsi="Times New Roman"/>
          <w:sz w:val="24"/>
        </w:rPr>
        <w:t>.</w:t>
      </w:r>
      <w:r>
        <w:rPr>
          <w:rFonts w:ascii="Times New Roman" w:hAnsi="Times New Roman"/>
          <w:spacing w:val="-6"/>
          <w:sz w:val="24"/>
        </w:rPr>
        <w:t> </w:t>
      </w:r>
      <w:r>
        <w:rPr>
          <w:rFonts w:ascii="Times New Roman" w:hAnsi="Times New Roman"/>
          <w:sz w:val="24"/>
        </w:rPr>
        <w:t>године</w:t>
      </w:r>
    </w:p>
    <w:p>
      <w:pPr>
        <w:spacing w:after="0" w:line="240" w:lineRule="auto"/>
        <w:jc w:val="left"/>
        <w:rPr>
          <w:rFonts w:ascii="Times New Roman" w:hAnsi="Times New Roman" w:cs="Times New Roman" w:eastAsia="Times New Roman" w:hint="default"/>
          <w:sz w:val="24"/>
          <w:szCs w:val="24"/>
        </w:rPr>
        <w:sectPr>
          <w:pgSz w:w="12240" w:h="15840"/>
          <w:pgMar w:header="740" w:footer="1504" w:top="120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ListParagraph"/>
        <w:numPr>
          <w:ilvl w:val="0"/>
          <w:numId w:val="117"/>
        </w:numPr>
        <w:tabs>
          <w:tab w:pos="444" w:val="left" w:leader="none"/>
        </w:tabs>
        <w:spacing w:line="240" w:lineRule="auto" w:before="6" w:after="0"/>
        <w:ind w:left="443" w:right="186" w:hanging="283"/>
        <w:jc w:val="left"/>
        <w:rPr>
          <w:rFonts w:ascii="Times New Roman" w:hAnsi="Times New Roman" w:cs="Times New Roman" w:eastAsia="Times New Roman" w:hint="default"/>
          <w:sz w:val="24"/>
          <w:szCs w:val="24"/>
        </w:rPr>
      </w:pPr>
      <w:r>
        <w:rPr>
          <w:rFonts w:ascii="Times New Roman" w:hAnsi="Times New Roman"/>
          <w:sz w:val="24"/>
        </w:rPr>
        <w:t>Извештај о коришћењу средстава текуће и сталне буџетске резерве за период од </w:t>
      </w:r>
      <w:r>
        <w:rPr>
          <w:rFonts w:ascii="Times New Roman" w:hAnsi="Times New Roman"/>
          <w:sz w:val="24"/>
        </w:rPr>
        <w:t>01.01.2014. </w:t>
      </w:r>
      <w:r>
        <w:rPr>
          <w:rFonts w:ascii="Times New Roman" w:hAnsi="Times New Roman"/>
          <w:sz w:val="24"/>
        </w:rPr>
        <w:t>до </w:t>
      </w:r>
      <w:r>
        <w:rPr>
          <w:rFonts w:ascii="Times New Roman" w:hAnsi="Times New Roman"/>
          <w:sz w:val="24"/>
        </w:rPr>
        <w:t>31.12.2014</w:t>
      </w:r>
      <w:r>
        <w:rPr>
          <w:rFonts w:ascii="Times New Roman" w:hAnsi="Times New Roman"/>
          <w:sz w:val="24"/>
        </w:rPr>
        <w:t>.</w:t>
      </w:r>
      <w:r>
        <w:rPr>
          <w:rFonts w:ascii="Times New Roman" w:hAnsi="Times New Roman"/>
          <w:spacing w:val="-1"/>
          <w:sz w:val="24"/>
        </w:rPr>
        <w:t> </w:t>
      </w:r>
      <w:r>
        <w:rPr>
          <w:rFonts w:ascii="Times New Roman" w:hAnsi="Times New Roman"/>
          <w:sz w:val="24"/>
        </w:rPr>
        <w:t>године</w:t>
      </w:r>
      <w:r>
        <w:rPr>
          <w:rFonts w:ascii="Times New Roman" w:hAnsi="Times New Roman"/>
          <w:sz w:val="24"/>
        </w:rPr>
        <w:t>.</w:t>
      </w:r>
    </w:p>
    <w:p>
      <w:pPr>
        <w:pStyle w:val="Heading1"/>
        <w:spacing w:line="274" w:lineRule="exact" w:before="144"/>
        <w:ind w:right="141"/>
        <w:jc w:val="left"/>
        <w:rPr>
          <w:b w:val="0"/>
          <w:bCs w:val="0"/>
        </w:rPr>
      </w:pPr>
      <w:r>
        <w:rPr/>
        <w:t>Извештај о капиталним издацима и примањима </w:t>
      </w:r>
      <w:r>
        <w:rPr>
          <w:rFonts w:ascii="Times New Roman" w:hAnsi="Times New Roman"/>
        </w:rPr>
        <w:t>- </w:t>
      </w:r>
      <w:r>
        <w:rPr/>
        <w:t>Образац</w:t>
      </w:r>
      <w:r>
        <w:rPr>
          <w:spacing w:val="-10"/>
        </w:rPr>
        <w:t> </w:t>
      </w:r>
      <w:r>
        <w:rPr/>
        <w:t>3</w:t>
      </w:r>
      <w:r>
        <w:rPr>
          <w:b w:val="0"/>
        </w:rPr>
      </w:r>
    </w:p>
    <w:p>
      <w:pPr>
        <w:pStyle w:val="BodyText"/>
        <w:spacing w:line="240" w:lineRule="auto"/>
        <w:ind w:right="173" w:firstLine="566"/>
        <w:jc w:val="both"/>
        <w:rPr>
          <w:rFonts w:ascii="Times New Roman" w:hAnsi="Times New Roman" w:cs="Times New Roman" w:eastAsia="Times New Roman" w:hint="default"/>
        </w:rPr>
      </w:pPr>
      <w:r>
        <w:rPr/>
        <w:t>У Извештају о капиталним издацима и примањима у периоду од 01.01.</w:t>
      </w:r>
      <w:r>
        <w:rPr>
          <w:rFonts w:ascii="Times New Roman" w:hAnsi="Times New Roman"/>
        </w:rPr>
        <w:t>2014. </w:t>
      </w:r>
      <w:r>
        <w:rPr/>
        <w:t>до </w:t>
      </w:r>
      <w:r>
        <w:rPr>
          <w:rFonts w:ascii="Times New Roman" w:hAnsi="Times New Roman"/>
        </w:rPr>
        <w:t>31.12.2014</w:t>
      </w:r>
      <w:r>
        <w:rPr/>
        <w:t>. године (Образац 3), утврђена су примања у износу од </w:t>
      </w:r>
      <w:r>
        <w:rPr>
          <w:rFonts w:ascii="Times New Roman" w:hAnsi="Times New Roman"/>
        </w:rPr>
        <w:t>637.786 </w:t>
      </w:r>
      <w:r>
        <w:rPr/>
        <w:t>хиљад</w:t>
      </w:r>
      <w:r>
        <w:rPr>
          <w:rFonts w:ascii="Times New Roman" w:hAnsi="Times New Roman"/>
        </w:rPr>
        <w:t>a </w:t>
      </w:r>
      <w:r>
        <w:rPr/>
        <w:t>динара и издаци у износу од 1.422.970 хиљада динара, што значи да је остварен мањак примања  у износу од 785.184 хиљаде динара. Наведени мањак примања текуће године мањи је од исте категорије претходне године за </w:t>
      </w:r>
      <w:r>
        <w:rPr>
          <w:rFonts w:ascii="Times New Roman" w:hAnsi="Times New Roman"/>
        </w:rPr>
        <w:t>491.484 </w:t>
      </w:r>
      <w:r>
        <w:rPr/>
        <w:t>хиљад</w:t>
      </w:r>
      <w:r>
        <w:rPr>
          <w:rFonts w:ascii="Times New Roman" w:hAnsi="Times New Roman"/>
        </w:rPr>
        <w:t>e </w:t>
      </w:r>
      <w:r>
        <w:rPr/>
        <w:t>динара или за</w:t>
      </w:r>
      <w:r>
        <w:rPr>
          <w:spacing w:val="-18"/>
        </w:rPr>
        <w:t> </w:t>
      </w:r>
      <w:r>
        <w:rPr>
          <w:rFonts w:ascii="Times New Roman" w:hAnsi="Times New Roman"/>
        </w:rPr>
        <w:t>38,50%.</w:t>
      </w:r>
    </w:p>
    <w:p>
      <w:pPr>
        <w:spacing w:before="3" w:after="4"/>
        <w:ind w:left="0" w:right="263" w:firstLine="0"/>
        <w:jc w:val="right"/>
        <w:rPr>
          <w:rFonts w:ascii="Times New Roman" w:hAnsi="Times New Roman" w:cs="Times New Roman" w:eastAsia="Times New Roman" w:hint="default"/>
          <w:sz w:val="18"/>
          <w:szCs w:val="18"/>
        </w:rPr>
      </w:pPr>
      <w:r>
        <w:rPr>
          <w:rFonts w:ascii="Times New Roman" w:hAnsi="Times New Roman"/>
          <w:sz w:val="18"/>
        </w:rPr>
        <w:t>(у хиљадама</w:t>
      </w:r>
      <w:r>
        <w:rPr>
          <w:rFonts w:ascii="Times New Roman" w:hAnsi="Times New Roman"/>
          <w:spacing w:val="-9"/>
          <w:sz w:val="18"/>
        </w:rPr>
        <w:t> </w:t>
      </w:r>
      <w:r>
        <w:rPr>
          <w:rFonts w:ascii="Times New Roman" w:hAnsi="Times New Roman"/>
          <w:sz w:val="18"/>
        </w:rPr>
        <w:t>динара)</w:t>
      </w:r>
    </w:p>
    <w:tbl>
      <w:tblPr>
        <w:tblW w:w="0" w:type="auto"/>
        <w:jc w:val="left"/>
        <w:tblInd w:w="155" w:type="dxa"/>
        <w:tblLayout w:type="fixed"/>
        <w:tblCellMar>
          <w:top w:w="0" w:type="dxa"/>
          <w:left w:w="0" w:type="dxa"/>
          <w:bottom w:w="0" w:type="dxa"/>
          <w:right w:w="0" w:type="dxa"/>
        </w:tblCellMar>
        <w:tblLook w:val="01E0"/>
      </w:tblPr>
      <w:tblGrid>
        <w:gridCol w:w="974"/>
        <w:gridCol w:w="5690"/>
        <w:gridCol w:w="1159"/>
        <w:gridCol w:w="1392"/>
      </w:tblGrid>
      <w:tr>
        <w:trPr>
          <w:trHeight w:val="379" w:hRule="exact"/>
        </w:trPr>
        <w:tc>
          <w:tcPr>
            <w:tcW w:w="974"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271" w:right="0"/>
              <w:jc w:val="left"/>
              <w:rPr>
                <w:rFonts w:ascii="Times New Roman" w:hAnsi="Times New Roman" w:cs="Times New Roman" w:eastAsia="Times New Roman" w:hint="default"/>
                <w:sz w:val="16"/>
                <w:szCs w:val="16"/>
              </w:rPr>
            </w:pPr>
            <w:r>
              <w:rPr>
                <w:rFonts w:ascii="Times New Roman" w:hAnsi="Times New Roman"/>
                <w:b/>
                <w:sz w:val="16"/>
              </w:rPr>
              <w:t>конто</w:t>
            </w:r>
            <w:r>
              <w:rPr>
                <w:rFonts w:ascii="Times New Roman" w:hAnsi="Times New Roman"/>
                <w:sz w:val="16"/>
              </w:rPr>
            </w:r>
          </w:p>
        </w:tc>
        <w:tc>
          <w:tcPr>
            <w:tcW w:w="569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2519" w:right="2519"/>
              <w:jc w:val="center"/>
              <w:rPr>
                <w:rFonts w:ascii="Times New Roman" w:hAnsi="Times New Roman" w:cs="Times New Roman" w:eastAsia="Times New Roman" w:hint="default"/>
                <w:sz w:val="16"/>
                <w:szCs w:val="16"/>
              </w:rPr>
            </w:pPr>
            <w:r>
              <w:rPr>
                <w:rFonts w:ascii="Times New Roman" w:hAnsi="Times New Roman"/>
                <w:b/>
                <w:sz w:val="16"/>
              </w:rPr>
              <w:t>О П И</w:t>
            </w:r>
            <w:r>
              <w:rPr>
                <w:rFonts w:ascii="Times New Roman" w:hAnsi="Times New Roman"/>
                <w:b/>
                <w:spacing w:val="2"/>
                <w:sz w:val="16"/>
              </w:rPr>
              <w:t> </w:t>
            </w:r>
            <w:r>
              <w:rPr>
                <w:rFonts w:ascii="Times New Roman" w:hAnsi="Times New Roman"/>
                <w:b/>
                <w:sz w:val="16"/>
              </w:rPr>
              <w:t>С</w:t>
            </w:r>
            <w:r>
              <w:rPr>
                <w:rFonts w:ascii="Times New Roman" w:hAnsi="Times New Roman"/>
                <w:sz w:val="16"/>
              </w:rPr>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260"/>
              <w:jc w:val="left"/>
              <w:rPr>
                <w:rFonts w:ascii="Times New Roman" w:hAnsi="Times New Roman" w:cs="Times New Roman" w:eastAsia="Times New Roman" w:hint="default"/>
                <w:sz w:val="16"/>
                <w:szCs w:val="16"/>
              </w:rPr>
            </w:pPr>
            <w:r>
              <w:rPr>
                <w:rFonts w:ascii="Times New Roman" w:hAnsi="Times New Roman"/>
                <w:b/>
                <w:sz w:val="16"/>
              </w:rPr>
              <w:t>Претходна година</w:t>
            </w:r>
            <w:r>
              <w:rPr>
                <w:rFonts w:ascii="Times New Roman" w:hAnsi="Times New Roman"/>
                <w:sz w:val="16"/>
              </w:rPr>
            </w:r>
          </w:p>
        </w:tc>
        <w:tc>
          <w:tcPr>
            <w:tcW w:w="13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43" w:right="731" w:hanging="41"/>
              <w:jc w:val="left"/>
              <w:rPr>
                <w:rFonts w:ascii="Times New Roman" w:hAnsi="Times New Roman" w:cs="Times New Roman" w:eastAsia="Times New Roman" w:hint="default"/>
                <w:sz w:val="16"/>
                <w:szCs w:val="16"/>
              </w:rPr>
            </w:pPr>
            <w:r>
              <w:rPr>
                <w:rFonts w:ascii="Times New Roman" w:hAnsi="Times New Roman"/>
                <w:b/>
                <w:sz w:val="16"/>
              </w:rPr>
              <w:t>Текућа година</w:t>
            </w:r>
            <w:r>
              <w:rPr>
                <w:rFonts w:ascii="Times New Roman" w:hAnsi="Times New Roman"/>
                <w:sz w:val="16"/>
              </w:rPr>
            </w:r>
          </w:p>
        </w:tc>
      </w:tr>
      <w:tr>
        <w:trPr>
          <w:trHeight w:val="192" w:hRule="exact"/>
        </w:trPr>
        <w:tc>
          <w:tcPr>
            <w:tcW w:w="6664" w:type="dxa"/>
            <w:gridSpan w:val="2"/>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0"/>
              <w:jc w:val="left"/>
              <w:rPr>
                <w:rFonts w:ascii="Times New Roman" w:hAnsi="Times New Roman" w:cs="Times New Roman" w:eastAsia="Times New Roman" w:hint="default"/>
                <w:sz w:val="16"/>
                <w:szCs w:val="16"/>
              </w:rPr>
            </w:pPr>
            <w:r>
              <w:rPr>
                <w:rFonts w:ascii="Times New Roman" w:hAnsi="Times New Roman"/>
                <w:b/>
                <w:sz w:val="16"/>
              </w:rPr>
              <w:t>ПРИМАЊА</w:t>
            </w:r>
            <w:r>
              <w:rPr>
                <w:rFonts w:ascii="Times New Roman" w:hAnsi="Times New Roman"/>
                <w:sz w:val="16"/>
              </w:rPr>
            </w:r>
          </w:p>
        </w:tc>
        <w:tc>
          <w:tcPr>
            <w:tcW w:w="1159" w:type="dxa"/>
            <w:tcBorders>
              <w:top w:val="single" w:sz="4" w:space="0" w:color="000000"/>
              <w:left w:val="single" w:sz="4" w:space="0" w:color="000000"/>
              <w:bottom w:val="single" w:sz="4" w:space="0" w:color="000000"/>
              <w:right w:val="single" w:sz="4" w:space="0" w:color="000000"/>
            </w:tcBorders>
          </w:tcPr>
          <w:p>
            <w:pPr/>
          </w:p>
        </w:tc>
        <w:tc>
          <w:tcPr>
            <w:tcW w:w="1392" w:type="dxa"/>
            <w:tcBorders>
              <w:top w:val="single" w:sz="4" w:space="0" w:color="000000"/>
              <w:left w:val="single" w:sz="4" w:space="0" w:color="000000"/>
              <w:bottom w:val="single" w:sz="4" w:space="0" w:color="000000"/>
              <w:right w:val="single" w:sz="4" w:space="0" w:color="000000"/>
            </w:tcBorders>
          </w:tcPr>
          <w:p>
            <w:pPr/>
          </w:p>
        </w:tc>
      </w:tr>
      <w:tr>
        <w:trPr>
          <w:trHeight w:val="195" w:hRule="exact"/>
        </w:trPr>
        <w:tc>
          <w:tcPr>
            <w:tcW w:w="974" w:type="dxa"/>
            <w:tcBorders>
              <w:top w:val="single" w:sz="4" w:space="0" w:color="000000"/>
              <w:left w:val="single" w:sz="4" w:space="0" w:color="000000"/>
              <w:bottom w:val="single" w:sz="4" w:space="0" w:color="000000"/>
              <w:right w:val="single" w:sz="4" w:space="0" w:color="000000"/>
            </w:tcBorders>
          </w:tcPr>
          <w:p>
            <w:pPr>
              <w:pStyle w:val="TableParagraph"/>
              <w:spacing w:line="182" w:lineRule="exact"/>
              <w:ind w:left="103" w:right="0"/>
              <w:jc w:val="left"/>
              <w:rPr>
                <w:rFonts w:ascii="Times New Roman" w:hAnsi="Times New Roman" w:cs="Times New Roman" w:eastAsia="Times New Roman" w:hint="default"/>
                <w:sz w:val="16"/>
                <w:szCs w:val="16"/>
              </w:rPr>
            </w:pPr>
            <w:r>
              <w:rPr>
                <w:rFonts w:ascii="Times New Roman"/>
                <w:sz w:val="16"/>
              </w:rPr>
              <w:t>800000</w:t>
            </w:r>
          </w:p>
        </w:tc>
        <w:tc>
          <w:tcPr>
            <w:tcW w:w="56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0" w:right="0"/>
              <w:jc w:val="left"/>
              <w:rPr>
                <w:rFonts w:ascii="Times New Roman" w:hAnsi="Times New Roman" w:cs="Times New Roman" w:eastAsia="Times New Roman" w:hint="default"/>
                <w:sz w:val="16"/>
                <w:szCs w:val="16"/>
              </w:rPr>
            </w:pPr>
            <w:r>
              <w:rPr>
                <w:rFonts w:ascii="Times New Roman" w:hAnsi="Times New Roman"/>
                <w:b/>
                <w:sz w:val="16"/>
              </w:rPr>
              <w:t>Примања од продаје нефинансијске</w:t>
            </w:r>
            <w:r>
              <w:rPr>
                <w:rFonts w:ascii="Times New Roman" w:hAnsi="Times New Roman"/>
                <w:b/>
                <w:spacing w:val="-22"/>
                <w:sz w:val="16"/>
              </w:rPr>
              <w:t> </w:t>
            </w:r>
            <w:r>
              <w:rPr>
                <w:rFonts w:ascii="Times New Roman" w:hAnsi="Times New Roman"/>
                <w:b/>
                <w:sz w:val="16"/>
              </w:rPr>
              <w:t>имовине</w:t>
            </w:r>
            <w:r>
              <w:rPr>
                <w:rFonts w:ascii="Times New Roman" w:hAnsi="Times New Roman"/>
                <w:sz w:val="16"/>
              </w:rPr>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spacing w:line="182" w:lineRule="exact"/>
              <w:ind w:right="100"/>
              <w:jc w:val="right"/>
              <w:rPr>
                <w:rFonts w:ascii="Times New Roman" w:hAnsi="Times New Roman" w:cs="Times New Roman" w:eastAsia="Times New Roman" w:hint="default"/>
                <w:sz w:val="16"/>
                <w:szCs w:val="16"/>
              </w:rPr>
            </w:pPr>
            <w:r>
              <w:rPr>
                <w:rFonts w:ascii="Times New Roman"/>
                <w:spacing w:val="-1"/>
                <w:sz w:val="16"/>
              </w:rPr>
              <w:t>234.319</w:t>
            </w:r>
          </w:p>
        </w:tc>
        <w:tc>
          <w:tcPr>
            <w:tcW w:w="1392" w:type="dxa"/>
            <w:tcBorders>
              <w:top w:val="single" w:sz="4" w:space="0" w:color="000000"/>
              <w:left w:val="single" w:sz="4" w:space="0" w:color="000000"/>
              <w:bottom w:val="single" w:sz="4" w:space="0" w:color="000000"/>
              <w:right w:val="single" w:sz="4" w:space="0" w:color="000000"/>
            </w:tcBorders>
          </w:tcPr>
          <w:p>
            <w:pPr>
              <w:pStyle w:val="TableParagraph"/>
              <w:spacing w:line="182" w:lineRule="exact"/>
              <w:ind w:right="100"/>
              <w:jc w:val="right"/>
              <w:rPr>
                <w:rFonts w:ascii="Times New Roman" w:hAnsi="Times New Roman" w:cs="Times New Roman" w:eastAsia="Times New Roman" w:hint="default"/>
                <w:sz w:val="16"/>
                <w:szCs w:val="16"/>
              </w:rPr>
            </w:pPr>
            <w:r>
              <w:rPr>
                <w:rFonts w:ascii="Times New Roman"/>
                <w:spacing w:val="-1"/>
                <w:sz w:val="16"/>
              </w:rPr>
              <w:t>121.285</w:t>
            </w:r>
          </w:p>
        </w:tc>
      </w:tr>
      <w:tr>
        <w:trPr>
          <w:trHeight w:val="194" w:hRule="exact"/>
        </w:trPr>
        <w:tc>
          <w:tcPr>
            <w:tcW w:w="974"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sz w:val="16"/>
              </w:rPr>
              <w:t>810000</w:t>
            </w:r>
          </w:p>
        </w:tc>
        <w:tc>
          <w:tcPr>
            <w:tcW w:w="569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0" w:right="0"/>
              <w:jc w:val="left"/>
              <w:rPr>
                <w:rFonts w:ascii="Times New Roman" w:hAnsi="Times New Roman" w:cs="Times New Roman" w:eastAsia="Times New Roman" w:hint="default"/>
                <w:sz w:val="16"/>
                <w:szCs w:val="16"/>
              </w:rPr>
            </w:pPr>
            <w:r>
              <w:rPr>
                <w:rFonts w:ascii="Times New Roman" w:hAnsi="Times New Roman"/>
                <w:sz w:val="16"/>
              </w:rPr>
              <w:t>Примања од продаје основних</w:t>
            </w:r>
            <w:r>
              <w:rPr>
                <w:rFonts w:ascii="Times New Roman" w:hAnsi="Times New Roman"/>
                <w:spacing w:val="-17"/>
                <w:sz w:val="16"/>
              </w:rPr>
              <w:t> </w:t>
            </w:r>
            <w:r>
              <w:rPr>
                <w:rFonts w:ascii="Times New Roman" w:hAnsi="Times New Roman"/>
                <w:sz w:val="16"/>
              </w:rPr>
              <w:t>средстава</w:t>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19.240</w:t>
            </w:r>
          </w:p>
        </w:tc>
        <w:tc>
          <w:tcPr>
            <w:tcW w:w="139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11.048</w:t>
            </w:r>
          </w:p>
        </w:tc>
      </w:tr>
      <w:tr>
        <w:trPr>
          <w:trHeight w:val="194" w:hRule="exact"/>
        </w:trPr>
        <w:tc>
          <w:tcPr>
            <w:tcW w:w="974"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sz w:val="16"/>
              </w:rPr>
              <w:t>820000</w:t>
            </w:r>
          </w:p>
        </w:tc>
        <w:tc>
          <w:tcPr>
            <w:tcW w:w="569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0" w:right="0"/>
              <w:jc w:val="left"/>
              <w:rPr>
                <w:rFonts w:ascii="Times New Roman" w:hAnsi="Times New Roman" w:cs="Times New Roman" w:eastAsia="Times New Roman" w:hint="default"/>
                <w:sz w:val="16"/>
                <w:szCs w:val="16"/>
              </w:rPr>
            </w:pPr>
            <w:r>
              <w:rPr>
                <w:rFonts w:ascii="Times New Roman" w:hAnsi="Times New Roman"/>
                <w:sz w:val="16"/>
              </w:rPr>
              <w:t>Примања од продаје</w:t>
            </w:r>
            <w:r>
              <w:rPr>
                <w:rFonts w:ascii="Times New Roman" w:hAnsi="Times New Roman"/>
                <w:spacing w:val="-8"/>
                <w:sz w:val="16"/>
              </w:rPr>
              <w:t> </w:t>
            </w:r>
            <w:r>
              <w:rPr>
                <w:rFonts w:ascii="Times New Roman" w:hAnsi="Times New Roman"/>
                <w:sz w:val="16"/>
              </w:rPr>
              <w:t>залиха</w:t>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215.079</w:t>
            </w:r>
          </w:p>
        </w:tc>
        <w:tc>
          <w:tcPr>
            <w:tcW w:w="139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110.237</w:t>
            </w:r>
          </w:p>
        </w:tc>
      </w:tr>
      <w:tr>
        <w:trPr>
          <w:trHeight w:val="194" w:hRule="exact"/>
        </w:trPr>
        <w:tc>
          <w:tcPr>
            <w:tcW w:w="974"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0"/>
              <w:jc w:val="left"/>
              <w:rPr>
                <w:rFonts w:ascii="Times New Roman" w:hAnsi="Times New Roman" w:cs="Times New Roman" w:eastAsia="Times New Roman" w:hint="default"/>
                <w:sz w:val="16"/>
                <w:szCs w:val="16"/>
              </w:rPr>
            </w:pPr>
            <w:r>
              <w:rPr>
                <w:rFonts w:ascii="Times New Roman"/>
                <w:b/>
                <w:sz w:val="16"/>
              </w:rPr>
              <w:t>900000</w:t>
            </w:r>
            <w:r>
              <w:rPr>
                <w:rFonts w:ascii="Times New Roman"/>
                <w:sz w:val="16"/>
              </w:rPr>
            </w:r>
          </w:p>
        </w:tc>
        <w:tc>
          <w:tcPr>
            <w:tcW w:w="569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0" w:right="0"/>
              <w:jc w:val="left"/>
              <w:rPr>
                <w:rFonts w:ascii="Times New Roman" w:hAnsi="Times New Roman" w:cs="Times New Roman" w:eastAsia="Times New Roman" w:hint="default"/>
                <w:sz w:val="16"/>
                <w:szCs w:val="16"/>
              </w:rPr>
            </w:pPr>
            <w:r>
              <w:rPr>
                <w:rFonts w:ascii="Times New Roman" w:hAnsi="Times New Roman"/>
                <w:b/>
                <w:sz w:val="16"/>
              </w:rPr>
              <w:t>Примања</w:t>
            </w:r>
            <w:r>
              <w:rPr>
                <w:rFonts w:ascii="Times New Roman" w:hAnsi="Times New Roman"/>
                <w:b/>
                <w:spacing w:val="-6"/>
                <w:sz w:val="16"/>
              </w:rPr>
              <w:t> </w:t>
            </w:r>
            <w:r>
              <w:rPr>
                <w:rFonts w:ascii="Times New Roman" w:hAnsi="Times New Roman"/>
                <w:b/>
                <w:sz w:val="16"/>
              </w:rPr>
              <w:t>од</w:t>
            </w:r>
            <w:r>
              <w:rPr>
                <w:rFonts w:ascii="Times New Roman" w:hAnsi="Times New Roman"/>
                <w:b/>
                <w:spacing w:val="-5"/>
                <w:sz w:val="16"/>
              </w:rPr>
              <w:t> </w:t>
            </w:r>
            <w:r>
              <w:rPr>
                <w:rFonts w:ascii="Times New Roman" w:hAnsi="Times New Roman"/>
                <w:b/>
                <w:sz w:val="16"/>
              </w:rPr>
              <w:t>задуживања</w:t>
            </w:r>
            <w:r>
              <w:rPr>
                <w:rFonts w:ascii="Times New Roman" w:hAnsi="Times New Roman"/>
                <w:b/>
                <w:spacing w:val="-6"/>
                <w:sz w:val="16"/>
              </w:rPr>
              <w:t> </w:t>
            </w:r>
            <w:r>
              <w:rPr>
                <w:rFonts w:ascii="Times New Roman" w:hAnsi="Times New Roman"/>
                <w:b/>
                <w:sz w:val="16"/>
              </w:rPr>
              <w:t>и</w:t>
            </w:r>
            <w:r>
              <w:rPr>
                <w:rFonts w:ascii="Times New Roman" w:hAnsi="Times New Roman"/>
                <w:b/>
                <w:spacing w:val="-6"/>
                <w:sz w:val="16"/>
              </w:rPr>
              <w:t> </w:t>
            </w:r>
            <w:r>
              <w:rPr>
                <w:rFonts w:ascii="Times New Roman" w:hAnsi="Times New Roman"/>
                <w:b/>
                <w:sz w:val="16"/>
              </w:rPr>
              <w:t>продаје</w:t>
            </w:r>
            <w:r>
              <w:rPr>
                <w:rFonts w:ascii="Times New Roman" w:hAnsi="Times New Roman"/>
                <w:b/>
                <w:spacing w:val="-4"/>
                <w:sz w:val="16"/>
              </w:rPr>
              <w:t> </w:t>
            </w:r>
            <w:r>
              <w:rPr>
                <w:rFonts w:ascii="Times New Roman" w:hAnsi="Times New Roman"/>
                <w:b/>
                <w:sz w:val="16"/>
              </w:rPr>
              <w:t>финансијске</w:t>
            </w:r>
            <w:r>
              <w:rPr>
                <w:rFonts w:ascii="Times New Roman" w:hAnsi="Times New Roman"/>
                <w:b/>
                <w:spacing w:val="-7"/>
                <w:sz w:val="16"/>
              </w:rPr>
              <w:t> </w:t>
            </w:r>
            <w:r>
              <w:rPr>
                <w:rFonts w:ascii="Times New Roman" w:hAnsi="Times New Roman"/>
                <w:b/>
                <w:sz w:val="16"/>
              </w:rPr>
              <w:t>имовине</w:t>
            </w:r>
            <w:r>
              <w:rPr>
                <w:rFonts w:ascii="Times New Roman" w:hAnsi="Times New Roman"/>
                <w:sz w:val="16"/>
              </w:rPr>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542.300</w:t>
            </w:r>
          </w:p>
        </w:tc>
        <w:tc>
          <w:tcPr>
            <w:tcW w:w="139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516.501</w:t>
            </w:r>
          </w:p>
        </w:tc>
      </w:tr>
      <w:tr>
        <w:trPr>
          <w:trHeight w:val="194" w:hRule="exact"/>
        </w:trPr>
        <w:tc>
          <w:tcPr>
            <w:tcW w:w="974"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sz w:val="16"/>
              </w:rPr>
              <w:t>910000</w:t>
            </w:r>
          </w:p>
        </w:tc>
        <w:tc>
          <w:tcPr>
            <w:tcW w:w="569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0" w:right="0"/>
              <w:jc w:val="left"/>
              <w:rPr>
                <w:rFonts w:ascii="Times New Roman" w:hAnsi="Times New Roman" w:cs="Times New Roman" w:eastAsia="Times New Roman" w:hint="default"/>
                <w:sz w:val="16"/>
                <w:szCs w:val="16"/>
              </w:rPr>
            </w:pPr>
            <w:r>
              <w:rPr>
                <w:rFonts w:ascii="Times New Roman" w:hAnsi="Times New Roman"/>
                <w:sz w:val="16"/>
              </w:rPr>
              <w:t>Примања од</w:t>
            </w:r>
            <w:r>
              <w:rPr>
                <w:rFonts w:ascii="Times New Roman" w:hAnsi="Times New Roman"/>
                <w:spacing w:val="-7"/>
                <w:sz w:val="16"/>
              </w:rPr>
              <w:t> </w:t>
            </w:r>
            <w:r>
              <w:rPr>
                <w:rFonts w:ascii="Times New Roman" w:hAnsi="Times New Roman"/>
                <w:sz w:val="16"/>
              </w:rPr>
              <w:t>задуживања</w:t>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478.347</w:t>
            </w:r>
          </w:p>
        </w:tc>
        <w:tc>
          <w:tcPr>
            <w:tcW w:w="139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323.333</w:t>
            </w:r>
          </w:p>
        </w:tc>
      </w:tr>
      <w:tr>
        <w:trPr>
          <w:trHeight w:val="192" w:hRule="exact"/>
        </w:trPr>
        <w:tc>
          <w:tcPr>
            <w:tcW w:w="974"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sz w:val="16"/>
              </w:rPr>
              <w:t>920000</w:t>
            </w:r>
          </w:p>
        </w:tc>
        <w:tc>
          <w:tcPr>
            <w:tcW w:w="569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0" w:right="0"/>
              <w:jc w:val="left"/>
              <w:rPr>
                <w:rFonts w:ascii="Times New Roman" w:hAnsi="Times New Roman" w:cs="Times New Roman" w:eastAsia="Times New Roman" w:hint="default"/>
                <w:sz w:val="16"/>
                <w:szCs w:val="16"/>
              </w:rPr>
            </w:pPr>
            <w:r>
              <w:rPr>
                <w:rFonts w:ascii="Times New Roman" w:hAnsi="Times New Roman"/>
                <w:sz w:val="16"/>
              </w:rPr>
              <w:t>Примања од продаје финансијске</w:t>
            </w:r>
            <w:r>
              <w:rPr>
                <w:rFonts w:ascii="Times New Roman" w:hAnsi="Times New Roman"/>
                <w:spacing w:val="-15"/>
                <w:sz w:val="16"/>
              </w:rPr>
              <w:t> </w:t>
            </w:r>
            <w:r>
              <w:rPr>
                <w:rFonts w:ascii="Times New Roman" w:hAnsi="Times New Roman"/>
                <w:sz w:val="16"/>
              </w:rPr>
              <w:t>имовине</w:t>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63.953</w:t>
            </w:r>
          </w:p>
        </w:tc>
        <w:tc>
          <w:tcPr>
            <w:tcW w:w="139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193.168</w:t>
            </w:r>
          </w:p>
        </w:tc>
      </w:tr>
      <w:tr>
        <w:trPr>
          <w:trHeight w:val="194" w:hRule="exact"/>
        </w:trPr>
        <w:tc>
          <w:tcPr>
            <w:tcW w:w="6664" w:type="dxa"/>
            <w:gridSpan w:val="2"/>
            <w:tcBorders>
              <w:top w:val="single" w:sz="4" w:space="0" w:color="000000"/>
              <w:left w:val="single" w:sz="4" w:space="0" w:color="000000"/>
              <w:bottom w:val="single" w:sz="4" w:space="0" w:color="000000"/>
              <w:right w:val="single" w:sz="4" w:space="0" w:color="000000"/>
            </w:tcBorders>
          </w:tcPr>
          <w:p>
            <w:pPr>
              <w:pStyle w:val="TableParagraph"/>
              <w:spacing w:line="183" w:lineRule="exact"/>
              <w:ind w:left="103" w:right="0"/>
              <w:jc w:val="left"/>
              <w:rPr>
                <w:rFonts w:ascii="Times New Roman" w:hAnsi="Times New Roman" w:cs="Times New Roman" w:eastAsia="Times New Roman" w:hint="default"/>
                <w:sz w:val="16"/>
                <w:szCs w:val="16"/>
              </w:rPr>
            </w:pPr>
            <w:r>
              <w:rPr>
                <w:rFonts w:ascii="Times New Roman" w:hAnsi="Times New Roman"/>
                <w:b/>
                <w:sz w:val="16"/>
              </w:rPr>
              <w:t>ИЗДАЦИ</w:t>
            </w:r>
            <w:r>
              <w:rPr>
                <w:rFonts w:ascii="Times New Roman" w:hAnsi="Times New Roman"/>
                <w:sz w:val="16"/>
              </w:rPr>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right="100"/>
              <w:jc w:val="right"/>
              <w:rPr>
                <w:rFonts w:ascii="Times New Roman" w:hAnsi="Times New Roman" w:cs="Times New Roman" w:eastAsia="Times New Roman" w:hint="default"/>
                <w:sz w:val="16"/>
                <w:szCs w:val="16"/>
              </w:rPr>
            </w:pPr>
            <w:r>
              <w:rPr>
                <w:rFonts w:ascii="Times New Roman"/>
                <w:b/>
                <w:spacing w:val="-1"/>
                <w:sz w:val="16"/>
              </w:rPr>
              <w:t>2.053.287</w:t>
            </w:r>
            <w:r>
              <w:rPr>
                <w:rFonts w:ascii="Times New Roman"/>
                <w:spacing w:val="-1"/>
                <w:sz w:val="16"/>
              </w:rPr>
            </w:r>
          </w:p>
        </w:tc>
        <w:tc>
          <w:tcPr>
            <w:tcW w:w="1392"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right="100"/>
              <w:jc w:val="right"/>
              <w:rPr>
                <w:rFonts w:ascii="Times New Roman" w:hAnsi="Times New Roman" w:cs="Times New Roman" w:eastAsia="Times New Roman" w:hint="default"/>
                <w:sz w:val="16"/>
                <w:szCs w:val="16"/>
              </w:rPr>
            </w:pPr>
            <w:r>
              <w:rPr>
                <w:rFonts w:ascii="Times New Roman"/>
                <w:b/>
                <w:spacing w:val="-1"/>
                <w:sz w:val="16"/>
              </w:rPr>
              <w:t>1.422.970</w:t>
            </w:r>
            <w:r>
              <w:rPr>
                <w:rFonts w:ascii="Times New Roman"/>
                <w:spacing w:val="-1"/>
                <w:sz w:val="16"/>
              </w:rPr>
            </w:r>
          </w:p>
        </w:tc>
      </w:tr>
      <w:tr>
        <w:trPr>
          <w:trHeight w:val="194" w:hRule="exact"/>
        </w:trPr>
        <w:tc>
          <w:tcPr>
            <w:tcW w:w="974"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0"/>
              <w:jc w:val="left"/>
              <w:rPr>
                <w:rFonts w:ascii="Times New Roman" w:hAnsi="Times New Roman" w:cs="Times New Roman" w:eastAsia="Times New Roman" w:hint="default"/>
                <w:sz w:val="16"/>
                <w:szCs w:val="16"/>
              </w:rPr>
            </w:pPr>
            <w:r>
              <w:rPr>
                <w:rFonts w:ascii="Times New Roman"/>
                <w:b/>
                <w:sz w:val="16"/>
              </w:rPr>
              <w:t>500000</w:t>
            </w:r>
            <w:r>
              <w:rPr>
                <w:rFonts w:ascii="Times New Roman"/>
                <w:sz w:val="16"/>
              </w:rPr>
            </w:r>
          </w:p>
        </w:tc>
        <w:tc>
          <w:tcPr>
            <w:tcW w:w="569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0" w:right="0"/>
              <w:jc w:val="left"/>
              <w:rPr>
                <w:rFonts w:ascii="Times New Roman" w:hAnsi="Times New Roman" w:cs="Times New Roman" w:eastAsia="Times New Roman" w:hint="default"/>
                <w:sz w:val="16"/>
                <w:szCs w:val="16"/>
              </w:rPr>
            </w:pPr>
            <w:r>
              <w:rPr>
                <w:rFonts w:ascii="Times New Roman" w:hAnsi="Times New Roman"/>
                <w:b/>
                <w:sz w:val="16"/>
              </w:rPr>
              <w:t>Издаци за нефинансијску</w:t>
            </w:r>
            <w:r>
              <w:rPr>
                <w:rFonts w:ascii="Times New Roman" w:hAnsi="Times New Roman"/>
                <w:b/>
                <w:spacing w:val="-15"/>
                <w:sz w:val="16"/>
              </w:rPr>
              <w:t> </w:t>
            </w:r>
            <w:r>
              <w:rPr>
                <w:rFonts w:ascii="Times New Roman" w:hAnsi="Times New Roman"/>
                <w:b/>
                <w:sz w:val="16"/>
              </w:rPr>
              <w:t>имовину</w:t>
            </w:r>
            <w:r>
              <w:rPr>
                <w:rFonts w:ascii="Times New Roman" w:hAnsi="Times New Roman"/>
                <w:sz w:val="16"/>
              </w:rPr>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1.429.120</w:t>
            </w:r>
          </w:p>
        </w:tc>
        <w:tc>
          <w:tcPr>
            <w:tcW w:w="139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733.183</w:t>
            </w:r>
          </w:p>
        </w:tc>
      </w:tr>
      <w:tr>
        <w:trPr>
          <w:trHeight w:val="194" w:hRule="exact"/>
        </w:trPr>
        <w:tc>
          <w:tcPr>
            <w:tcW w:w="974"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sz w:val="16"/>
              </w:rPr>
              <w:t>510000</w:t>
            </w:r>
          </w:p>
        </w:tc>
        <w:tc>
          <w:tcPr>
            <w:tcW w:w="569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0" w:right="0"/>
              <w:jc w:val="left"/>
              <w:rPr>
                <w:rFonts w:ascii="Times New Roman" w:hAnsi="Times New Roman" w:cs="Times New Roman" w:eastAsia="Times New Roman" w:hint="default"/>
                <w:sz w:val="16"/>
                <w:szCs w:val="16"/>
              </w:rPr>
            </w:pPr>
            <w:r>
              <w:rPr>
                <w:rFonts w:ascii="Times New Roman" w:hAnsi="Times New Roman"/>
                <w:sz w:val="16"/>
              </w:rPr>
              <w:t>Основна</w:t>
            </w:r>
            <w:r>
              <w:rPr>
                <w:rFonts w:ascii="Times New Roman" w:hAnsi="Times New Roman"/>
                <w:spacing w:val="-4"/>
                <w:sz w:val="16"/>
              </w:rPr>
              <w:t> </w:t>
            </w:r>
            <w:r>
              <w:rPr>
                <w:rFonts w:ascii="Times New Roman" w:hAnsi="Times New Roman"/>
                <w:sz w:val="16"/>
              </w:rPr>
              <w:t>средства</w:t>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1.237.715</w:t>
            </w:r>
          </w:p>
        </w:tc>
        <w:tc>
          <w:tcPr>
            <w:tcW w:w="139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472.450</w:t>
            </w:r>
          </w:p>
        </w:tc>
      </w:tr>
      <w:tr>
        <w:trPr>
          <w:trHeight w:val="194" w:hRule="exact"/>
        </w:trPr>
        <w:tc>
          <w:tcPr>
            <w:tcW w:w="974"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sz w:val="16"/>
              </w:rPr>
              <w:t>520000</w:t>
            </w:r>
          </w:p>
        </w:tc>
        <w:tc>
          <w:tcPr>
            <w:tcW w:w="569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0" w:right="0"/>
              <w:jc w:val="left"/>
              <w:rPr>
                <w:rFonts w:ascii="Times New Roman" w:hAnsi="Times New Roman" w:cs="Times New Roman" w:eastAsia="Times New Roman" w:hint="default"/>
                <w:sz w:val="16"/>
                <w:szCs w:val="16"/>
              </w:rPr>
            </w:pPr>
            <w:r>
              <w:rPr>
                <w:rFonts w:ascii="Times New Roman" w:hAnsi="Times New Roman"/>
                <w:sz w:val="16"/>
              </w:rPr>
              <w:t>Залихе</w:t>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61.275</w:t>
            </w:r>
          </w:p>
        </w:tc>
        <w:tc>
          <w:tcPr>
            <w:tcW w:w="139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83.229</w:t>
            </w:r>
          </w:p>
        </w:tc>
      </w:tr>
      <w:tr>
        <w:trPr>
          <w:trHeight w:val="194" w:hRule="exact"/>
        </w:trPr>
        <w:tc>
          <w:tcPr>
            <w:tcW w:w="974"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sz w:val="16"/>
              </w:rPr>
              <w:t>540000</w:t>
            </w:r>
          </w:p>
        </w:tc>
        <w:tc>
          <w:tcPr>
            <w:tcW w:w="569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0" w:right="0"/>
              <w:jc w:val="left"/>
              <w:rPr>
                <w:rFonts w:ascii="Times New Roman" w:hAnsi="Times New Roman" w:cs="Times New Roman" w:eastAsia="Times New Roman" w:hint="default"/>
                <w:sz w:val="16"/>
                <w:szCs w:val="16"/>
              </w:rPr>
            </w:pPr>
            <w:r>
              <w:rPr>
                <w:rFonts w:ascii="Times New Roman" w:hAnsi="Times New Roman"/>
                <w:sz w:val="16"/>
              </w:rPr>
              <w:t>Природна</w:t>
            </w:r>
            <w:r>
              <w:rPr>
                <w:rFonts w:ascii="Times New Roman" w:hAnsi="Times New Roman"/>
                <w:spacing w:val="-5"/>
                <w:sz w:val="16"/>
              </w:rPr>
              <w:t> </w:t>
            </w:r>
            <w:r>
              <w:rPr>
                <w:rFonts w:ascii="Times New Roman" w:hAnsi="Times New Roman"/>
                <w:sz w:val="16"/>
              </w:rPr>
              <w:t>имовина</w:t>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130.130</w:t>
            </w:r>
          </w:p>
        </w:tc>
        <w:tc>
          <w:tcPr>
            <w:tcW w:w="139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177.504</w:t>
            </w:r>
          </w:p>
        </w:tc>
      </w:tr>
      <w:tr>
        <w:trPr>
          <w:trHeight w:val="192" w:hRule="exact"/>
        </w:trPr>
        <w:tc>
          <w:tcPr>
            <w:tcW w:w="974"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0"/>
              <w:jc w:val="left"/>
              <w:rPr>
                <w:rFonts w:ascii="Times New Roman" w:hAnsi="Times New Roman" w:cs="Times New Roman" w:eastAsia="Times New Roman" w:hint="default"/>
                <w:sz w:val="16"/>
                <w:szCs w:val="16"/>
              </w:rPr>
            </w:pPr>
            <w:r>
              <w:rPr>
                <w:rFonts w:ascii="Times New Roman"/>
                <w:b/>
                <w:sz w:val="16"/>
              </w:rPr>
              <w:t>600000</w:t>
            </w:r>
            <w:r>
              <w:rPr>
                <w:rFonts w:ascii="Times New Roman"/>
                <w:sz w:val="16"/>
              </w:rPr>
            </w:r>
          </w:p>
        </w:tc>
        <w:tc>
          <w:tcPr>
            <w:tcW w:w="569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0" w:right="0"/>
              <w:jc w:val="left"/>
              <w:rPr>
                <w:rFonts w:ascii="Times New Roman" w:hAnsi="Times New Roman" w:cs="Times New Roman" w:eastAsia="Times New Roman" w:hint="default"/>
                <w:sz w:val="16"/>
                <w:szCs w:val="16"/>
              </w:rPr>
            </w:pPr>
            <w:r>
              <w:rPr>
                <w:rFonts w:ascii="Times New Roman" w:hAnsi="Times New Roman"/>
                <w:b/>
                <w:sz w:val="16"/>
              </w:rPr>
              <w:t>Издаци</w:t>
            </w:r>
            <w:r>
              <w:rPr>
                <w:rFonts w:ascii="Times New Roman" w:hAnsi="Times New Roman"/>
                <w:b/>
                <w:spacing w:val="-5"/>
                <w:sz w:val="16"/>
              </w:rPr>
              <w:t> </w:t>
            </w:r>
            <w:r>
              <w:rPr>
                <w:rFonts w:ascii="Times New Roman" w:hAnsi="Times New Roman"/>
                <w:b/>
                <w:sz w:val="16"/>
              </w:rPr>
              <w:t>за</w:t>
            </w:r>
            <w:r>
              <w:rPr>
                <w:rFonts w:ascii="Times New Roman" w:hAnsi="Times New Roman"/>
                <w:b/>
                <w:spacing w:val="-5"/>
                <w:sz w:val="16"/>
              </w:rPr>
              <w:t> </w:t>
            </w:r>
            <w:r>
              <w:rPr>
                <w:rFonts w:ascii="Times New Roman" w:hAnsi="Times New Roman"/>
                <w:b/>
                <w:sz w:val="16"/>
              </w:rPr>
              <w:t>отплату</w:t>
            </w:r>
            <w:r>
              <w:rPr>
                <w:rFonts w:ascii="Times New Roman" w:hAnsi="Times New Roman"/>
                <w:b/>
                <w:spacing w:val="-3"/>
                <w:sz w:val="16"/>
              </w:rPr>
              <w:t> </w:t>
            </w:r>
            <w:r>
              <w:rPr>
                <w:rFonts w:ascii="Times New Roman" w:hAnsi="Times New Roman"/>
                <w:b/>
                <w:sz w:val="16"/>
              </w:rPr>
              <w:t>главнице</w:t>
            </w:r>
            <w:r>
              <w:rPr>
                <w:rFonts w:ascii="Times New Roman" w:hAnsi="Times New Roman"/>
                <w:b/>
                <w:spacing w:val="-6"/>
                <w:sz w:val="16"/>
              </w:rPr>
              <w:t> </w:t>
            </w:r>
            <w:r>
              <w:rPr>
                <w:rFonts w:ascii="Times New Roman" w:hAnsi="Times New Roman"/>
                <w:b/>
                <w:sz w:val="16"/>
              </w:rPr>
              <w:t>и</w:t>
            </w:r>
            <w:r>
              <w:rPr>
                <w:rFonts w:ascii="Times New Roman" w:hAnsi="Times New Roman"/>
                <w:b/>
                <w:spacing w:val="-5"/>
                <w:sz w:val="16"/>
              </w:rPr>
              <w:t> </w:t>
            </w:r>
            <w:r>
              <w:rPr>
                <w:rFonts w:ascii="Times New Roman" w:hAnsi="Times New Roman"/>
                <w:b/>
                <w:sz w:val="16"/>
              </w:rPr>
              <w:t>набавку</w:t>
            </w:r>
            <w:r>
              <w:rPr>
                <w:rFonts w:ascii="Times New Roman" w:hAnsi="Times New Roman"/>
                <w:b/>
                <w:spacing w:val="-3"/>
                <w:sz w:val="16"/>
              </w:rPr>
              <w:t> </w:t>
            </w:r>
            <w:r>
              <w:rPr>
                <w:rFonts w:ascii="Times New Roman" w:hAnsi="Times New Roman"/>
                <w:b/>
                <w:sz w:val="16"/>
              </w:rPr>
              <w:t>финансијске</w:t>
            </w:r>
            <w:r>
              <w:rPr>
                <w:rFonts w:ascii="Times New Roman" w:hAnsi="Times New Roman"/>
                <w:b/>
                <w:spacing w:val="-6"/>
                <w:sz w:val="16"/>
              </w:rPr>
              <w:t> </w:t>
            </w:r>
            <w:r>
              <w:rPr>
                <w:rFonts w:ascii="Times New Roman" w:hAnsi="Times New Roman"/>
                <w:b/>
                <w:sz w:val="16"/>
              </w:rPr>
              <w:t>имовине</w:t>
            </w:r>
            <w:r>
              <w:rPr>
                <w:rFonts w:ascii="Times New Roman" w:hAnsi="Times New Roman"/>
                <w:sz w:val="16"/>
              </w:rPr>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624.167</w:t>
            </w:r>
          </w:p>
        </w:tc>
        <w:tc>
          <w:tcPr>
            <w:tcW w:w="139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689.787</w:t>
            </w:r>
          </w:p>
        </w:tc>
      </w:tr>
      <w:tr>
        <w:trPr>
          <w:trHeight w:val="194" w:hRule="exact"/>
        </w:trPr>
        <w:tc>
          <w:tcPr>
            <w:tcW w:w="974"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0"/>
              <w:jc w:val="left"/>
              <w:rPr>
                <w:rFonts w:ascii="Times New Roman" w:hAnsi="Times New Roman" w:cs="Times New Roman" w:eastAsia="Times New Roman" w:hint="default"/>
                <w:sz w:val="16"/>
                <w:szCs w:val="16"/>
              </w:rPr>
            </w:pPr>
            <w:r>
              <w:rPr>
                <w:rFonts w:ascii="Times New Roman"/>
                <w:sz w:val="16"/>
              </w:rPr>
              <w:t>610000</w:t>
            </w:r>
          </w:p>
        </w:tc>
        <w:tc>
          <w:tcPr>
            <w:tcW w:w="569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0" w:right="0"/>
              <w:jc w:val="left"/>
              <w:rPr>
                <w:rFonts w:ascii="Times New Roman" w:hAnsi="Times New Roman" w:cs="Times New Roman" w:eastAsia="Times New Roman" w:hint="default"/>
                <w:sz w:val="16"/>
                <w:szCs w:val="16"/>
              </w:rPr>
            </w:pPr>
            <w:r>
              <w:rPr>
                <w:rFonts w:ascii="Times New Roman" w:hAnsi="Times New Roman"/>
                <w:sz w:val="16"/>
              </w:rPr>
              <w:t>Отплата</w:t>
            </w:r>
            <w:r>
              <w:rPr>
                <w:rFonts w:ascii="Times New Roman" w:hAnsi="Times New Roman"/>
                <w:spacing w:val="-4"/>
                <w:sz w:val="16"/>
              </w:rPr>
              <w:t> </w:t>
            </w:r>
            <w:r>
              <w:rPr>
                <w:rFonts w:ascii="Times New Roman" w:hAnsi="Times New Roman"/>
                <w:sz w:val="16"/>
              </w:rPr>
              <w:t>главнице</w:t>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622.017</w:t>
            </w:r>
          </w:p>
        </w:tc>
        <w:tc>
          <w:tcPr>
            <w:tcW w:w="1392"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688.087</w:t>
            </w:r>
          </w:p>
        </w:tc>
      </w:tr>
      <w:tr>
        <w:trPr>
          <w:trHeight w:val="194" w:hRule="exact"/>
        </w:trPr>
        <w:tc>
          <w:tcPr>
            <w:tcW w:w="974"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sz w:val="16"/>
              </w:rPr>
              <w:t>620000</w:t>
            </w:r>
          </w:p>
        </w:tc>
        <w:tc>
          <w:tcPr>
            <w:tcW w:w="569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0" w:right="0"/>
              <w:jc w:val="left"/>
              <w:rPr>
                <w:rFonts w:ascii="Times New Roman" w:hAnsi="Times New Roman" w:cs="Times New Roman" w:eastAsia="Times New Roman" w:hint="default"/>
                <w:sz w:val="16"/>
                <w:szCs w:val="16"/>
              </w:rPr>
            </w:pPr>
            <w:r>
              <w:rPr>
                <w:rFonts w:ascii="Times New Roman" w:hAnsi="Times New Roman"/>
                <w:sz w:val="16"/>
              </w:rPr>
              <w:t>Набавка финансијске</w:t>
            </w:r>
            <w:r>
              <w:rPr>
                <w:rFonts w:ascii="Times New Roman" w:hAnsi="Times New Roman"/>
                <w:spacing w:val="-9"/>
                <w:sz w:val="16"/>
              </w:rPr>
              <w:t> </w:t>
            </w:r>
            <w:r>
              <w:rPr>
                <w:rFonts w:ascii="Times New Roman" w:hAnsi="Times New Roman"/>
                <w:sz w:val="16"/>
              </w:rPr>
              <w:t>имовине</w:t>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2.150</w:t>
            </w:r>
          </w:p>
        </w:tc>
        <w:tc>
          <w:tcPr>
            <w:tcW w:w="139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1.700</w:t>
            </w:r>
          </w:p>
        </w:tc>
      </w:tr>
      <w:tr>
        <w:trPr>
          <w:trHeight w:val="194" w:hRule="exact"/>
        </w:trPr>
        <w:tc>
          <w:tcPr>
            <w:tcW w:w="974" w:type="dxa"/>
            <w:tcBorders>
              <w:top w:val="single" w:sz="4" w:space="0" w:color="000000"/>
              <w:left w:val="single" w:sz="4" w:space="0" w:color="000000"/>
              <w:bottom w:val="single" w:sz="4" w:space="0" w:color="000000"/>
              <w:right w:val="single" w:sz="4" w:space="0" w:color="000000"/>
            </w:tcBorders>
          </w:tcPr>
          <w:p>
            <w:pPr/>
          </w:p>
        </w:tc>
        <w:tc>
          <w:tcPr>
            <w:tcW w:w="569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0" w:right="0"/>
              <w:jc w:val="left"/>
              <w:rPr>
                <w:rFonts w:ascii="Times New Roman" w:hAnsi="Times New Roman" w:cs="Times New Roman" w:eastAsia="Times New Roman" w:hint="default"/>
                <w:sz w:val="16"/>
                <w:szCs w:val="16"/>
              </w:rPr>
            </w:pPr>
            <w:r>
              <w:rPr>
                <w:rFonts w:ascii="Times New Roman" w:hAnsi="Times New Roman"/>
                <w:b/>
                <w:sz w:val="16"/>
              </w:rPr>
              <w:t>Мањак</w:t>
            </w:r>
            <w:r>
              <w:rPr>
                <w:rFonts w:ascii="Times New Roman" w:hAnsi="Times New Roman"/>
                <w:b/>
                <w:spacing w:val="-6"/>
                <w:sz w:val="16"/>
              </w:rPr>
              <w:t> </w:t>
            </w:r>
            <w:r>
              <w:rPr>
                <w:rFonts w:ascii="Times New Roman" w:hAnsi="Times New Roman"/>
                <w:b/>
                <w:sz w:val="16"/>
              </w:rPr>
              <w:t>примања</w:t>
            </w:r>
            <w:r>
              <w:rPr>
                <w:rFonts w:ascii="Times New Roman" w:hAnsi="Times New Roman"/>
                <w:sz w:val="16"/>
              </w:rPr>
            </w:r>
          </w:p>
        </w:tc>
        <w:tc>
          <w:tcPr>
            <w:tcW w:w="1159"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b/>
                <w:spacing w:val="-1"/>
                <w:sz w:val="16"/>
              </w:rPr>
              <w:t>1.276.668</w:t>
            </w:r>
            <w:r>
              <w:rPr>
                <w:rFonts w:ascii="Times New Roman"/>
                <w:spacing w:val="-1"/>
                <w:sz w:val="16"/>
              </w:rPr>
            </w:r>
          </w:p>
        </w:tc>
        <w:tc>
          <w:tcPr>
            <w:tcW w:w="1392"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b/>
                <w:spacing w:val="-1"/>
                <w:sz w:val="16"/>
              </w:rPr>
              <w:t>785.184</w:t>
            </w:r>
            <w:r>
              <w:rPr>
                <w:rFonts w:ascii="Times New Roman"/>
                <w:spacing w:val="-1"/>
                <w:sz w:val="16"/>
              </w:rPr>
            </w:r>
          </w:p>
        </w:tc>
      </w:tr>
    </w:tbl>
    <w:p>
      <w:pPr>
        <w:pStyle w:val="Heading1"/>
        <w:spacing w:line="268" w:lineRule="exact" w:before="0"/>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2"/>
        </w:rPr>
        <w:t> </w:t>
      </w:r>
      <w:r>
        <w:rPr/>
        <w:t>је</w:t>
      </w:r>
      <w:r>
        <w:rPr>
          <w:rFonts w:ascii="Times New Roman" w:hAnsi="Times New Roman"/>
          <w:b w:val="0"/>
        </w:rPr>
        <w:t>:</w:t>
      </w:r>
    </w:p>
    <w:p>
      <w:pPr>
        <w:pStyle w:val="ListParagraph"/>
        <w:numPr>
          <w:ilvl w:val="0"/>
          <w:numId w:val="9"/>
        </w:numPr>
        <w:tabs>
          <w:tab w:pos="341"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Издаци за набавку финансијске имовине, мање су исказани у износу од </w:t>
      </w:r>
      <w:r>
        <w:rPr>
          <w:rFonts w:ascii="Times New Roman" w:hAnsi="Times New Roman" w:cs="Times New Roman" w:eastAsia="Times New Roman" w:hint="default"/>
          <w:sz w:val="24"/>
          <w:szCs w:val="24"/>
        </w:rPr>
        <w:t>100.051 </w:t>
      </w:r>
      <w:r>
        <w:rPr>
          <w:rFonts w:ascii="Times New Roman" w:hAnsi="Times New Roman" w:cs="Times New Roman" w:eastAsia="Times New Roman" w:hint="default"/>
          <w:sz w:val="24"/>
          <w:szCs w:val="24"/>
        </w:rPr>
        <w:t>хиљаде динара, због неправилно евидентираних издатака на класи 400000 – расходи и неевидентираних издатака који су извршени у 2014. години (са подрачуна 20.150 хиљада динара), што је супротно члану 9. Уредбе о буџетском рачуноводству и Правилника о стандардном класификационом оквиру и контном плану за буџетски</w:t>
      </w:r>
      <w:r>
        <w:rPr>
          <w:rFonts w:ascii="Times New Roman" w:hAnsi="Times New Roman" w:cs="Times New Roman" w:eastAsia="Times New Roman" w:hint="default"/>
          <w:spacing w:val="-31"/>
          <w:sz w:val="24"/>
          <w:szCs w:val="24"/>
        </w:rPr>
        <w:t> </w:t>
      </w:r>
      <w:r>
        <w:rPr>
          <w:rFonts w:ascii="Times New Roman" w:hAnsi="Times New Roman" w:cs="Times New Roman" w:eastAsia="Times New Roman" w:hint="default"/>
          <w:sz w:val="24"/>
          <w:szCs w:val="24"/>
        </w:rPr>
        <w:t>систем.</w:t>
      </w:r>
    </w:p>
    <w:p>
      <w:pPr>
        <w:pStyle w:val="ListParagraph"/>
        <w:numPr>
          <w:ilvl w:val="0"/>
          <w:numId w:val="9"/>
        </w:numPr>
        <w:tabs>
          <w:tab w:pos="341"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Издаци за набавку финансијске имовине, више су исказани у износу од 1.650 хиљада динара, због неправилно евидентираних субвенција датих Слободној зони „Југ“ доо Ниш на класи 600000 – издаци за отплату главнице и набавку финансијске имовине, што је супротно члану 9. Уредбе о буџетском рачуноводству и Правилника о стандардном класификационом оквиру и контном плану за буџетски</w:t>
      </w:r>
      <w:r>
        <w:rPr>
          <w:rFonts w:ascii="Times New Roman" w:hAnsi="Times New Roman" w:cs="Times New Roman" w:eastAsia="Times New Roman" w:hint="default"/>
          <w:spacing w:val="-31"/>
          <w:sz w:val="24"/>
          <w:szCs w:val="24"/>
        </w:rPr>
        <w:t> </w:t>
      </w:r>
      <w:r>
        <w:rPr>
          <w:rFonts w:ascii="Times New Roman" w:hAnsi="Times New Roman" w:cs="Times New Roman" w:eastAsia="Times New Roman" w:hint="default"/>
          <w:sz w:val="24"/>
          <w:szCs w:val="24"/>
        </w:rPr>
        <w:t>систем.</w:t>
      </w:r>
    </w:p>
    <w:p>
      <w:pPr>
        <w:pStyle w:val="Heading2"/>
        <w:spacing w:line="240" w:lineRule="auto"/>
        <w:ind w:right="172"/>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8"/>
        </w:rPr>
        <w:t> </w:t>
      </w:r>
      <w:r>
        <w:rPr>
          <w:i/>
        </w:rPr>
        <w:t>систем</w:t>
      </w:r>
      <w:r>
        <w:rPr>
          <w:rFonts w:ascii="Times New Roman" w:hAnsi="Times New Roman"/>
          <w:i/>
        </w:rPr>
        <w:t>.</w:t>
      </w:r>
      <w:r>
        <w:rPr>
          <w:rFonts w:ascii="Times New Roman" w:hAnsi="Times New Roman"/>
          <w:b w:val="0"/>
          <w:i w:val="0"/>
        </w:rPr>
      </w:r>
    </w:p>
    <w:p>
      <w:pPr>
        <w:spacing w:line="274" w:lineRule="exact" w:before="139"/>
        <w:ind w:left="726" w:right="141" w:firstLine="0"/>
        <w:jc w:val="left"/>
        <w:rPr>
          <w:rFonts w:ascii="Times New Roman" w:hAnsi="Times New Roman" w:cs="Times New Roman" w:eastAsia="Times New Roman" w:hint="default"/>
          <w:sz w:val="24"/>
          <w:szCs w:val="24"/>
        </w:rPr>
      </w:pPr>
      <w:r>
        <w:rPr>
          <w:rFonts w:ascii="Times New Roman" w:hAnsi="Times New Roman"/>
          <w:b/>
          <w:sz w:val="24"/>
        </w:rPr>
        <w:t>Извештај о новчаним токовима </w:t>
      </w:r>
      <w:r>
        <w:rPr>
          <w:rFonts w:ascii="Times New Roman" w:hAnsi="Times New Roman"/>
          <w:b/>
          <w:sz w:val="24"/>
        </w:rPr>
        <w:t>- </w:t>
      </w:r>
      <w:r>
        <w:rPr>
          <w:rFonts w:ascii="Times New Roman" w:hAnsi="Times New Roman"/>
          <w:b/>
          <w:sz w:val="24"/>
        </w:rPr>
        <w:t>Образац</w:t>
      </w:r>
      <w:r>
        <w:rPr>
          <w:rFonts w:ascii="Times New Roman" w:hAnsi="Times New Roman"/>
          <w:b/>
          <w:spacing w:val="-6"/>
          <w:sz w:val="24"/>
        </w:rPr>
        <w:t> </w:t>
      </w:r>
      <w:r>
        <w:rPr>
          <w:rFonts w:ascii="Times New Roman" w:hAnsi="Times New Roman"/>
          <w:b/>
          <w:sz w:val="24"/>
        </w:rPr>
        <w:t>4</w:t>
      </w:r>
      <w:r>
        <w:rPr>
          <w:rFonts w:ascii="Times New Roman" w:hAnsi="Times New Roman"/>
          <w:sz w:val="24"/>
        </w:rPr>
      </w:r>
    </w:p>
    <w:p>
      <w:pPr>
        <w:pStyle w:val="BodyText"/>
        <w:spacing w:line="240" w:lineRule="auto"/>
        <w:ind w:right="172" w:firstLine="566"/>
        <w:jc w:val="both"/>
      </w:pPr>
      <w:r>
        <w:rPr/>
        <w:t>У Извештају о новчаним токовима у периоду од 01.01.201</w:t>
      </w:r>
      <w:r>
        <w:rPr>
          <w:rFonts w:ascii="Times New Roman" w:hAnsi="Times New Roman"/>
        </w:rPr>
        <w:t>4. </w:t>
      </w:r>
      <w:r>
        <w:rPr/>
        <w:t>до </w:t>
      </w:r>
      <w:r>
        <w:rPr>
          <w:rFonts w:ascii="Times New Roman" w:hAnsi="Times New Roman"/>
        </w:rPr>
        <w:t>31.12.2014</w:t>
      </w:r>
      <w:r>
        <w:rPr/>
        <w:t>. године (Образац 4), утврђени су новчани приливи у износу од </w:t>
      </w:r>
      <w:r>
        <w:rPr>
          <w:rFonts w:ascii="Times New Roman" w:hAnsi="Times New Roman"/>
        </w:rPr>
        <w:t>7.668.615 </w:t>
      </w:r>
      <w:r>
        <w:rPr/>
        <w:t>хиљада динара, новчани одливи у износу од </w:t>
      </w:r>
      <w:r>
        <w:rPr>
          <w:rFonts w:ascii="Times New Roman" w:hAnsi="Times New Roman"/>
        </w:rPr>
        <w:t>7.629.782 </w:t>
      </w:r>
      <w:r>
        <w:rPr/>
        <w:t>хиљада динара и салдо готовине на крају године у износу  од </w:t>
      </w:r>
      <w:r>
        <w:rPr>
          <w:rFonts w:ascii="Times New Roman" w:hAnsi="Times New Roman"/>
        </w:rPr>
        <w:t>38.238 </w:t>
      </w:r>
      <w:r>
        <w:rPr/>
        <w:t>хиљада</w:t>
      </w:r>
      <w:r>
        <w:rPr>
          <w:spacing w:val="-7"/>
        </w:rPr>
        <w:t> </w:t>
      </w:r>
      <w:r>
        <w:rPr/>
        <w:t>динара.</w:t>
      </w:r>
    </w:p>
    <w:p>
      <w:pPr>
        <w:spacing w:after="0" w:line="240" w:lineRule="auto"/>
        <w:jc w:val="both"/>
        <w:sectPr>
          <w:pgSz w:w="12240" w:h="15840"/>
          <w:pgMar w:header="740" w:footer="1504" w:top="120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spacing w:line="240" w:lineRule="auto" w:before="2"/>
        <w:rPr>
          <w:rFonts w:ascii="Times New Roman" w:hAnsi="Times New Roman" w:cs="Times New Roman" w:eastAsia="Times New Roman" w:hint="default"/>
          <w:sz w:val="18"/>
          <w:szCs w:val="18"/>
        </w:rPr>
      </w:pPr>
    </w:p>
    <w:p>
      <w:pPr>
        <w:spacing w:before="76" w:after="7"/>
        <w:ind w:left="0" w:right="216" w:firstLine="0"/>
        <w:jc w:val="right"/>
        <w:rPr>
          <w:rFonts w:ascii="Times New Roman" w:hAnsi="Times New Roman" w:cs="Times New Roman" w:eastAsia="Times New Roman" w:hint="default"/>
          <w:sz w:val="18"/>
          <w:szCs w:val="18"/>
        </w:rPr>
      </w:pPr>
      <w:r>
        <w:rPr>
          <w:rFonts w:ascii="Times New Roman" w:hAnsi="Times New Roman"/>
          <w:sz w:val="18"/>
        </w:rPr>
        <w:t>(у хиљадама</w:t>
      </w:r>
      <w:r>
        <w:rPr>
          <w:rFonts w:ascii="Times New Roman" w:hAnsi="Times New Roman"/>
          <w:spacing w:val="-9"/>
          <w:sz w:val="18"/>
        </w:rPr>
        <w:t> </w:t>
      </w:r>
      <w:r>
        <w:rPr>
          <w:rFonts w:ascii="Times New Roman" w:hAnsi="Times New Roman"/>
          <w:sz w:val="18"/>
        </w:rPr>
        <w:t>динара)</w:t>
      </w:r>
    </w:p>
    <w:tbl>
      <w:tblPr>
        <w:tblW w:w="0" w:type="auto"/>
        <w:jc w:val="left"/>
        <w:tblInd w:w="155" w:type="dxa"/>
        <w:tblLayout w:type="fixed"/>
        <w:tblCellMar>
          <w:top w:w="0" w:type="dxa"/>
          <w:left w:w="0" w:type="dxa"/>
          <w:bottom w:w="0" w:type="dxa"/>
          <w:right w:w="0" w:type="dxa"/>
        </w:tblCellMar>
        <w:tblLook w:val="01E0"/>
      </w:tblPr>
      <w:tblGrid>
        <w:gridCol w:w="758"/>
        <w:gridCol w:w="1030"/>
        <w:gridCol w:w="4407"/>
        <w:gridCol w:w="1726"/>
        <w:gridCol w:w="1428"/>
      </w:tblGrid>
      <w:tr>
        <w:trPr>
          <w:trHeight w:val="377"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59" w:right="123" w:hanging="128"/>
              <w:jc w:val="left"/>
              <w:rPr>
                <w:rFonts w:ascii="Times New Roman" w:hAnsi="Times New Roman" w:cs="Times New Roman" w:eastAsia="Times New Roman" w:hint="default"/>
                <w:sz w:val="16"/>
                <w:szCs w:val="16"/>
              </w:rPr>
            </w:pPr>
            <w:r>
              <w:rPr>
                <w:rFonts w:ascii="Times New Roman" w:hAnsi="Times New Roman"/>
                <w:sz w:val="16"/>
              </w:rPr>
              <w:t>Ознака ОП</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48" w:right="0"/>
              <w:jc w:val="left"/>
              <w:rPr>
                <w:rFonts w:ascii="Times New Roman" w:hAnsi="Times New Roman" w:cs="Times New Roman" w:eastAsia="Times New Roman" w:hint="default"/>
                <w:sz w:val="16"/>
                <w:szCs w:val="16"/>
              </w:rPr>
            </w:pPr>
            <w:r>
              <w:rPr>
                <w:rFonts w:ascii="Times New Roman" w:hAnsi="Times New Roman"/>
                <w:sz w:val="16"/>
              </w:rPr>
              <w:t>Број</w:t>
            </w:r>
            <w:r>
              <w:rPr>
                <w:rFonts w:ascii="Times New Roman" w:hAnsi="Times New Roman"/>
                <w:spacing w:val="-5"/>
                <w:sz w:val="16"/>
              </w:rPr>
              <w:t> </w:t>
            </w:r>
            <w:r>
              <w:rPr>
                <w:rFonts w:ascii="Times New Roman" w:hAnsi="Times New Roman"/>
                <w:sz w:val="16"/>
              </w:rPr>
              <w:t>конта</w:t>
            </w: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897" w:right="1897"/>
              <w:jc w:val="center"/>
              <w:rPr>
                <w:rFonts w:ascii="Times New Roman" w:hAnsi="Times New Roman" w:cs="Times New Roman" w:eastAsia="Times New Roman" w:hint="default"/>
                <w:sz w:val="16"/>
                <w:szCs w:val="16"/>
              </w:rPr>
            </w:pPr>
            <w:r>
              <w:rPr>
                <w:rFonts w:ascii="Times New Roman" w:hAnsi="Times New Roman"/>
                <w:sz w:val="16"/>
              </w:rPr>
              <w:t>О П И</w:t>
            </w:r>
            <w:r>
              <w:rPr>
                <w:rFonts w:ascii="Times New Roman" w:hAnsi="Times New Roman"/>
                <w:spacing w:val="-1"/>
                <w:sz w:val="16"/>
              </w:rPr>
              <w:t> </w:t>
            </w:r>
            <w:r>
              <w:rPr>
                <w:rFonts w:ascii="Times New Roman" w:hAnsi="Times New Roman"/>
                <w:sz w:val="16"/>
              </w:rPr>
              <w:t>С</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619" w:right="484" w:hanging="132"/>
              <w:jc w:val="left"/>
              <w:rPr>
                <w:rFonts w:ascii="Times New Roman" w:hAnsi="Times New Roman" w:cs="Times New Roman" w:eastAsia="Times New Roman" w:hint="default"/>
                <w:sz w:val="16"/>
                <w:szCs w:val="16"/>
              </w:rPr>
            </w:pPr>
            <w:r>
              <w:rPr>
                <w:rFonts w:ascii="Times New Roman" w:hAnsi="Times New Roman"/>
                <w:sz w:val="16"/>
              </w:rPr>
              <w:t>Претходна година</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473" w:right="460" w:hanging="3"/>
              <w:jc w:val="left"/>
              <w:rPr>
                <w:rFonts w:ascii="Times New Roman" w:hAnsi="Times New Roman" w:cs="Times New Roman" w:eastAsia="Times New Roman" w:hint="default"/>
                <w:sz w:val="16"/>
                <w:szCs w:val="16"/>
              </w:rPr>
            </w:pPr>
            <w:r>
              <w:rPr>
                <w:rFonts w:ascii="Times New Roman" w:hAnsi="Times New Roman"/>
                <w:sz w:val="16"/>
              </w:rPr>
              <w:t>Текућа година</w:t>
            </w:r>
          </w:p>
        </w:tc>
      </w:tr>
      <w:tr>
        <w:trPr>
          <w:trHeight w:val="194"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123"/>
              <w:jc w:val="left"/>
              <w:rPr>
                <w:rFonts w:ascii="Times New Roman" w:hAnsi="Times New Roman" w:cs="Times New Roman" w:eastAsia="Times New Roman" w:hint="default"/>
                <w:sz w:val="16"/>
                <w:szCs w:val="16"/>
              </w:rPr>
            </w:pPr>
            <w:r>
              <w:rPr>
                <w:rFonts w:ascii="Times New Roman"/>
                <w:b/>
                <w:sz w:val="16"/>
              </w:rPr>
              <w:t>4001</w:t>
            </w:r>
            <w:r>
              <w:rPr>
                <w:rFonts w:ascii="Times New Roman"/>
                <w:sz w:val="16"/>
              </w:rPr>
            </w:r>
          </w:p>
        </w:tc>
        <w:tc>
          <w:tcPr>
            <w:tcW w:w="1030" w:type="dxa"/>
            <w:tcBorders>
              <w:top w:val="single" w:sz="4" w:space="0" w:color="000000"/>
              <w:left w:val="single" w:sz="4" w:space="0" w:color="000000"/>
              <w:bottom w:val="single" w:sz="4" w:space="0" w:color="000000"/>
              <w:right w:val="single" w:sz="4" w:space="0" w:color="000000"/>
            </w:tcBorders>
          </w:tcPr>
          <w:p>
            <w:pP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105"/>
              <w:jc w:val="left"/>
              <w:rPr>
                <w:rFonts w:ascii="Times New Roman" w:hAnsi="Times New Roman" w:cs="Times New Roman" w:eastAsia="Times New Roman" w:hint="default"/>
                <w:sz w:val="16"/>
                <w:szCs w:val="16"/>
              </w:rPr>
            </w:pPr>
            <w:r>
              <w:rPr>
                <w:rFonts w:ascii="Times New Roman" w:hAnsi="Times New Roman"/>
                <w:b/>
                <w:sz w:val="16"/>
              </w:rPr>
              <w:t>НОВЧАНИ</w:t>
            </w:r>
            <w:r>
              <w:rPr>
                <w:rFonts w:ascii="Times New Roman" w:hAnsi="Times New Roman"/>
                <w:b/>
                <w:spacing w:val="-1"/>
                <w:sz w:val="16"/>
              </w:rPr>
              <w:t> </w:t>
            </w:r>
            <w:r>
              <w:rPr>
                <w:rFonts w:ascii="Times New Roman" w:hAnsi="Times New Roman"/>
                <w:b/>
                <w:sz w:val="16"/>
              </w:rPr>
              <w:t>ПРИЛИВИ</w:t>
            </w:r>
            <w:r>
              <w:rPr>
                <w:rFonts w:ascii="Times New Roman" w:hAnsi="Times New Roman"/>
                <w:sz w:val="16"/>
              </w:rPr>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3"/>
              <w:jc w:val="right"/>
              <w:rPr>
                <w:rFonts w:ascii="Times New Roman" w:hAnsi="Times New Roman" w:cs="Times New Roman" w:eastAsia="Times New Roman" w:hint="default"/>
                <w:sz w:val="16"/>
                <w:szCs w:val="16"/>
              </w:rPr>
            </w:pPr>
            <w:r>
              <w:rPr>
                <w:rFonts w:ascii="Times New Roman"/>
                <w:b/>
                <w:spacing w:val="-1"/>
                <w:sz w:val="16"/>
              </w:rPr>
              <w:t>8.034.663</w:t>
            </w:r>
            <w:r>
              <w:rPr>
                <w:rFonts w:ascii="Times New Roman"/>
                <w:spacing w:val="-1"/>
                <w:sz w:val="16"/>
              </w:rPr>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b/>
                <w:spacing w:val="-1"/>
                <w:sz w:val="16"/>
              </w:rPr>
              <w:t>7.668.615</w:t>
            </w:r>
            <w:r>
              <w:rPr>
                <w:rFonts w:ascii="Times New Roman"/>
                <w:spacing w:val="-1"/>
                <w:sz w:val="16"/>
              </w:rPr>
            </w:r>
          </w:p>
        </w:tc>
      </w:tr>
      <w:tr>
        <w:trPr>
          <w:trHeight w:val="194"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123"/>
              <w:jc w:val="left"/>
              <w:rPr>
                <w:rFonts w:ascii="Times New Roman" w:hAnsi="Times New Roman" w:cs="Times New Roman" w:eastAsia="Times New Roman" w:hint="default"/>
                <w:sz w:val="16"/>
                <w:szCs w:val="16"/>
              </w:rPr>
            </w:pPr>
            <w:r>
              <w:rPr>
                <w:rFonts w:ascii="Times New Roman"/>
                <w:b/>
                <w:sz w:val="16"/>
              </w:rPr>
              <w:t>4002</w:t>
            </w:r>
            <w:r>
              <w:rPr>
                <w:rFonts w:ascii="Times New Roman"/>
                <w:sz w:val="16"/>
              </w:rPr>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0"/>
              <w:jc w:val="left"/>
              <w:rPr>
                <w:rFonts w:ascii="Times New Roman" w:hAnsi="Times New Roman" w:cs="Times New Roman" w:eastAsia="Times New Roman" w:hint="default"/>
                <w:sz w:val="16"/>
                <w:szCs w:val="16"/>
              </w:rPr>
            </w:pPr>
            <w:r>
              <w:rPr>
                <w:rFonts w:ascii="Times New Roman"/>
                <w:b/>
                <w:sz w:val="16"/>
              </w:rPr>
              <w:t>700000</w:t>
            </w:r>
            <w:r>
              <w:rPr>
                <w:rFonts w:ascii="Times New Roman"/>
                <w:sz w:val="16"/>
              </w:rPr>
            </w: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105"/>
              <w:jc w:val="left"/>
              <w:rPr>
                <w:rFonts w:ascii="Times New Roman" w:hAnsi="Times New Roman" w:cs="Times New Roman" w:eastAsia="Times New Roman" w:hint="default"/>
                <w:sz w:val="16"/>
                <w:szCs w:val="16"/>
              </w:rPr>
            </w:pPr>
            <w:r>
              <w:rPr>
                <w:rFonts w:ascii="Times New Roman" w:hAnsi="Times New Roman"/>
                <w:b/>
                <w:sz w:val="16"/>
              </w:rPr>
              <w:t>Текући</w:t>
            </w:r>
            <w:r>
              <w:rPr>
                <w:rFonts w:ascii="Times New Roman" w:hAnsi="Times New Roman"/>
                <w:b/>
                <w:spacing w:val="-7"/>
                <w:sz w:val="16"/>
              </w:rPr>
              <w:t> </w:t>
            </w:r>
            <w:r>
              <w:rPr>
                <w:rFonts w:ascii="Times New Roman" w:hAnsi="Times New Roman"/>
                <w:b/>
                <w:sz w:val="16"/>
              </w:rPr>
              <w:t>приходи</w:t>
            </w:r>
            <w:r>
              <w:rPr>
                <w:rFonts w:ascii="Times New Roman" w:hAnsi="Times New Roman"/>
                <w:sz w:val="16"/>
              </w:rPr>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3"/>
              <w:jc w:val="right"/>
              <w:rPr>
                <w:rFonts w:ascii="Times New Roman" w:hAnsi="Times New Roman" w:cs="Times New Roman" w:eastAsia="Times New Roman" w:hint="default"/>
                <w:sz w:val="16"/>
                <w:szCs w:val="16"/>
              </w:rPr>
            </w:pPr>
            <w:r>
              <w:rPr>
                <w:rFonts w:ascii="Times New Roman"/>
                <w:b/>
                <w:spacing w:val="-1"/>
                <w:sz w:val="16"/>
              </w:rPr>
              <w:t>7.258.044</w:t>
            </w:r>
            <w:r>
              <w:rPr>
                <w:rFonts w:ascii="Times New Roman"/>
                <w:spacing w:val="-1"/>
                <w:sz w:val="16"/>
              </w:rPr>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b/>
                <w:spacing w:val="-1"/>
                <w:sz w:val="16"/>
              </w:rPr>
              <w:t>7.030.829</w:t>
            </w:r>
            <w:r>
              <w:rPr>
                <w:rFonts w:ascii="Times New Roman"/>
                <w:spacing w:val="-1"/>
                <w:sz w:val="16"/>
              </w:rPr>
            </w:r>
          </w:p>
        </w:tc>
      </w:tr>
      <w:tr>
        <w:trPr>
          <w:trHeight w:val="194"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23"/>
              <w:jc w:val="left"/>
              <w:rPr>
                <w:rFonts w:ascii="Times New Roman" w:hAnsi="Times New Roman" w:cs="Times New Roman" w:eastAsia="Times New Roman" w:hint="default"/>
                <w:sz w:val="16"/>
                <w:szCs w:val="16"/>
              </w:rPr>
            </w:pPr>
            <w:r>
              <w:rPr>
                <w:rFonts w:ascii="Times New Roman"/>
                <w:sz w:val="16"/>
              </w:rPr>
              <w:t>4003</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sz w:val="16"/>
              </w:rPr>
              <w:t>710000</w:t>
            </w: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05"/>
              <w:jc w:val="left"/>
              <w:rPr>
                <w:rFonts w:ascii="Times New Roman" w:hAnsi="Times New Roman" w:cs="Times New Roman" w:eastAsia="Times New Roman" w:hint="default"/>
                <w:sz w:val="16"/>
                <w:szCs w:val="16"/>
              </w:rPr>
            </w:pPr>
            <w:r>
              <w:rPr>
                <w:rFonts w:ascii="Times New Roman" w:hAnsi="Times New Roman"/>
                <w:sz w:val="16"/>
              </w:rPr>
              <w:t>Порези</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4.761.561</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4.824.793</w:t>
            </w:r>
          </w:p>
        </w:tc>
      </w:tr>
      <w:tr>
        <w:trPr>
          <w:trHeight w:val="194"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23"/>
              <w:jc w:val="left"/>
              <w:rPr>
                <w:rFonts w:ascii="Times New Roman" w:hAnsi="Times New Roman" w:cs="Times New Roman" w:eastAsia="Times New Roman" w:hint="default"/>
                <w:sz w:val="16"/>
                <w:szCs w:val="16"/>
              </w:rPr>
            </w:pPr>
            <w:r>
              <w:rPr>
                <w:rFonts w:ascii="Times New Roman"/>
                <w:sz w:val="16"/>
              </w:rPr>
              <w:t>4057</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sz w:val="16"/>
              </w:rPr>
              <w:t>730000</w:t>
            </w: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05"/>
              <w:jc w:val="left"/>
              <w:rPr>
                <w:rFonts w:ascii="Times New Roman" w:hAnsi="Times New Roman" w:cs="Times New Roman" w:eastAsia="Times New Roman" w:hint="default"/>
                <w:sz w:val="16"/>
                <w:szCs w:val="16"/>
              </w:rPr>
            </w:pPr>
            <w:r>
              <w:rPr>
                <w:rFonts w:ascii="Times New Roman" w:hAnsi="Times New Roman"/>
                <w:sz w:val="16"/>
              </w:rPr>
              <w:t>Донације и</w:t>
            </w:r>
            <w:r>
              <w:rPr>
                <w:rFonts w:ascii="Times New Roman" w:hAnsi="Times New Roman"/>
                <w:spacing w:val="-7"/>
                <w:sz w:val="16"/>
              </w:rPr>
              <w:t> </w:t>
            </w:r>
            <w:r>
              <w:rPr>
                <w:rFonts w:ascii="Times New Roman" w:hAnsi="Times New Roman"/>
                <w:sz w:val="16"/>
              </w:rPr>
              <w:t>трансфери</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974.541</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911.367</w:t>
            </w:r>
          </w:p>
        </w:tc>
      </w:tr>
      <w:tr>
        <w:trPr>
          <w:trHeight w:val="192"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23"/>
              <w:jc w:val="left"/>
              <w:rPr>
                <w:rFonts w:ascii="Times New Roman" w:hAnsi="Times New Roman" w:cs="Times New Roman" w:eastAsia="Times New Roman" w:hint="default"/>
                <w:sz w:val="16"/>
                <w:szCs w:val="16"/>
              </w:rPr>
            </w:pPr>
            <w:r>
              <w:rPr>
                <w:rFonts w:ascii="Times New Roman"/>
                <w:sz w:val="16"/>
              </w:rPr>
              <w:t>4069</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sz w:val="16"/>
              </w:rPr>
              <w:t>740000</w:t>
            </w: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05"/>
              <w:jc w:val="left"/>
              <w:rPr>
                <w:rFonts w:ascii="Times New Roman" w:hAnsi="Times New Roman" w:cs="Times New Roman" w:eastAsia="Times New Roman" w:hint="default"/>
                <w:sz w:val="16"/>
                <w:szCs w:val="16"/>
              </w:rPr>
            </w:pPr>
            <w:r>
              <w:rPr>
                <w:rFonts w:ascii="Times New Roman" w:hAnsi="Times New Roman"/>
                <w:sz w:val="16"/>
              </w:rPr>
              <w:t>Други</w:t>
            </w:r>
            <w:r>
              <w:rPr>
                <w:rFonts w:ascii="Times New Roman" w:hAnsi="Times New Roman"/>
                <w:spacing w:val="-3"/>
                <w:sz w:val="16"/>
              </w:rPr>
              <w:t> </w:t>
            </w:r>
            <w:r>
              <w:rPr>
                <w:rFonts w:ascii="Times New Roman" w:hAnsi="Times New Roman"/>
                <w:sz w:val="16"/>
              </w:rPr>
              <w:t>приходи</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1.405.888</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1.228.130</w:t>
            </w:r>
          </w:p>
        </w:tc>
      </w:tr>
      <w:tr>
        <w:trPr>
          <w:trHeight w:val="194"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123"/>
              <w:jc w:val="left"/>
              <w:rPr>
                <w:rFonts w:ascii="Times New Roman" w:hAnsi="Times New Roman" w:cs="Times New Roman" w:eastAsia="Times New Roman" w:hint="default"/>
                <w:sz w:val="16"/>
                <w:szCs w:val="16"/>
              </w:rPr>
            </w:pPr>
            <w:r>
              <w:rPr>
                <w:rFonts w:ascii="Times New Roman"/>
                <w:sz w:val="16"/>
              </w:rPr>
              <w:t>4094</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0"/>
              <w:jc w:val="left"/>
              <w:rPr>
                <w:rFonts w:ascii="Times New Roman" w:hAnsi="Times New Roman" w:cs="Times New Roman" w:eastAsia="Times New Roman" w:hint="default"/>
                <w:sz w:val="16"/>
                <w:szCs w:val="16"/>
              </w:rPr>
            </w:pPr>
            <w:r>
              <w:rPr>
                <w:rFonts w:ascii="Times New Roman"/>
                <w:sz w:val="16"/>
              </w:rPr>
              <w:t>770000</w:t>
            </w: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105"/>
              <w:jc w:val="left"/>
              <w:rPr>
                <w:rFonts w:ascii="Times New Roman" w:hAnsi="Times New Roman" w:cs="Times New Roman" w:eastAsia="Times New Roman" w:hint="default"/>
                <w:sz w:val="16"/>
                <w:szCs w:val="16"/>
              </w:rPr>
            </w:pPr>
            <w:r>
              <w:rPr>
                <w:rFonts w:ascii="Times New Roman" w:hAnsi="Times New Roman"/>
                <w:sz w:val="16"/>
              </w:rPr>
              <w:t>Меморандумске ставке за рефундацију</w:t>
            </w:r>
            <w:r>
              <w:rPr>
                <w:rFonts w:ascii="Times New Roman" w:hAnsi="Times New Roman"/>
                <w:spacing w:val="-22"/>
                <w:sz w:val="16"/>
              </w:rPr>
              <w:t> </w:t>
            </w:r>
            <w:r>
              <w:rPr>
                <w:rFonts w:ascii="Times New Roman" w:hAnsi="Times New Roman"/>
                <w:sz w:val="16"/>
              </w:rPr>
              <w:t>расхода</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2"/>
              <w:jc w:val="right"/>
              <w:rPr>
                <w:rFonts w:ascii="Times New Roman" w:hAnsi="Times New Roman" w:cs="Times New Roman" w:eastAsia="Times New Roman" w:hint="default"/>
                <w:sz w:val="16"/>
                <w:szCs w:val="16"/>
              </w:rPr>
            </w:pPr>
            <w:r>
              <w:rPr>
                <w:rFonts w:ascii="Times New Roman"/>
                <w:spacing w:val="-1"/>
                <w:sz w:val="16"/>
              </w:rPr>
              <w:t>32.275</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5.220</w:t>
            </w:r>
          </w:p>
        </w:tc>
      </w:tr>
      <w:tr>
        <w:trPr>
          <w:trHeight w:val="194"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23"/>
              <w:jc w:val="left"/>
              <w:rPr>
                <w:rFonts w:ascii="Times New Roman" w:hAnsi="Times New Roman" w:cs="Times New Roman" w:eastAsia="Times New Roman" w:hint="default"/>
                <w:sz w:val="16"/>
                <w:szCs w:val="16"/>
              </w:rPr>
            </w:pPr>
            <w:r>
              <w:rPr>
                <w:rFonts w:ascii="Times New Roman"/>
                <w:sz w:val="16"/>
              </w:rPr>
              <w:t>4099</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sz w:val="16"/>
              </w:rPr>
              <w:t>780000</w:t>
            </w: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05"/>
              <w:jc w:val="left"/>
              <w:rPr>
                <w:rFonts w:ascii="Times New Roman" w:hAnsi="Times New Roman" w:cs="Times New Roman" w:eastAsia="Times New Roman" w:hint="default"/>
                <w:sz w:val="16"/>
                <w:szCs w:val="16"/>
              </w:rPr>
            </w:pPr>
            <w:r>
              <w:rPr>
                <w:rFonts w:ascii="Times New Roman" w:hAnsi="Times New Roman"/>
                <w:sz w:val="16"/>
              </w:rPr>
              <w:t>Трансфери између буџетских корисника на истом</w:t>
            </w:r>
            <w:r>
              <w:rPr>
                <w:rFonts w:ascii="Times New Roman" w:hAnsi="Times New Roman"/>
                <w:spacing w:val="-23"/>
                <w:sz w:val="16"/>
              </w:rPr>
              <w:t> </w:t>
            </w:r>
            <w:r>
              <w:rPr>
                <w:rFonts w:ascii="Times New Roman" w:hAnsi="Times New Roman"/>
                <w:sz w:val="16"/>
              </w:rPr>
              <w:t>нивоу</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9.698</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10.013</w:t>
            </w:r>
          </w:p>
        </w:tc>
      </w:tr>
      <w:tr>
        <w:trPr>
          <w:trHeight w:val="194"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23"/>
              <w:jc w:val="left"/>
              <w:rPr>
                <w:rFonts w:ascii="Times New Roman" w:hAnsi="Times New Roman" w:cs="Times New Roman" w:eastAsia="Times New Roman" w:hint="default"/>
                <w:sz w:val="16"/>
                <w:szCs w:val="16"/>
              </w:rPr>
            </w:pPr>
            <w:r>
              <w:rPr>
                <w:rFonts w:ascii="Times New Roman"/>
                <w:sz w:val="16"/>
              </w:rPr>
              <w:t>4103</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sz w:val="16"/>
              </w:rPr>
              <w:t>790000</w:t>
            </w: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05"/>
              <w:jc w:val="left"/>
              <w:rPr>
                <w:rFonts w:ascii="Times New Roman" w:hAnsi="Times New Roman" w:cs="Times New Roman" w:eastAsia="Times New Roman" w:hint="default"/>
                <w:sz w:val="16"/>
                <w:szCs w:val="16"/>
              </w:rPr>
            </w:pPr>
            <w:r>
              <w:rPr>
                <w:rFonts w:ascii="Times New Roman" w:hAnsi="Times New Roman"/>
                <w:sz w:val="16"/>
              </w:rPr>
              <w:t>Приходи из</w:t>
            </w:r>
            <w:r>
              <w:rPr>
                <w:rFonts w:ascii="Times New Roman" w:hAnsi="Times New Roman"/>
                <w:spacing w:val="-6"/>
                <w:sz w:val="16"/>
              </w:rPr>
              <w:t> </w:t>
            </w:r>
            <w:r>
              <w:rPr>
                <w:rFonts w:ascii="Times New Roman" w:hAnsi="Times New Roman"/>
                <w:sz w:val="16"/>
              </w:rPr>
              <w:t>буџета</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74.020</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51.306</w:t>
            </w:r>
          </w:p>
        </w:tc>
      </w:tr>
      <w:tr>
        <w:trPr>
          <w:trHeight w:val="194"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123"/>
              <w:jc w:val="left"/>
              <w:rPr>
                <w:rFonts w:ascii="Times New Roman" w:hAnsi="Times New Roman" w:cs="Times New Roman" w:eastAsia="Times New Roman" w:hint="default"/>
                <w:sz w:val="16"/>
                <w:szCs w:val="16"/>
              </w:rPr>
            </w:pPr>
            <w:r>
              <w:rPr>
                <w:rFonts w:ascii="Times New Roman"/>
                <w:b/>
                <w:sz w:val="16"/>
              </w:rPr>
              <w:t>4106</w:t>
            </w:r>
            <w:r>
              <w:rPr>
                <w:rFonts w:ascii="Times New Roman"/>
                <w:sz w:val="16"/>
              </w:rPr>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0"/>
              <w:jc w:val="left"/>
              <w:rPr>
                <w:rFonts w:ascii="Times New Roman" w:hAnsi="Times New Roman" w:cs="Times New Roman" w:eastAsia="Times New Roman" w:hint="default"/>
                <w:sz w:val="16"/>
                <w:szCs w:val="16"/>
              </w:rPr>
            </w:pPr>
            <w:r>
              <w:rPr>
                <w:rFonts w:ascii="Times New Roman"/>
                <w:b/>
                <w:sz w:val="16"/>
              </w:rPr>
              <w:t>800000</w:t>
            </w:r>
            <w:r>
              <w:rPr>
                <w:rFonts w:ascii="Times New Roman"/>
                <w:sz w:val="16"/>
              </w:rPr>
            </w: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105"/>
              <w:jc w:val="left"/>
              <w:rPr>
                <w:rFonts w:ascii="Times New Roman" w:hAnsi="Times New Roman" w:cs="Times New Roman" w:eastAsia="Times New Roman" w:hint="default"/>
                <w:sz w:val="16"/>
                <w:szCs w:val="16"/>
              </w:rPr>
            </w:pPr>
            <w:r>
              <w:rPr>
                <w:rFonts w:ascii="Times New Roman" w:hAnsi="Times New Roman"/>
                <w:b/>
                <w:sz w:val="16"/>
              </w:rPr>
              <w:t>Примања од продаје нефинансијске</w:t>
            </w:r>
            <w:r>
              <w:rPr>
                <w:rFonts w:ascii="Times New Roman" w:hAnsi="Times New Roman"/>
                <w:b/>
                <w:spacing w:val="-22"/>
                <w:sz w:val="16"/>
              </w:rPr>
              <w:t> </w:t>
            </w:r>
            <w:r>
              <w:rPr>
                <w:rFonts w:ascii="Times New Roman" w:hAnsi="Times New Roman"/>
                <w:b/>
                <w:sz w:val="16"/>
              </w:rPr>
              <w:t>имовине</w:t>
            </w:r>
            <w:r>
              <w:rPr>
                <w:rFonts w:ascii="Times New Roman" w:hAnsi="Times New Roman"/>
                <w:sz w:val="16"/>
              </w:rPr>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2"/>
              <w:jc w:val="right"/>
              <w:rPr>
                <w:rFonts w:ascii="Times New Roman" w:hAnsi="Times New Roman" w:cs="Times New Roman" w:eastAsia="Times New Roman" w:hint="default"/>
                <w:sz w:val="16"/>
                <w:szCs w:val="16"/>
              </w:rPr>
            </w:pPr>
            <w:r>
              <w:rPr>
                <w:rFonts w:ascii="Times New Roman"/>
                <w:b/>
                <w:spacing w:val="-1"/>
                <w:sz w:val="16"/>
              </w:rPr>
              <w:t>234.319</w:t>
            </w:r>
            <w:r>
              <w:rPr>
                <w:rFonts w:ascii="Times New Roman"/>
                <w:spacing w:val="-1"/>
                <w:sz w:val="16"/>
              </w:rPr>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b/>
                <w:spacing w:val="-1"/>
                <w:sz w:val="16"/>
              </w:rPr>
              <w:t>121.285</w:t>
            </w:r>
            <w:r>
              <w:rPr>
                <w:rFonts w:ascii="Times New Roman"/>
                <w:spacing w:val="-1"/>
                <w:sz w:val="16"/>
              </w:rPr>
            </w:r>
          </w:p>
        </w:tc>
      </w:tr>
      <w:tr>
        <w:trPr>
          <w:trHeight w:val="192"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23"/>
              <w:jc w:val="left"/>
              <w:rPr>
                <w:rFonts w:ascii="Times New Roman" w:hAnsi="Times New Roman" w:cs="Times New Roman" w:eastAsia="Times New Roman" w:hint="default"/>
                <w:sz w:val="16"/>
                <w:szCs w:val="16"/>
              </w:rPr>
            </w:pPr>
            <w:r>
              <w:rPr>
                <w:rFonts w:ascii="Times New Roman"/>
                <w:sz w:val="16"/>
              </w:rPr>
              <w:t>4107</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sz w:val="16"/>
              </w:rPr>
              <w:t>810000</w:t>
            </w: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05"/>
              <w:jc w:val="left"/>
              <w:rPr>
                <w:rFonts w:ascii="Times New Roman" w:hAnsi="Times New Roman" w:cs="Times New Roman" w:eastAsia="Times New Roman" w:hint="default"/>
                <w:sz w:val="16"/>
                <w:szCs w:val="16"/>
              </w:rPr>
            </w:pPr>
            <w:r>
              <w:rPr>
                <w:rFonts w:ascii="Times New Roman" w:hAnsi="Times New Roman"/>
                <w:sz w:val="16"/>
              </w:rPr>
              <w:t>Примања од продаје основних</w:t>
            </w:r>
            <w:r>
              <w:rPr>
                <w:rFonts w:ascii="Times New Roman" w:hAnsi="Times New Roman"/>
                <w:spacing w:val="-17"/>
                <w:sz w:val="16"/>
              </w:rPr>
              <w:t> </w:t>
            </w:r>
            <w:r>
              <w:rPr>
                <w:rFonts w:ascii="Times New Roman" w:hAnsi="Times New Roman"/>
                <w:sz w:val="16"/>
              </w:rPr>
              <w:t>средстава</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19.240</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11.048</w:t>
            </w:r>
          </w:p>
        </w:tc>
      </w:tr>
      <w:tr>
        <w:trPr>
          <w:trHeight w:val="194"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123"/>
              <w:jc w:val="left"/>
              <w:rPr>
                <w:rFonts w:ascii="Times New Roman" w:hAnsi="Times New Roman" w:cs="Times New Roman" w:eastAsia="Times New Roman" w:hint="default"/>
                <w:sz w:val="16"/>
                <w:szCs w:val="16"/>
              </w:rPr>
            </w:pPr>
            <w:r>
              <w:rPr>
                <w:rFonts w:ascii="Times New Roman"/>
                <w:sz w:val="16"/>
              </w:rPr>
              <w:t>4114</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0"/>
              <w:jc w:val="left"/>
              <w:rPr>
                <w:rFonts w:ascii="Times New Roman" w:hAnsi="Times New Roman" w:cs="Times New Roman" w:eastAsia="Times New Roman" w:hint="default"/>
                <w:sz w:val="16"/>
                <w:szCs w:val="16"/>
              </w:rPr>
            </w:pPr>
            <w:r>
              <w:rPr>
                <w:rFonts w:ascii="Times New Roman"/>
                <w:sz w:val="16"/>
              </w:rPr>
              <w:t>820000</w:t>
            </w: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105"/>
              <w:jc w:val="left"/>
              <w:rPr>
                <w:rFonts w:ascii="Times New Roman" w:hAnsi="Times New Roman" w:cs="Times New Roman" w:eastAsia="Times New Roman" w:hint="default"/>
                <w:sz w:val="16"/>
                <w:szCs w:val="16"/>
              </w:rPr>
            </w:pPr>
            <w:r>
              <w:rPr>
                <w:rFonts w:ascii="Times New Roman" w:hAnsi="Times New Roman"/>
                <w:sz w:val="16"/>
              </w:rPr>
              <w:t>Примања од продаје</w:t>
            </w:r>
            <w:r>
              <w:rPr>
                <w:rFonts w:ascii="Times New Roman" w:hAnsi="Times New Roman"/>
                <w:spacing w:val="-8"/>
                <w:sz w:val="16"/>
              </w:rPr>
              <w:t> </w:t>
            </w:r>
            <w:r>
              <w:rPr>
                <w:rFonts w:ascii="Times New Roman" w:hAnsi="Times New Roman"/>
                <w:sz w:val="16"/>
              </w:rPr>
              <w:t>залиха</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2"/>
              <w:jc w:val="right"/>
              <w:rPr>
                <w:rFonts w:ascii="Times New Roman" w:hAnsi="Times New Roman" w:cs="Times New Roman" w:eastAsia="Times New Roman" w:hint="default"/>
                <w:sz w:val="16"/>
                <w:szCs w:val="16"/>
              </w:rPr>
            </w:pPr>
            <w:r>
              <w:rPr>
                <w:rFonts w:ascii="Times New Roman"/>
                <w:spacing w:val="-1"/>
                <w:sz w:val="16"/>
              </w:rPr>
              <w:t>215.079</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110.237</w:t>
            </w:r>
          </w:p>
        </w:tc>
      </w:tr>
      <w:tr>
        <w:trPr>
          <w:trHeight w:val="195"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123"/>
              <w:jc w:val="left"/>
              <w:rPr>
                <w:rFonts w:ascii="Times New Roman" w:hAnsi="Times New Roman" w:cs="Times New Roman" w:eastAsia="Times New Roman" w:hint="default"/>
                <w:sz w:val="16"/>
                <w:szCs w:val="16"/>
              </w:rPr>
            </w:pPr>
            <w:r>
              <w:rPr>
                <w:rFonts w:ascii="Times New Roman"/>
                <w:b/>
                <w:sz w:val="16"/>
              </w:rPr>
              <w:t>4131</w:t>
            </w:r>
            <w:r>
              <w:rPr>
                <w:rFonts w:ascii="Times New Roman"/>
                <w:sz w:val="16"/>
              </w:rPr>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0"/>
              <w:jc w:val="left"/>
              <w:rPr>
                <w:rFonts w:ascii="Times New Roman" w:hAnsi="Times New Roman" w:cs="Times New Roman" w:eastAsia="Times New Roman" w:hint="default"/>
                <w:sz w:val="16"/>
                <w:szCs w:val="16"/>
              </w:rPr>
            </w:pPr>
            <w:r>
              <w:rPr>
                <w:rFonts w:ascii="Times New Roman"/>
                <w:b/>
                <w:sz w:val="16"/>
              </w:rPr>
              <w:t>900000</w:t>
            </w:r>
            <w:r>
              <w:rPr>
                <w:rFonts w:ascii="Times New Roman"/>
                <w:sz w:val="16"/>
              </w:rPr>
            </w: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105"/>
              <w:jc w:val="left"/>
              <w:rPr>
                <w:rFonts w:ascii="Times New Roman" w:hAnsi="Times New Roman" w:cs="Times New Roman" w:eastAsia="Times New Roman" w:hint="default"/>
                <w:sz w:val="16"/>
                <w:szCs w:val="16"/>
              </w:rPr>
            </w:pPr>
            <w:r>
              <w:rPr>
                <w:rFonts w:ascii="Times New Roman" w:hAnsi="Times New Roman"/>
                <w:b/>
                <w:sz w:val="16"/>
              </w:rPr>
              <w:t>Примања од задуживања и продаје финансисјке</w:t>
            </w:r>
            <w:r>
              <w:rPr>
                <w:rFonts w:ascii="Times New Roman" w:hAnsi="Times New Roman"/>
                <w:b/>
                <w:spacing w:val="-29"/>
                <w:sz w:val="16"/>
              </w:rPr>
              <w:t> </w:t>
            </w:r>
            <w:r>
              <w:rPr>
                <w:rFonts w:ascii="Times New Roman" w:hAnsi="Times New Roman"/>
                <w:b/>
                <w:sz w:val="16"/>
              </w:rPr>
              <w:t>имовине</w:t>
            </w:r>
            <w:r>
              <w:rPr>
                <w:rFonts w:ascii="Times New Roman" w:hAnsi="Times New Roman"/>
                <w:sz w:val="16"/>
              </w:rPr>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2"/>
              <w:jc w:val="right"/>
              <w:rPr>
                <w:rFonts w:ascii="Times New Roman" w:hAnsi="Times New Roman" w:cs="Times New Roman" w:eastAsia="Times New Roman" w:hint="default"/>
                <w:sz w:val="16"/>
                <w:szCs w:val="16"/>
              </w:rPr>
            </w:pPr>
            <w:r>
              <w:rPr>
                <w:rFonts w:ascii="Times New Roman"/>
                <w:b/>
                <w:spacing w:val="-1"/>
                <w:sz w:val="16"/>
              </w:rPr>
              <w:t>542.300</w:t>
            </w:r>
            <w:r>
              <w:rPr>
                <w:rFonts w:ascii="Times New Roman"/>
                <w:spacing w:val="-1"/>
                <w:sz w:val="16"/>
              </w:rPr>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b/>
                <w:spacing w:val="-1"/>
                <w:sz w:val="16"/>
              </w:rPr>
              <w:t>516.501</w:t>
            </w:r>
            <w:r>
              <w:rPr>
                <w:rFonts w:ascii="Times New Roman"/>
                <w:spacing w:val="-1"/>
                <w:sz w:val="16"/>
              </w:rPr>
            </w:r>
          </w:p>
        </w:tc>
      </w:tr>
      <w:tr>
        <w:trPr>
          <w:trHeight w:val="194"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23"/>
              <w:jc w:val="left"/>
              <w:rPr>
                <w:rFonts w:ascii="Times New Roman" w:hAnsi="Times New Roman" w:cs="Times New Roman" w:eastAsia="Times New Roman" w:hint="default"/>
                <w:sz w:val="16"/>
                <w:szCs w:val="16"/>
              </w:rPr>
            </w:pPr>
            <w:r>
              <w:rPr>
                <w:rFonts w:ascii="Times New Roman"/>
                <w:sz w:val="16"/>
              </w:rPr>
              <w:t>4132</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sz w:val="16"/>
              </w:rPr>
              <w:t>910000</w:t>
            </w: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05"/>
              <w:jc w:val="left"/>
              <w:rPr>
                <w:rFonts w:ascii="Times New Roman" w:hAnsi="Times New Roman" w:cs="Times New Roman" w:eastAsia="Times New Roman" w:hint="default"/>
                <w:sz w:val="16"/>
                <w:szCs w:val="16"/>
              </w:rPr>
            </w:pPr>
            <w:r>
              <w:rPr>
                <w:rFonts w:ascii="Times New Roman" w:hAnsi="Times New Roman"/>
                <w:sz w:val="16"/>
              </w:rPr>
              <w:t>Примања од</w:t>
            </w:r>
            <w:r>
              <w:rPr>
                <w:rFonts w:ascii="Times New Roman" w:hAnsi="Times New Roman"/>
                <w:spacing w:val="-7"/>
                <w:sz w:val="16"/>
              </w:rPr>
              <w:t> </w:t>
            </w:r>
            <w:r>
              <w:rPr>
                <w:rFonts w:ascii="Times New Roman" w:hAnsi="Times New Roman"/>
                <w:sz w:val="16"/>
              </w:rPr>
              <w:t>задуживања</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478.347</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323.333</w:t>
            </w:r>
          </w:p>
        </w:tc>
      </w:tr>
      <w:tr>
        <w:trPr>
          <w:trHeight w:val="194"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23"/>
              <w:jc w:val="left"/>
              <w:rPr>
                <w:rFonts w:ascii="Times New Roman" w:hAnsi="Times New Roman" w:cs="Times New Roman" w:eastAsia="Times New Roman" w:hint="default"/>
                <w:sz w:val="16"/>
                <w:szCs w:val="16"/>
              </w:rPr>
            </w:pPr>
            <w:r>
              <w:rPr>
                <w:rFonts w:ascii="Times New Roman"/>
                <w:sz w:val="16"/>
              </w:rPr>
              <w:t>4151</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sz w:val="16"/>
              </w:rPr>
              <w:t>920000</w:t>
            </w: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05"/>
              <w:jc w:val="left"/>
              <w:rPr>
                <w:rFonts w:ascii="Times New Roman" w:hAnsi="Times New Roman" w:cs="Times New Roman" w:eastAsia="Times New Roman" w:hint="default"/>
                <w:sz w:val="16"/>
                <w:szCs w:val="16"/>
              </w:rPr>
            </w:pPr>
            <w:r>
              <w:rPr>
                <w:rFonts w:ascii="Times New Roman" w:hAnsi="Times New Roman"/>
                <w:sz w:val="16"/>
              </w:rPr>
              <w:t>Примања од продаје финансијске</w:t>
            </w:r>
            <w:r>
              <w:rPr>
                <w:rFonts w:ascii="Times New Roman" w:hAnsi="Times New Roman"/>
                <w:spacing w:val="-15"/>
                <w:sz w:val="16"/>
              </w:rPr>
              <w:t> </w:t>
            </w:r>
            <w:r>
              <w:rPr>
                <w:rFonts w:ascii="Times New Roman" w:hAnsi="Times New Roman"/>
                <w:sz w:val="16"/>
              </w:rPr>
              <w:t>имовине</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63.953</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193.168</w:t>
            </w:r>
          </w:p>
        </w:tc>
      </w:tr>
      <w:tr>
        <w:trPr>
          <w:trHeight w:val="194"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23"/>
              <w:jc w:val="left"/>
              <w:rPr>
                <w:rFonts w:ascii="Times New Roman" w:hAnsi="Times New Roman" w:cs="Times New Roman" w:eastAsia="Times New Roman" w:hint="default"/>
                <w:sz w:val="16"/>
                <w:szCs w:val="16"/>
              </w:rPr>
            </w:pPr>
            <w:r>
              <w:rPr>
                <w:rFonts w:ascii="Times New Roman"/>
                <w:sz w:val="16"/>
              </w:rPr>
              <w:t>4171</w:t>
            </w:r>
          </w:p>
        </w:tc>
        <w:tc>
          <w:tcPr>
            <w:tcW w:w="1030" w:type="dxa"/>
            <w:tcBorders>
              <w:top w:val="single" w:sz="4" w:space="0" w:color="000000"/>
              <w:left w:val="single" w:sz="4" w:space="0" w:color="000000"/>
              <w:bottom w:val="single" w:sz="4" w:space="0" w:color="000000"/>
              <w:right w:val="single" w:sz="4" w:space="0" w:color="000000"/>
            </w:tcBorders>
          </w:tcPr>
          <w:p>
            <w:pP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105"/>
              <w:jc w:val="left"/>
              <w:rPr>
                <w:rFonts w:ascii="Times New Roman" w:hAnsi="Times New Roman" w:cs="Times New Roman" w:eastAsia="Times New Roman" w:hint="default"/>
                <w:sz w:val="16"/>
                <w:szCs w:val="16"/>
              </w:rPr>
            </w:pPr>
            <w:r>
              <w:rPr>
                <w:rFonts w:ascii="Times New Roman" w:hAnsi="Times New Roman"/>
                <w:b/>
                <w:sz w:val="16"/>
              </w:rPr>
              <w:t>НОВЧАНИ</w:t>
            </w:r>
            <w:r>
              <w:rPr>
                <w:rFonts w:ascii="Times New Roman" w:hAnsi="Times New Roman"/>
                <w:b/>
                <w:spacing w:val="-2"/>
                <w:sz w:val="16"/>
              </w:rPr>
              <w:t> </w:t>
            </w:r>
            <w:r>
              <w:rPr>
                <w:rFonts w:ascii="Times New Roman" w:hAnsi="Times New Roman"/>
                <w:b/>
                <w:sz w:val="16"/>
              </w:rPr>
              <w:t>ОДЛИВИ</w:t>
            </w:r>
            <w:r>
              <w:rPr>
                <w:rFonts w:ascii="Times New Roman" w:hAnsi="Times New Roman"/>
                <w:sz w:val="16"/>
              </w:rPr>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3"/>
              <w:jc w:val="right"/>
              <w:rPr>
                <w:rFonts w:ascii="Times New Roman" w:hAnsi="Times New Roman" w:cs="Times New Roman" w:eastAsia="Times New Roman" w:hint="default"/>
                <w:sz w:val="16"/>
                <w:szCs w:val="16"/>
              </w:rPr>
            </w:pPr>
            <w:r>
              <w:rPr>
                <w:rFonts w:ascii="Times New Roman"/>
                <w:b/>
                <w:spacing w:val="-1"/>
                <w:sz w:val="16"/>
              </w:rPr>
              <w:t>8.020.733</w:t>
            </w:r>
            <w:r>
              <w:rPr>
                <w:rFonts w:ascii="Times New Roman"/>
                <w:spacing w:val="-1"/>
                <w:sz w:val="16"/>
              </w:rPr>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b/>
                <w:spacing w:val="-1"/>
                <w:sz w:val="16"/>
              </w:rPr>
              <w:t>7.629.782</w:t>
            </w:r>
            <w:r>
              <w:rPr>
                <w:rFonts w:ascii="Times New Roman"/>
                <w:spacing w:val="-1"/>
                <w:sz w:val="16"/>
              </w:rPr>
            </w:r>
          </w:p>
        </w:tc>
      </w:tr>
      <w:tr>
        <w:trPr>
          <w:trHeight w:val="192"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123"/>
              <w:jc w:val="left"/>
              <w:rPr>
                <w:rFonts w:ascii="Times New Roman" w:hAnsi="Times New Roman" w:cs="Times New Roman" w:eastAsia="Times New Roman" w:hint="default"/>
                <w:sz w:val="16"/>
                <w:szCs w:val="16"/>
              </w:rPr>
            </w:pPr>
            <w:r>
              <w:rPr>
                <w:rFonts w:ascii="Times New Roman"/>
                <w:b/>
                <w:sz w:val="16"/>
              </w:rPr>
              <w:t>4172</w:t>
            </w:r>
            <w:r>
              <w:rPr>
                <w:rFonts w:ascii="Times New Roman"/>
                <w:sz w:val="16"/>
              </w:rPr>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0"/>
              <w:jc w:val="left"/>
              <w:rPr>
                <w:rFonts w:ascii="Times New Roman" w:hAnsi="Times New Roman" w:cs="Times New Roman" w:eastAsia="Times New Roman" w:hint="default"/>
                <w:sz w:val="16"/>
                <w:szCs w:val="16"/>
              </w:rPr>
            </w:pPr>
            <w:r>
              <w:rPr>
                <w:rFonts w:ascii="Times New Roman"/>
                <w:b/>
                <w:sz w:val="16"/>
              </w:rPr>
              <w:t>400000</w:t>
            </w:r>
            <w:r>
              <w:rPr>
                <w:rFonts w:ascii="Times New Roman"/>
                <w:sz w:val="16"/>
              </w:rPr>
            </w: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105"/>
              <w:jc w:val="left"/>
              <w:rPr>
                <w:rFonts w:ascii="Times New Roman" w:hAnsi="Times New Roman" w:cs="Times New Roman" w:eastAsia="Times New Roman" w:hint="default"/>
                <w:sz w:val="16"/>
                <w:szCs w:val="16"/>
              </w:rPr>
            </w:pPr>
            <w:r>
              <w:rPr>
                <w:rFonts w:ascii="Times New Roman" w:hAnsi="Times New Roman"/>
                <w:b/>
                <w:sz w:val="16"/>
              </w:rPr>
              <w:t>Текући</w:t>
            </w:r>
            <w:r>
              <w:rPr>
                <w:rFonts w:ascii="Times New Roman" w:hAnsi="Times New Roman"/>
                <w:b/>
                <w:spacing w:val="-8"/>
                <w:sz w:val="16"/>
              </w:rPr>
              <w:t> </w:t>
            </w:r>
            <w:r>
              <w:rPr>
                <w:rFonts w:ascii="Times New Roman" w:hAnsi="Times New Roman"/>
                <w:b/>
                <w:sz w:val="16"/>
              </w:rPr>
              <w:t>расходи</w:t>
            </w:r>
            <w:r>
              <w:rPr>
                <w:rFonts w:ascii="Times New Roman" w:hAnsi="Times New Roman"/>
                <w:sz w:val="16"/>
              </w:rPr>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3"/>
              <w:jc w:val="right"/>
              <w:rPr>
                <w:rFonts w:ascii="Times New Roman" w:hAnsi="Times New Roman" w:cs="Times New Roman" w:eastAsia="Times New Roman" w:hint="default"/>
                <w:sz w:val="16"/>
                <w:szCs w:val="16"/>
              </w:rPr>
            </w:pPr>
            <w:r>
              <w:rPr>
                <w:rFonts w:ascii="Times New Roman"/>
                <w:b/>
                <w:spacing w:val="-1"/>
                <w:sz w:val="16"/>
              </w:rPr>
              <w:t>5.967.446</w:t>
            </w:r>
            <w:r>
              <w:rPr>
                <w:rFonts w:ascii="Times New Roman"/>
                <w:spacing w:val="-1"/>
                <w:sz w:val="16"/>
              </w:rPr>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b/>
                <w:spacing w:val="-1"/>
                <w:sz w:val="16"/>
              </w:rPr>
              <w:t>6.206.812</w:t>
            </w:r>
            <w:r>
              <w:rPr>
                <w:rFonts w:ascii="Times New Roman"/>
                <w:spacing w:val="-1"/>
                <w:sz w:val="16"/>
              </w:rPr>
            </w:r>
          </w:p>
        </w:tc>
      </w:tr>
      <w:tr>
        <w:trPr>
          <w:trHeight w:val="194"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123"/>
              <w:jc w:val="left"/>
              <w:rPr>
                <w:rFonts w:ascii="Times New Roman" w:hAnsi="Times New Roman" w:cs="Times New Roman" w:eastAsia="Times New Roman" w:hint="default"/>
                <w:sz w:val="16"/>
                <w:szCs w:val="16"/>
              </w:rPr>
            </w:pPr>
            <w:r>
              <w:rPr>
                <w:rFonts w:ascii="Times New Roman"/>
                <w:sz w:val="16"/>
              </w:rPr>
              <w:t>4173</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0"/>
              <w:jc w:val="left"/>
              <w:rPr>
                <w:rFonts w:ascii="Times New Roman" w:hAnsi="Times New Roman" w:cs="Times New Roman" w:eastAsia="Times New Roman" w:hint="default"/>
                <w:sz w:val="16"/>
                <w:szCs w:val="16"/>
              </w:rPr>
            </w:pPr>
            <w:r>
              <w:rPr>
                <w:rFonts w:ascii="Times New Roman"/>
                <w:sz w:val="16"/>
              </w:rPr>
              <w:t>410000</w:t>
            </w: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105"/>
              <w:jc w:val="left"/>
              <w:rPr>
                <w:rFonts w:ascii="Times New Roman" w:hAnsi="Times New Roman" w:cs="Times New Roman" w:eastAsia="Times New Roman" w:hint="default"/>
                <w:sz w:val="16"/>
                <w:szCs w:val="16"/>
              </w:rPr>
            </w:pPr>
            <w:r>
              <w:rPr>
                <w:rFonts w:ascii="Times New Roman" w:hAnsi="Times New Roman"/>
                <w:sz w:val="16"/>
              </w:rPr>
              <w:t>Расходи за</w:t>
            </w:r>
            <w:r>
              <w:rPr>
                <w:rFonts w:ascii="Times New Roman" w:hAnsi="Times New Roman"/>
                <w:spacing w:val="-7"/>
                <w:sz w:val="16"/>
              </w:rPr>
              <w:t> </w:t>
            </w:r>
            <w:r>
              <w:rPr>
                <w:rFonts w:ascii="Times New Roman" w:hAnsi="Times New Roman"/>
                <w:sz w:val="16"/>
              </w:rPr>
              <w:t>запослене</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3"/>
              <w:jc w:val="right"/>
              <w:rPr>
                <w:rFonts w:ascii="Times New Roman" w:hAnsi="Times New Roman" w:cs="Times New Roman" w:eastAsia="Times New Roman" w:hint="default"/>
                <w:sz w:val="16"/>
                <w:szCs w:val="16"/>
              </w:rPr>
            </w:pPr>
            <w:r>
              <w:rPr>
                <w:rFonts w:ascii="Times New Roman"/>
                <w:spacing w:val="-1"/>
                <w:sz w:val="16"/>
              </w:rPr>
              <w:t>2.153.881</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2.268.660</w:t>
            </w:r>
          </w:p>
        </w:tc>
      </w:tr>
      <w:tr>
        <w:trPr>
          <w:trHeight w:val="194"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23"/>
              <w:jc w:val="left"/>
              <w:rPr>
                <w:rFonts w:ascii="Times New Roman" w:hAnsi="Times New Roman" w:cs="Times New Roman" w:eastAsia="Times New Roman" w:hint="default"/>
                <w:sz w:val="16"/>
                <w:szCs w:val="16"/>
              </w:rPr>
            </w:pPr>
            <w:r>
              <w:rPr>
                <w:rFonts w:ascii="Times New Roman"/>
                <w:sz w:val="16"/>
              </w:rPr>
              <w:t>4195</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sz w:val="16"/>
              </w:rPr>
              <w:t>420000</w:t>
            </w: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05"/>
              <w:jc w:val="left"/>
              <w:rPr>
                <w:rFonts w:ascii="Times New Roman" w:hAnsi="Times New Roman" w:cs="Times New Roman" w:eastAsia="Times New Roman" w:hint="default"/>
                <w:sz w:val="16"/>
                <w:szCs w:val="16"/>
              </w:rPr>
            </w:pPr>
            <w:r>
              <w:rPr>
                <w:rFonts w:ascii="Times New Roman" w:hAnsi="Times New Roman"/>
                <w:sz w:val="16"/>
              </w:rPr>
              <w:t>Коришћење услуга и</w:t>
            </w:r>
            <w:r>
              <w:rPr>
                <w:rFonts w:ascii="Times New Roman" w:hAnsi="Times New Roman"/>
                <w:spacing w:val="-11"/>
                <w:sz w:val="16"/>
              </w:rPr>
              <w:t> </w:t>
            </w:r>
            <w:r>
              <w:rPr>
                <w:rFonts w:ascii="Times New Roman" w:hAnsi="Times New Roman"/>
                <w:sz w:val="16"/>
              </w:rPr>
              <w:t>роба</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1.906.930</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2.040.748</w:t>
            </w:r>
          </w:p>
        </w:tc>
      </w:tr>
      <w:tr>
        <w:trPr>
          <w:trHeight w:val="194"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23"/>
              <w:jc w:val="left"/>
              <w:rPr>
                <w:rFonts w:ascii="Times New Roman" w:hAnsi="Times New Roman" w:cs="Times New Roman" w:eastAsia="Times New Roman" w:hint="default"/>
                <w:sz w:val="16"/>
                <w:szCs w:val="16"/>
              </w:rPr>
            </w:pPr>
            <w:r>
              <w:rPr>
                <w:rFonts w:ascii="Times New Roman"/>
                <w:sz w:val="16"/>
              </w:rPr>
              <w:t>4240</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sz w:val="16"/>
              </w:rPr>
              <w:t>430000</w:t>
            </w: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05"/>
              <w:jc w:val="left"/>
              <w:rPr>
                <w:rFonts w:ascii="Times New Roman" w:hAnsi="Times New Roman" w:cs="Times New Roman" w:eastAsia="Times New Roman" w:hint="default"/>
                <w:sz w:val="16"/>
                <w:szCs w:val="16"/>
              </w:rPr>
            </w:pPr>
            <w:r>
              <w:rPr>
                <w:rFonts w:ascii="Times New Roman" w:hAnsi="Times New Roman"/>
                <w:sz w:val="16"/>
              </w:rPr>
              <w:t>Амортизација и употреба средстава за</w:t>
            </w:r>
            <w:r>
              <w:rPr>
                <w:rFonts w:ascii="Times New Roman" w:hAnsi="Times New Roman"/>
                <w:spacing w:val="-14"/>
                <w:sz w:val="16"/>
              </w:rPr>
              <w:t> </w:t>
            </w:r>
            <w:r>
              <w:rPr>
                <w:rFonts w:ascii="Times New Roman" w:hAnsi="Times New Roman"/>
                <w:sz w:val="16"/>
              </w:rPr>
              <w:t>рад</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1.383</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361</w:t>
            </w:r>
          </w:p>
        </w:tc>
      </w:tr>
      <w:tr>
        <w:trPr>
          <w:trHeight w:val="194"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23"/>
              <w:jc w:val="left"/>
              <w:rPr>
                <w:rFonts w:ascii="Times New Roman" w:hAnsi="Times New Roman" w:cs="Times New Roman" w:eastAsia="Times New Roman" w:hint="default"/>
                <w:sz w:val="16"/>
                <w:szCs w:val="16"/>
              </w:rPr>
            </w:pPr>
            <w:r>
              <w:rPr>
                <w:rFonts w:ascii="Times New Roman"/>
                <w:sz w:val="16"/>
              </w:rPr>
              <w:t>4255</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sz w:val="16"/>
              </w:rPr>
              <w:t>440000</w:t>
            </w: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05"/>
              <w:jc w:val="left"/>
              <w:rPr>
                <w:rFonts w:ascii="Times New Roman" w:hAnsi="Times New Roman" w:cs="Times New Roman" w:eastAsia="Times New Roman" w:hint="default"/>
                <w:sz w:val="16"/>
                <w:szCs w:val="16"/>
              </w:rPr>
            </w:pPr>
            <w:r>
              <w:rPr>
                <w:rFonts w:ascii="Times New Roman" w:hAnsi="Times New Roman"/>
                <w:sz w:val="16"/>
              </w:rPr>
              <w:t>Отплата камата и пратећи трошкови</w:t>
            </w:r>
            <w:r>
              <w:rPr>
                <w:rFonts w:ascii="Times New Roman" w:hAnsi="Times New Roman"/>
                <w:spacing w:val="-18"/>
                <w:sz w:val="16"/>
              </w:rPr>
              <w:t> </w:t>
            </w:r>
            <w:r>
              <w:rPr>
                <w:rFonts w:ascii="Times New Roman" w:hAnsi="Times New Roman"/>
                <w:sz w:val="16"/>
              </w:rPr>
              <w:t>задуживања</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151.224</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150.629</w:t>
            </w:r>
          </w:p>
        </w:tc>
      </w:tr>
      <w:tr>
        <w:trPr>
          <w:trHeight w:val="194"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23"/>
              <w:jc w:val="left"/>
              <w:rPr>
                <w:rFonts w:ascii="Times New Roman" w:hAnsi="Times New Roman" w:cs="Times New Roman" w:eastAsia="Times New Roman" w:hint="default"/>
                <w:sz w:val="16"/>
                <w:szCs w:val="16"/>
              </w:rPr>
            </w:pPr>
            <w:r>
              <w:rPr>
                <w:rFonts w:ascii="Times New Roman"/>
                <w:sz w:val="16"/>
              </w:rPr>
              <w:t>4279</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sz w:val="16"/>
              </w:rPr>
              <w:t>450000</w:t>
            </w: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05"/>
              <w:jc w:val="left"/>
              <w:rPr>
                <w:rFonts w:ascii="Times New Roman" w:hAnsi="Times New Roman" w:cs="Times New Roman" w:eastAsia="Times New Roman" w:hint="default"/>
                <w:sz w:val="16"/>
                <w:szCs w:val="16"/>
              </w:rPr>
            </w:pPr>
            <w:r>
              <w:rPr>
                <w:rFonts w:ascii="Times New Roman" w:hAnsi="Times New Roman"/>
                <w:sz w:val="16"/>
              </w:rPr>
              <w:t>Субвенције</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405.048</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328.311</w:t>
            </w:r>
          </w:p>
        </w:tc>
      </w:tr>
      <w:tr>
        <w:trPr>
          <w:trHeight w:val="192"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23"/>
              <w:jc w:val="left"/>
              <w:rPr>
                <w:rFonts w:ascii="Times New Roman" w:hAnsi="Times New Roman" w:cs="Times New Roman" w:eastAsia="Times New Roman" w:hint="default"/>
                <w:sz w:val="16"/>
                <w:szCs w:val="16"/>
              </w:rPr>
            </w:pPr>
            <w:r>
              <w:rPr>
                <w:rFonts w:ascii="Times New Roman"/>
                <w:sz w:val="16"/>
              </w:rPr>
              <w:t>4292</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sz w:val="16"/>
              </w:rPr>
              <w:t>460000</w:t>
            </w: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05"/>
              <w:jc w:val="left"/>
              <w:rPr>
                <w:rFonts w:ascii="Times New Roman" w:hAnsi="Times New Roman" w:cs="Times New Roman" w:eastAsia="Times New Roman" w:hint="default"/>
                <w:sz w:val="16"/>
                <w:szCs w:val="16"/>
              </w:rPr>
            </w:pPr>
            <w:r>
              <w:rPr>
                <w:rFonts w:ascii="Times New Roman" w:hAnsi="Times New Roman"/>
                <w:sz w:val="16"/>
              </w:rPr>
              <w:t>Донације, дотације и</w:t>
            </w:r>
            <w:r>
              <w:rPr>
                <w:rFonts w:ascii="Times New Roman" w:hAnsi="Times New Roman"/>
                <w:spacing w:val="-10"/>
                <w:sz w:val="16"/>
              </w:rPr>
              <w:t> </w:t>
            </w:r>
            <w:r>
              <w:rPr>
                <w:rFonts w:ascii="Times New Roman" w:hAnsi="Times New Roman"/>
                <w:sz w:val="16"/>
              </w:rPr>
              <w:t>трансфери</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730.631</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750.050</w:t>
            </w:r>
          </w:p>
        </w:tc>
      </w:tr>
      <w:tr>
        <w:trPr>
          <w:trHeight w:val="194"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123"/>
              <w:jc w:val="left"/>
              <w:rPr>
                <w:rFonts w:ascii="Times New Roman" w:hAnsi="Times New Roman" w:cs="Times New Roman" w:eastAsia="Times New Roman" w:hint="default"/>
                <w:sz w:val="16"/>
                <w:szCs w:val="16"/>
              </w:rPr>
            </w:pPr>
            <w:r>
              <w:rPr>
                <w:rFonts w:ascii="Times New Roman"/>
                <w:sz w:val="16"/>
              </w:rPr>
              <w:t>4308</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0"/>
              <w:jc w:val="left"/>
              <w:rPr>
                <w:rFonts w:ascii="Times New Roman" w:hAnsi="Times New Roman" w:cs="Times New Roman" w:eastAsia="Times New Roman" w:hint="default"/>
                <w:sz w:val="16"/>
                <w:szCs w:val="16"/>
              </w:rPr>
            </w:pPr>
            <w:r>
              <w:rPr>
                <w:rFonts w:ascii="Times New Roman"/>
                <w:sz w:val="16"/>
              </w:rPr>
              <w:t>470000</w:t>
            </w: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105"/>
              <w:jc w:val="left"/>
              <w:rPr>
                <w:rFonts w:ascii="Times New Roman" w:hAnsi="Times New Roman" w:cs="Times New Roman" w:eastAsia="Times New Roman" w:hint="default"/>
                <w:sz w:val="16"/>
                <w:szCs w:val="16"/>
              </w:rPr>
            </w:pPr>
            <w:r>
              <w:rPr>
                <w:rFonts w:ascii="Times New Roman" w:hAnsi="Times New Roman"/>
                <w:sz w:val="16"/>
              </w:rPr>
              <w:t>Социјално осигурање и социјална</w:t>
            </w:r>
            <w:r>
              <w:rPr>
                <w:rFonts w:ascii="Times New Roman" w:hAnsi="Times New Roman"/>
                <w:spacing w:val="-18"/>
                <w:sz w:val="16"/>
              </w:rPr>
              <w:t> </w:t>
            </w:r>
            <w:r>
              <w:rPr>
                <w:rFonts w:ascii="Times New Roman" w:hAnsi="Times New Roman"/>
                <w:sz w:val="16"/>
              </w:rPr>
              <w:t>заштита</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2"/>
              <w:jc w:val="right"/>
              <w:rPr>
                <w:rFonts w:ascii="Times New Roman" w:hAnsi="Times New Roman" w:cs="Times New Roman" w:eastAsia="Times New Roman" w:hint="default"/>
                <w:sz w:val="16"/>
                <w:szCs w:val="16"/>
              </w:rPr>
            </w:pPr>
            <w:r>
              <w:rPr>
                <w:rFonts w:ascii="Times New Roman"/>
                <w:spacing w:val="-1"/>
                <w:sz w:val="16"/>
              </w:rPr>
              <w:t>275.939</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283.851</w:t>
            </w:r>
          </w:p>
        </w:tc>
      </w:tr>
      <w:tr>
        <w:trPr>
          <w:trHeight w:val="194"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23"/>
              <w:jc w:val="left"/>
              <w:rPr>
                <w:rFonts w:ascii="Times New Roman" w:hAnsi="Times New Roman" w:cs="Times New Roman" w:eastAsia="Times New Roman" w:hint="default"/>
                <w:sz w:val="16"/>
                <w:szCs w:val="16"/>
              </w:rPr>
            </w:pPr>
            <w:r>
              <w:rPr>
                <w:rFonts w:ascii="Times New Roman"/>
                <w:sz w:val="16"/>
              </w:rPr>
              <w:t>4323</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sz w:val="16"/>
              </w:rPr>
              <w:t>480000</w:t>
            </w: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05"/>
              <w:jc w:val="left"/>
              <w:rPr>
                <w:rFonts w:ascii="Times New Roman" w:hAnsi="Times New Roman" w:cs="Times New Roman" w:eastAsia="Times New Roman" w:hint="default"/>
                <w:sz w:val="16"/>
                <w:szCs w:val="16"/>
              </w:rPr>
            </w:pPr>
            <w:r>
              <w:rPr>
                <w:rFonts w:ascii="Times New Roman" w:hAnsi="Times New Roman"/>
                <w:sz w:val="16"/>
              </w:rPr>
              <w:t>Остали</w:t>
            </w:r>
            <w:r>
              <w:rPr>
                <w:rFonts w:ascii="Times New Roman" w:hAnsi="Times New Roman"/>
                <w:spacing w:val="-4"/>
                <w:sz w:val="16"/>
              </w:rPr>
              <w:t> </w:t>
            </w:r>
            <w:r>
              <w:rPr>
                <w:rFonts w:ascii="Times New Roman" w:hAnsi="Times New Roman"/>
                <w:sz w:val="16"/>
              </w:rPr>
              <w:t>расходи</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342.410</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384.202</w:t>
            </w:r>
          </w:p>
        </w:tc>
      </w:tr>
      <w:tr>
        <w:trPr>
          <w:trHeight w:val="194"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123"/>
              <w:jc w:val="left"/>
              <w:rPr>
                <w:rFonts w:ascii="Times New Roman" w:hAnsi="Times New Roman" w:cs="Times New Roman" w:eastAsia="Times New Roman" w:hint="default"/>
                <w:sz w:val="16"/>
                <w:szCs w:val="16"/>
              </w:rPr>
            </w:pPr>
            <w:r>
              <w:rPr>
                <w:rFonts w:ascii="Times New Roman"/>
                <w:b/>
                <w:sz w:val="16"/>
              </w:rPr>
              <w:t>4340</w:t>
            </w:r>
            <w:r>
              <w:rPr>
                <w:rFonts w:ascii="Times New Roman"/>
                <w:sz w:val="16"/>
              </w:rPr>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0"/>
              <w:jc w:val="left"/>
              <w:rPr>
                <w:rFonts w:ascii="Times New Roman" w:hAnsi="Times New Roman" w:cs="Times New Roman" w:eastAsia="Times New Roman" w:hint="default"/>
                <w:sz w:val="16"/>
                <w:szCs w:val="16"/>
              </w:rPr>
            </w:pPr>
            <w:r>
              <w:rPr>
                <w:rFonts w:ascii="Times New Roman"/>
                <w:b/>
                <w:sz w:val="16"/>
              </w:rPr>
              <w:t>500000</w:t>
            </w:r>
            <w:r>
              <w:rPr>
                <w:rFonts w:ascii="Times New Roman"/>
                <w:sz w:val="16"/>
              </w:rPr>
            </w: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105"/>
              <w:jc w:val="left"/>
              <w:rPr>
                <w:rFonts w:ascii="Times New Roman" w:hAnsi="Times New Roman" w:cs="Times New Roman" w:eastAsia="Times New Roman" w:hint="default"/>
                <w:sz w:val="16"/>
                <w:szCs w:val="16"/>
              </w:rPr>
            </w:pPr>
            <w:r>
              <w:rPr>
                <w:rFonts w:ascii="Times New Roman" w:hAnsi="Times New Roman"/>
                <w:b/>
                <w:sz w:val="16"/>
              </w:rPr>
              <w:t>Издаци за нефинансијску</w:t>
            </w:r>
            <w:r>
              <w:rPr>
                <w:rFonts w:ascii="Times New Roman" w:hAnsi="Times New Roman"/>
                <w:b/>
                <w:spacing w:val="-15"/>
                <w:sz w:val="16"/>
              </w:rPr>
              <w:t> </w:t>
            </w:r>
            <w:r>
              <w:rPr>
                <w:rFonts w:ascii="Times New Roman" w:hAnsi="Times New Roman"/>
                <w:b/>
                <w:sz w:val="16"/>
              </w:rPr>
              <w:t>имовину</w:t>
            </w:r>
            <w:r>
              <w:rPr>
                <w:rFonts w:ascii="Times New Roman" w:hAnsi="Times New Roman"/>
                <w:sz w:val="16"/>
              </w:rPr>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3"/>
              <w:jc w:val="right"/>
              <w:rPr>
                <w:rFonts w:ascii="Times New Roman" w:hAnsi="Times New Roman" w:cs="Times New Roman" w:eastAsia="Times New Roman" w:hint="default"/>
                <w:sz w:val="16"/>
                <w:szCs w:val="16"/>
              </w:rPr>
            </w:pPr>
            <w:r>
              <w:rPr>
                <w:rFonts w:ascii="Times New Roman"/>
                <w:b/>
                <w:spacing w:val="-1"/>
                <w:sz w:val="16"/>
              </w:rPr>
              <w:t>1.429.120</w:t>
            </w:r>
            <w:r>
              <w:rPr>
                <w:rFonts w:ascii="Times New Roman"/>
                <w:spacing w:val="-1"/>
                <w:sz w:val="16"/>
              </w:rPr>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b/>
                <w:spacing w:val="-1"/>
                <w:sz w:val="16"/>
              </w:rPr>
              <w:t>733.183</w:t>
            </w:r>
            <w:r>
              <w:rPr>
                <w:rFonts w:ascii="Times New Roman"/>
                <w:spacing w:val="-1"/>
                <w:sz w:val="16"/>
              </w:rPr>
            </w:r>
          </w:p>
        </w:tc>
      </w:tr>
      <w:tr>
        <w:trPr>
          <w:trHeight w:val="194"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23"/>
              <w:jc w:val="left"/>
              <w:rPr>
                <w:rFonts w:ascii="Times New Roman" w:hAnsi="Times New Roman" w:cs="Times New Roman" w:eastAsia="Times New Roman" w:hint="default"/>
                <w:sz w:val="16"/>
                <w:szCs w:val="16"/>
              </w:rPr>
            </w:pPr>
            <w:r>
              <w:rPr>
                <w:rFonts w:ascii="Times New Roman"/>
                <w:sz w:val="16"/>
              </w:rPr>
              <w:t>4341</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sz w:val="16"/>
              </w:rPr>
              <w:t>510000</w:t>
            </w: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05"/>
              <w:jc w:val="left"/>
              <w:rPr>
                <w:rFonts w:ascii="Times New Roman" w:hAnsi="Times New Roman" w:cs="Times New Roman" w:eastAsia="Times New Roman" w:hint="default"/>
                <w:sz w:val="16"/>
                <w:szCs w:val="16"/>
              </w:rPr>
            </w:pPr>
            <w:r>
              <w:rPr>
                <w:rFonts w:ascii="Times New Roman" w:hAnsi="Times New Roman"/>
                <w:sz w:val="16"/>
              </w:rPr>
              <w:t>Основна</w:t>
            </w:r>
            <w:r>
              <w:rPr>
                <w:rFonts w:ascii="Times New Roman" w:hAnsi="Times New Roman"/>
                <w:spacing w:val="-4"/>
                <w:sz w:val="16"/>
              </w:rPr>
              <w:t> </w:t>
            </w:r>
            <w:r>
              <w:rPr>
                <w:rFonts w:ascii="Times New Roman" w:hAnsi="Times New Roman"/>
                <w:sz w:val="16"/>
              </w:rPr>
              <w:t>средства</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1.237.715</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472.450</w:t>
            </w:r>
          </w:p>
        </w:tc>
      </w:tr>
      <w:tr>
        <w:trPr>
          <w:trHeight w:val="194"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23"/>
              <w:jc w:val="left"/>
              <w:rPr>
                <w:rFonts w:ascii="Times New Roman" w:hAnsi="Times New Roman" w:cs="Times New Roman" w:eastAsia="Times New Roman" w:hint="default"/>
                <w:sz w:val="16"/>
                <w:szCs w:val="16"/>
              </w:rPr>
            </w:pPr>
            <w:r>
              <w:rPr>
                <w:rFonts w:ascii="Times New Roman"/>
                <w:sz w:val="16"/>
              </w:rPr>
              <w:t>4363</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sz w:val="16"/>
              </w:rPr>
              <w:t>520000</w:t>
            </w: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05"/>
              <w:jc w:val="left"/>
              <w:rPr>
                <w:rFonts w:ascii="Times New Roman" w:hAnsi="Times New Roman" w:cs="Times New Roman" w:eastAsia="Times New Roman" w:hint="default"/>
                <w:sz w:val="16"/>
                <w:szCs w:val="16"/>
              </w:rPr>
            </w:pPr>
            <w:r>
              <w:rPr>
                <w:rFonts w:ascii="Times New Roman" w:hAnsi="Times New Roman"/>
                <w:sz w:val="16"/>
              </w:rPr>
              <w:t>Залихе</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61.275</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83.229</w:t>
            </w:r>
          </w:p>
        </w:tc>
      </w:tr>
      <w:tr>
        <w:trPr>
          <w:trHeight w:val="192"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23"/>
              <w:jc w:val="left"/>
              <w:rPr>
                <w:rFonts w:ascii="Times New Roman" w:hAnsi="Times New Roman" w:cs="Times New Roman" w:eastAsia="Times New Roman" w:hint="default"/>
                <w:sz w:val="16"/>
                <w:szCs w:val="16"/>
              </w:rPr>
            </w:pPr>
            <w:r>
              <w:rPr>
                <w:rFonts w:ascii="Times New Roman"/>
                <w:sz w:val="16"/>
              </w:rPr>
              <w:t>4375</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sz w:val="16"/>
              </w:rPr>
              <w:t>540000</w:t>
            </w: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05"/>
              <w:jc w:val="left"/>
              <w:rPr>
                <w:rFonts w:ascii="Times New Roman" w:hAnsi="Times New Roman" w:cs="Times New Roman" w:eastAsia="Times New Roman" w:hint="default"/>
                <w:sz w:val="16"/>
                <w:szCs w:val="16"/>
              </w:rPr>
            </w:pPr>
            <w:r>
              <w:rPr>
                <w:rFonts w:ascii="Times New Roman" w:hAnsi="Times New Roman"/>
                <w:sz w:val="16"/>
              </w:rPr>
              <w:t>Природна</w:t>
            </w:r>
            <w:r>
              <w:rPr>
                <w:rFonts w:ascii="Times New Roman" w:hAnsi="Times New Roman"/>
                <w:spacing w:val="-5"/>
                <w:sz w:val="16"/>
              </w:rPr>
              <w:t> </w:t>
            </w:r>
            <w:r>
              <w:rPr>
                <w:rFonts w:ascii="Times New Roman" w:hAnsi="Times New Roman"/>
                <w:sz w:val="16"/>
              </w:rPr>
              <w:t>имовина</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130.130</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177.504</w:t>
            </w:r>
          </w:p>
        </w:tc>
      </w:tr>
      <w:tr>
        <w:trPr>
          <w:trHeight w:val="379"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left="103" w:right="123"/>
              <w:jc w:val="left"/>
              <w:rPr>
                <w:rFonts w:ascii="Times New Roman" w:hAnsi="Times New Roman" w:cs="Times New Roman" w:eastAsia="Times New Roman" w:hint="default"/>
                <w:sz w:val="16"/>
                <w:szCs w:val="16"/>
              </w:rPr>
            </w:pPr>
            <w:r>
              <w:rPr>
                <w:rFonts w:ascii="Times New Roman"/>
                <w:b/>
                <w:sz w:val="16"/>
              </w:rPr>
              <w:t>4386</w:t>
            </w:r>
            <w:r>
              <w:rPr>
                <w:rFonts w:ascii="Times New Roman"/>
                <w:sz w:val="16"/>
              </w:rPr>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left="103" w:right="0"/>
              <w:jc w:val="left"/>
              <w:rPr>
                <w:rFonts w:ascii="Times New Roman" w:hAnsi="Times New Roman" w:cs="Times New Roman" w:eastAsia="Times New Roman" w:hint="default"/>
                <w:sz w:val="16"/>
                <w:szCs w:val="16"/>
              </w:rPr>
            </w:pPr>
            <w:r>
              <w:rPr>
                <w:rFonts w:ascii="Times New Roman"/>
                <w:b/>
                <w:sz w:val="16"/>
              </w:rPr>
              <w:t>600000</w:t>
            </w:r>
            <w:r>
              <w:rPr>
                <w:rFonts w:ascii="Times New Roman"/>
                <w:sz w:val="16"/>
              </w:rPr>
            </w: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509"/>
              <w:jc w:val="left"/>
              <w:rPr>
                <w:rFonts w:ascii="Times New Roman" w:hAnsi="Times New Roman" w:cs="Times New Roman" w:eastAsia="Times New Roman" w:hint="default"/>
                <w:sz w:val="16"/>
                <w:szCs w:val="16"/>
              </w:rPr>
            </w:pPr>
            <w:r>
              <w:rPr>
                <w:rFonts w:ascii="Times New Roman" w:hAnsi="Times New Roman"/>
                <w:b/>
                <w:sz w:val="16"/>
              </w:rPr>
              <w:t>Издаци за отплату главнице и набавку финансијске имовине</w:t>
            </w:r>
            <w:r>
              <w:rPr>
                <w:rFonts w:ascii="Times New Roman" w:hAnsi="Times New Roman"/>
                <w:sz w:val="16"/>
              </w:rPr>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right="102"/>
              <w:jc w:val="right"/>
              <w:rPr>
                <w:rFonts w:ascii="Times New Roman" w:hAnsi="Times New Roman" w:cs="Times New Roman" w:eastAsia="Times New Roman" w:hint="default"/>
                <w:sz w:val="16"/>
                <w:szCs w:val="16"/>
              </w:rPr>
            </w:pPr>
            <w:r>
              <w:rPr>
                <w:rFonts w:ascii="Times New Roman"/>
                <w:b/>
                <w:spacing w:val="-1"/>
                <w:sz w:val="16"/>
              </w:rPr>
              <w:t>624.167</w:t>
            </w:r>
            <w:r>
              <w:rPr>
                <w:rFonts w:ascii="Times New Roman"/>
                <w:spacing w:val="-1"/>
                <w:sz w:val="16"/>
              </w:rPr>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right="100"/>
              <w:jc w:val="right"/>
              <w:rPr>
                <w:rFonts w:ascii="Times New Roman" w:hAnsi="Times New Roman" w:cs="Times New Roman" w:eastAsia="Times New Roman" w:hint="default"/>
                <w:sz w:val="16"/>
                <w:szCs w:val="16"/>
              </w:rPr>
            </w:pPr>
            <w:r>
              <w:rPr>
                <w:rFonts w:ascii="Times New Roman"/>
                <w:b/>
                <w:spacing w:val="-1"/>
                <w:sz w:val="16"/>
              </w:rPr>
              <w:t>689.787</w:t>
            </w:r>
            <w:r>
              <w:rPr>
                <w:rFonts w:ascii="Times New Roman"/>
                <w:spacing w:val="-1"/>
                <w:sz w:val="16"/>
              </w:rPr>
            </w:r>
          </w:p>
        </w:tc>
      </w:tr>
      <w:tr>
        <w:trPr>
          <w:trHeight w:val="194"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23"/>
              <w:jc w:val="left"/>
              <w:rPr>
                <w:rFonts w:ascii="Times New Roman" w:hAnsi="Times New Roman" w:cs="Times New Roman" w:eastAsia="Times New Roman" w:hint="default"/>
                <w:sz w:val="16"/>
                <w:szCs w:val="16"/>
              </w:rPr>
            </w:pPr>
            <w:r>
              <w:rPr>
                <w:rFonts w:ascii="Times New Roman"/>
                <w:sz w:val="16"/>
              </w:rPr>
              <w:t>4387</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sz w:val="16"/>
              </w:rPr>
              <w:t>610000</w:t>
            </w: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05"/>
              <w:jc w:val="left"/>
              <w:rPr>
                <w:rFonts w:ascii="Times New Roman" w:hAnsi="Times New Roman" w:cs="Times New Roman" w:eastAsia="Times New Roman" w:hint="default"/>
                <w:sz w:val="16"/>
                <w:szCs w:val="16"/>
              </w:rPr>
            </w:pPr>
            <w:r>
              <w:rPr>
                <w:rFonts w:ascii="Times New Roman" w:hAnsi="Times New Roman"/>
                <w:sz w:val="16"/>
              </w:rPr>
              <w:t>Отплата</w:t>
            </w:r>
            <w:r>
              <w:rPr>
                <w:rFonts w:ascii="Times New Roman" w:hAnsi="Times New Roman"/>
                <w:spacing w:val="-4"/>
                <w:sz w:val="16"/>
              </w:rPr>
              <w:t> </w:t>
            </w:r>
            <w:r>
              <w:rPr>
                <w:rFonts w:ascii="Times New Roman" w:hAnsi="Times New Roman"/>
                <w:sz w:val="16"/>
              </w:rPr>
              <w:t>главнице</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622.017</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688.087</w:t>
            </w:r>
          </w:p>
        </w:tc>
      </w:tr>
      <w:tr>
        <w:trPr>
          <w:trHeight w:val="192"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23"/>
              <w:jc w:val="left"/>
              <w:rPr>
                <w:rFonts w:ascii="Times New Roman" w:hAnsi="Times New Roman" w:cs="Times New Roman" w:eastAsia="Times New Roman" w:hint="default"/>
                <w:sz w:val="16"/>
                <w:szCs w:val="16"/>
              </w:rPr>
            </w:pPr>
            <w:r>
              <w:rPr>
                <w:rFonts w:ascii="Times New Roman"/>
                <w:sz w:val="16"/>
              </w:rPr>
              <w:t>4412</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0"/>
              <w:jc w:val="left"/>
              <w:rPr>
                <w:rFonts w:ascii="Times New Roman" w:hAnsi="Times New Roman" w:cs="Times New Roman" w:eastAsia="Times New Roman" w:hint="default"/>
                <w:sz w:val="16"/>
                <w:szCs w:val="16"/>
              </w:rPr>
            </w:pPr>
            <w:r>
              <w:rPr>
                <w:rFonts w:ascii="Times New Roman"/>
                <w:sz w:val="16"/>
              </w:rPr>
              <w:t>620000</w:t>
            </w: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05"/>
              <w:jc w:val="left"/>
              <w:rPr>
                <w:rFonts w:ascii="Times New Roman" w:hAnsi="Times New Roman" w:cs="Times New Roman" w:eastAsia="Times New Roman" w:hint="default"/>
                <w:sz w:val="16"/>
                <w:szCs w:val="16"/>
              </w:rPr>
            </w:pPr>
            <w:r>
              <w:rPr>
                <w:rFonts w:ascii="Times New Roman" w:hAnsi="Times New Roman"/>
                <w:sz w:val="16"/>
              </w:rPr>
              <w:t>Набавка финансијске</w:t>
            </w:r>
            <w:r>
              <w:rPr>
                <w:rFonts w:ascii="Times New Roman" w:hAnsi="Times New Roman"/>
                <w:spacing w:val="-9"/>
                <w:sz w:val="16"/>
              </w:rPr>
              <w:t> </w:t>
            </w:r>
            <w:r>
              <w:rPr>
                <w:rFonts w:ascii="Times New Roman" w:hAnsi="Times New Roman"/>
                <w:sz w:val="16"/>
              </w:rPr>
              <w:t>имовине</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2.150</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1.700</w:t>
            </w:r>
          </w:p>
        </w:tc>
      </w:tr>
      <w:tr>
        <w:trPr>
          <w:trHeight w:val="194"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left="103" w:right="123"/>
              <w:jc w:val="left"/>
              <w:rPr>
                <w:rFonts w:ascii="Times New Roman" w:hAnsi="Times New Roman" w:cs="Times New Roman" w:eastAsia="Times New Roman" w:hint="default"/>
                <w:sz w:val="16"/>
                <w:szCs w:val="16"/>
              </w:rPr>
            </w:pPr>
            <w:r>
              <w:rPr>
                <w:rFonts w:ascii="Times New Roman"/>
                <w:b/>
                <w:sz w:val="16"/>
              </w:rPr>
              <w:t>4434</w:t>
            </w:r>
            <w:r>
              <w:rPr>
                <w:rFonts w:ascii="Times New Roman"/>
                <w:sz w:val="16"/>
              </w:rPr>
            </w:r>
          </w:p>
        </w:tc>
        <w:tc>
          <w:tcPr>
            <w:tcW w:w="1030" w:type="dxa"/>
            <w:tcBorders>
              <w:top w:val="single" w:sz="4" w:space="0" w:color="000000"/>
              <w:left w:val="single" w:sz="4" w:space="0" w:color="000000"/>
              <w:bottom w:val="single" w:sz="4" w:space="0" w:color="000000"/>
              <w:right w:val="single" w:sz="4" w:space="0" w:color="000000"/>
            </w:tcBorders>
          </w:tcPr>
          <w:p>
            <w:pP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left="103" w:right="105"/>
              <w:jc w:val="left"/>
              <w:rPr>
                <w:rFonts w:ascii="Times New Roman" w:hAnsi="Times New Roman" w:cs="Times New Roman" w:eastAsia="Times New Roman" w:hint="default"/>
                <w:sz w:val="16"/>
                <w:szCs w:val="16"/>
              </w:rPr>
            </w:pPr>
            <w:r>
              <w:rPr>
                <w:rFonts w:ascii="Times New Roman" w:hAnsi="Times New Roman"/>
                <w:b/>
                <w:sz w:val="16"/>
              </w:rPr>
              <w:t>Вишак новчаних</w:t>
            </w:r>
            <w:r>
              <w:rPr>
                <w:rFonts w:ascii="Times New Roman" w:hAnsi="Times New Roman"/>
                <w:b/>
                <w:spacing w:val="-14"/>
                <w:sz w:val="16"/>
              </w:rPr>
              <w:t> </w:t>
            </w:r>
            <w:r>
              <w:rPr>
                <w:rFonts w:ascii="Times New Roman" w:hAnsi="Times New Roman"/>
                <w:b/>
                <w:sz w:val="16"/>
              </w:rPr>
              <w:t>прилива</w:t>
            </w:r>
            <w:r>
              <w:rPr>
                <w:rFonts w:ascii="Times New Roman" w:hAnsi="Times New Roman"/>
                <w:sz w:val="16"/>
              </w:rPr>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2"/>
              <w:jc w:val="right"/>
              <w:rPr>
                <w:rFonts w:ascii="Times New Roman" w:hAnsi="Times New Roman" w:cs="Times New Roman" w:eastAsia="Times New Roman" w:hint="default"/>
                <w:sz w:val="16"/>
                <w:szCs w:val="16"/>
              </w:rPr>
            </w:pPr>
            <w:r>
              <w:rPr>
                <w:rFonts w:ascii="Times New Roman"/>
                <w:spacing w:val="-1"/>
                <w:sz w:val="16"/>
              </w:rPr>
              <w:t>13.930</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38.833</w:t>
            </w:r>
          </w:p>
        </w:tc>
      </w:tr>
      <w:tr>
        <w:trPr>
          <w:trHeight w:val="194"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123"/>
              <w:jc w:val="left"/>
              <w:rPr>
                <w:rFonts w:ascii="Times New Roman" w:hAnsi="Times New Roman" w:cs="Times New Roman" w:eastAsia="Times New Roman" w:hint="default"/>
                <w:sz w:val="16"/>
                <w:szCs w:val="16"/>
              </w:rPr>
            </w:pPr>
            <w:r>
              <w:rPr>
                <w:rFonts w:ascii="Times New Roman"/>
                <w:b/>
                <w:sz w:val="16"/>
              </w:rPr>
              <w:t>4436</w:t>
            </w:r>
            <w:r>
              <w:rPr>
                <w:rFonts w:ascii="Times New Roman"/>
                <w:sz w:val="16"/>
              </w:rPr>
            </w:r>
          </w:p>
        </w:tc>
        <w:tc>
          <w:tcPr>
            <w:tcW w:w="1030" w:type="dxa"/>
            <w:tcBorders>
              <w:top w:val="single" w:sz="4" w:space="0" w:color="000000"/>
              <w:left w:val="single" w:sz="4" w:space="0" w:color="000000"/>
              <w:bottom w:val="single" w:sz="4" w:space="0" w:color="000000"/>
              <w:right w:val="single" w:sz="4" w:space="0" w:color="000000"/>
            </w:tcBorders>
          </w:tcPr>
          <w:p>
            <w:pP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105"/>
              <w:jc w:val="left"/>
              <w:rPr>
                <w:rFonts w:ascii="Times New Roman" w:hAnsi="Times New Roman" w:cs="Times New Roman" w:eastAsia="Times New Roman" w:hint="default"/>
                <w:sz w:val="16"/>
                <w:szCs w:val="16"/>
              </w:rPr>
            </w:pPr>
            <w:r>
              <w:rPr>
                <w:rFonts w:ascii="Times New Roman" w:hAnsi="Times New Roman"/>
                <w:b/>
                <w:sz w:val="16"/>
              </w:rPr>
              <w:t>Салдо готовине на почетку</w:t>
            </w:r>
            <w:r>
              <w:rPr>
                <w:rFonts w:ascii="Times New Roman" w:hAnsi="Times New Roman"/>
                <w:b/>
                <w:spacing w:val="-19"/>
                <w:sz w:val="16"/>
              </w:rPr>
              <w:t> </w:t>
            </w:r>
            <w:r>
              <w:rPr>
                <w:rFonts w:ascii="Times New Roman" w:hAnsi="Times New Roman"/>
                <w:b/>
                <w:sz w:val="16"/>
              </w:rPr>
              <w:t>године</w:t>
            </w:r>
            <w:r>
              <w:rPr>
                <w:rFonts w:ascii="Times New Roman" w:hAnsi="Times New Roman"/>
                <w:sz w:val="16"/>
              </w:rPr>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2"/>
              <w:jc w:val="right"/>
              <w:rPr>
                <w:rFonts w:ascii="Times New Roman" w:hAnsi="Times New Roman" w:cs="Times New Roman" w:eastAsia="Times New Roman" w:hint="default"/>
                <w:sz w:val="16"/>
                <w:szCs w:val="16"/>
              </w:rPr>
            </w:pPr>
            <w:r>
              <w:rPr>
                <w:rFonts w:ascii="Times New Roman"/>
                <w:b/>
                <w:spacing w:val="-1"/>
                <w:sz w:val="16"/>
              </w:rPr>
              <w:t>136.920</w:t>
            </w:r>
            <w:r>
              <w:rPr>
                <w:rFonts w:ascii="Times New Roman"/>
                <w:spacing w:val="-1"/>
                <w:sz w:val="16"/>
              </w:rPr>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b/>
                <w:spacing w:val="-1"/>
                <w:sz w:val="16"/>
              </w:rPr>
              <w:t>143.141</w:t>
            </w:r>
            <w:r>
              <w:rPr>
                <w:rFonts w:ascii="Times New Roman"/>
                <w:spacing w:val="-1"/>
                <w:sz w:val="16"/>
              </w:rPr>
            </w:r>
          </w:p>
        </w:tc>
      </w:tr>
      <w:tr>
        <w:trPr>
          <w:trHeight w:val="194"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123"/>
              <w:jc w:val="left"/>
              <w:rPr>
                <w:rFonts w:ascii="Times New Roman" w:hAnsi="Times New Roman" w:cs="Times New Roman" w:eastAsia="Times New Roman" w:hint="default"/>
                <w:sz w:val="16"/>
                <w:szCs w:val="16"/>
              </w:rPr>
            </w:pPr>
            <w:r>
              <w:rPr>
                <w:rFonts w:ascii="Times New Roman"/>
                <w:b/>
                <w:sz w:val="16"/>
              </w:rPr>
              <w:t>4437</w:t>
            </w:r>
            <w:r>
              <w:rPr>
                <w:rFonts w:ascii="Times New Roman"/>
                <w:sz w:val="16"/>
              </w:rPr>
            </w:r>
          </w:p>
        </w:tc>
        <w:tc>
          <w:tcPr>
            <w:tcW w:w="1030" w:type="dxa"/>
            <w:tcBorders>
              <w:top w:val="single" w:sz="4" w:space="0" w:color="000000"/>
              <w:left w:val="single" w:sz="4" w:space="0" w:color="000000"/>
              <w:bottom w:val="single" w:sz="4" w:space="0" w:color="000000"/>
              <w:right w:val="single" w:sz="4" w:space="0" w:color="000000"/>
            </w:tcBorders>
          </w:tcPr>
          <w:p>
            <w:pP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3" w:right="105"/>
              <w:jc w:val="left"/>
              <w:rPr>
                <w:rFonts w:ascii="Times New Roman" w:hAnsi="Times New Roman" w:cs="Times New Roman" w:eastAsia="Times New Roman" w:hint="default"/>
                <w:sz w:val="16"/>
                <w:szCs w:val="16"/>
              </w:rPr>
            </w:pPr>
            <w:r>
              <w:rPr>
                <w:rFonts w:ascii="Times New Roman" w:hAnsi="Times New Roman"/>
                <w:b/>
                <w:sz w:val="16"/>
              </w:rPr>
              <w:t>Кориговани приливи за примљена средства у</w:t>
            </w:r>
            <w:r>
              <w:rPr>
                <w:rFonts w:ascii="Times New Roman" w:hAnsi="Times New Roman"/>
                <w:b/>
                <w:spacing w:val="-26"/>
                <w:sz w:val="16"/>
              </w:rPr>
              <w:t> </w:t>
            </w:r>
            <w:r>
              <w:rPr>
                <w:rFonts w:ascii="Times New Roman" w:hAnsi="Times New Roman"/>
                <w:b/>
                <w:sz w:val="16"/>
              </w:rPr>
              <w:t>обрачуну</w:t>
            </w:r>
            <w:r>
              <w:rPr>
                <w:rFonts w:ascii="Times New Roman" w:hAnsi="Times New Roman"/>
                <w:sz w:val="16"/>
              </w:rPr>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3"/>
              <w:jc w:val="right"/>
              <w:rPr>
                <w:rFonts w:ascii="Times New Roman" w:hAnsi="Times New Roman" w:cs="Times New Roman" w:eastAsia="Times New Roman" w:hint="default"/>
                <w:sz w:val="16"/>
                <w:szCs w:val="16"/>
              </w:rPr>
            </w:pPr>
            <w:r>
              <w:rPr>
                <w:rFonts w:ascii="Times New Roman"/>
                <w:b/>
                <w:spacing w:val="-1"/>
                <w:sz w:val="16"/>
              </w:rPr>
              <w:t>8.035.611</w:t>
            </w:r>
            <w:r>
              <w:rPr>
                <w:rFonts w:ascii="Times New Roman"/>
                <w:spacing w:val="-1"/>
                <w:sz w:val="16"/>
              </w:rPr>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b/>
                <w:spacing w:val="-1"/>
                <w:sz w:val="16"/>
              </w:rPr>
              <w:t>7.676.966</w:t>
            </w:r>
            <w:r>
              <w:rPr>
                <w:rFonts w:ascii="Times New Roman"/>
                <w:spacing w:val="-1"/>
                <w:sz w:val="16"/>
              </w:rPr>
            </w:r>
          </w:p>
        </w:tc>
      </w:tr>
      <w:tr>
        <w:trPr>
          <w:trHeight w:val="377"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23"/>
              <w:jc w:val="left"/>
              <w:rPr>
                <w:rFonts w:ascii="Times New Roman" w:hAnsi="Times New Roman" w:cs="Times New Roman" w:eastAsia="Times New Roman" w:hint="default"/>
                <w:sz w:val="16"/>
                <w:szCs w:val="16"/>
              </w:rPr>
            </w:pPr>
            <w:r>
              <w:rPr>
                <w:rFonts w:ascii="Times New Roman"/>
                <w:sz w:val="16"/>
              </w:rPr>
              <w:t>4438</w:t>
            </w:r>
          </w:p>
        </w:tc>
        <w:tc>
          <w:tcPr>
            <w:tcW w:w="1030" w:type="dxa"/>
            <w:tcBorders>
              <w:top w:val="single" w:sz="4" w:space="0" w:color="000000"/>
              <w:left w:val="single" w:sz="4" w:space="0" w:color="000000"/>
              <w:bottom w:val="single" w:sz="4" w:space="0" w:color="000000"/>
              <w:right w:val="single" w:sz="4" w:space="0" w:color="000000"/>
            </w:tcBorders>
          </w:tcPr>
          <w:p>
            <w:pP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253"/>
              <w:jc w:val="left"/>
              <w:rPr>
                <w:rFonts w:ascii="Times New Roman" w:hAnsi="Times New Roman" w:cs="Times New Roman" w:eastAsia="Times New Roman" w:hint="default"/>
                <w:sz w:val="16"/>
                <w:szCs w:val="16"/>
              </w:rPr>
            </w:pPr>
            <w:r>
              <w:rPr>
                <w:rFonts w:ascii="Times New Roman" w:hAnsi="Times New Roman"/>
                <w:sz w:val="16"/>
              </w:rPr>
              <w:t>Корекција новчаних прилива за наплаћена средства која се не евидентирају преко класа 700000, 800000 и</w:t>
            </w:r>
            <w:r>
              <w:rPr>
                <w:rFonts w:ascii="Times New Roman" w:hAnsi="Times New Roman"/>
                <w:spacing w:val="-25"/>
                <w:sz w:val="16"/>
              </w:rPr>
              <w:t> </w:t>
            </w:r>
            <w:r>
              <w:rPr>
                <w:rFonts w:ascii="Times New Roman" w:hAnsi="Times New Roman"/>
                <w:sz w:val="16"/>
              </w:rPr>
              <w:t>900000</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948</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8.351</w:t>
            </w:r>
          </w:p>
        </w:tc>
      </w:tr>
      <w:tr>
        <w:trPr>
          <w:trHeight w:val="194"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left="103" w:right="123"/>
              <w:jc w:val="left"/>
              <w:rPr>
                <w:rFonts w:ascii="Times New Roman" w:hAnsi="Times New Roman" w:cs="Times New Roman" w:eastAsia="Times New Roman" w:hint="default"/>
                <w:sz w:val="16"/>
                <w:szCs w:val="16"/>
              </w:rPr>
            </w:pPr>
            <w:r>
              <w:rPr>
                <w:rFonts w:ascii="Times New Roman"/>
                <w:b/>
                <w:sz w:val="16"/>
              </w:rPr>
              <w:t>4439</w:t>
            </w:r>
            <w:r>
              <w:rPr>
                <w:rFonts w:ascii="Times New Roman"/>
                <w:sz w:val="16"/>
              </w:rPr>
            </w:r>
          </w:p>
        </w:tc>
        <w:tc>
          <w:tcPr>
            <w:tcW w:w="1030" w:type="dxa"/>
            <w:tcBorders>
              <w:top w:val="single" w:sz="4" w:space="0" w:color="000000"/>
              <w:left w:val="single" w:sz="4" w:space="0" w:color="000000"/>
              <w:bottom w:val="single" w:sz="4" w:space="0" w:color="000000"/>
              <w:right w:val="single" w:sz="4" w:space="0" w:color="000000"/>
            </w:tcBorders>
          </w:tcPr>
          <w:p>
            <w:pP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left="103" w:right="105"/>
              <w:jc w:val="left"/>
              <w:rPr>
                <w:rFonts w:ascii="Times New Roman" w:hAnsi="Times New Roman" w:cs="Times New Roman" w:eastAsia="Times New Roman" w:hint="default"/>
                <w:sz w:val="16"/>
                <w:szCs w:val="16"/>
              </w:rPr>
            </w:pPr>
            <w:r>
              <w:rPr>
                <w:rFonts w:ascii="Times New Roman" w:hAnsi="Times New Roman"/>
                <w:b/>
                <w:sz w:val="16"/>
              </w:rPr>
              <w:t>Кориговани</w:t>
            </w:r>
            <w:r>
              <w:rPr>
                <w:rFonts w:ascii="Times New Roman" w:hAnsi="Times New Roman"/>
                <w:b/>
                <w:spacing w:val="-5"/>
                <w:sz w:val="16"/>
              </w:rPr>
              <w:t> </w:t>
            </w:r>
            <w:r>
              <w:rPr>
                <w:rFonts w:ascii="Times New Roman" w:hAnsi="Times New Roman"/>
                <w:b/>
                <w:sz w:val="16"/>
              </w:rPr>
              <w:t>одливи</w:t>
            </w:r>
            <w:r>
              <w:rPr>
                <w:rFonts w:ascii="Times New Roman" w:hAnsi="Times New Roman"/>
                <w:b/>
                <w:spacing w:val="-5"/>
                <w:sz w:val="16"/>
              </w:rPr>
              <w:t> </w:t>
            </w:r>
            <w:r>
              <w:rPr>
                <w:rFonts w:ascii="Times New Roman" w:hAnsi="Times New Roman"/>
                <w:b/>
                <w:sz w:val="16"/>
              </w:rPr>
              <w:t>за</w:t>
            </w:r>
            <w:r>
              <w:rPr>
                <w:rFonts w:ascii="Times New Roman" w:hAnsi="Times New Roman"/>
                <w:b/>
                <w:spacing w:val="-5"/>
                <w:sz w:val="16"/>
              </w:rPr>
              <w:t> </w:t>
            </w:r>
            <w:r>
              <w:rPr>
                <w:rFonts w:ascii="Times New Roman" w:hAnsi="Times New Roman"/>
                <w:b/>
                <w:sz w:val="16"/>
              </w:rPr>
              <w:t>исплаћена</w:t>
            </w:r>
            <w:r>
              <w:rPr>
                <w:rFonts w:ascii="Times New Roman" w:hAnsi="Times New Roman"/>
                <w:b/>
                <w:spacing w:val="-5"/>
                <w:sz w:val="16"/>
              </w:rPr>
              <w:t> </w:t>
            </w:r>
            <w:r>
              <w:rPr>
                <w:rFonts w:ascii="Times New Roman" w:hAnsi="Times New Roman"/>
                <w:b/>
                <w:sz w:val="16"/>
              </w:rPr>
              <w:t>средства</w:t>
            </w:r>
            <w:r>
              <w:rPr>
                <w:rFonts w:ascii="Times New Roman" w:hAnsi="Times New Roman"/>
                <w:b/>
                <w:spacing w:val="-5"/>
                <w:sz w:val="16"/>
              </w:rPr>
              <w:t> </w:t>
            </w:r>
            <w:r>
              <w:rPr>
                <w:rFonts w:ascii="Times New Roman" w:hAnsi="Times New Roman"/>
                <w:b/>
                <w:sz w:val="16"/>
              </w:rPr>
              <w:t>у</w:t>
            </w:r>
            <w:r>
              <w:rPr>
                <w:rFonts w:ascii="Times New Roman" w:hAnsi="Times New Roman"/>
                <w:b/>
                <w:spacing w:val="-5"/>
                <w:sz w:val="16"/>
              </w:rPr>
              <w:t> </w:t>
            </w:r>
            <w:r>
              <w:rPr>
                <w:rFonts w:ascii="Times New Roman" w:hAnsi="Times New Roman"/>
                <w:b/>
                <w:sz w:val="16"/>
              </w:rPr>
              <w:t>обрачуну</w:t>
            </w:r>
            <w:r>
              <w:rPr>
                <w:rFonts w:ascii="Times New Roman" w:hAnsi="Times New Roman"/>
                <w:sz w:val="16"/>
              </w:rPr>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right="103"/>
              <w:jc w:val="right"/>
              <w:rPr>
                <w:rFonts w:ascii="Times New Roman" w:hAnsi="Times New Roman" w:cs="Times New Roman" w:eastAsia="Times New Roman" w:hint="default"/>
                <w:sz w:val="16"/>
                <w:szCs w:val="16"/>
              </w:rPr>
            </w:pPr>
            <w:r>
              <w:rPr>
                <w:rFonts w:ascii="Times New Roman"/>
                <w:b/>
                <w:spacing w:val="-1"/>
                <w:sz w:val="16"/>
              </w:rPr>
              <w:t>8.066.669</w:t>
            </w:r>
            <w:r>
              <w:rPr>
                <w:rFonts w:ascii="Times New Roman"/>
                <w:spacing w:val="-1"/>
                <w:sz w:val="16"/>
              </w:rPr>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ind w:right="100"/>
              <w:jc w:val="right"/>
              <w:rPr>
                <w:rFonts w:ascii="Times New Roman" w:hAnsi="Times New Roman" w:cs="Times New Roman" w:eastAsia="Times New Roman" w:hint="default"/>
                <w:sz w:val="16"/>
                <w:szCs w:val="16"/>
              </w:rPr>
            </w:pPr>
            <w:r>
              <w:rPr>
                <w:rFonts w:ascii="Times New Roman"/>
                <w:b/>
                <w:spacing w:val="-1"/>
                <w:sz w:val="16"/>
              </w:rPr>
              <w:t>7.781.869</w:t>
            </w:r>
            <w:r>
              <w:rPr>
                <w:rFonts w:ascii="Times New Roman"/>
                <w:spacing w:val="-1"/>
                <w:sz w:val="16"/>
              </w:rPr>
            </w:r>
          </w:p>
        </w:tc>
      </w:tr>
      <w:tr>
        <w:trPr>
          <w:trHeight w:val="379"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23"/>
              <w:jc w:val="left"/>
              <w:rPr>
                <w:rFonts w:ascii="Times New Roman" w:hAnsi="Times New Roman" w:cs="Times New Roman" w:eastAsia="Times New Roman" w:hint="default"/>
                <w:sz w:val="16"/>
                <w:szCs w:val="16"/>
              </w:rPr>
            </w:pPr>
            <w:r>
              <w:rPr>
                <w:rFonts w:ascii="Times New Roman"/>
                <w:sz w:val="16"/>
              </w:rPr>
              <w:t>4440</w:t>
            </w:r>
          </w:p>
        </w:tc>
        <w:tc>
          <w:tcPr>
            <w:tcW w:w="1030" w:type="dxa"/>
            <w:tcBorders>
              <w:top w:val="single" w:sz="4" w:space="0" w:color="000000"/>
              <w:left w:val="single" w:sz="4" w:space="0" w:color="000000"/>
              <w:bottom w:val="single" w:sz="4" w:space="0" w:color="000000"/>
              <w:right w:val="single" w:sz="4" w:space="0" w:color="000000"/>
            </w:tcBorders>
          </w:tcPr>
          <w:p>
            <w:pP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105"/>
              <w:jc w:val="left"/>
              <w:rPr>
                <w:rFonts w:ascii="Times New Roman" w:hAnsi="Times New Roman" w:cs="Times New Roman" w:eastAsia="Times New Roman" w:hint="default"/>
                <w:sz w:val="16"/>
                <w:szCs w:val="16"/>
              </w:rPr>
            </w:pPr>
            <w:r>
              <w:rPr>
                <w:rFonts w:ascii="Times New Roman" w:hAnsi="Times New Roman"/>
                <w:sz w:val="16"/>
              </w:rPr>
              <w:t>Корекција новчаних одлива за износ обрачунате амортизације књижене на терет сопствених</w:t>
            </w:r>
            <w:r>
              <w:rPr>
                <w:rFonts w:ascii="Times New Roman" w:hAnsi="Times New Roman"/>
                <w:spacing w:val="-20"/>
                <w:sz w:val="16"/>
              </w:rPr>
              <w:t> </w:t>
            </w:r>
            <w:r>
              <w:rPr>
                <w:rFonts w:ascii="Times New Roman" w:hAnsi="Times New Roman"/>
                <w:sz w:val="16"/>
              </w:rPr>
              <w:t>прихода</w:t>
            </w:r>
          </w:p>
        </w:tc>
        <w:tc>
          <w:tcPr>
            <w:tcW w:w="1726" w:type="dxa"/>
            <w:tcBorders>
              <w:top w:val="single" w:sz="4" w:space="0" w:color="000000"/>
              <w:left w:val="single" w:sz="4" w:space="0" w:color="000000"/>
              <w:bottom w:val="single" w:sz="4" w:space="0" w:color="000000"/>
              <w:right w:val="single" w:sz="4" w:space="0" w:color="000000"/>
            </w:tcBorders>
          </w:tcPr>
          <w:p>
            <w:pP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361</w:t>
            </w:r>
          </w:p>
        </w:tc>
      </w:tr>
      <w:tr>
        <w:trPr>
          <w:trHeight w:val="377"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3" w:right="123"/>
              <w:jc w:val="left"/>
              <w:rPr>
                <w:rFonts w:ascii="Times New Roman" w:hAnsi="Times New Roman" w:cs="Times New Roman" w:eastAsia="Times New Roman" w:hint="default"/>
                <w:sz w:val="16"/>
                <w:szCs w:val="16"/>
              </w:rPr>
            </w:pPr>
            <w:r>
              <w:rPr>
                <w:rFonts w:ascii="Times New Roman"/>
                <w:sz w:val="16"/>
              </w:rPr>
              <w:t>4441</w:t>
            </w:r>
          </w:p>
        </w:tc>
        <w:tc>
          <w:tcPr>
            <w:tcW w:w="1030" w:type="dxa"/>
            <w:tcBorders>
              <w:top w:val="single" w:sz="4" w:space="0" w:color="000000"/>
              <w:left w:val="single" w:sz="4" w:space="0" w:color="000000"/>
              <w:bottom w:val="single" w:sz="4" w:space="0" w:color="000000"/>
              <w:right w:val="single" w:sz="4" w:space="0" w:color="000000"/>
            </w:tcBorders>
          </w:tcPr>
          <w:p>
            <w:pP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204"/>
              <w:jc w:val="left"/>
              <w:rPr>
                <w:rFonts w:ascii="Times New Roman" w:hAnsi="Times New Roman" w:cs="Times New Roman" w:eastAsia="Times New Roman" w:hint="default"/>
                <w:sz w:val="16"/>
                <w:szCs w:val="16"/>
              </w:rPr>
            </w:pPr>
            <w:r>
              <w:rPr>
                <w:rFonts w:ascii="Times New Roman" w:hAnsi="Times New Roman"/>
                <w:sz w:val="16"/>
              </w:rPr>
              <w:t>Корекција новчаних одлива за износ плаћених расхода који се не евидентирају преко класе</w:t>
            </w:r>
            <w:r>
              <w:rPr>
                <w:rFonts w:ascii="Times New Roman" w:hAnsi="Times New Roman"/>
                <w:spacing w:val="-28"/>
                <w:sz w:val="16"/>
              </w:rPr>
              <w:t> </w:t>
            </w:r>
            <w:r>
              <w:rPr>
                <w:rFonts w:ascii="Times New Roman" w:hAnsi="Times New Roman"/>
                <w:sz w:val="16"/>
              </w:rPr>
              <w:t>400000, 500000 и 600000</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45.936</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152.448</w:t>
            </w:r>
          </w:p>
        </w:tc>
      </w:tr>
      <w:tr>
        <w:trPr>
          <w:trHeight w:val="195" w:hRule="exact"/>
        </w:trPr>
        <w:tc>
          <w:tcPr>
            <w:tcW w:w="758" w:type="dxa"/>
            <w:tcBorders>
              <w:top w:val="single" w:sz="4" w:space="0" w:color="000000"/>
              <w:left w:val="single" w:sz="4" w:space="0" w:color="000000"/>
              <w:bottom w:val="single" w:sz="4" w:space="0" w:color="000000"/>
              <w:right w:val="single" w:sz="4" w:space="0" w:color="000000"/>
            </w:tcBorders>
          </w:tcPr>
          <w:p>
            <w:pPr>
              <w:pStyle w:val="TableParagraph"/>
              <w:spacing w:line="182" w:lineRule="exact"/>
              <w:ind w:left="103" w:right="123"/>
              <w:jc w:val="left"/>
              <w:rPr>
                <w:rFonts w:ascii="Times New Roman" w:hAnsi="Times New Roman" w:cs="Times New Roman" w:eastAsia="Times New Roman" w:hint="default"/>
                <w:sz w:val="16"/>
                <w:szCs w:val="16"/>
              </w:rPr>
            </w:pPr>
            <w:r>
              <w:rPr>
                <w:rFonts w:ascii="Times New Roman"/>
                <w:b/>
                <w:sz w:val="16"/>
              </w:rPr>
              <w:t>4442</w:t>
            </w:r>
            <w:r>
              <w:rPr>
                <w:rFonts w:ascii="Times New Roman"/>
                <w:sz w:val="16"/>
              </w:rPr>
            </w:r>
          </w:p>
        </w:tc>
        <w:tc>
          <w:tcPr>
            <w:tcW w:w="1030" w:type="dxa"/>
            <w:tcBorders>
              <w:top w:val="single" w:sz="4" w:space="0" w:color="000000"/>
              <w:left w:val="single" w:sz="4" w:space="0" w:color="000000"/>
              <w:bottom w:val="single" w:sz="4" w:space="0" w:color="000000"/>
              <w:right w:val="single" w:sz="4" w:space="0" w:color="000000"/>
            </w:tcBorders>
          </w:tcPr>
          <w:p>
            <w:pPr/>
          </w:p>
        </w:tc>
        <w:tc>
          <w:tcPr>
            <w:tcW w:w="4407" w:type="dxa"/>
            <w:tcBorders>
              <w:top w:val="single" w:sz="4" w:space="0" w:color="000000"/>
              <w:left w:val="single" w:sz="4" w:space="0" w:color="000000"/>
              <w:bottom w:val="single" w:sz="4" w:space="0" w:color="000000"/>
              <w:right w:val="single" w:sz="4" w:space="0" w:color="000000"/>
            </w:tcBorders>
          </w:tcPr>
          <w:p>
            <w:pPr>
              <w:pStyle w:val="TableParagraph"/>
              <w:spacing w:line="182" w:lineRule="exact"/>
              <w:ind w:left="103" w:right="105"/>
              <w:jc w:val="left"/>
              <w:rPr>
                <w:rFonts w:ascii="Times New Roman" w:hAnsi="Times New Roman" w:cs="Times New Roman" w:eastAsia="Times New Roman" w:hint="default"/>
                <w:sz w:val="16"/>
                <w:szCs w:val="16"/>
              </w:rPr>
            </w:pPr>
            <w:r>
              <w:rPr>
                <w:rFonts w:ascii="Times New Roman" w:hAnsi="Times New Roman"/>
                <w:b/>
                <w:sz w:val="16"/>
              </w:rPr>
              <w:t>Салдо готовине на крају</w:t>
            </w:r>
            <w:r>
              <w:rPr>
                <w:rFonts w:ascii="Times New Roman" w:hAnsi="Times New Roman"/>
                <w:b/>
                <w:spacing w:val="-17"/>
                <w:sz w:val="16"/>
              </w:rPr>
              <w:t> </w:t>
            </w:r>
            <w:r>
              <w:rPr>
                <w:rFonts w:ascii="Times New Roman" w:hAnsi="Times New Roman"/>
                <w:b/>
                <w:sz w:val="16"/>
              </w:rPr>
              <w:t>године</w:t>
            </w:r>
            <w:r>
              <w:rPr>
                <w:rFonts w:ascii="Times New Roman" w:hAnsi="Times New Roman"/>
                <w:sz w:val="16"/>
              </w:rPr>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182" w:lineRule="exact"/>
              <w:ind w:right="102"/>
              <w:jc w:val="right"/>
              <w:rPr>
                <w:rFonts w:ascii="Times New Roman" w:hAnsi="Times New Roman" w:cs="Times New Roman" w:eastAsia="Times New Roman" w:hint="default"/>
                <w:sz w:val="16"/>
                <w:szCs w:val="16"/>
              </w:rPr>
            </w:pPr>
            <w:r>
              <w:rPr>
                <w:rFonts w:ascii="Times New Roman"/>
                <w:b/>
                <w:spacing w:val="-1"/>
                <w:sz w:val="16"/>
              </w:rPr>
              <w:t>105.862</w:t>
            </w:r>
            <w:r>
              <w:rPr>
                <w:rFonts w:ascii="Times New Roman"/>
                <w:spacing w:val="-1"/>
                <w:sz w:val="16"/>
              </w:rPr>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line="182" w:lineRule="exact"/>
              <w:ind w:right="100"/>
              <w:jc w:val="right"/>
              <w:rPr>
                <w:rFonts w:ascii="Times New Roman" w:hAnsi="Times New Roman" w:cs="Times New Roman" w:eastAsia="Times New Roman" w:hint="default"/>
                <w:sz w:val="16"/>
                <w:szCs w:val="16"/>
              </w:rPr>
            </w:pPr>
            <w:r>
              <w:rPr>
                <w:rFonts w:ascii="Times New Roman"/>
                <w:b/>
                <w:spacing w:val="-1"/>
                <w:sz w:val="16"/>
              </w:rPr>
              <w:t>38.238</w:t>
            </w:r>
            <w:r>
              <w:rPr>
                <w:rFonts w:ascii="Times New Roman"/>
                <w:spacing w:val="-1"/>
                <w:sz w:val="16"/>
              </w:rPr>
            </w:r>
          </w:p>
        </w:tc>
      </w:tr>
    </w:tbl>
    <w:p>
      <w:pPr>
        <w:pStyle w:val="BodyText"/>
        <w:spacing w:line="240" w:lineRule="auto"/>
        <w:ind w:right="160" w:firstLine="566"/>
        <w:jc w:val="left"/>
      </w:pPr>
      <w:r>
        <w:rPr/>
        <w:t>Град је за 201</w:t>
      </w:r>
      <w:r>
        <w:rPr>
          <w:rFonts w:ascii="Times New Roman" w:hAnsi="Times New Roman"/>
        </w:rPr>
        <w:t>4</w:t>
      </w:r>
      <w:r>
        <w:rPr/>
        <w:t>. годину исказао</w:t>
      </w:r>
      <w:r>
        <w:rPr>
          <w:rFonts w:ascii="Times New Roman" w:hAnsi="Times New Roman"/>
        </w:rPr>
        <w:t>: (1) </w:t>
      </w:r>
      <w:r>
        <w:rPr/>
        <w:t>вишак новчаних прилива у износу од </w:t>
      </w:r>
      <w:r>
        <w:rPr>
          <w:rFonts w:ascii="Times New Roman" w:hAnsi="Times New Roman"/>
        </w:rPr>
        <w:t>38.833 </w:t>
      </w:r>
      <w:r>
        <w:rPr/>
        <w:t>хиљаде динара; (2) салдо готовине на почетку године у износу од </w:t>
      </w:r>
      <w:r>
        <w:rPr>
          <w:rFonts w:ascii="Times New Roman" w:hAnsi="Times New Roman"/>
        </w:rPr>
        <w:t>143.141 </w:t>
      </w:r>
      <w:r>
        <w:rPr/>
        <w:t>хиљаде</w:t>
      </w:r>
      <w:r>
        <w:rPr>
          <w:spacing w:val="-8"/>
        </w:rPr>
        <w:t> </w:t>
      </w:r>
      <w:r>
        <w:rPr/>
        <w:t>динара;</w:t>
      </w:r>
    </w:p>
    <w:p>
      <w:pPr>
        <w:pStyle w:val="BodyText"/>
        <w:spacing w:line="240" w:lineRule="auto"/>
        <w:ind w:right="211"/>
        <w:jc w:val="both"/>
      </w:pPr>
      <w:r>
        <w:rPr/>
        <w:t>(3) кориговани прилив за примљена средства у обрачуну у износу од </w:t>
      </w:r>
      <w:r>
        <w:rPr>
          <w:rFonts w:ascii="Times New Roman" w:hAnsi="Times New Roman"/>
        </w:rPr>
        <w:t>7.676.966 </w:t>
      </w:r>
      <w:r>
        <w:rPr/>
        <w:t>хиљада динара; (4) корекција новчаних прилива за наплаћена средства која се не евидентирају преко класа 700000, 800000 и 900000 у износу од 8.351 хиљаде динара; (5) кориговани одлив за исплаћена средства у обрачуну у износу од </w:t>
      </w:r>
      <w:r>
        <w:rPr>
          <w:rFonts w:ascii="Times New Roman" w:hAnsi="Times New Roman"/>
        </w:rPr>
        <w:t>7.781.869 </w:t>
      </w:r>
      <w:r>
        <w:rPr/>
        <w:t>хиљада динара</w:t>
      </w:r>
      <w:r>
        <w:rPr>
          <w:rFonts w:ascii="Times New Roman" w:hAnsi="Times New Roman"/>
        </w:rPr>
        <w:t>, (6) </w:t>
      </w:r>
      <w:r>
        <w:rPr/>
        <w:t>корекција новчаних одлива за износ обрачунате амортизације књижене на терет сопствених прихода у износу од 361 хиљаде динара, (7) корекција новчаних одлива за износ плаћених расхода који се не евидентирају преко класе 400000, 500000 и 600000 у износу од 152.448 хиљада динара и (</w:t>
      </w:r>
      <w:r>
        <w:rPr>
          <w:rFonts w:ascii="Times New Roman" w:hAnsi="Times New Roman"/>
        </w:rPr>
        <w:t>8</w:t>
      </w:r>
      <w:r>
        <w:rPr/>
        <w:t>) салдо готовине на крају године у износу од </w:t>
      </w:r>
      <w:r>
        <w:rPr>
          <w:rFonts w:ascii="Times New Roman" w:hAnsi="Times New Roman"/>
        </w:rPr>
        <w:t>38.238 </w:t>
      </w:r>
      <w:r>
        <w:rPr/>
        <w:t>хиљада</w:t>
      </w:r>
      <w:r>
        <w:rPr>
          <w:spacing w:val="-3"/>
        </w:rPr>
        <w:t> </w:t>
      </w:r>
      <w:r>
        <w:rPr/>
        <w:t>динара.</w:t>
      </w:r>
    </w:p>
    <w:p>
      <w:pPr>
        <w:pStyle w:val="Heading1"/>
        <w:spacing w:line="240" w:lineRule="auto"/>
        <w:ind w:right="160"/>
        <w:jc w:val="left"/>
        <w:rPr>
          <w:b w:val="0"/>
          <w:bCs w:val="0"/>
        </w:rPr>
      </w:pPr>
      <w:r>
        <w:rPr/>
        <w:t>На основу ревизије узорковане документације утврђено</w:t>
      </w:r>
      <w:r>
        <w:rPr>
          <w:spacing w:val="-16"/>
        </w:rPr>
        <w:t> </w:t>
      </w:r>
      <w:r>
        <w:rPr/>
        <w:t>је:</w:t>
      </w:r>
      <w:r>
        <w:rPr>
          <w:b w:val="0"/>
        </w:rPr>
      </w:r>
    </w:p>
    <w:p>
      <w:pPr>
        <w:spacing w:after="0" w:line="240" w:lineRule="auto"/>
        <w:jc w:val="left"/>
        <w:sectPr>
          <w:footerReference w:type="default" r:id="rId104"/>
          <w:pgSz w:w="12240" w:h="15840"/>
          <w:pgMar w:footer="1504" w:header="740" w:top="1200" w:bottom="1700" w:left="1400" w:right="1220"/>
          <w:pgNumType w:start="35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ListParagraph"/>
        <w:numPr>
          <w:ilvl w:val="0"/>
          <w:numId w:val="9"/>
        </w:numPr>
        <w:tabs>
          <w:tab w:pos="303" w:val="left" w:leader="none"/>
        </w:tabs>
        <w:spacing w:line="240" w:lineRule="auto" w:before="8"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Обрасцу 4, Текући приходи исказани су у мањем износу за 21.027 хиљада динара из разлога, што нису евидентирани приходи који су уплаћени на подрачуне за пројекте, и  то: износ од 6.489 хиљада динара од Комесаријата за избеглице и миграције Републике Србије и износ од 2.593 хиљада динара од Бугарске за Пројекат „Eco</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milk“ и у износу од 11.945 хиљада динара за Пројекат „Имовина локалних самоуправа у процесу ЕУ интеграција“, што је супротно члану 9. Уредбе о буџетском</w:t>
      </w:r>
      <w:r>
        <w:rPr>
          <w:rFonts w:ascii="Times New Roman" w:hAnsi="Times New Roman" w:cs="Times New Roman" w:eastAsia="Times New Roman" w:hint="default"/>
          <w:spacing w:val="-27"/>
          <w:sz w:val="24"/>
          <w:szCs w:val="24"/>
        </w:rPr>
        <w:t> </w:t>
      </w:r>
      <w:r>
        <w:rPr>
          <w:rFonts w:ascii="Times New Roman" w:hAnsi="Times New Roman" w:cs="Times New Roman" w:eastAsia="Times New Roman" w:hint="default"/>
          <w:sz w:val="24"/>
          <w:szCs w:val="24"/>
        </w:rPr>
        <w:t>рачуноводству.</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У Обрасцу 4, Текући расходи и издаци за нефинансијску имовину су мање исказани у износу за </w:t>
      </w:r>
      <w:r>
        <w:rPr>
          <w:rFonts w:ascii="Times New Roman" w:hAnsi="Times New Roman"/>
          <w:sz w:val="24"/>
        </w:rPr>
        <w:t>25.795 </w:t>
      </w:r>
      <w:r>
        <w:rPr>
          <w:rFonts w:ascii="Times New Roman" w:hAnsi="Times New Roman"/>
          <w:sz w:val="24"/>
        </w:rPr>
        <w:t>хиљада динара из разлога што нису евидентирани расходи и издаци који су исплаћени са подрачуна за пројекте, и то: износ од 434 хиљаде динара по пројекту са Комесаријатом за избеглице, износ од 990 хиљада динара за пројекат Држава</w:t>
      </w:r>
      <w:r>
        <w:rPr>
          <w:rFonts w:ascii="Times New Roman" w:hAnsi="Times New Roman"/>
          <w:sz w:val="24"/>
        </w:rPr>
        <w:t>-</w:t>
      </w:r>
      <w:r>
        <w:rPr>
          <w:rFonts w:ascii="Times New Roman" w:hAnsi="Times New Roman"/>
          <w:sz w:val="24"/>
        </w:rPr>
        <w:t>Црква</w:t>
      </w:r>
      <w:r>
        <w:rPr>
          <w:rFonts w:ascii="Times New Roman" w:hAnsi="Times New Roman"/>
          <w:sz w:val="24"/>
        </w:rPr>
        <w:t>- </w:t>
      </w:r>
      <w:r>
        <w:rPr>
          <w:rFonts w:ascii="Times New Roman" w:hAnsi="Times New Roman"/>
          <w:sz w:val="24"/>
        </w:rPr>
        <w:t>Друштво, износ од 1.702 хиљаде динара за пројекат Милански едикт, износ од 3.209 хиљада динара за пројекат са Бугарском</w:t>
      </w:r>
      <w:r>
        <w:rPr>
          <w:rFonts w:ascii="Times New Roman" w:hAnsi="Times New Roman"/>
          <w:sz w:val="24"/>
        </w:rPr>
        <w:t>- Eco-milk </w:t>
      </w:r>
      <w:r>
        <w:rPr>
          <w:rFonts w:ascii="Times New Roman" w:hAnsi="Times New Roman"/>
          <w:sz w:val="24"/>
        </w:rPr>
        <w:t>и износ од 19.350 хиљада динара за изградњу социјалних станова од Републичке агенције за социјално становање, што није у складу са чланом 9. Уредбе о буџетском</w:t>
      </w:r>
      <w:r>
        <w:rPr>
          <w:rFonts w:ascii="Times New Roman" w:hAnsi="Times New Roman"/>
          <w:spacing w:val="-16"/>
          <w:sz w:val="24"/>
        </w:rPr>
        <w:t> </w:t>
      </w:r>
      <w:r>
        <w:rPr>
          <w:rFonts w:ascii="Times New Roman" w:hAnsi="Times New Roman"/>
          <w:sz w:val="24"/>
        </w:rPr>
        <w:t>рачуноводству.</w:t>
      </w:r>
    </w:p>
    <w:p>
      <w:pPr>
        <w:pStyle w:val="ListParagraph"/>
        <w:numPr>
          <w:ilvl w:val="0"/>
          <w:numId w:val="9"/>
        </w:numPr>
        <w:tabs>
          <w:tab w:pos="341"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Обрасцу 4, више су исказани издаци за набавку домаће финансијске имовине у износу од 1.650 хиљада динара, због неправилно евидентираних субвенција датих Слободној зони „Југ“ доо Ниш на класи 600000 – издаци за отплату главнице и набавку финансијске имовине, а мање исказани расходи на класи 400000, у истом износу, што је супротно члану 9. Уредбе о буџетском рачуноводству и Правилника о стандардном класификационом оквиру и контном плану за буџетски</w:t>
      </w:r>
      <w:r>
        <w:rPr>
          <w:rFonts w:ascii="Times New Roman" w:hAnsi="Times New Roman" w:cs="Times New Roman" w:eastAsia="Times New Roman" w:hint="default"/>
          <w:spacing w:val="-27"/>
          <w:sz w:val="24"/>
          <w:szCs w:val="24"/>
        </w:rPr>
        <w:t> </w:t>
      </w:r>
      <w:r>
        <w:rPr>
          <w:rFonts w:ascii="Times New Roman" w:hAnsi="Times New Roman" w:cs="Times New Roman" w:eastAsia="Times New Roman" w:hint="default"/>
          <w:sz w:val="24"/>
          <w:szCs w:val="24"/>
        </w:rPr>
        <w:t>систем.</w:t>
      </w:r>
    </w:p>
    <w:p>
      <w:pPr>
        <w:pStyle w:val="ListParagraph"/>
        <w:numPr>
          <w:ilvl w:val="0"/>
          <w:numId w:val="9"/>
        </w:numPr>
        <w:tabs>
          <w:tab w:pos="303" w:val="left" w:leader="none"/>
        </w:tabs>
        <w:spacing w:line="240" w:lineRule="auto" w:before="2"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Постоји неслагање између колоне претходна година, салдо готовине на крају године исказан је у износу од 105.861 хиљаде динара и колоне текућа година, салдо готовине на почетку године исказан је у износу од 143.141 хиљада</w:t>
      </w:r>
      <w:r>
        <w:rPr>
          <w:rFonts w:ascii="Times New Roman" w:hAnsi="Times New Roman"/>
          <w:spacing w:val="-15"/>
          <w:sz w:val="24"/>
        </w:rPr>
        <w:t> </w:t>
      </w:r>
      <w:r>
        <w:rPr>
          <w:rFonts w:ascii="Times New Roman" w:hAnsi="Times New Roman"/>
          <w:sz w:val="24"/>
        </w:rPr>
        <w:t>динара.</w:t>
      </w:r>
    </w:p>
    <w:p>
      <w:pPr>
        <w:pStyle w:val="ListParagraph"/>
        <w:numPr>
          <w:ilvl w:val="0"/>
          <w:numId w:val="9"/>
        </w:numPr>
        <w:tabs>
          <w:tab w:pos="303" w:val="left" w:leader="none"/>
        </w:tabs>
        <w:spacing w:line="240" w:lineRule="auto" w:before="2" w:after="0"/>
        <w:ind w:left="160" w:right="176" w:firstLine="0"/>
        <w:jc w:val="both"/>
        <w:rPr>
          <w:rFonts w:ascii="Times New Roman" w:hAnsi="Times New Roman" w:cs="Times New Roman" w:eastAsia="Times New Roman" w:hint="default"/>
          <w:sz w:val="24"/>
          <w:szCs w:val="24"/>
        </w:rPr>
      </w:pPr>
      <w:r>
        <w:rPr>
          <w:rFonts w:ascii="Times New Roman" w:hAnsi="Times New Roman"/>
          <w:sz w:val="24"/>
        </w:rPr>
        <w:t>У Обрасцу 4 на ознаци ОП4442 </w:t>
      </w:r>
      <w:r>
        <w:rPr>
          <w:rFonts w:ascii="Times New Roman" w:hAnsi="Times New Roman"/>
          <w:sz w:val="24"/>
        </w:rPr>
        <w:t>- </w:t>
      </w:r>
      <w:r>
        <w:rPr>
          <w:rFonts w:ascii="Times New Roman" w:hAnsi="Times New Roman"/>
          <w:sz w:val="24"/>
        </w:rPr>
        <w:t>салдо готовине на крају године је исказан у мањем износу за 56.877 хиљада динара, што је супротно члану 9. Правилника о начину припреме, састављања и подношења финансијских извештаја корисника буџетских средстава и корисника средстава организација обавезног социјалног осигурања и буџетских</w:t>
      </w:r>
      <w:r>
        <w:rPr>
          <w:rFonts w:ascii="Times New Roman" w:hAnsi="Times New Roman"/>
          <w:spacing w:val="-4"/>
          <w:sz w:val="24"/>
        </w:rPr>
        <w:t> </w:t>
      </w:r>
      <w:r>
        <w:rPr>
          <w:rFonts w:ascii="Times New Roman" w:hAnsi="Times New Roman"/>
          <w:sz w:val="24"/>
        </w:rPr>
        <w:t>фондова</w:t>
      </w:r>
      <w:r>
        <w:rPr>
          <w:rFonts w:ascii="Times New Roman" w:hAnsi="Times New Roman"/>
          <w:sz w:val="24"/>
        </w:rPr>
        <w:t>.</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sz w:val="24"/>
        </w:rPr>
        <w:t>У Обрасцу 4 на ознаци ОП4441</w:t>
      </w:r>
      <w:r>
        <w:rPr>
          <w:rFonts w:ascii="Times New Roman" w:hAnsi="Times New Roman"/>
          <w:sz w:val="24"/>
        </w:rPr>
        <w:t>- </w:t>
      </w:r>
      <w:r>
        <w:rPr>
          <w:rFonts w:ascii="Times New Roman" w:hAnsi="Times New Roman"/>
          <w:sz w:val="24"/>
        </w:rPr>
        <w:t>Корекција новчаних одлива за износ плаћених расхода који се не евидентирају преко класе 400000, 500000 и 600000, више је исказана за износ од 146.000 хиљада динара, јер је исказана интерна позајмица која је враћена до краја 2014. године, што је супротно члану 9. Правилника о начину припреме, састављања и подношења финансијских извештаја корисника буџетских средстава и корисника средстава организација обавезног социјалног осигурања и буџетских</w:t>
      </w:r>
      <w:r>
        <w:rPr>
          <w:rFonts w:ascii="Times New Roman" w:hAnsi="Times New Roman"/>
          <w:spacing w:val="-18"/>
          <w:sz w:val="24"/>
        </w:rPr>
        <w:t> </w:t>
      </w:r>
      <w:r>
        <w:rPr>
          <w:rFonts w:ascii="Times New Roman" w:hAnsi="Times New Roman"/>
          <w:sz w:val="24"/>
        </w:rPr>
        <w:t>фондова</w:t>
      </w:r>
      <w:r>
        <w:rPr>
          <w:rFonts w:ascii="Times New Roman" w:hAnsi="Times New Roman"/>
          <w:sz w:val="24"/>
        </w:rPr>
        <w:t>.</w:t>
      </w:r>
    </w:p>
    <w:p>
      <w:pPr>
        <w:pStyle w:val="Heading2"/>
        <w:spacing w:line="240" w:lineRule="auto"/>
        <w:ind w:right="177"/>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Правилника о начину припреме, састављања и подношења финансијских извештаја корисника буџетских средстава и корисника средстава организација обавезног социјалног осигурања и буџетских</w:t>
      </w:r>
      <w:r>
        <w:rPr>
          <w:i/>
          <w:spacing w:val="-6"/>
        </w:rPr>
        <w:t> </w:t>
      </w:r>
      <w:r>
        <w:rPr>
          <w:i/>
        </w:rPr>
        <w:t>фондова</w:t>
      </w:r>
      <w:r>
        <w:rPr>
          <w:rFonts w:ascii="Times New Roman" w:hAnsi="Times New Roman"/>
          <w:i/>
        </w:rPr>
        <w:t>.</w:t>
      </w:r>
      <w:r>
        <w:rPr>
          <w:rFonts w:ascii="Times New Roman" w:hAnsi="Times New Roman"/>
          <w:b w:val="0"/>
          <w:i w:val="0"/>
        </w:rPr>
      </w:r>
    </w:p>
    <w:p>
      <w:pPr>
        <w:spacing w:line="274" w:lineRule="exact" w:before="139"/>
        <w:ind w:left="726" w:right="141" w:firstLine="0"/>
        <w:jc w:val="left"/>
        <w:rPr>
          <w:rFonts w:ascii="Times New Roman" w:hAnsi="Times New Roman" w:cs="Times New Roman" w:eastAsia="Times New Roman" w:hint="default"/>
          <w:sz w:val="24"/>
          <w:szCs w:val="24"/>
        </w:rPr>
      </w:pPr>
      <w:r>
        <w:rPr>
          <w:rFonts w:ascii="Times New Roman" w:hAnsi="Times New Roman"/>
          <w:b/>
          <w:sz w:val="24"/>
        </w:rPr>
        <w:t>Разлике између одобрених средстава и извршења, према Обрасцу</w:t>
      </w:r>
      <w:r>
        <w:rPr>
          <w:rFonts w:ascii="Times New Roman" w:hAnsi="Times New Roman"/>
          <w:b/>
          <w:spacing w:val="-20"/>
          <w:sz w:val="24"/>
        </w:rPr>
        <w:t> </w:t>
      </w:r>
      <w:r>
        <w:rPr>
          <w:rFonts w:ascii="Times New Roman" w:hAnsi="Times New Roman"/>
          <w:b/>
          <w:sz w:val="24"/>
        </w:rPr>
        <w:t>5</w:t>
      </w:r>
      <w:r>
        <w:rPr>
          <w:rFonts w:ascii="Times New Roman" w:hAnsi="Times New Roman"/>
          <w:sz w:val="24"/>
        </w:rPr>
      </w:r>
    </w:p>
    <w:p>
      <w:pPr>
        <w:pStyle w:val="BodyText"/>
        <w:spacing w:line="240" w:lineRule="auto"/>
        <w:ind w:right="177" w:firstLine="566"/>
        <w:jc w:val="both"/>
        <w:rPr>
          <w:rFonts w:ascii="Times New Roman" w:hAnsi="Times New Roman" w:cs="Times New Roman" w:eastAsia="Times New Roman" w:hint="default"/>
        </w:rPr>
      </w:pPr>
      <w:r>
        <w:rPr/>
        <w:t>У Извештају о извршењу буџета у периоду од 01.01. до </w:t>
      </w:r>
      <w:r>
        <w:rPr>
          <w:rFonts w:ascii="Times New Roman" w:hAnsi="Times New Roman"/>
        </w:rPr>
        <w:t>31.12.2014</w:t>
      </w:r>
      <w:r>
        <w:rPr/>
        <w:t>. године утврђен је вишак новчаних прилива у износу од 38.833 хиљадe динара, као разлика између укупних прихода и примања у износу од 7.668.615 хиљада динара и укупних расхода и издатака у износу од 7.629.782 хиљадe динара. Ова разлика приказана је по нивоима финансирања у следећим</w:t>
      </w:r>
      <w:r>
        <w:rPr>
          <w:spacing w:val="-8"/>
        </w:rPr>
        <w:t> </w:t>
      </w:r>
      <w:r>
        <w:rPr/>
        <w:t>табелама</w:t>
      </w:r>
      <w:r>
        <w:rPr>
          <w:rFonts w:ascii="Times New Roman" w:hAnsi="Times New Roman"/>
        </w:rPr>
        <w:t>:</w:t>
      </w:r>
    </w:p>
    <w:p>
      <w:pPr>
        <w:spacing w:after="0" w:line="240" w:lineRule="auto"/>
        <w:jc w:val="both"/>
        <w:rPr>
          <w:rFonts w:ascii="Times New Roman" w:hAnsi="Times New Roman" w:cs="Times New Roman" w:eastAsia="Times New Roman" w:hint="default"/>
        </w:rPr>
        <w:sectPr>
          <w:pgSz w:w="12240" w:h="15840"/>
          <w:pgMar w:header="740" w:footer="1504" w:top="1200" w:bottom="1700" w:left="1400" w:right="1260"/>
        </w:sectPr>
      </w:pPr>
    </w:p>
    <w:p>
      <w:pPr>
        <w:spacing w:line="60" w:lineRule="exact"/>
        <w:ind w:left="16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tabs>
          <w:tab w:pos="7861" w:val="left" w:leader="none"/>
        </w:tabs>
        <w:spacing w:before="7" w:after="8"/>
        <w:ind w:left="1242" w:right="0" w:firstLine="0"/>
        <w:jc w:val="left"/>
        <w:rPr>
          <w:rFonts w:ascii="Times New Roman" w:hAnsi="Times New Roman" w:cs="Times New Roman" w:eastAsia="Times New Roman" w:hint="default"/>
          <w:sz w:val="18"/>
          <w:szCs w:val="18"/>
        </w:rPr>
      </w:pPr>
      <w:r>
        <w:rPr>
          <w:rFonts w:ascii="Times New Roman" w:hAnsi="Times New Roman"/>
          <w:sz w:val="20"/>
        </w:rPr>
        <w:t>Табела  прихода</w:t>
      </w:r>
      <w:r>
        <w:rPr>
          <w:rFonts w:ascii="Times New Roman" w:hAnsi="Times New Roman"/>
          <w:spacing w:val="23"/>
          <w:sz w:val="20"/>
        </w:rPr>
        <w:t> </w:t>
      </w:r>
      <w:r>
        <w:rPr>
          <w:rFonts w:ascii="Times New Roman" w:hAnsi="Times New Roman"/>
          <w:sz w:val="20"/>
        </w:rPr>
        <w:t>и</w:t>
      </w:r>
      <w:r>
        <w:rPr>
          <w:rFonts w:ascii="Times New Roman" w:hAnsi="Times New Roman"/>
          <w:spacing w:val="33"/>
          <w:sz w:val="20"/>
        </w:rPr>
        <w:t> </w:t>
      </w:r>
      <w:r>
        <w:rPr>
          <w:rFonts w:ascii="Times New Roman" w:hAnsi="Times New Roman"/>
          <w:sz w:val="20"/>
        </w:rPr>
        <w:t>примања</w:t>
        <w:tab/>
      </w:r>
      <w:r>
        <w:rPr>
          <w:rFonts w:ascii="Times New Roman" w:hAnsi="Times New Roman"/>
          <w:sz w:val="20"/>
        </w:rPr>
        <w:t>(</w:t>
      </w:r>
      <w:r>
        <w:rPr>
          <w:rFonts w:ascii="Times New Roman" w:hAnsi="Times New Roman"/>
          <w:sz w:val="18"/>
        </w:rPr>
        <w:t>у хиљадама</w:t>
      </w:r>
      <w:r>
        <w:rPr>
          <w:rFonts w:ascii="Times New Roman" w:hAnsi="Times New Roman"/>
          <w:spacing w:val="-10"/>
          <w:sz w:val="18"/>
        </w:rPr>
        <w:t> </w:t>
      </w:r>
      <w:r>
        <w:rPr>
          <w:rFonts w:ascii="Times New Roman" w:hAnsi="Times New Roman"/>
          <w:sz w:val="18"/>
        </w:rPr>
        <w:t>динара</w:t>
      </w:r>
      <w:r>
        <w:rPr>
          <w:rFonts w:ascii="Times New Roman" w:hAnsi="Times New Roman"/>
          <w:sz w:val="18"/>
        </w:rPr>
        <w:t>)</w:t>
      </w:r>
    </w:p>
    <w:tbl>
      <w:tblPr>
        <w:tblW w:w="0" w:type="auto"/>
        <w:jc w:val="left"/>
        <w:tblInd w:w="107" w:type="dxa"/>
        <w:tblLayout w:type="fixed"/>
        <w:tblCellMar>
          <w:top w:w="0" w:type="dxa"/>
          <w:left w:w="0" w:type="dxa"/>
          <w:bottom w:w="0" w:type="dxa"/>
          <w:right w:w="0" w:type="dxa"/>
        </w:tblCellMar>
        <w:tblLook w:val="01E0"/>
      </w:tblPr>
      <w:tblGrid>
        <w:gridCol w:w="739"/>
        <w:gridCol w:w="2345"/>
        <w:gridCol w:w="852"/>
        <w:gridCol w:w="1080"/>
        <w:gridCol w:w="900"/>
        <w:gridCol w:w="997"/>
        <w:gridCol w:w="770"/>
        <w:gridCol w:w="989"/>
        <w:gridCol w:w="936"/>
      </w:tblGrid>
      <w:tr>
        <w:trPr>
          <w:trHeight w:val="379"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77" w:right="151" w:hanging="20"/>
              <w:jc w:val="left"/>
              <w:rPr>
                <w:rFonts w:ascii="Times New Roman" w:hAnsi="Times New Roman" w:cs="Times New Roman" w:eastAsia="Times New Roman" w:hint="default"/>
                <w:sz w:val="16"/>
                <w:szCs w:val="16"/>
              </w:rPr>
            </w:pPr>
            <w:r>
              <w:rPr>
                <w:rFonts w:ascii="Times New Roman" w:hAnsi="Times New Roman"/>
                <w:b/>
                <w:sz w:val="16"/>
              </w:rPr>
              <w:t>Екон. клас.</w:t>
            </w:r>
            <w:r>
              <w:rPr>
                <w:rFonts w:ascii="Times New Roman" w:hAnsi="Times New Roman"/>
                <w:sz w:val="16"/>
              </w:rPr>
            </w:r>
          </w:p>
        </w:tc>
        <w:tc>
          <w:tcPr>
            <w:tcW w:w="2345"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424" w:right="219"/>
              <w:jc w:val="left"/>
              <w:rPr>
                <w:rFonts w:ascii="Times New Roman" w:hAnsi="Times New Roman" w:cs="Times New Roman" w:eastAsia="Times New Roman" w:hint="default"/>
                <w:sz w:val="16"/>
                <w:szCs w:val="16"/>
              </w:rPr>
            </w:pPr>
            <w:r>
              <w:rPr>
                <w:rFonts w:ascii="Times New Roman" w:hAnsi="Times New Roman"/>
                <w:b/>
                <w:sz w:val="16"/>
              </w:rPr>
              <w:t>Приходи и</w:t>
            </w:r>
            <w:r>
              <w:rPr>
                <w:rFonts w:ascii="Times New Roman" w:hAnsi="Times New Roman"/>
                <w:b/>
                <w:spacing w:val="-9"/>
                <w:sz w:val="16"/>
              </w:rPr>
              <w:t> </w:t>
            </w:r>
            <w:r>
              <w:rPr>
                <w:rFonts w:ascii="Times New Roman" w:hAnsi="Times New Roman"/>
                <w:b/>
                <w:sz w:val="16"/>
              </w:rPr>
              <w:t>примања</w:t>
            </w:r>
            <w:r>
              <w:rPr>
                <w:rFonts w:ascii="Times New Roman" w:hAnsi="Times New Roman"/>
                <w:sz w:val="16"/>
              </w:rPr>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79" w:right="123" w:hanging="53"/>
              <w:jc w:val="left"/>
              <w:rPr>
                <w:rFonts w:ascii="Times New Roman" w:hAnsi="Times New Roman" w:cs="Times New Roman" w:eastAsia="Times New Roman" w:hint="default"/>
                <w:sz w:val="16"/>
                <w:szCs w:val="16"/>
              </w:rPr>
            </w:pPr>
            <w:r>
              <w:rPr>
                <w:rFonts w:ascii="Times New Roman" w:hAnsi="Times New Roman"/>
                <w:b/>
                <w:sz w:val="16"/>
              </w:rPr>
              <w:t>План из буџета</w:t>
            </w:r>
            <w:r>
              <w:rPr>
                <w:rFonts w:ascii="Times New Roman" w:hAnsi="Times New Roman"/>
                <w:sz w:val="16"/>
              </w:rPr>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81" w:right="249" w:hanging="24"/>
              <w:jc w:val="left"/>
              <w:rPr>
                <w:rFonts w:ascii="Times New Roman" w:hAnsi="Times New Roman" w:cs="Times New Roman" w:eastAsia="Times New Roman" w:hint="default"/>
                <w:sz w:val="16"/>
                <w:szCs w:val="16"/>
              </w:rPr>
            </w:pPr>
            <w:r>
              <w:rPr>
                <w:rFonts w:ascii="Times New Roman" w:hAnsi="Times New Roman"/>
                <w:b/>
                <w:sz w:val="16"/>
              </w:rPr>
              <w:t>Укупно (5 до</w:t>
            </w:r>
            <w:r>
              <w:rPr>
                <w:rFonts w:ascii="Times New Roman" w:hAnsi="Times New Roman"/>
                <w:b/>
                <w:spacing w:val="-2"/>
                <w:sz w:val="16"/>
              </w:rPr>
              <w:t> </w:t>
            </w:r>
            <w:r>
              <w:rPr>
                <w:rFonts w:ascii="Times New Roman" w:hAnsi="Times New Roman"/>
                <w:b/>
                <w:sz w:val="16"/>
              </w:rPr>
              <w:t>9)</w:t>
            </w:r>
            <w:r>
              <w:rPr>
                <w:rFonts w:ascii="Times New Roman" w:hAnsi="Times New Roman"/>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54"/>
              <w:jc w:val="right"/>
              <w:rPr>
                <w:rFonts w:ascii="Times New Roman" w:hAnsi="Times New Roman" w:cs="Times New Roman" w:eastAsia="Times New Roman" w:hint="default"/>
                <w:sz w:val="16"/>
                <w:szCs w:val="16"/>
              </w:rPr>
            </w:pPr>
            <w:r>
              <w:rPr>
                <w:rFonts w:ascii="Times New Roman" w:hAnsi="Times New Roman"/>
                <w:b/>
                <w:spacing w:val="-1"/>
                <w:sz w:val="16"/>
              </w:rPr>
              <w:t>Република</w:t>
            </w:r>
            <w:r>
              <w:rPr>
                <w:rFonts w:ascii="Times New Roman" w:hAnsi="Times New Roman"/>
                <w:spacing w:val="-1"/>
                <w:sz w:val="16"/>
              </w:rPr>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317" w:right="0"/>
              <w:jc w:val="left"/>
              <w:rPr>
                <w:rFonts w:ascii="Times New Roman" w:hAnsi="Times New Roman" w:cs="Times New Roman" w:eastAsia="Times New Roman" w:hint="default"/>
                <w:sz w:val="16"/>
                <w:szCs w:val="16"/>
              </w:rPr>
            </w:pPr>
            <w:r>
              <w:rPr>
                <w:rFonts w:ascii="Times New Roman" w:hAnsi="Times New Roman"/>
                <w:b/>
                <w:sz w:val="16"/>
              </w:rPr>
              <w:t>Град</w:t>
            </w:r>
            <w:r>
              <w:rPr>
                <w:rFonts w:ascii="Times New Roman" w:hAnsi="Times New Roman"/>
                <w:sz w:val="16"/>
              </w:rPr>
            </w:r>
          </w:p>
        </w:tc>
        <w:tc>
          <w:tcPr>
            <w:tcW w:w="77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34"/>
              <w:jc w:val="right"/>
              <w:rPr>
                <w:rFonts w:ascii="Times New Roman" w:hAnsi="Times New Roman" w:cs="Times New Roman" w:eastAsia="Times New Roman" w:hint="default"/>
                <w:sz w:val="16"/>
                <w:szCs w:val="16"/>
              </w:rPr>
            </w:pPr>
            <w:r>
              <w:rPr>
                <w:rFonts w:ascii="Times New Roman" w:hAnsi="Times New Roman"/>
                <w:b/>
                <w:spacing w:val="-1"/>
                <w:sz w:val="16"/>
              </w:rPr>
              <w:t>ООСО</w:t>
            </w:r>
            <w:r>
              <w:rPr>
                <w:rFonts w:ascii="Times New Roman" w:hAnsi="Times New Roman"/>
                <w:spacing w:val="-1"/>
                <w:sz w:val="16"/>
              </w:rPr>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50"/>
              <w:jc w:val="right"/>
              <w:rPr>
                <w:rFonts w:ascii="Times New Roman" w:hAnsi="Times New Roman" w:cs="Times New Roman" w:eastAsia="Times New Roman" w:hint="default"/>
                <w:sz w:val="16"/>
                <w:szCs w:val="16"/>
              </w:rPr>
            </w:pPr>
            <w:r>
              <w:rPr>
                <w:rFonts w:ascii="Times New Roman" w:hAnsi="Times New Roman"/>
                <w:b/>
                <w:spacing w:val="-1"/>
                <w:sz w:val="16"/>
              </w:rPr>
              <w:t>Донације</w:t>
            </w:r>
            <w:r>
              <w:rPr>
                <w:rFonts w:ascii="Times New Roman" w:hAnsi="Times New Roman"/>
                <w:spacing w:val="-1"/>
                <w:sz w:val="16"/>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99" w:right="107"/>
              <w:jc w:val="left"/>
              <w:rPr>
                <w:rFonts w:ascii="Times New Roman" w:hAnsi="Times New Roman" w:cs="Times New Roman" w:eastAsia="Times New Roman" w:hint="default"/>
                <w:sz w:val="16"/>
                <w:szCs w:val="16"/>
              </w:rPr>
            </w:pPr>
            <w:r>
              <w:rPr>
                <w:rFonts w:ascii="Times New Roman" w:hAnsi="Times New Roman"/>
                <w:b/>
                <w:sz w:val="16"/>
              </w:rPr>
              <w:t>Остало</w:t>
            </w:r>
            <w:r>
              <w:rPr>
                <w:rFonts w:ascii="Times New Roman" w:hAnsi="Times New Roman"/>
                <w:sz w:val="16"/>
              </w:rPr>
            </w:r>
          </w:p>
        </w:tc>
      </w:tr>
      <w:tr>
        <w:trPr>
          <w:trHeight w:val="194"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
              <w:jc w:val="center"/>
              <w:rPr>
                <w:rFonts w:ascii="Times New Roman" w:hAnsi="Times New Roman" w:cs="Times New Roman" w:eastAsia="Times New Roman" w:hint="default"/>
                <w:sz w:val="16"/>
                <w:szCs w:val="16"/>
              </w:rPr>
            </w:pPr>
            <w:r>
              <w:rPr>
                <w:rFonts w:ascii="Times New Roman"/>
                <w:w w:val="100"/>
                <w:sz w:val="16"/>
              </w:rPr>
              <w:t>1</w:t>
            </w:r>
          </w:p>
        </w:tc>
        <w:tc>
          <w:tcPr>
            <w:tcW w:w="234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2"/>
              <w:jc w:val="center"/>
              <w:rPr>
                <w:rFonts w:ascii="Times New Roman" w:hAnsi="Times New Roman" w:cs="Times New Roman" w:eastAsia="Times New Roman" w:hint="default"/>
                <w:sz w:val="16"/>
                <w:szCs w:val="16"/>
              </w:rPr>
            </w:pPr>
            <w:r>
              <w:rPr>
                <w:rFonts w:ascii="Times New Roman"/>
                <w:w w:val="100"/>
                <w:sz w:val="16"/>
              </w:rPr>
              <w:t>2</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 w:right="0"/>
              <w:jc w:val="center"/>
              <w:rPr>
                <w:rFonts w:ascii="Times New Roman" w:hAnsi="Times New Roman" w:cs="Times New Roman" w:eastAsia="Times New Roman" w:hint="default"/>
                <w:sz w:val="16"/>
                <w:szCs w:val="16"/>
              </w:rPr>
            </w:pPr>
            <w:r>
              <w:rPr>
                <w:rFonts w:ascii="Times New Roman"/>
                <w:w w:val="100"/>
                <w:sz w:val="16"/>
              </w:rPr>
              <w:t>3</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0"/>
              <w:jc w:val="center"/>
              <w:rPr>
                <w:rFonts w:ascii="Times New Roman" w:hAnsi="Times New Roman" w:cs="Times New Roman" w:eastAsia="Times New Roman" w:hint="default"/>
                <w:sz w:val="16"/>
                <w:szCs w:val="16"/>
              </w:rPr>
            </w:pPr>
            <w:r>
              <w:rPr>
                <w:rFonts w:ascii="Times New Roman"/>
                <w:w w:val="100"/>
                <w:sz w:val="16"/>
              </w:rPr>
              <w:t>4</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 w:right="0"/>
              <w:jc w:val="center"/>
              <w:rPr>
                <w:rFonts w:ascii="Times New Roman" w:hAnsi="Times New Roman" w:cs="Times New Roman" w:eastAsia="Times New Roman" w:hint="default"/>
                <w:sz w:val="16"/>
                <w:szCs w:val="16"/>
              </w:rPr>
            </w:pPr>
            <w:r>
              <w:rPr>
                <w:rFonts w:ascii="Times New Roman"/>
                <w:w w:val="100"/>
                <w:sz w:val="16"/>
              </w:rPr>
              <w:t>5</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 w:right="0"/>
              <w:jc w:val="center"/>
              <w:rPr>
                <w:rFonts w:ascii="Times New Roman" w:hAnsi="Times New Roman" w:cs="Times New Roman" w:eastAsia="Times New Roman" w:hint="default"/>
                <w:sz w:val="16"/>
                <w:szCs w:val="16"/>
              </w:rPr>
            </w:pPr>
            <w:r>
              <w:rPr>
                <w:rFonts w:ascii="Times New Roman"/>
                <w:w w:val="100"/>
                <w:sz w:val="16"/>
              </w:rPr>
              <w:t>6</w:t>
            </w:r>
          </w:p>
        </w:tc>
        <w:tc>
          <w:tcPr>
            <w:tcW w:w="77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 w:right="0"/>
              <w:jc w:val="center"/>
              <w:rPr>
                <w:rFonts w:ascii="Times New Roman" w:hAnsi="Times New Roman" w:cs="Times New Roman" w:eastAsia="Times New Roman" w:hint="default"/>
                <w:sz w:val="16"/>
                <w:szCs w:val="16"/>
              </w:rPr>
            </w:pPr>
            <w:r>
              <w:rPr>
                <w:rFonts w:ascii="Times New Roman"/>
                <w:w w:val="100"/>
                <w:sz w:val="16"/>
              </w:rPr>
              <w:t>7</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
              <w:jc w:val="center"/>
              <w:rPr>
                <w:rFonts w:ascii="Times New Roman" w:hAnsi="Times New Roman" w:cs="Times New Roman" w:eastAsia="Times New Roman" w:hint="default"/>
                <w:sz w:val="16"/>
                <w:szCs w:val="16"/>
              </w:rPr>
            </w:pPr>
            <w:r>
              <w:rPr>
                <w:rFonts w:ascii="Times New Roman"/>
                <w:w w:val="100"/>
                <w:sz w:val="16"/>
              </w:rPr>
              <w:t>8</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
              <w:jc w:val="center"/>
              <w:rPr>
                <w:rFonts w:ascii="Times New Roman" w:hAnsi="Times New Roman" w:cs="Times New Roman" w:eastAsia="Times New Roman" w:hint="default"/>
                <w:sz w:val="16"/>
                <w:szCs w:val="16"/>
              </w:rPr>
            </w:pPr>
            <w:r>
              <w:rPr>
                <w:rFonts w:ascii="Times New Roman"/>
                <w:w w:val="100"/>
                <w:sz w:val="16"/>
              </w:rPr>
              <w:t>9</w:t>
            </w:r>
          </w:p>
        </w:tc>
      </w:tr>
      <w:tr>
        <w:trPr>
          <w:trHeight w:val="192"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89" w:right="129"/>
              <w:jc w:val="center"/>
              <w:rPr>
                <w:rFonts w:ascii="Times New Roman" w:hAnsi="Times New Roman" w:cs="Times New Roman" w:eastAsia="Times New Roman" w:hint="default"/>
                <w:sz w:val="16"/>
                <w:szCs w:val="16"/>
              </w:rPr>
            </w:pPr>
            <w:r>
              <w:rPr>
                <w:rFonts w:ascii="Times New Roman"/>
                <w:sz w:val="16"/>
              </w:rPr>
              <w:t>710000</w:t>
            </w:r>
          </w:p>
        </w:tc>
        <w:tc>
          <w:tcPr>
            <w:tcW w:w="234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0" w:right="219"/>
              <w:jc w:val="left"/>
              <w:rPr>
                <w:rFonts w:ascii="Times New Roman" w:hAnsi="Times New Roman" w:cs="Times New Roman" w:eastAsia="Times New Roman" w:hint="default"/>
                <w:sz w:val="16"/>
                <w:szCs w:val="16"/>
              </w:rPr>
            </w:pPr>
            <w:r>
              <w:rPr>
                <w:rFonts w:ascii="Times New Roman" w:hAnsi="Times New Roman"/>
                <w:sz w:val="16"/>
              </w:rPr>
              <w:t>Порези</w:t>
            </w:r>
          </w:p>
        </w:tc>
        <w:tc>
          <w:tcPr>
            <w:tcW w:w="852"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4.824.793</w:t>
            </w:r>
          </w:p>
        </w:tc>
        <w:tc>
          <w:tcPr>
            <w:tcW w:w="900" w:type="dxa"/>
            <w:tcBorders>
              <w:top w:val="single" w:sz="4" w:space="0" w:color="000000"/>
              <w:left w:val="single" w:sz="4" w:space="0" w:color="000000"/>
              <w:bottom w:val="single" w:sz="4" w:space="0" w:color="000000"/>
              <w:right w:val="single" w:sz="4" w:space="0" w:color="000000"/>
            </w:tcBorders>
          </w:tcPr>
          <w:p>
            <w:pP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1"/>
              <w:jc w:val="right"/>
              <w:rPr>
                <w:rFonts w:ascii="Times New Roman" w:hAnsi="Times New Roman" w:cs="Times New Roman" w:eastAsia="Times New Roman" w:hint="default"/>
                <w:sz w:val="16"/>
                <w:szCs w:val="16"/>
              </w:rPr>
            </w:pPr>
            <w:r>
              <w:rPr>
                <w:rFonts w:ascii="Times New Roman"/>
                <w:spacing w:val="-1"/>
                <w:sz w:val="16"/>
              </w:rPr>
              <w:t>4.824.265</w:t>
            </w:r>
          </w:p>
        </w:tc>
        <w:tc>
          <w:tcPr>
            <w:tcW w:w="770" w:type="dxa"/>
            <w:tcBorders>
              <w:top w:val="single" w:sz="4" w:space="0" w:color="000000"/>
              <w:left w:val="single" w:sz="4" w:space="0" w:color="000000"/>
              <w:bottom w:val="single" w:sz="4" w:space="0" w:color="000000"/>
              <w:right w:val="single" w:sz="4" w:space="0" w:color="000000"/>
            </w:tcBorders>
          </w:tcPr>
          <w:p>
            <w:pPr/>
          </w:p>
        </w:tc>
        <w:tc>
          <w:tcPr>
            <w:tcW w:w="989" w:type="dxa"/>
            <w:tcBorders>
              <w:top w:val="single" w:sz="4" w:space="0" w:color="000000"/>
              <w:left w:val="single" w:sz="4" w:space="0" w:color="000000"/>
              <w:bottom w:val="single" w:sz="4" w:space="0" w:color="000000"/>
              <w:right w:val="single" w:sz="4" w:space="0" w:color="000000"/>
            </w:tcBorders>
          </w:tcPr>
          <w:p>
            <w:pP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528</w:t>
            </w:r>
          </w:p>
        </w:tc>
      </w:tr>
      <w:tr>
        <w:trPr>
          <w:trHeight w:val="194"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89" w:right="129"/>
              <w:jc w:val="center"/>
              <w:rPr>
                <w:rFonts w:ascii="Times New Roman" w:hAnsi="Times New Roman" w:cs="Times New Roman" w:eastAsia="Times New Roman" w:hint="default"/>
                <w:sz w:val="16"/>
                <w:szCs w:val="16"/>
              </w:rPr>
            </w:pPr>
            <w:r>
              <w:rPr>
                <w:rFonts w:ascii="Times New Roman"/>
                <w:sz w:val="16"/>
              </w:rPr>
              <w:t>730000</w:t>
            </w:r>
          </w:p>
        </w:tc>
        <w:tc>
          <w:tcPr>
            <w:tcW w:w="2345"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0" w:right="219"/>
              <w:jc w:val="left"/>
              <w:rPr>
                <w:rFonts w:ascii="Times New Roman" w:hAnsi="Times New Roman" w:cs="Times New Roman" w:eastAsia="Times New Roman" w:hint="default"/>
                <w:sz w:val="16"/>
                <w:szCs w:val="16"/>
              </w:rPr>
            </w:pPr>
            <w:r>
              <w:rPr>
                <w:rFonts w:ascii="Times New Roman" w:hAnsi="Times New Roman"/>
                <w:sz w:val="16"/>
              </w:rPr>
              <w:t>Донације и</w:t>
            </w:r>
            <w:r>
              <w:rPr>
                <w:rFonts w:ascii="Times New Roman" w:hAnsi="Times New Roman"/>
                <w:spacing w:val="-7"/>
                <w:sz w:val="16"/>
              </w:rPr>
              <w:t> </w:t>
            </w:r>
            <w:r>
              <w:rPr>
                <w:rFonts w:ascii="Times New Roman" w:hAnsi="Times New Roman"/>
                <w:sz w:val="16"/>
              </w:rPr>
              <w:t>трансфери</w:t>
            </w:r>
          </w:p>
        </w:tc>
        <w:tc>
          <w:tcPr>
            <w:tcW w:w="852"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911.367</w:t>
            </w:r>
          </w:p>
        </w:tc>
        <w:tc>
          <w:tcPr>
            <w:tcW w:w="900" w:type="dxa"/>
            <w:tcBorders>
              <w:top w:val="single" w:sz="4" w:space="0" w:color="000000"/>
              <w:left w:val="single" w:sz="4" w:space="0" w:color="000000"/>
              <w:bottom w:val="single" w:sz="4" w:space="0" w:color="000000"/>
              <w:right w:val="single" w:sz="4" w:space="0" w:color="000000"/>
            </w:tcBorders>
          </w:tcPr>
          <w:p>
            <w:pP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900.990</w:t>
            </w:r>
          </w:p>
        </w:tc>
        <w:tc>
          <w:tcPr>
            <w:tcW w:w="770" w:type="dxa"/>
            <w:tcBorders>
              <w:top w:val="single" w:sz="4" w:space="0" w:color="000000"/>
              <w:left w:val="single" w:sz="4" w:space="0" w:color="000000"/>
              <w:bottom w:val="single" w:sz="4" w:space="0" w:color="000000"/>
              <w:right w:val="single" w:sz="4" w:space="0" w:color="000000"/>
            </w:tcBorders>
          </w:tcPr>
          <w:p>
            <w:pP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284</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2"/>
              <w:jc w:val="right"/>
              <w:rPr>
                <w:rFonts w:ascii="Times New Roman" w:hAnsi="Times New Roman" w:cs="Times New Roman" w:eastAsia="Times New Roman" w:hint="default"/>
                <w:sz w:val="16"/>
                <w:szCs w:val="16"/>
              </w:rPr>
            </w:pPr>
            <w:r>
              <w:rPr>
                <w:rFonts w:ascii="Times New Roman"/>
                <w:spacing w:val="-1"/>
                <w:sz w:val="16"/>
              </w:rPr>
              <w:t>10.093</w:t>
            </w:r>
          </w:p>
        </w:tc>
      </w:tr>
      <w:tr>
        <w:trPr>
          <w:trHeight w:val="194"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89" w:right="129"/>
              <w:jc w:val="center"/>
              <w:rPr>
                <w:rFonts w:ascii="Times New Roman" w:hAnsi="Times New Roman" w:cs="Times New Roman" w:eastAsia="Times New Roman" w:hint="default"/>
                <w:sz w:val="16"/>
                <w:szCs w:val="16"/>
              </w:rPr>
            </w:pPr>
            <w:r>
              <w:rPr>
                <w:rFonts w:ascii="Times New Roman"/>
                <w:sz w:val="16"/>
              </w:rPr>
              <w:t>740000</w:t>
            </w:r>
          </w:p>
        </w:tc>
        <w:tc>
          <w:tcPr>
            <w:tcW w:w="234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0" w:right="219"/>
              <w:jc w:val="left"/>
              <w:rPr>
                <w:rFonts w:ascii="Times New Roman" w:hAnsi="Times New Roman" w:cs="Times New Roman" w:eastAsia="Times New Roman" w:hint="default"/>
                <w:sz w:val="16"/>
                <w:szCs w:val="16"/>
              </w:rPr>
            </w:pPr>
            <w:r>
              <w:rPr>
                <w:rFonts w:ascii="Times New Roman" w:hAnsi="Times New Roman"/>
                <w:sz w:val="16"/>
              </w:rPr>
              <w:t>Други</w:t>
            </w:r>
            <w:r>
              <w:rPr>
                <w:rFonts w:ascii="Times New Roman" w:hAnsi="Times New Roman"/>
                <w:spacing w:val="-3"/>
                <w:sz w:val="16"/>
              </w:rPr>
              <w:t> </w:t>
            </w:r>
            <w:r>
              <w:rPr>
                <w:rFonts w:ascii="Times New Roman" w:hAnsi="Times New Roman"/>
                <w:sz w:val="16"/>
              </w:rPr>
              <w:t>приходи</w:t>
            </w:r>
          </w:p>
        </w:tc>
        <w:tc>
          <w:tcPr>
            <w:tcW w:w="852"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1.228.130</w:t>
            </w:r>
          </w:p>
        </w:tc>
        <w:tc>
          <w:tcPr>
            <w:tcW w:w="900" w:type="dxa"/>
            <w:tcBorders>
              <w:top w:val="single" w:sz="4" w:space="0" w:color="000000"/>
              <w:left w:val="single" w:sz="4" w:space="0" w:color="000000"/>
              <w:bottom w:val="single" w:sz="4" w:space="0" w:color="000000"/>
              <w:right w:val="single" w:sz="4" w:space="0" w:color="000000"/>
            </w:tcBorders>
          </w:tcPr>
          <w:p>
            <w:pP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888.155</w:t>
            </w:r>
          </w:p>
        </w:tc>
        <w:tc>
          <w:tcPr>
            <w:tcW w:w="770" w:type="dxa"/>
            <w:tcBorders>
              <w:top w:val="single" w:sz="4" w:space="0" w:color="000000"/>
              <w:left w:val="single" w:sz="4" w:space="0" w:color="000000"/>
              <w:bottom w:val="single" w:sz="4" w:space="0" w:color="000000"/>
              <w:right w:val="single" w:sz="4" w:space="0" w:color="000000"/>
            </w:tcBorders>
          </w:tcPr>
          <w:p>
            <w:pP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1.505</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338.470</w:t>
            </w:r>
          </w:p>
        </w:tc>
      </w:tr>
      <w:tr>
        <w:trPr>
          <w:trHeight w:val="379"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89" w:right="129"/>
              <w:jc w:val="center"/>
              <w:rPr>
                <w:rFonts w:ascii="Times New Roman" w:hAnsi="Times New Roman" w:cs="Times New Roman" w:eastAsia="Times New Roman" w:hint="default"/>
                <w:sz w:val="16"/>
                <w:szCs w:val="16"/>
              </w:rPr>
            </w:pPr>
            <w:r>
              <w:rPr>
                <w:rFonts w:ascii="Times New Roman"/>
                <w:sz w:val="16"/>
              </w:rPr>
              <w:t>770000</w:t>
            </w:r>
          </w:p>
        </w:tc>
        <w:tc>
          <w:tcPr>
            <w:tcW w:w="23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0" w:right="1060"/>
              <w:jc w:val="left"/>
              <w:rPr>
                <w:rFonts w:ascii="Times New Roman" w:hAnsi="Times New Roman" w:cs="Times New Roman" w:eastAsia="Times New Roman" w:hint="default"/>
                <w:sz w:val="16"/>
                <w:szCs w:val="16"/>
              </w:rPr>
            </w:pPr>
            <w:r>
              <w:rPr>
                <w:rFonts w:ascii="Times New Roman" w:hAnsi="Times New Roman"/>
                <w:sz w:val="16"/>
              </w:rPr>
              <w:t>Мемор. ставке за рефунд.расхода</w:t>
            </w:r>
          </w:p>
        </w:tc>
        <w:tc>
          <w:tcPr>
            <w:tcW w:w="852"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5.220</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2.099</w:t>
            </w:r>
          </w:p>
        </w:tc>
        <w:tc>
          <w:tcPr>
            <w:tcW w:w="997" w:type="dxa"/>
            <w:tcBorders>
              <w:top w:val="single" w:sz="4" w:space="0" w:color="000000"/>
              <w:left w:val="single" w:sz="4" w:space="0" w:color="000000"/>
              <w:bottom w:val="single" w:sz="4" w:space="0" w:color="000000"/>
              <w:right w:val="single" w:sz="4" w:space="0" w:color="000000"/>
            </w:tcBorders>
          </w:tcPr>
          <w:p>
            <w:pPr/>
          </w:p>
        </w:tc>
        <w:tc>
          <w:tcPr>
            <w:tcW w:w="77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1.566</w:t>
            </w:r>
          </w:p>
        </w:tc>
        <w:tc>
          <w:tcPr>
            <w:tcW w:w="989" w:type="dxa"/>
            <w:tcBorders>
              <w:top w:val="single" w:sz="4" w:space="0" w:color="000000"/>
              <w:left w:val="single" w:sz="4" w:space="0" w:color="000000"/>
              <w:bottom w:val="single" w:sz="4" w:space="0" w:color="000000"/>
              <w:right w:val="single" w:sz="4" w:space="0" w:color="000000"/>
            </w:tcBorders>
          </w:tcPr>
          <w:p>
            <w:pP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1.555</w:t>
            </w:r>
          </w:p>
        </w:tc>
      </w:tr>
      <w:tr>
        <w:trPr>
          <w:trHeight w:val="377"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89" w:right="129"/>
              <w:jc w:val="center"/>
              <w:rPr>
                <w:rFonts w:ascii="Times New Roman" w:hAnsi="Times New Roman" w:cs="Times New Roman" w:eastAsia="Times New Roman" w:hint="default"/>
                <w:sz w:val="16"/>
                <w:szCs w:val="16"/>
              </w:rPr>
            </w:pPr>
            <w:r>
              <w:rPr>
                <w:rFonts w:ascii="Times New Roman"/>
                <w:sz w:val="16"/>
              </w:rPr>
              <w:t>780000</w:t>
            </w:r>
          </w:p>
        </w:tc>
        <w:tc>
          <w:tcPr>
            <w:tcW w:w="2345" w:type="dxa"/>
            <w:tcBorders>
              <w:top w:val="single" w:sz="4" w:space="0" w:color="000000"/>
              <w:left w:val="single" w:sz="4" w:space="0" w:color="000000"/>
              <w:bottom w:val="single" w:sz="4" w:space="0" w:color="000000"/>
              <w:right w:val="single" w:sz="4" w:space="0" w:color="000000"/>
            </w:tcBorders>
          </w:tcPr>
          <w:p>
            <w:pPr>
              <w:pStyle w:val="TableParagraph"/>
              <w:spacing w:line="237" w:lineRule="auto"/>
              <w:ind w:left="100" w:right="219"/>
              <w:jc w:val="left"/>
              <w:rPr>
                <w:rFonts w:ascii="Times New Roman" w:hAnsi="Times New Roman" w:cs="Times New Roman" w:eastAsia="Times New Roman" w:hint="default"/>
                <w:sz w:val="16"/>
                <w:szCs w:val="16"/>
              </w:rPr>
            </w:pPr>
            <w:r>
              <w:rPr>
                <w:rFonts w:ascii="Times New Roman" w:hAnsi="Times New Roman"/>
                <w:sz w:val="16"/>
              </w:rPr>
              <w:t>Трансфери између буџетских корисника на истом</w:t>
            </w:r>
            <w:r>
              <w:rPr>
                <w:rFonts w:ascii="Times New Roman" w:hAnsi="Times New Roman"/>
                <w:spacing w:val="-10"/>
                <w:sz w:val="16"/>
              </w:rPr>
              <w:t> </w:t>
            </w:r>
            <w:r>
              <w:rPr>
                <w:rFonts w:ascii="Times New Roman" w:hAnsi="Times New Roman"/>
                <w:sz w:val="16"/>
              </w:rPr>
              <w:t>нивоу</w:t>
            </w:r>
          </w:p>
        </w:tc>
        <w:tc>
          <w:tcPr>
            <w:tcW w:w="852"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10.013</w:t>
            </w:r>
          </w:p>
        </w:tc>
        <w:tc>
          <w:tcPr>
            <w:tcW w:w="900" w:type="dxa"/>
            <w:tcBorders>
              <w:top w:val="single" w:sz="4" w:space="0" w:color="000000"/>
              <w:left w:val="single" w:sz="4" w:space="0" w:color="000000"/>
              <w:bottom w:val="single" w:sz="4" w:space="0" w:color="000000"/>
              <w:right w:val="single" w:sz="4" w:space="0" w:color="000000"/>
            </w:tcBorders>
          </w:tcPr>
          <w:p>
            <w:pPr/>
          </w:p>
        </w:tc>
        <w:tc>
          <w:tcPr>
            <w:tcW w:w="997" w:type="dxa"/>
            <w:tcBorders>
              <w:top w:val="single" w:sz="4" w:space="0" w:color="000000"/>
              <w:left w:val="single" w:sz="4" w:space="0" w:color="000000"/>
              <w:bottom w:val="single" w:sz="4" w:space="0" w:color="000000"/>
              <w:right w:val="single" w:sz="4" w:space="0" w:color="000000"/>
            </w:tcBorders>
          </w:tcPr>
          <w:p>
            <w:pPr/>
          </w:p>
        </w:tc>
        <w:tc>
          <w:tcPr>
            <w:tcW w:w="770" w:type="dxa"/>
            <w:tcBorders>
              <w:top w:val="single" w:sz="4" w:space="0" w:color="000000"/>
              <w:left w:val="single" w:sz="4" w:space="0" w:color="000000"/>
              <w:bottom w:val="single" w:sz="4" w:space="0" w:color="000000"/>
              <w:right w:val="single" w:sz="4" w:space="0" w:color="000000"/>
            </w:tcBorders>
          </w:tcPr>
          <w:p>
            <w:pP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182</w:t>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9.831</w:t>
            </w:r>
          </w:p>
        </w:tc>
      </w:tr>
      <w:tr>
        <w:trPr>
          <w:trHeight w:val="194"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89" w:right="129"/>
              <w:jc w:val="center"/>
              <w:rPr>
                <w:rFonts w:ascii="Times New Roman" w:hAnsi="Times New Roman" w:cs="Times New Roman" w:eastAsia="Times New Roman" w:hint="default"/>
                <w:sz w:val="16"/>
                <w:szCs w:val="16"/>
              </w:rPr>
            </w:pPr>
            <w:r>
              <w:rPr>
                <w:rFonts w:ascii="Times New Roman"/>
                <w:sz w:val="16"/>
              </w:rPr>
              <w:t>790000</w:t>
            </w:r>
          </w:p>
        </w:tc>
        <w:tc>
          <w:tcPr>
            <w:tcW w:w="234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0" w:right="219"/>
              <w:jc w:val="left"/>
              <w:rPr>
                <w:rFonts w:ascii="Times New Roman" w:hAnsi="Times New Roman" w:cs="Times New Roman" w:eastAsia="Times New Roman" w:hint="default"/>
                <w:sz w:val="16"/>
                <w:szCs w:val="16"/>
              </w:rPr>
            </w:pPr>
            <w:r>
              <w:rPr>
                <w:rFonts w:ascii="Times New Roman" w:hAnsi="Times New Roman"/>
                <w:sz w:val="16"/>
              </w:rPr>
              <w:t>Приходи из</w:t>
            </w:r>
            <w:r>
              <w:rPr>
                <w:rFonts w:ascii="Times New Roman" w:hAnsi="Times New Roman"/>
                <w:spacing w:val="-6"/>
                <w:sz w:val="16"/>
              </w:rPr>
              <w:t> </w:t>
            </w:r>
            <w:r>
              <w:rPr>
                <w:rFonts w:ascii="Times New Roman" w:hAnsi="Times New Roman"/>
                <w:sz w:val="16"/>
              </w:rPr>
              <w:t>буџета</w:t>
            </w:r>
          </w:p>
        </w:tc>
        <w:tc>
          <w:tcPr>
            <w:tcW w:w="852"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51.306</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51.306</w:t>
            </w:r>
          </w:p>
        </w:tc>
        <w:tc>
          <w:tcPr>
            <w:tcW w:w="997" w:type="dxa"/>
            <w:tcBorders>
              <w:top w:val="single" w:sz="4" w:space="0" w:color="000000"/>
              <w:left w:val="single" w:sz="4" w:space="0" w:color="000000"/>
              <w:bottom w:val="single" w:sz="4" w:space="0" w:color="000000"/>
              <w:right w:val="single" w:sz="4" w:space="0" w:color="000000"/>
            </w:tcBorders>
          </w:tcPr>
          <w:p>
            <w:pPr/>
          </w:p>
        </w:tc>
        <w:tc>
          <w:tcPr>
            <w:tcW w:w="770" w:type="dxa"/>
            <w:tcBorders>
              <w:top w:val="single" w:sz="4" w:space="0" w:color="000000"/>
              <w:left w:val="single" w:sz="4" w:space="0" w:color="000000"/>
              <w:bottom w:val="single" w:sz="4" w:space="0" w:color="000000"/>
              <w:right w:val="single" w:sz="4" w:space="0" w:color="000000"/>
            </w:tcBorders>
          </w:tcPr>
          <w:p>
            <w:pPr/>
          </w:p>
        </w:tc>
        <w:tc>
          <w:tcPr>
            <w:tcW w:w="989" w:type="dxa"/>
            <w:tcBorders>
              <w:top w:val="single" w:sz="4" w:space="0" w:color="000000"/>
              <w:left w:val="single" w:sz="4" w:space="0" w:color="000000"/>
              <w:bottom w:val="single" w:sz="4" w:space="0" w:color="000000"/>
              <w:right w:val="single" w:sz="4" w:space="0" w:color="000000"/>
            </w:tcBorders>
          </w:tcPr>
          <w:p>
            <w:pPr/>
          </w:p>
        </w:tc>
        <w:tc>
          <w:tcPr>
            <w:tcW w:w="936" w:type="dxa"/>
            <w:tcBorders>
              <w:top w:val="single" w:sz="4" w:space="0" w:color="000000"/>
              <w:left w:val="single" w:sz="4" w:space="0" w:color="000000"/>
              <w:bottom w:val="single" w:sz="4" w:space="0" w:color="000000"/>
              <w:right w:val="single" w:sz="4" w:space="0" w:color="000000"/>
            </w:tcBorders>
          </w:tcPr>
          <w:p>
            <w:pPr/>
          </w:p>
        </w:tc>
      </w:tr>
      <w:tr>
        <w:trPr>
          <w:trHeight w:val="194"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89" w:right="129"/>
              <w:jc w:val="center"/>
              <w:rPr>
                <w:rFonts w:ascii="Times New Roman" w:hAnsi="Times New Roman" w:cs="Times New Roman" w:eastAsia="Times New Roman" w:hint="default"/>
                <w:sz w:val="16"/>
                <w:szCs w:val="16"/>
              </w:rPr>
            </w:pPr>
            <w:r>
              <w:rPr>
                <w:rFonts w:ascii="Times New Roman"/>
                <w:b/>
                <w:sz w:val="16"/>
              </w:rPr>
              <w:t>700000</w:t>
            </w:r>
            <w:r>
              <w:rPr>
                <w:rFonts w:ascii="Times New Roman"/>
                <w:sz w:val="16"/>
              </w:rPr>
            </w:r>
          </w:p>
        </w:tc>
        <w:tc>
          <w:tcPr>
            <w:tcW w:w="2345"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0" w:right="219"/>
              <w:jc w:val="left"/>
              <w:rPr>
                <w:rFonts w:ascii="Times New Roman" w:hAnsi="Times New Roman" w:cs="Times New Roman" w:eastAsia="Times New Roman" w:hint="default"/>
                <w:sz w:val="16"/>
                <w:szCs w:val="16"/>
              </w:rPr>
            </w:pPr>
            <w:r>
              <w:rPr>
                <w:rFonts w:ascii="Times New Roman" w:hAnsi="Times New Roman"/>
                <w:b/>
                <w:sz w:val="16"/>
              </w:rPr>
              <w:t>Текући</w:t>
            </w:r>
            <w:r>
              <w:rPr>
                <w:rFonts w:ascii="Times New Roman" w:hAnsi="Times New Roman"/>
                <w:b/>
                <w:spacing w:val="-7"/>
                <w:sz w:val="16"/>
              </w:rPr>
              <w:t> </w:t>
            </w:r>
            <w:r>
              <w:rPr>
                <w:rFonts w:ascii="Times New Roman" w:hAnsi="Times New Roman"/>
                <w:b/>
                <w:sz w:val="16"/>
              </w:rPr>
              <w:t>приходи</w:t>
            </w:r>
            <w:r>
              <w:rPr>
                <w:rFonts w:ascii="Times New Roman" w:hAnsi="Times New Roman"/>
                <w:sz w:val="16"/>
              </w:rPr>
            </w:r>
          </w:p>
        </w:tc>
        <w:tc>
          <w:tcPr>
            <w:tcW w:w="852"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b/>
                <w:spacing w:val="-1"/>
                <w:sz w:val="16"/>
              </w:rPr>
              <w:t>7.030.829</w:t>
            </w:r>
            <w:r>
              <w:rPr>
                <w:rFonts w:ascii="Times New Roman"/>
                <w:spacing w:val="-1"/>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b/>
                <w:spacing w:val="-1"/>
                <w:sz w:val="16"/>
              </w:rPr>
              <w:t>53.405</w:t>
            </w:r>
            <w:r>
              <w:rPr>
                <w:rFonts w:ascii="Times New Roman"/>
                <w:spacing w:val="-1"/>
                <w:sz w:val="16"/>
              </w:rPr>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1"/>
              <w:jc w:val="right"/>
              <w:rPr>
                <w:rFonts w:ascii="Times New Roman" w:hAnsi="Times New Roman" w:cs="Times New Roman" w:eastAsia="Times New Roman" w:hint="default"/>
                <w:sz w:val="16"/>
                <w:szCs w:val="16"/>
              </w:rPr>
            </w:pPr>
            <w:r>
              <w:rPr>
                <w:rFonts w:ascii="Times New Roman"/>
                <w:b/>
                <w:spacing w:val="-1"/>
                <w:sz w:val="16"/>
              </w:rPr>
              <w:t>6.613.410</w:t>
            </w:r>
            <w:r>
              <w:rPr>
                <w:rFonts w:ascii="Times New Roman"/>
                <w:spacing w:val="-1"/>
                <w:sz w:val="16"/>
              </w:rPr>
            </w:r>
          </w:p>
        </w:tc>
        <w:tc>
          <w:tcPr>
            <w:tcW w:w="77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b/>
                <w:spacing w:val="-1"/>
                <w:sz w:val="16"/>
              </w:rPr>
              <w:t>1.566</w:t>
            </w:r>
            <w:r>
              <w:rPr>
                <w:rFonts w:ascii="Times New Roman"/>
                <w:spacing w:val="-1"/>
                <w:sz w:val="16"/>
              </w:rPr>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b/>
                <w:spacing w:val="-1"/>
                <w:sz w:val="16"/>
              </w:rPr>
              <w:t>1.971</w:t>
            </w:r>
            <w:r>
              <w:rPr>
                <w:rFonts w:ascii="Times New Roman"/>
                <w:spacing w:val="-1"/>
                <w:sz w:val="16"/>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2"/>
              <w:jc w:val="right"/>
              <w:rPr>
                <w:rFonts w:ascii="Times New Roman" w:hAnsi="Times New Roman" w:cs="Times New Roman" w:eastAsia="Times New Roman" w:hint="default"/>
                <w:sz w:val="16"/>
                <w:szCs w:val="16"/>
              </w:rPr>
            </w:pPr>
            <w:r>
              <w:rPr>
                <w:rFonts w:ascii="Times New Roman"/>
                <w:b/>
                <w:spacing w:val="-1"/>
                <w:sz w:val="16"/>
              </w:rPr>
              <w:t>360.477</w:t>
            </w:r>
            <w:r>
              <w:rPr>
                <w:rFonts w:ascii="Times New Roman"/>
                <w:spacing w:val="-1"/>
                <w:sz w:val="16"/>
              </w:rPr>
            </w:r>
          </w:p>
        </w:tc>
      </w:tr>
      <w:tr>
        <w:trPr>
          <w:trHeight w:val="377"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89" w:right="129"/>
              <w:jc w:val="center"/>
              <w:rPr>
                <w:rFonts w:ascii="Times New Roman" w:hAnsi="Times New Roman" w:cs="Times New Roman" w:eastAsia="Times New Roman" w:hint="default"/>
                <w:sz w:val="16"/>
                <w:szCs w:val="16"/>
              </w:rPr>
            </w:pPr>
            <w:r>
              <w:rPr>
                <w:rFonts w:ascii="Times New Roman"/>
                <w:sz w:val="16"/>
              </w:rPr>
              <w:t>810000</w:t>
            </w:r>
          </w:p>
        </w:tc>
        <w:tc>
          <w:tcPr>
            <w:tcW w:w="23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0" w:right="146"/>
              <w:jc w:val="left"/>
              <w:rPr>
                <w:rFonts w:ascii="Times New Roman" w:hAnsi="Times New Roman" w:cs="Times New Roman" w:eastAsia="Times New Roman" w:hint="default"/>
                <w:sz w:val="16"/>
                <w:szCs w:val="16"/>
              </w:rPr>
            </w:pPr>
            <w:r>
              <w:rPr>
                <w:rFonts w:ascii="Times New Roman" w:hAnsi="Times New Roman"/>
                <w:sz w:val="16"/>
              </w:rPr>
              <w:t>Примања од продаје основних средстава</w:t>
            </w:r>
          </w:p>
        </w:tc>
        <w:tc>
          <w:tcPr>
            <w:tcW w:w="852"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11.048</w:t>
            </w:r>
          </w:p>
        </w:tc>
        <w:tc>
          <w:tcPr>
            <w:tcW w:w="900" w:type="dxa"/>
            <w:tcBorders>
              <w:top w:val="single" w:sz="4" w:space="0" w:color="000000"/>
              <w:left w:val="single" w:sz="4" w:space="0" w:color="000000"/>
              <w:bottom w:val="single" w:sz="4" w:space="0" w:color="000000"/>
              <w:right w:val="single" w:sz="4" w:space="0" w:color="000000"/>
            </w:tcBorders>
          </w:tcPr>
          <w:p>
            <w:pP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10.896</w:t>
            </w:r>
          </w:p>
        </w:tc>
        <w:tc>
          <w:tcPr>
            <w:tcW w:w="770" w:type="dxa"/>
            <w:tcBorders>
              <w:top w:val="single" w:sz="4" w:space="0" w:color="000000"/>
              <w:left w:val="single" w:sz="4" w:space="0" w:color="000000"/>
              <w:bottom w:val="single" w:sz="4" w:space="0" w:color="000000"/>
              <w:right w:val="single" w:sz="4" w:space="0" w:color="000000"/>
            </w:tcBorders>
          </w:tcPr>
          <w:p>
            <w:pPr/>
          </w:p>
        </w:tc>
        <w:tc>
          <w:tcPr>
            <w:tcW w:w="989" w:type="dxa"/>
            <w:tcBorders>
              <w:top w:val="single" w:sz="4" w:space="0" w:color="000000"/>
              <w:left w:val="single" w:sz="4" w:space="0" w:color="000000"/>
              <w:bottom w:val="single" w:sz="4" w:space="0" w:color="000000"/>
              <w:right w:val="single" w:sz="4" w:space="0" w:color="000000"/>
            </w:tcBorders>
          </w:tcPr>
          <w:p>
            <w:pP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152</w:t>
            </w:r>
          </w:p>
        </w:tc>
      </w:tr>
      <w:tr>
        <w:trPr>
          <w:trHeight w:val="406"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89" w:right="129"/>
              <w:jc w:val="center"/>
              <w:rPr>
                <w:rFonts w:ascii="Times New Roman" w:hAnsi="Times New Roman" w:cs="Times New Roman" w:eastAsia="Times New Roman" w:hint="default"/>
                <w:sz w:val="16"/>
                <w:szCs w:val="16"/>
              </w:rPr>
            </w:pPr>
            <w:r>
              <w:rPr>
                <w:rFonts w:ascii="Times New Roman"/>
                <w:sz w:val="16"/>
              </w:rPr>
              <w:t>820000</w:t>
            </w:r>
          </w:p>
        </w:tc>
        <w:tc>
          <w:tcPr>
            <w:tcW w:w="234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0" w:right="219"/>
              <w:jc w:val="left"/>
              <w:rPr>
                <w:rFonts w:ascii="Times New Roman" w:hAnsi="Times New Roman" w:cs="Times New Roman" w:eastAsia="Times New Roman" w:hint="default"/>
                <w:sz w:val="16"/>
                <w:szCs w:val="16"/>
              </w:rPr>
            </w:pPr>
            <w:r>
              <w:rPr>
                <w:rFonts w:ascii="Times New Roman" w:hAnsi="Times New Roman"/>
                <w:sz w:val="16"/>
              </w:rPr>
              <w:t>Примања од продаја</w:t>
            </w:r>
            <w:r>
              <w:rPr>
                <w:rFonts w:ascii="Times New Roman" w:hAnsi="Times New Roman"/>
                <w:spacing w:val="-7"/>
                <w:sz w:val="16"/>
              </w:rPr>
              <w:t> </w:t>
            </w:r>
            <w:r>
              <w:rPr>
                <w:rFonts w:ascii="Times New Roman" w:hAnsi="Times New Roman"/>
                <w:sz w:val="16"/>
              </w:rPr>
              <w:t>залиха</w:t>
            </w:r>
          </w:p>
        </w:tc>
        <w:tc>
          <w:tcPr>
            <w:tcW w:w="852"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110.237</w:t>
            </w:r>
          </w:p>
        </w:tc>
        <w:tc>
          <w:tcPr>
            <w:tcW w:w="900" w:type="dxa"/>
            <w:tcBorders>
              <w:top w:val="single" w:sz="4" w:space="0" w:color="000000"/>
              <w:left w:val="single" w:sz="4" w:space="0" w:color="000000"/>
              <w:bottom w:val="single" w:sz="4" w:space="0" w:color="000000"/>
              <w:right w:val="single" w:sz="4" w:space="0" w:color="000000"/>
            </w:tcBorders>
          </w:tcPr>
          <w:p>
            <w:pP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48.177</w:t>
            </w:r>
          </w:p>
        </w:tc>
        <w:tc>
          <w:tcPr>
            <w:tcW w:w="770" w:type="dxa"/>
            <w:tcBorders>
              <w:top w:val="single" w:sz="4" w:space="0" w:color="000000"/>
              <w:left w:val="single" w:sz="4" w:space="0" w:color="000000"/>
              <w:bottom w:val="single" w:sz="4" w:space="0" w:color="000000"/>
              <w:right w:val="single" w:sz="4" w:space="0" w:color="000000"/>
            </w:tcBorders>
          </w:tcPr>
          <w:p>
            <w:pPr/>
          </w:p>
        </w:tc>
        <w:tc>
          <w:tcPr>
            <w:tcW w:w="989" w:type="dxa"/>
            <w:tcBorders>
              <w:top w:val="single" w:sz="4" w:space="0" w:color="000000"/>
              <w:left w:val="single" w:sz="4" w:space="0" w:color="000000"/>
              <w:bottom w:val="single" w:sz="4" w:space="0" w:color="000000"/>
              <w:right w:val="single" w:sz="4" w:space="0" w:color="000000"/>
            </w:tcBorders>
          </w:tcPr>
          <w:p>
            <w:pP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62.060</w:t>
            </w:r>
          </w:p>
        </w:tc>
      </w:tr>
      <w:tr>
        <w:trPr>
          <w:trHeight w:val="377"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89" w:right="129"/>
              <w:jc w:val="center"/>
              <w:rPr>
                <w:rFonts w:ascii="Times New Roman" w:hAnsi="Times New Roman" w:cs="Times New Roman" w:eastAsia="Times New Roman" w:hint="default"/>
                <w:sz w:val="16"/>
                <w:szCs w:val="16"/>
              </w:rPr>
            </w:pPr>
            <w:r>
              <w:rPr>
                <w:rFonts w:ascii="Times New Roman"/>
                <w:b/>
                <w:sz w:val="16"/>
              </w:rPr>
              <w:t>800000</w:t>
            </w:r>
            <w:r>
              <w:rPr>
                <w:rFonts w:ascii="Times New Roman"/>
                <w:sz w:val="16"/>
              </w:rPr>
            </w:r>
          </w:p>
        </w:tc>
        <w:tc>
          <w:tcPr>
            <w:tcW w:w="23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0" w:right="219"/>
              <w:jc w:val="left"/>
              <w:rPr>
                <w:rFonts w:ascii="Times New Roman" w:hAnsi="Times New Roman" w:cs="Times New Roman" w:eastAsia="Times New Roman" w:hint="default"/>
                <w:sz w:val="16"/>
                <w:szCs w:val="16"/>
              </w:rPr>
            </w:pPr>
            <w:r>
              <w:rPr>
                <w:rFonts w:ascii="Times New Roman" w:hAnsi="Times New Roman"/>
                <w:b/>
                <w:sz w:val="16"/>
              </w:rPr>
              <w:t>Примања од продаје нефинансијске</w:t>
            </w:r>
            <w:r>
              <w:rPr>
                <w:rFonts w:ascii="Times New Roman" w:hAnsi="Times New Roman"/>
                <w:b/>
                <w:spacing w:val="-10"/>
                <w:sz w:val="16"/>
              </w:rPr>
              <w:t> </w:t>
            </w:r>
            <w:r>
              <w:rPr>
                <w:rFonts w:ascii="Times New Roman" w:hAnsi="Times New Roman"/>
                <w:b/>
                <w:sz w:val="16"/>
              </w:rPr>
              <w:t>имовине</w:t>
            </w:r>
            <w:r>
              <w:rPr>
                <w:rFonts w:ascii="Times New Roman" w:hAnsi="Times New Roman"/>
                <w:sz w:val="16"/>
              </w:rPr>
            </w:r>
          </w:p>
        </w:tc>
        <w:tc>
          <w:tcPr>
            <w:tcW w:w="852"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b/>
                <w:spacing w:val="-1"/>
                <w:sz w:val="16"/>
              </w:rPr>
              <w:t>121.285</w:t>
            </w:r>
            <w:r>
              <w:rPr>
                <w:rFonts w:ascii="Times New Roman"/>
                <w:spacing w:val="-1"/>
                <w:sz w:val="16"/>
              </w:rPr>
            </w:r>
          </w:p>
        </w:tc>
        <w:tc>
          <w:tcPr>
            <w:tcW w:w="900" w:type="dxa"/>
            <w:tcBorders>
              <w:top w:val="single" w:sz="4" w:space="0" w:color="000000"/>
              <w:left w:val="single" w:sz="4" w:space="0" w:color="000000"/>
              <w:bottom w:val="single" w:sz="4" w:space="0" w:color="000000"/>
              <w:right w:val="single" w:sz="4" w:space="0" w:color="000000"/>
            </w:tcBorders>
          </w:tcPr>
          <w:p>
            <w:pP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b/>
                <w:spacing w:val="-1"/>
                <w:sz w:val="16"/>
              </w:rPr>
              <w:t>59.073</w:t>
            </w:r>
            <w:r>
              <w:rPr>
                <w:rFonts w:ascii="Times New Roman"/>
                <w:spacing w:val="-1"/>
                <w:sz w:val="16"/>
              </w:rPr>
            </w:r>
          </w:p>
        </w:tc>
        <w:tc>
          <w:tcPr>
            <w:tcW w:w="770" w:type="dxa"/>
            <w:tcBorders>
              <w:top w:val="single" w:sz="4" w:space="0" w:color="000000"/>
              <w:left w:val="single" w:sz="4" w:space="0" w:color="000000"/>
              <w:bottom w:val="single" w:sz="4" w:space="0" w:color="000000"/>
              <w:right w:val="single" w:sz="4" w:space="0" w:color="000000"/>
            </w:tcBorders>
          </w:tcPr>
          <w:p>
            <w:pPr/>
          </w:p>
        </w:tc>
        <w:tc>
          <w:tcPr>
            <w:tcW w:w="989" w:type="dxa"/>
            <w:tcBorders>
              <w:top w:val="single" w:sz="4" w:space="0" w:color="000000"/>
              <w:left w:val="single" w:sz="4" w:space="0" w:color="000000"/>
              <w:bottom w:val="single" w:sz="4" w:space="0" w:color="000000"/>
              <w:right w:val="single" w:sz="4" w:space="0" w:color="000000"/>
            </w:tcBorders>
          </w:tcPr>
          <w:p>
            <w:pP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2"/>
              <w:jc w:val="right"/>
              <w:rPr>
                <w:rFonts w:ascii="Times New Roman" w:hAnsi="Times New Roman" w:cs="Times New Roman" w:eastAsia="Times New Roman" w:hint="default"/>
                <w:sz w:val="16"/>
                <w:szCs w:val="16"/>
              </w:rPr>
            </w:pPr>
            <w:r>
              <w:rPr>
                <w:rFonts w:ascii="Times New Roman"/>
                <w:b/>
                <w:spacing w:val="-1"/>
                <w:sz w:val="16"/>
              </w:rPr>
              <w:t>62.212</w:t>
            </w:r>
            <w:r>
              <w:rPr>
                <w:rFonts w:ascii="Times New Roman"/>
                <w:spacing w:val="-1"/>
                <w:sz w:val="16"/>
              </w:rPr>
            </w:r>
          </w:p>
        </w:tc>
      </w:tr>
      <w:tr>
        <w:trPr>
          <w:trHeight w:val="194"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89" w:right="129"/>
              <w:jc w:val="center"/>
              <w:rPr>
                <w:rFonts w:ascii="Times New Roman" w:hAnsi="Times New Roman" w:cs="Times New Roman" w:eastAsia="Times New Roman" w:hint="default"/>
                <w:sz w:val="16"/>
                <w:szCs w:val="16"/>
              </w:rPr>
            </w:pPr>
            <w:r>
              <w:rPr>
                <w:rFonts w:ascii="Times New Roman"/>
                <w:sz w:val="16"/>
              </w:rPr>
              <w:t>910000</w:t>
            </w:r>
          </w:p>
        </w:tc>
        <w:tc>
          <w:tcPr>
            <w:tcW w:w="2345"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0" w:right="219"/>
              <w:jc w:val="left"/>
              <w:rPr>
                <w:rFonts w:ascii="Times New Roman" w:hAnsi="Times New Roman" w:cs="Times New Roman" w:eastAsia="Times New Roman" w:hint="default"/>
                <w:sz w:val="16"/>
                <w:szCs w:val="16"/>
              </w:rPr>
            </w:pPr>
            <w:r>
              <w:rPr>
                <w:rFonts w:ascii="Times New Roman" w:hAnsi="Times New Roman"/>
                <w:sz w:val="16"/>
              </w:rPr>
              <w:t>Примања од</w:t>
            </w:r>
            <w:r>
              <w:rPr>
                <w:rFonts w:ascii="Times New Roman" w:hAnsi="Times New Roman"/>
                <w:spacing w:val="-7"/>
                <w:sz w:val="16"/>
              </w:rPr>
              <w:t> </w:t>
            </w:r>
            <w:r>
              <w:rPr>
                <w:rFonts w:ascii="Times New Roman" w:hAnsi="Times New Roman"/>
                <w:sz w:val="16"/>
              </w:rPr>
              <w:t>задуживања</w:t>
            </w:r>
          </w:p>
        </w:tc>
        <w:tc>
          <w:tcPr>
            <w:tcW w:w="852"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323.333</w:t>
            </w:r>
          </w:p>
        </w:tc>
        <w:tc>
          <w:tcPr>
            <w:tcW w:w="900" w:type="dxa"/>
            <w:tcBorders>
              <w:top w:val="single" w:sz="4" w:space="0" w:color="000000"/>
              <w:left w:val="single" w:sz="4" w:space="0" w:color="000000"/>
              <w:bottom w:val="single" w:sz="4" w:space="0" w:color="000000"/>
              <w:right w:val="single" w:sz="4" w:space="0" w:color="000000"/>
            </w:tcBorders>
          </w:tcPr>
          <w:p>
            <w:pP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323.333</w:t>
            </w:r>
          </w:p>
        </w:tc>
        <w:tc>
          <w:tcPr>
            <w:tcW w:w="770" w:type="dxa"/>
            <w:tcBorders>
              <w:top w:val="single" w:sz="4" w:space="0" w:color="000000"/>
              <w:left w:val="single" w:sz="4" w:space="0" w:color="000000"/>
              <w:bottom w:val="single" w:sz="4" w:space="0" w:color="000000"/>
              <w:right w:val="single" w:sz="4" w:space="0" w:color="000000"/>
            </w:tcBorders>
          </w:tcPr>
          <w:p>
            <w:pPr/>
          </w:p>
        </w:tc>
        <w:tc>
          <w:tcPr>
            <w:tcW w:w="989" w:type="dxa"/>
            <w:tcBorders>
              <w:top w:val="single" w:sz="4" w:space="0" w:color="000000"/>
              <w:left w:val="single" w:sz="4" w:space="0" w:color="000000"/>
              <w:bottom w:val="single" w:sz="4" w:space="0" w:color="000000"/>
              <w:right w:val="single" w:sz="4" w:space="0" w:color="000000"/>
            </w:tcBorders>
          </w:tcPr>
          <w:p>
            <w:pPr/>
          </w:p>
        </w:tc>
        <w:tc>
          <w:tcPr>
            <w:tcW w:w="936" w:type="dxa"/>
            <w:tcBorders>
              <w:top w:val="single" w:sz="4" w:space="0" w:color="000000"/>
              <w:left w:val="single" w:sz="4" w:space="0" w:color="000000"/>
              <w:bottom w:val="single" w:sz="4" w:space="0" w:color="000000"/>
              <w:right w:val="single" w:sz="4" w:space="0" w:color="000000"/>
            </w:tcBorders>
          </w:tcPr>
          <w:p>
            <w:pPr/>
          </w:p>
        </w:tc>
      </w:tr>
      <w:tr>
        <w:trPr>
          <w:trHeight w:val="379"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89" w:right="129"/>
              <w:jc w:val="center"/>
              <w:rPr>
                <w:rFonts w:ascii="Times New Roman" w:hAnsi="Times New Roman" w:cs="Times New Roman" w:eastAsia="Times New Roman" w:hint="default"/>
                <w:sz w:val="16"/>
                <w:szCs w:val="16"/>
              </w:rPr>
            </w:pPr>
            <w:r>
              <w:rPr>
                <w:rFonts w:ascii="Times New Roman"/>
                <w:sz w:val="16"/>
              </w:rPr>
              <w:t>920000</w:t>
            </w:r>
          </w:p>
        </w:tc>
        <w:tc>
          <w:tcPr>
            <w:tcW w:w="23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0" w:right="219"/>
              <w:jc w:val="left"/>
              <w:rPr>
                <w:rFonts w:ascii="Times New Roman" w:hAnsi="Times New Roman" w:cs="Times New Roman" w:eastAsia="Times New Roman" w:hint="default"/>
                <w:sz w:val="16"/>
                <w:szCs w:val="16"/>
              </w:rPr>
            </w:pPr>
            <w:r>
              <w:rPr>
                <w:rFonts w:ascii="Times New Roman" w:hAnsi="Times New Roman"/>
                <w:sz w:val="16"/>
              </w:rPr>
              <w:t>Примања од продаје финансијске</w:t>
            </w:r>
            <w:r>
              <w:rPr>
                <w:rFonts w:ascii="Times New Roman" w:hAnsi="Times New Roman"/>
                <w:spacing w:val="-6"/>
                <w:sz w:val="16"/>
              </w:rPr>
              <w:t> </w:t>
            </w:r>
            <w:r>
              <w:rPr>
                <w:rFonts w:ascii="Times New Roman" w:hAnsi="Times New Roman"/>
                <w:sz w:val="16"/>
              </w:rPr>
              <w:t>имовине</w:t>
            </w:r>
          </w:p>
        </w:tc>
        <w:tc>
          <w:tcPr>
            <w:tcW w:w="852"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193.168</w:t>
            </w:r>
          </w:p>
        </w:tc>
        <w:tc>
          <w:tcPr>
            <w:tcW w:w="900" w:type="dxa"/>
            <w:tcBorders>
              <w:top w:val="single" w:sz="4" w:space="0" w:color="000000"/>
              <w:left w:val="single" w:sz="4" w:space="0" w:color="000000"/>
              <w:bottom w:val="single" w:sz="4" w:space="0" w:color="000000"/>
              <w:right w:val="single" w:sz="4" w:space="0" w:color="000000"/>
            </w:tcBorders>
          </w:tcPr>
          <w:p>
            <w:pP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193.168</w:t>
            </w:r>
          </w:p>
        </w:tc>
        <w:tc>
          <w:tcPr>
            <w:tcW w:w="770" w:type="dxa"/>
            <w:tcBorders>
              <w:top w:val="single" w:sz="4" w:space="0" w:color="000000"/>
              <w:left w:val="single" w:sz="4" w:space="0" w:color="000000"/>
              <w:bottom w:val="single" w:sz="4" w:space="0" w:color="000000"/>
              <w:right w:val="single" w:sz="4" w:space="0" w:color="000000"/>
            </w:tcBorders>
          </w:tcPr>
          <w:p>
            <w:pPr/>
          </w:p>
        </w:tc>
        <w:tc>
          <w:tcPr>
            <w:tcW w:w="989" w:type="dxa"/>
            <w:tcBorders>
              <w:top w:val="single" w:sz="4" w:space="0" w:color="000000"/>
              <w:left w:val="single" w:sz="4" w:space="0" w:color="000000"/>
              <w:bottom w:val="single" w:sz="4" w:space="0" w:color="000000"/>
              <w:right w:val="single" w:sz="4" w:space="0" w:color="000000"/>
            </w:tcBorders>
          </w:tcPr>
          <w:p>
            <w:pPr/>
          </w:p>
        </w:tc>
        <w:tc>
          <w:tcPr>
            <w:tcW w:w="936" w:type="dxa"/>
            <w:tcBorders>
              <w:top w:val="single" w:sz="4" w:space="0" w:color="000000"/>
              <w:left w:val="single" w:sz="4" w:space="0" w:color="000000"/>
              <w:bottom w:val="single" w:sz="4" w:space="0" w:color="000000"/>
              <w:right w:val="single" w:sz="4" w:space="0" w:color="000000"/>
            </w:tcBorders>
          </w:tcPr>
          <w:p>
            <w:pPr/>
          </w:p>
        </w:tc>
      </w:tr>
      <w:tr>
        <w:trPr>
          <w:trHeight w:val="562"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89" w:right="129"/>
              <w:jc w:val="center"/>
              <w:rPr>
                <w:rFonts w:ascii="Times New Roman" w:hAnsi="Times New Roman" w:cs="Times New Roman" w:eastAsia="Times New Roman" w:hint="default"/>
                <w:sz w:val="16"/>
                <w:szCs w:val="16"/>
              </w:rPr>
            </w:pPr>
            <w:r>
              <w:rPr>
                <w:rFonts w:ascii="Times New Roman"/>
                <w:b/>
                <w:sz w:val="16"/>
              </w:rPr>
              <w:t>900000</w:t>
            </w:r>
            <w:r>
              <w:rPr>
                <w:rFonts w:ascii="Times New Roman"/>
                <w:sz w:val="16"/>
              </w:rPr>
            </w:r>
          </w:p>
        </w:tc>
        <w:tc>
          <w:tcPr>
            <w:tcW w:w="23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0" w:right="262"/>
              <w:jc w:val="left"/>
              <w:rPr>
                <w:rFonts w:ascii="Times New Roman" w:hAnsi="Times New Roman" w:cs="Times New Roman" w:eastAsia="Times New Roman" w:hint="default"/>
                <w:sz w:val="16"/>
                <w:szCs w:val="16"/>
              </w:rPr>
            </w:pPr>
            <w:r>
              <w:rPr>
                <w:rFonts w:ascii="Times New Roman" w:hAnsi="Times New Roman"/>
                <w:b/>
                <w:sz w:val="16"/>
              </w:rPr>
              <w:t>Примања од задуживања и продаје финансијске имовине</w:t>
            </w:r>
            <w:r>
              <w:rPr>
                <w:rFonts w:ascii="Times New Roman" w:hAnsi="Times New Roman"/>
                <w:sz w:val="16"/>
              </w:rPr>
            </w:r>
          </w:p>
        </w:tc>
        <w:tc>
          <w:tcPr>
            <w:tcW w:w="852"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b/>
                <w:spacing w:val="-1"/>
                <w:sz w:val="16"/>
              </w:rPr>
              <w:t>516.501</w:t>
            </w:r>
            <w:r>
              <w:rPr>
                <w:rFonts w:ascii="Times New Roman"/>
                <w:spacing w:val="-1"/>
                <w:sz w:val="16"/>
              </w:rPr>
            </w:r>
          </w:p>
        </w:tc>
        <w:tc>
          <w:tcPr>
            <w:tcW w:w="900" w:type="dxa"/>
            <w:tcBorders>
              <w:top w:val="single" w:sz="4" w:space="0" w:color="000000"/>
              <w:left w:val="single" w:sz="4" w:space="0" w:color="000000"/>
              <w:bottom w:val="single" w:sz="4" w:space="0" w:color="000000"/>
              <w:right w:val="single" w:sz="4" w:space="0" w:color="000000"/>
            </w:tcBorders>
          </w:tcPr>
          <w:p>
            <w:pP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b/>
                <w:spacing w:val="-1"/>
                <w:sz w:val="16"/>
              </w:rPr>
              <w:t>516.501</w:t>
            </w:r>
            <w:r>
              <w:rPr>
                <w:rFonts w:ascii="Times New Roman"/>
                <w:spacing w:val="-1"/>
                <w:sz w:val="16"/>
              </w:rPr>
            </w:r>
          </w:p>
        </w:tc>
        <w:tc>
          <w:tcPr>
            <w:tcW w:w="770" w:type="dxa"/>
            <w:tcBorders>
              <w:top w:val="single" w:sz="4" w:space="0" w:color="000000"/>
              <w:left w:val="single" w:sz="4" w:space="0" w:color="000000"/>
              <w:bottom w:val="single" w:sz="4" w:space="0" w:color="000000"/>
              <w:right w:val="single" w:sz="4" w:space="0" w:color="000000"/>
            </w:tcBorders>
          </w:tcPr>
          <w:p>
            <w:pPr/>
          </w:p>
        </w:tc>
        <w:tc>
          <w:tcPr>
            <w:tcW w:w="989" w:type="dxa"/>
            <w:tcBorders>
              <w:top w:val="single" w:sz="4" w:space="0" w:color="000000"/>
              <w:left w:val="single" w:sz="4" w:space="0" w:color="000000"/>
              <w:bottom w:val="single" w:sz="4" w:space="0" w:color="000000"/>
              <w:right w:val="single" w:sz="4" w:space="0" w:color="000000"/>
            </w:tcBorders>
          </w:tcPr>
          <w:p>
            <w:pPr/>
          </w:p>
        </w:tc>
        <w:tc>
          <w:tcPr>
            <w:tcW w:w="936" w:type="dxa"/>
            <w:tcBorders>
              <w:top w:val="single" w:sz="4" w:space="0" w:color="000000"/>
              <w:left w:val="single" w:sz="4" w:space="0" w:color="000000"/>
              <w:bottom w:val="single" w:sz="4" w:space="0" w:color="000000"/>
              <w:right w:val="single" w:sz="4" w:space="0" w:color="000000"/>
            </w:tcBorders>
          </w:tcPr>
          <w:p>
            <w:pPr/>
          </w:p>
        </w:tc>
      </w:tr>
      <w:tr>
        <w:trPr>
          <w:trHeight w:val="194" w:hRule="exact"/>
        </w:trPr>
        <w:tc>
          <w:tcPr>
            <w:tcW w:w="739" w:type="dxa"/>
            <w:tcBorders>
              <w:top w:val="single" w:sz="4" w:space="0" w:color="000000"/>
              <w:left w:val="single" w:sz="4" w:space="0" w:color="000000"/>
              <w:bottom w:val="single" w:sz="4" w:space="0" w:color="000000"/>
              <w:right w:val="single" w:sz="4" w:space="0" w:color="000000"/>
            </w:tcBorders>
          </w:tcPr>
          <w:p>
            <w:pPr/>
          </w:p>
        </w:tc>
        <w:tc>
          <w:tcPr>
            <w:tcW w:w="2345"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0" w:right="146"/>
              <w:jc w:val="left"/>
              <w:rPr>
                <w:rFonts w:ascii="Times New Roman" w:hAnsi="Times New Roman" w:cs="Times New Roman" w:eastAsia="Times New Roman" w:hint="default"/>
                <w:sz w:val="16"/>
                <w:szCs w:val="16"/>
              </w:rPr>
            </w:pPr>
            <w:r>
              <w:rPr>
                <w:rFonts w:ascii="Times New Roman" w:hAnsi="Times New Roman"/>
                <w:b/>
                <w:sz w:val="16"/>
              </w:rPr>
              <w:t>Укупни приходи и</w:t>
            </w:r>
            <w:r>
              <w:rPr>
                <w:rFonts w:ascii="Times New Roman" w:hAnsi="Times New Roman"/>
                <w:b/>
                <w:spacing w:val="-14"/>
                <w:sz w:val="16"/>
              </w:rPr>
              <w:t> </w:t>
            </w:r>
            <w:r>
              <w:rPr>
                <w:rFonts w:ascii="Times New Roman" w:hAnsi="Times New Roman"/>
                <w:b/>
                <w:sz w:val="16"/>
              </w:rPr>
              <w:t>примања</w:t>
            </w:r>
            <w:r>
              <w:rPr>
                <w:rFonts w:ascii="Times New Roman" w:hAnsi="Times New Roman"/>
                <w:sz w:val="16"/>
              </w:rPr>
            </w:r>
          </w:p>
        </w:tc>
        <w:tc>
          <w:tcPr>
            <w:tcW w:w="852"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b/>
                <w:spacing w:val="-1"/>
                <w:sz w:val="16"/>
              </w:rPr>
              <w:t>7.668.615</w:t>
            </w:r>
            <w:r>
              <w:rPr>
                <w:rFonts w:ascii="Times New Roman"/>
                <w:spacing w:val="-1"/>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b/>
                <w:spacing w:val="-1"/>
                <w:sz w:val="16"/>
              </w:rPr>
              <w:t>53.405</w:t>
            </w:r>
            <w:r>
              <w:rPr>
                <w:rFonts w:ascii="Times New Roman"/>
                <w:spacing w:val="-1"/>
                <w:sz w:val="16"/>
              </w:rPr>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1"/>
              <w:jc w:val="right"/>
              <w:rPr>
                <w:rFonts w:ascii="Times New Roman" w:hAnsi="Times New Roman" w:cs="Times New Roman" w:eastAsia="Times New Roman" w:hint="default"/>
                <w:sz w:val="16"/>
                <w:szCs w:val="16"/>
              </w:rPr>
            </w:pPr>
            <w:r>
              <w:rPr>
                <w:rFonts w:ascii="Times New Roman"/>
                <w:b/>
                <w:spacing w:val="-1"/>
                <w:sz w:val="16"/>
              </w:rPr>
              <w:t>7.188.984</w:t>
            </w:r>
            <w:r>
              <w:rPr>
                <w:rFonts w:ascii="Times New Roman"/>
                <w:spacing w:val="-1"/>
                <w:sz w:val="16"/>
              </w:rPr>
            </w:r>
          </w:p>
        </w:tc>
        <w:tc>
          <w:tcPr>
            <w:tcW w:w="77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b/>
                <w:spacing w:val="-1"/>
                <w:sz w:val="16"/>
              </w:rPr>
              <w:t>1.566</w:t>
            </w:r>
            <w:r>
              <w:rPr>
                <w:rFonts w:ascii="Times New Roman"/>
                <w:spacing w:val="-1"/>
                <w:sz w:val="16"/>
              </w:rPr>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b/>
                <w:spacing w:val="-1"/>
                <w:sz w:val="16"/>
              </w:rPr>
              <w:t>1.971</w:t>
            </w:r>
            <w:r>
              <w:rPr>
                <w:rFonts w:ascii="Times New Roman"/>
                <w:spacing w:val="-1"/>
                <w:sz w:val="16"/>
              </w:rPr>
            </w:r>
          </w:p>
        </w:tc>
        <w:tc>
          <w:tcPr>
            <w:tcW w:w="936"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2"/>
              <w:jc w:val="right"/>
              <w:rPr>
                <w:rFonts w:ascii="Times New Roman" w:hAnsi="Times New Roman" w:cs="Times New Roman" w:eastAsia="Times New Roman" w:hint="default"/>
                <w:sz w:val="16"/>
                <w:szCs w:val="16"/>
              </w:rPr>
            </w:pPr>
            <w:r>
              <w:rPr>
                <w:rFonts w:ascii="Times New Roman"/>
                <w:b/>
                <w:spacing w:val="-1"/>
                <w:sz w:val="16"/>
              </w:rPr>
              <w:t>422.689</w:t>
            </w:r>
            <w:r>
              <w:rPr>
                <w:rFonts w:ascii="Times New Roman"/>
                <w:spacing w:val="-1"/>
                <w:sz w:val="16"/>
              </w:rPr>
            </w:r>
          </w:p>
        </w:tc>
      </w:tr>
    </w:tbl>
    <w:p>
      <w:pPr>
        <w:spacing w:line="179" w:lineRule="exact" w:before="0" w:after="6"/>
        <w:ind w:left="940" w:right="0" w:firstLine="0"/>
        <w:jc w:val="left"/>
        <w:rPr>
          <w:rFonts w:ascii="Times New Roman" w:hAnsi="Times New Roman" w:cs="Times New Roman" w:eastAsia="Times New Roman" w:hint="default"/>
          <w:sz w:val="16"/>
          <w:szCs w:val="16"/>
        </w:rPr>
      </w:pPr>
      <w:r>
        <w:rPr>
          <w:rFonts w:ascii="Times New Roman" w:hAnsi="Times New Roman"/>
          <w:sz w:val="16"/>
        </w:rPr>
        <w:t>Табела расхода и</w:t>
      </w:r>
      <w:r>
        <w:rPr>
          <w:rFonts w:ascii="Times New Roman" w:hAnsi="Times New Roman"/>
          <w:spacing w:val="-9"/>
          <w:sz w:val="16"/>
        </w:rPr>
        <w:t> </w:t>
      </w:r>
      <w:r>
        <w:rPr>
          <w:rFonts w:ascii="Times New Roman" w:hAnsi="Times New Roman"/>
          <w:sz w:val="16"/>
        </w:rPr>
        <w:t>издатака</w:t>
      </w:r>
    </w:p>
    <w:tbl>
      <w:tblPr>
        <w:tblW w:w="0" w:type="auto"/>
        <w:jc w:val="left"/>
        <w:tblInd w:w="107" w:type="dxa"/>
        <w:tblLayout w:type="fixed"/>
        <w:tblCellMar>
          <w:top w:w="0" w:type="dxa"/>
          <w:left w:w="0" w:type="dxa"/>
          <w:bottom w:w="0" w:type="dxa"/>
          <w:right w:w="0" w:type="dxa"/>
        </w:tblCellMar>
        <w:tblLook w:val="01E0"/>
      </w:tblPr>
      <w:tblGrid>
        <w:gridCol w:w="739"/>
        <w:gridCol w:w="1709"/>
        <w:gridCol w:w="1171"/>
        <w:gridCol w:w="1080"/>
        <w:gridCol w:w="900"/>
        <w:gridCol w:w="1081"/>
        <w:gridCol w:w="768"/>
        <w:gridCol w:w="1066"/>
        <w:gridCol w:w="1063"/>
      </w:tblGrid>
      <w:tr>
        <w:trPr>
          <w:trHeight w:val="377"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82" w:lineRule="exact"/>
              <w:ind w:left="177" w:right="151" w:hanging="20"/>
              <w:jc w:val="left"/>
              <w:rPr>
                <w:rFonts w:ascii="Times New Roman" w:hAnsi="Times New Roman" w:cs="Times New Roman" w:eastAsia="Times New Roman" w:hint="default"/>
                <w:sz w:val="16"/>
                <w:szCs w:val="16"/>
              </w:rPr>
            </w:pPr>
            <w:r>
              <w:rPr>
                <w:rFonts w:ascii="Times New Roman" w:hAnsi="Times New Roman"/>
                <w:b/>
                <w:sz w:val="16"/>
              </w:rPr>
              <w:t>Екон. клас.</w:t>
            </w:r>
            <w:r>
              <w:rPr>
                <w:rFonts w:ascii="Times New Roman" w:hAnsi="Times New Roman"/>
                <w:sz w:val="16"/>
              </w:rPr>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218" w:right="110"/>
              <w:jc w:val="left"/>
              <w:rPr>
                <w:rFonts w:ascii="Times New Roman" w:hAnsi="Times New Roman" w:cs="Times New Roman" w:eastAsia="Times New Roman" w:hint="default"/>
                <w:sz w:val="16"/>
                <w:szCs w:val="16"/>
              </w:rPr>
            </w:pPr>
            <w:r>
              <w:rPr>
                <w:rFonts w:ascii="Times New Roman" w:hAnsi="Times New Roman"/>
                <w:b/>
                <w:sz w:val="16"/>
              </w:rPr>
              <w:t>Расходи и</w:t>
            </w:r>
            <w:r>
              <w:rPr>
                <w:rFonts w:ascii="Times New Roman" w:hAnsi="Times New Roman"/>
                <w:b/>
                <w:spacing w:val="-7"/>
                <w:sz w:val="16"/>
              </w:rPr>
              <w:t> </w:t>
            </w:r>
            <w:r>
              <w:rPr>
                <w:rFonts w:ascii="Times New Roman" w:hAnsi="Times New Roman"/>
                <w:b/>
                <w:sz w:val="16"/>
              </w:rPr>
              <w:t>издаци</w:t>
            </w:r>
            <w:r>
              <w:rPr>
                <w:rFonts w:ascii="Times New Roman" w:hAnsi="Times New Roman"/>
                <w:sz w:val="16"/>
              </w:rPr>
            </w:r>
          </w:p>
        </w:tc>
        <w:tc>
          <w:tcPr>
            <w:tcW w:w="1171" w:type="dxa"/>
            <w:tcBorders>
              <w:top w:val="single" w:sz="4" w:space="0" w:color="000000"/>
              <w:left w:val="single" w:sz="4" w:space="0" w:color="000000"/>
              <w:bottom w:val="single" w:sz="4" w:space="0" w:color="000000"/>
              <w:right w:val="single" w:sz="4" w:space="0" w:color="000000"/>
            </w:tcBorders>
          </w:tcPr>
          <w:p>
            <w:pPr>
              <w:pStyle w:val="TableParagraph"/>
              <w:spacing w:line="182" w:lineRule="exact"/>
              <w:ind w:left="239" w:right="23" w:hanging="212"/>
              <w:jc w:val="left"/>
              <w:rPr>
                <w:rFonts w:ascii="Times New Roman" w:hAnsi="Times New Roman" w:cs="Times New Roman" w:eastAsia="Times New Roman" w:hint="default"/>
                <w:sz w:val="16"/>
                <w:szCs w:val="16"/>
              </w:rPr>
            </w:pPr>
            <w:r>
              <w:rPr>
                <w:rFonts w:ascii="Times New Roman" w:hAnsi="Times New Roman"/>
                <w:b/>
                <w:sz w:val="16"/>
              </w:rPr>
              <w:t>Апропријација из</w:t>
            </w:r>
            <w:r>
              <w:rPr>
                <w:rFonts w:ascii="Times New Roman" w:hAnsi="Times New Roman"/>
                <w:b/>
                <w:spacing w:val="-3"/>
                <w:sz w:val="16"/>
              </w:rPr>
              <w:t> </w:t>
            </w:r>
            <w:r>
              <w:rPr>
                <w:rFonts w:ascii="Times New Roman" w:hAnsi="Times New Roman"/>
                <w:b/>
                <w:sz w:val="16"/>
              </w:rPr>
              <w:t>буџета</w:t>
            </w:r>
            <w:r>
              <w:rPr>
                <w:rFonts w:ascii="Times New Roman" w:hAnsi="Times New Roman"/>
                <w:sz w:val="16"/>
              </w:rPr>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82" w:lineRule="exact"/>
              <w:ind w:left="278" w:right="252" w:hanging="24"/>
              <w:jc w:val="left"/>
              <w:rPr>
                <w:rFonts w:ascii="Times New Roman" w:hAnsi="Times New Roman" w:cs="Times New Roman" w:eastAsia="Times New Roman" w:hint="default"/>
                <w:sz w:val="16"/>
                <w:szCs w:val="16"/>
              </w:rPr>
            </w:pPr>
            <w:r>
              <w:rPr>
                <w:rFonts w:ascii="Times New Roman" w:hAnsi="Times New Roman"/>
                <w:b/>
                <w:sz w:val="16"/>
              </w:rPr>
              <w:t>Укупно (5 до</w:t>
            </w:r>
            <w:r>
              <w:rPr>
                <w:rFonts w:ascii="Times New Roman" w:hAnsi="Times New Roman"/>
                <w:b/>
                <w:spacing w:val="-2"/>
                <w:sz w:val="16"/>
              </w:rPr>
              <w:t> </w:t>
            </w:r>
            <w:r>
              <w:rPr>
                <w:rFonts w:ascii="Times New Roman" w:hAnsi="Times New Roman"/>
                <w:b/>
                <w:sz w:val="16"/>
              </w:rPr>
              <w:t>9)</w:t>
            </w:r>
            <w:r>
              <w:rPr>
                <w:rFonts w:ascii="Times New Roman" w:hAnsi="Times New Roman"/>
                <w:sz w:val="16"/>
              </w:rPr>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57"/>
              <w:jc w:val="right"/>
              <w:rPr>
                <w:rFonts w:ascii="Times New Roman" w:hAnsi="Times New Roman" w:cs="Times New Roman" w:eastAsia="Times New Roman" w:hint="default"/>
                <w:sz w:val="16"/>
                <w:szCs w:val="16"/>
              </w:rPr>
            </w:pPr>
            <w:r>
              <w:rPr>
                <w:rFonts w:ascii="Times New Roman" w:hAnsi="Times New Roman"/>
                <w:b/>
                <w:spacing w:val="-1"/>
                <w:sz w:val="16"/>
              </w:rPr>
              <w:t>Република</w:t>
            </w:r>
            <w:r>
              <w:rPr>
                <w:rFonts w:ascii="Times New Roman" w:hAnsi="Times New Roman"/>
                <w:spacing w:val="-1"/>
                <w:sz w:val="16"/>
              </w:rPr>
            </w:r>
          </w:p>
        </w:tc>
        <w:tc>
          <w:tcPr>
            <w:tcW w:w="1081"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355" w:right="0"/>
              <w:jc w:val="left"/>
              <w:rPr>
                <w:rFonts w:ascii="Times New Roman" w:hAnsi="Times New Roman" w:cs="Times New Roman" w:eastAsia="Times New Roman" w:hint="default"/>
                <w:sz w:val="16"/>
                <w:szCs w:val="16"/>
              </w:rPr>
            </w:pPr>
            <w:r>
              <w:rPr>
                <w:rFonts w:ascii="Times New Roman" w:hAnsi="Times New Roman"/>
                <w:b/>
                <w:sz w:val="16"/>
              </w:rPr>
              <w:t>Град</w:t>
            </w:r>
            <w:r>
              <w:rPr>
                <w:rFonts w:ascii="Times New Roman" w:hAnsi="Times New Roman"/>
                <w:sz w:val="16"/>
              </w:rPr>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34"/>
              <w:jc w:val="right"/>
              <w:rPr>
                <w:rFonts w:ascii="Times New Roman" w:hAnsi="Times New Roman" w:cs="Times New Roman" w:eastAsia="Times New Roman" w:hint="default"/>
                <w:sz w:val="16"/>
                <w:szCs w:val="16"/>
              </w:rPr>
            </w:pPr>
            <w:r>
              <w:rPr>
                <w:rFonts w:ascii="Times New Roman" w:hAnsi="Times New Roman"/>
                <w:b/>
                <w:spacing w:val="-1"/>
                <w:sz w:val="16"/>
              </w:rPr>
              <w:t>ООСО</w:t>
            </w:r>
            <w:r>
              <w:rPr>
                <w:rFonts w:ascii="Times New Roman" w:hAnsi="Times New Roman"/>
                <w:spacing w:val="-1"/>
                <w:sz w:val="16"/>
              </w:rPr>
            </w:r>
          </w:p>
        </w:tc>
        <w:tc>
          <w:tcPr>
            <w:tcW w:w="1066"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89" w:right="0"/>
              <w:jc w:val="left"/>
              <w:rPr>
                <w:rFonts w:ascii="Times New Roman" w:hAnsi="Times New Roman" w:cs="Times New Roman" w:eastAsia="Times New Roman" w:hint="default"/>
                <w:sz w:val="16"/>
                <w:szCs w:val="16"/>
              </w:rPr>
            </w:pPr>
            <w:r>
              <w:rPr>
                <w:rFonts w:ascii="Times New Roman" w:hAnsi="Times New Roman"/>
                <w:b/>
                <w:sz w:val="16"/>
              </w:rPr>
              <w:t>Донације</w:t>
            </w:r>
            <w:r>
              <w:rPr>
                <w:rFonts w:ascii="Times New Roman" w:hAnsi="Times New Roman"/>
                <w:sz w:val="16"/>
              </w:rPr>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261" w:right="0"/>
              <w:jc w:val="left"/>
              <w:rPr>
                <w:rFonts w:ascii="Times New Roman" w:hAnsi="Times New Roman" w:cs="Times New Roman" w:eastAsia="Times New Roman" w:hint="default"/>
                <w:sz w:val="16"/>
                <w:szCs w:val="16"/>
              </w:rPr>
            </w:pPr>
            <w:r>
              <w:rPr>
                <w:rFonts w:ascii="Times New Roman" w:hAnsi="Times New Roman"/>
                <w:b/>
                <w:sz w:val="16"/>
              </w:rPr>
              <w:t>Остало</w:t>
            </w:r>
            <w:r>
              <w:rPr>
                <w:rFonts w:ascii="Times New Roman" w:hAnsi="Times New Roman"/>
                <w:sz w:val="16"/>
              </w:rPr>
            </w:r>
          </w:p>
        </w:tc>
      </w:tr>
      <w:tr>
        <w:trPr>
          <w:trHeight w:val="194"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
              <w:jc w:val="center"/>
              <w:rPr>
                <w:rFonts w:ascii="Times New Roman" w:hAnsi="Times New Roman" w:cs="Times New Roman" w:eastAsia="Times New Roman" w:hint="default"/>
                <w:sz w:val="16"/>
                <w:szCs w:val="16"/>
              </w:rPr>
            </w:pPr>
            <w:r>
              <w:rPr>
                <w:rFonts w:ascii="Times New Roman"/>
                <w:w w:val="100"/>
                <w:sz w:val="16"/>
              </w:rPr>
              <w:t>1</w:t>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4"/>
              <w:jc w:val="center"/>
              <w:rPr>
                <w:rFonts w:ascii="Times New Roman" w:hAnsi="Times New Roman" w:cs="Times New Roman" w:eastAsia="Times New Roman" w:hint="default"/>
                <w:sz w:val="16"/>
                <w:szCs w:val="16"/>
              </w:rPr>
            </w:pPr>
            <w:r>
              <w:rPr>
                <w:rFonts w:ascii="Times New Roman"/>
                <w:w w:val="100"/>
                <w:sz w:val="16"/>
              </w:rPr>
              <w:t>2</w:t>
            </w:r>
          </w:p>
        </w:tc>
        <w:tc>
          <w:tcPr>
            <w:tcW w:w="117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
              <w:jc w:val="center"/>
              <w:rPr>
                <w:rFonts w:ascii="Times New Roman" w:hAnsi="Times New Roman" w:cs="Times New Roman" w:eastAsia="Times New Roman" w:hint="default"/>
                <w:sz w:val="16"/>
                <w:szCs w:val="16"/>
              </w:rPr>
            </w:pPr>
            <w:r>
              <w:rPr>
                <w:rFonts w:ascii="Times New Roman"/>
                <w:w w:val="100"/>
                <w:sz w:val="16"/>
              </w:rPr>
              <w:t>3</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3"/>
              <w:jc w:val="center"/>
              <w:rPr>
                <w:rFonts w:ascii="Times New Roman" w:hAnsi="Times New Roman" w:cs="Times New Roman" w:eastAsia="Times New Roman" w:hint="default"/>
                <w:sz w:val="16"/>
                <w:szCs w:val="16"/>
              </w:rPr>
            </w:pPr>
            <w:r>
              <w:rPr>
                <w:rFonts w:ascii="Times New Roman"/>
                <w:w w:val="100"/>
                <w:sz w:val="16"/>
              </w:rPr>
              <w:t>4</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
              <w:jc w:val="center"/>
              <w:rPr>
                <w:rFonts w:ascii="Times New Roman" w:hAnsi="Times New Roman" w:cs="Times New Roman" w:eastAsia="Times New Roman" w:hint="default"/>
                <w:sz w:val="16"/>
                <w:szCs w:val="16"/>
              </w:rPr>
            </w:pPr>
            <w:r>
              <w:rPr>
                <w:rFonts w:ascii="Times New Roman"/>
                <w:w w:val="100"/>
                <w:sz w:val="16"/>
              </w:rPr>
              <w:t>5</w:t>
            </w:r>
          </w:p>
        </w:tc>
        <w:tc>
          <w:tcPr>
            <w:tcW w:w="108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4"/>
              <w:jc w:val="center"/>
              <w:rPr>
                <w:rFonts w:ascii="Times New Roman" w:hAnsi="Times New Roman" w:cs="Times New Roman" w:eastAsia="Times New Roman" w:hint="default"/>
                <w:sz w:val="16"/>
                <w:szCs w:val="16"/>
              </w:rPr>
            </w:pPr>
            <w:r>
              <w:rPr>
                <w:rFonts w:ascii="Times New Roman"/>
                <w:w w:val="100"/>
                <w:sz w:val="16"/>
              </w:rPr>
              <w:t>6</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
              <w:jc w:val="center"/>
              <w:rPr>
                <w:rFonts w:ascii="Times New Roman" w:hAnsi="Times New Roman" w:cs="Times New Roman" w:eastAsia="Times New Roman" w:hint="default"/>
                <w:sz w:val="16"/>
                <w:szCs w:val="16"/>
              </w:rPr>
            </w:pPr>
            <w:r>
              <w:rPr>
                <w:rFonts w:ascii="Times New Roman"/>
                <w:w w:val="100"/>
                <w:sz w:val="16"/>
              </w:rPr>
              <w:t>7</w:t>
            </w:r>
          </w:p>
        </w:tc>
        <w:tc>
          <w:tcPr>
            <w:tcW w:w="106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
              <w:jc w:val="center"/>
              <w:rPr>
                <w:rFonts w:ascii="Times New Roman" w:hAnsi="Times New Roman" w:cs="Times New Roman" w:eastAsia="Times New Roman" w:hint="default"/>
                <w:sz w:val="16"/>
                <w:szCs w:val="16"/>
              </w:rPr>
            </w:pPr>
            <w:r>
              <w:rPr>
                <w:rFonts w:ascii="Times New Roman"/>
                <w:w w:val="100"/>
                <w:sz w:val="16"/>
              </w:rPr>
              <w:t>8</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
              <w:jc w:val="center"/>
              <w:rPr>
                <w:rFonts w:ascii="Times New Roman" w:hAnsi="Times New Roman" w:cs="Times New Roman" w:eastAsia="Times New Roman" w:hint="default"/>
                <w:sz w:val="16"/>
                <w:szCs w:val="16"/>
              </w:rPr>
            </w:pPr>
            <w:r>
              <w:rPr>
                <w:rFonts w:ascii="Times New Roman"/>
                <w:w w:val="100"/>
                <w:sz w:val="16"/>
              </w:rPr>
              <w:t>9</w:t>
            </w:r>
          </w:p>
        </w:tc>
      </w:tr>
      <w:tr>
        <w:trPr>
          <w:trHeight w:val="194"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89" w:right="129"/>
              <w:jc w:val="center"/>
              <w:rPr>
                <w:rFonts w:ascii="Times New Roman" w:hAnsi="Times New Roman" w:cs="Times New Roman" w:eastAsia="Times New Roman" w:hint="default"/>
                <w:sz w:val="16"/>
                <w:szCs w:val="16"/>
              </w:rPr>
            </w:pPr>
            <w:r>
              <w:rPr>
                <w:rFonts w:ascii="Times New Roman"/>
                <w:sz w:val="16"/>
              </w:rPr>
              <w:t>410000</w:t>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0" w:right="110"/>
              <w:jc w:val="left"/>
              <w:rPr>
                <w:rFonts w:ascii="Times New Roman" w:hAnsi="Times New Roman" w:cs="Times New Roman" w:eastAsia="Times New Roman" w:hint="default"/>
                <w:sz w:val="16"/>
                <w:szCs w:val="16"/>
              </w:rPr>
            </w:pPr>
            <w:r>
              <w:rPr>
                <w:rFonts w:ascii="Times New Roman" w:hAnsi="Times New Roman"/>
                <w:sz w:val="16"/>
              </w:rPr>
              <w:t>Расходи за</w:t>
            </w:r>
            <w:r>
              <w:rPr>
                <w:rFonts w:ascii="Times New Roman" w:hAnsi="Times New Roman"/>
                <w:spacing w:val="-7"/>
                <w:sz w:val="16"/>
              </w:rPr>
              <w:t> </w:t>
            </w:r>
            <w:r>
              <w:rPr>
                <w:rFonts w:ascii="Times New Roman" w:hAnsi="Times New Roman"/>
                <w:sz w:val="16"/>
              </w:rPr>
              <w:t>запослене</w:t>
            </w:r>
          </w:p>
        </w:tc>
        <w:tc>
          <w:tcPr>
            <w:tcW w:w="1171"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2.268.660</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27.066</w:t>
            </w:r>
          </w:p>
        </w:tc>
        <w:tc>
          <w:tcPr>
            <w:tcW w:w="108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2.065.033</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1.564</w:t>
            </w:r>
          </w:p>
        </w:tc>
        <w:tc>
          <w:tcPr>
            <w:tcW w:w="1066" w:type="dxa"/>
            <w:tcBorders>
              <w:top w:val="single" w:sz="4" w:space="0" w:color="000000"/>
              <w:left w:val="single" w:sz="4" w:space="0" w:color="000000"/>
              <w:bottom w:val="single" w:sz="4" w:space="0" w:color="000000"/>
              <w:right w:val="single" w:sz="4" w:space="0" w:color="000000"/>
            </w:tcBorders>
          </w:tcPr>
          <w:p>
            <w:pP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174.997</w:t>
            </w:r>
          </w:p>
        </w:tc>
      </w:tr>
      <w:tr>
        <w:trPr>
          <w:trHeight w:val="377"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89" w:right="129"/>
              <w:jc w:val="center"/>
              <w:rPr>
                <w:rFonts w:ascii="Times New Roman" w:hAnsi="Times New Roman" w:cs="Times New Roman" w:eastAsia="Times New Roman" w:hint="default"/>
                <w:sz w:val="16"/>
                <w:szCs w:val="16"/>
              </w:rPr>
            </w:pPr>
            <w:r>
              <w:rPr>
                <w:rFonts w:ascii="Times New Roman"/>
                <w:sz w:val="16"/>
              </w:rPr>
              <w:t>420000</w:t>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100" w:right="163"/>
              <w:jc w:val="left"/>
              <w:rPr>
                <w:rFonts w:ascii="Times New Roman" w:hAnsi="Times New Roman" w:cs="Times New Roman" w:eastAsia="Times New Roman" w:hint="default"/>
                <w:sz w:val="16"/>
                <w:szCs w:val="16"/>
              </w:rPr>
            </w:pPr>
            <w:r>
              <w:rPr>
                <w:rFonts w:ascii="Times New Roman" w:hAnsi="Times New Roman"/>
                <w:sz w:val="16"/>
              </w:rPr>
              <w:t>Коришћење услуга и роба</w:t>
            </w:r>
          </w:p>
        </w:tc>
        <w:tc>
          <w:tcPr>
            <w:tcW w:w="1171"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2.040.748</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29.811</w:t>
            </w:r>
          </w:p>
        </w:tc>
        <w:tc>
          <w:tcPr>
            <w:tcW w:w="108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1.798.264</w:t>
            </w:r>
          </w:p>
        </w:tc>
        <w:tc>
          <w:tcPr>
            <w:tcW w:w="768" w:type="dxa"/>
            <w:tcBorders>
              <w:top w:val="single" w:sz="4" w:space="0" w:color="000000"/>
              <w:left w:val="single" w:sz="4" w:space="0" w:color="000000"/>
              <w:bottom w:val="single" w:sz="4" w:space="0" w:color="000000"/>
              <w:right w:val="single" w:sz="4" w:space="0" w:color="000000"/>
            </w:tcBorders>
          </w:tcPr>
          <w:p>
            <w:pPr/>
          </w:p>
        </w:tc>
        <w:tc>
          <w:tcPr>
            <w:tcW w:w="106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345" w:right="0"/>
              <w:jc w:val="left"/>
              <w:rPr>
                <w:rFonts w:ascii="Times New Roman" w:hAnsi="Times New Roman" w:cs="Times New Roman" w:eastAsia="Times New Roman" w:hint="default"/>
                <w:sz w:val="16"/>
                <w:szCs w:val="16"/>
              </w:rPr>
            </w:pPr>
            <w:r>
              <w:rPr>
                <w:rFonts w:ascii="Times New Roman"/>
                <w:sz w:val="16"/>
              </w:rPr>
              <w:t>2.210</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210.463</w:t>
            </w:r>
          </w:p>
        </w:tc>
      </w:tr>
      <w:tr>
        <w:trPr>
          <w:trHeight w:val="379"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89" w:right="129"/>
              <w:jc w:val="center"/>
              <w:rPr>
                <w:rFonts w:ascii="Times New Roman" w:hAnsi="Times New Roman" w:cs="Times New Roman" w:eastAsia="Times New Roman" w:hint="default"/>
                <w:sz w:val="16"/>
                <w:szCs w:val="16"/>
              </w:rPr>
            </w:pPr>
            <w:r>
              <w:rPr>
                <w:rFonts w:ascii="Times New Roman"/>
                <w:sz w:val="16"/>
              </w:rPr>
              <w:t>430000</w:t>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0" w:right="273"/>
              <w:jc w:val="left"/>
              <w:rPr>
                <w:rFonts w:ascii="Times New Roman" w:hAnsi="Times New Roman" w:cs="Times New Roman" w:eastAsia="Times New Roman" w:hint="default"/>
                <w:sz w:val="16"/>
                <w:szCs w:val="16"/>
              </w:rPr>
            </w:pPr>
            <w:r>
              <w:rPr>
                <w:rFonts w:ascii="Times New Roman" w:hAnsi="Times New Roman"/>
                <w:sz w:val="16"/>
              </w:rPr>
              <w:t>Амортизација и употреба</w:t>
            </w:r>
            <w:r>
              <w:rPr>
                <w:rFonts w:ascii="Times New Roman" w:hAnsi="Times New Roman"/>
                <w:spacing w:val="-5"/>
                <w:sz w:val="16"/>
              </w:rPr>
              <w:t> </w:t>
            </w:r>
            <w:r>
              <w:rPr>
                <w:rFonts w:ascii="Times New Roman" w:hAnsi="Times New Roman"/>
                <w:sz w:val="16"/>
              </w:rPr>
              <w:t>средстава</w:t>
            </w:r>
          </w:p>
        </w:tc>
        <w:tc>
          <w:tcPr>
            <w:tcW w:w="1171"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361</w:t>
            </w:r>
          </w:p>
        </w:tc>
        <w:tc>
          <w:tcPr>
            <w:tcW w:w="900" w:type="dxa"/>
            <w:tcBorders>
              <w:top w:val="single" w:sz="4" w:space="0" w:color="000000"/>
              <w:left w:val="single" w:sz="4" w:space="0" w:color="000000"/>
              <w:bottom w:val="single" w:sz="4" w:space="0" w:color="000000"/>
              <w:right w:val="single" w:sz="4" w:space="0" w:color="000000"/>
            </w:tcBorders>
          </w:tcPr>
          <w:p>
            <w:pPr/>
          </w:p>
        </w:tc>
        <w:tc>
          <w:tcPr>
            <w:tcW w:w="1081" w:type="dxa"/>
            <w:tcBorders>
              <w:top w:val="single" w:sz="4" w:space="0" w:color="000000"/>
              <w:left w:val="single" w:sz="4" w:space="0" w:color="000000"/>
              <w:bottom w:val="single" w:sz="4" w:space="0" w:color="000000"/>
              <w:right w:val="single" w:sz="4" w:space="0" w:color="000000"/>
            </w:tcBorders>
          </w:tcPr>
          <w:p>
            <w:pPr/>
          </w:p>
        </w:tc>
        <w:tc>
          <w:tcPr>
            <w:tcW w:w="768" w:type="dxa"/>
            <w:tcBorders>
              <w:top w:val="single" w:sz="4" w:space="0" w:color="000000"/>
              <w:left w:val="single" w:sz="4" w:space="0" w:color="000000"/>
              <w:bottom w:val="single" w:sz="4" w:space="0" w:color="000000"/>
              <w:right w:val="single" w:sz="4" w:space="0" w:color="000000"/>
            </w:tcBorders>
          </w:tcPr>
          <w:p>
            <w:pPr/>
          </w:p>
        </w:tc>
        <w:tc>
          <w:tcPr>
            <w:tcW w:w="1066" w:type="dxa"/>
            <w:tcBorders>
              <w:top w:val="single" w:sz="4" w:space="0" w:color="000000"/>
              <w:left w:val="single" w:sz="4" w:space="0" w:color="000000"/>
              <w:bottom w:val="single" w:sz="4" w:space="0" w:color="000000"/>
              <w:right w:val="single" w:sz="4" w:space="0" w:color="000000"/>
            </w:tcBorders>
          </w:tcPr>
          <w:p>
            <w:pP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361</w:t>
            </w:r>
          </w:p>
        </w:tc>
      </w:tr>
      <w:tr>
        <w:trPr>
          <w:trHeight w:val="377"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89" w:right="129"/>
              <w:jc w:val="center"/>
              <w:rPr>
                <w:rFonts w:ascii="Times New Roman" w:hAnsi="Times New Roman" w:cs="Times New Roman" w:eastAsia="Times New Roman" w:hint="default"/>
                <w:sz w:val="16"/>
                <w:szCs w:val="16"/>
              </w:rPr>
            </w:pPr>
            <w:r>
              <w:rPr>
                <w:rFonts w:ascii="Times New Roman"/>
                <w:sz w:val="16"/>
              </w:rPr>
              <w:t>440000</w:t>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0" w:right="110"/>
              <w:jc w:val="left"/>
              <w:rPr>
                <w:rFonts w:ascii="Times New Roman" w:hAnsi="Times New Roman" w:cs="Times New Roman" w:eastAsia="Times New Roman" w:hint="default"/>
                <w:sz w:val="16"/>
                <w:szCs w:val="16"/>
              </w:rPr>
            </w:pPr>
            <w:r>
              <w:rPr>
                <w:rFonts w:ascii="Times New Roman" w:hAnsi="Times New Roman"/>
                <w:sz w:val="16"/>
              </w:rPr>
              <w:t>Отплата камата и прат. трошк.</w:t>
            </w:r>
            <w:r>
              <w:rPr>
                <w:rFonts w:ascii="Times New Roman" w:hAnsi="Times New Roman"/>
                <w:spacing w:val="-10"/>
                <w:sz w:val="16"/>
              </w:rPr>
              <w:t> </w:t>
            </w:r>
            <w:r>
              <w:rPr>
                <w:rFonts w:ascii="Times New Roman" w:hAnsi="Times New Roman"/>
                <w:sz w:val="16"/>
              </w:rPr>
              <w:t>Задуж.</w:t>
            </w:r>
          </w:p>
        </w:tc>
        <w:tc>
          <w:tcPr>
            <w:tcW w:w="1171"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150.629</w:t>
            </w:r>
          </w:p>
        </w:tc>
        <w:tc>
          <w:tcPr>
            <w:tcW w:w="900" w:type="dxa"/>
            <w:tcBorders>
              <w:top w:val="single" w:sz="4" w:space="0" w:color="000000"/>
              <w:left w:val="single" w:sz="4" w:space="0" w:color="000000"/>
              <w:bottom w:val="single" w:sz="4" w:space="0" w:color="000000"/>
              <w:right w:val="single" w:sz="4" w:space="0" w:color="000000"/>
            </w:tcBorders>
          </w:tcPr>
          <w:p>
            <w:pPr/>
          </w:p>
        </w:tc>
        <w:tc>
          <w:tcPr>
            <w:tcW w:w="108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140.899</w:t>
            </w:r>
          </w:p>
        </w:tc>
        <w:tc>
          <w:tcPr>
            <w:tcW w:w="768" w:type="dxa"/>
            <w:tcBorders>
              <w:top w:val="single" w:sz="4" w:space="0" w:color="000000"/>
              <w:left w:val="single" w:sz="4" w:space="0" w:color="000000"/>
              <w:bottom w:val="single" w:sz="4" w:space="0" w:color="000000"/>
              <w:right w:val="single" w:sz="4" w:space="0" w:color="000000"/>
            </w:tcBorders>
          </w:tcPr>
          <w:p>
            <w:pPr/>
          </w:p>
        </w:tc>
        <w:tc>
          <w:tcPr>
            <w:tcW w:w="1066" w:type="dxa"/>
            <w:tcBorders>
              <w:top w:val="single" w:sz="4" w:space="0" w:color="000000"/>
              <w:left w:val="single" w:sz="4" w:space="0" w:color="000000"/>
              <w:bottom w:val="single" w:sz="4" w:space="0" w:color="000000"/>
              <w:right w:val="single" w:sz="4" w:space="0" w:color="000000"/>
            </w:tcBorders>
          </w:tcPr>
          <w:p>
            <w:pP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9.730</w:t>
            </w:r>
          </w:p>
        </w:tc>
      </w:tr>
      <w:tr>
        <w:trPr>
          <w:trHeight w:val="194"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89" w:right="129"/>
              <w:jc w:val="center"/>
              <w:rPr>
                <w:rFonts w:ascii="Times New Roman" w:hAnsi="Times New Roman" w:cs="Times New Roman" w:eastAsia="Times New Roman" w:hint="default"/>
                <w:sz w:val="16"/>
                <w:szCs w:val="16"/>
              </w:rPr>
            </w:pPr>
            <w:r>
              <w:rPr>
                <w:rFonts w:ascii="Times New Roman"/>
                <w:sz w:val="16"/>
              </w:rPr>
              <w:t>450000</w:t>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0" w:right="110"/>
              <w:jc w:val="left"/>
              <w:rPr>
                <w:rFonts w:ascii="Times New Roman" w:hAnsi="Times New Roman" w:cs="Times New Roman" w:eastAsia="Times New Roman" w:hint="default"/>
                <w:sz w:val="16"/>
                <w:szCs w:val="16"/>
              </w:rPr>
            </w:pPr>
            <w:r>
              <w:rPr>
                <w:rFonts w:ascii="Times New Roman" w:hAnsi="Times New Roman"/>
                <w:sz w:val="16"/>
              </w:rPr>
              <w:t>Субвенције</w:t>
            </w:r>
          </w:p>
        </w:tc>
        <w:tc>
          <w:tcPr>
            <w:tcW w:w="1171"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328.311</w:t>
            </w:r>
          </w:p>
        </w:tc>
        <w:tc>
          <w:tcPr>
            <w:tcW w:w="900" w:type="dxa"/>
            <w:tcBorders>
              <w:top w:val="single" w:sz="4" w:space="0" w:color="000000"/>
              <w:left w:val="single" w:sz="4" w:space="0" w:color="000000"/>
              <w:bottom w:val="single" w:sz="4" w:space="0" w:color="000000"/>
              <w:right w:val="single" w:sz="4" w:space="0" w:color="000000"/>
            </w:tcBorders>
          </w:tcPr>
          <w:p>
            <w:pPr/>
          </w:p>
        </w:tc>
        <w:tc>
          <w:tcPr>
            <w:tcW w:w="108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328.311</w:t>
            </w:r>
          </w:p>
        </w:tc>
        <w:tc>
          <w:tcPr>
            <w:tcW w:w="768" w:type="dxa"/>
            <w:tcBorders>
              <w:top w:val="single" w:sz="4" w:space="0" w:color="000000"/>
              <w:left w:val="single" w:sz="4" w:space="0" w:color="000000"/>
              <w:bottom w:val="single" w:sz="4" w:space="0" w:color="000000"/>
              <w:right w:val="single" w:sz="4" w:space="0" w:color="000000"/>
            </w:tcBorders>
          </w:tcPr>
          <w:p>
            <w:pPr/>
          </w:p>
        </w:tc>
        <w:tc>
          <w:tcPr>
            <w:tcW w:w="1066" w:type="dxa"/>
            <w:tcBorders>
              <w:top w:val="single" w:sz="4" w:space="0" w:color="000000"/>
              <w:left w:val="single" w:sz="4" w:space="0" w:color="000000"/>
              <w:bottom w:val="single" w:sz="4" w:space="0" w:color="000000"/>
              <w:right w:val="single" w:sz="4" w:space="0" w:color="000000"/>
            </w:tcBorders>
          </w:tcPr>
          <w:p>
            <w:pPr/>
          </w:p>
        </w:tc>
        <w:tc>
          <w:tcPr>
            <w:tcW w:w="1063" w:type="dxa"/>
            <w:tcBorders>
              <w:top w:val="single" w:sz="4" w:space="0" w:color="000000"/>
              <w:left w:val="single" w:sz="4" w:space="0" w:color="000000"/>
              <w:bottom w:val="single" w:sz="4" w:space="0" w:color="000000"/>
              <w:right w:val="single" w:sz="4" w:space="0" w:color="000000"/>
            </w:tcBorders>
          </w:tcPr>
          <w:p>
            <w:pPr/>
          </w:p>
        </w:tc>
      </w:tr>
      <w:tr>
        <w:trPr>
          <w:trHeight w:val="377"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89" w:right="129"/>
              <w:jc w:val="center"/>
              <w:rPr>
                <w:rFonts w:ascii="Times New Roman" w:hAnsi="Times New Roman" w:cs="Times New Roman" w:eastAsia="Times New Roman" w:hint="default"/>
                <w:sz w:val="16"/>
                <w:szCs w:val="16"/>
              </w:rPr>
            </w:pPr>
            <w:r>
              <w:rPr>
                <w:rFonts w:ascii="Times New Roman"/>
                <w:sz w:val="16"/>
              </w:rPr>
              <w:t>460000</w:t>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0" w:right="162"/>
              <w:jc w:val="left"/>
              <w:rPr>
                <w:rFonts w:ascii="Times New Roman" w:hAnsi="Times New Roman" w:cs="Times New Roman" w:eastAsia="Times New Roman" w:hint="default"/>
                <w:sz w:val="16"/>
                <w:szCs w:val="16"/>
              </w:rPr>
            </w:pPr>
            <w:r>
              <w:rPr>
                <w:rFonts w:ascii="Times New Roman" w:hAnsi="Times New Roman"/>
                <w:sz w:val="16"/>
              </w:rPr>
              <w:t>Донације, дотације и трансфери</w:t>
            </w:r>
          </w:p>
        </w:tc>
        <w:tc>
          <w:tcPr>
            <w:tcW w:w="1171"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750.050</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315</w:t>
            </w:r>
          </w:p>
        </w:tc>
        <w:tc>
          <w:tcPr>
            <w:tcW w:w="108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749.536</w:t>
            </w:r>
          </w:p>
        </w:tc>
        <w:tc>
          <w:tcPr>
            <w:tcW w:w="768" w:type="dxa"/>
            <w:tcBorders>
              <w:top w:val="single" w:sz="4" w:space="0" w:color="000000"/>
              <w:left w:val="single" w:sz="4" w:space="0" w:color="000000"/>
              <w:bottom w:val="single" w:sz="4" w:space="0" w:color="000000"/>
              <w:right w:val="single" w:sz="4" w:space="0" w:color="000000"/>
            </w:tcBorders>
          </w:tcPr>
          <w:p>
            <w:pPr/>
          </w:p>
        </w:tc>
        <w:tc>
          <w:tcPr>
            <w:tcW w:w="1066" w:type="dxa"/>
            <w:tcBorders>
              <w:top w:val="single" w:sz="4" w:space="0" w:color="000000"/>
              <w:left w:val="single" w:sz="4" w:space="0" w:color="000000"/>
              <w:bottom w:val="single" w:sz="4" w:space="0" w:color="000000"/>
              <w:right w:val="single" w:sz="4" w:space="0" w:color="000000"/>
            </w:tcBorders>
          </w:tcPr>
          <w:p>
            <w:pP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199</w:t>
            </w:r>
          </w:p>
        </w:tc>
      </w:tr>
      <w:tr>
        <w:trPr>
          <w:trHeight w:val="379"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89" w:right="129"/>
              <w:jc w:val="center"/>
              <w:rPr>
                <w:rFonts w:ascii="Times New Roman" w:hAnsi="Times New Roman" w:cs="Times New Roman" w:eastAsia="Times New Roman" w:hint="default"/>
                <w:sz w:val="16"/>
                <w:szCs w:val="16"/>
              </w:rPr>
            </w:pPr>
            <w:r>
              <w:rPr>
                <w:rFonts w:ascii="Times New Roman"/>
                <w:sz w:val="16"/>
              </w:rPr>
              <w:t>470000</w:t>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line="182" w:lineRule="exact"/>
              <w:ind w:left="100" w:right="110"/>
              <w:jc w:val="left"/>
              <w:rPr>
                <w:rFonts w:ascii="Times New Roman" w:hAnsi="Times New Roman" w:cs="Times New Roman" w:eastAsia="Times New Roman" w:hint="default"/>
                <w:sz w:val="16"/>
                <w:szCs w:val="16"/>
              </w:rPr>
            </w:pPr>
            <w:r>
              <w:rPr>
                <w:rFonts w:ascii="Times New Roman" w:hAnsi="Times New Roman"/>
                <w:sz w:val="16"/>
              </w:rPr>
              <w:t>Социјално осигурање и социјална</w:t>
            </w:r>
            <w:r>
              <w:rPr>
                <w:rFonts w:ascii="Times New Roman" w:hAnsi="Times New Roman"/>
                <w:spacing w:val="-5"/>
                <w:sz w:val="16"/>
              </w:rPr>
              <w:t> </w:t>
            </w:r>
            <w:r>
              <w:rPr>
                <w:rFonts w:ascii="Times New Roman" w:hAnsi="Times New Roman"/>
                <w:sz w:val="16"/>
              </w:rPr>
              <w:t>заштита</w:t>
            </w:r>
          </w:p>
        </w:tc>
        <w:tc>
          <w:tcPr>
            <w:tcW w:w="1171"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2"/>
              <w:jc w:val="right"/>
              <w:rPr>
                <w:rFonts w:ascii="Times New Roman" w:hAnsi="Times New Roman" w:cs="Times New Roman" w:eastAsia="Times New Roman" w:hint="default"/>
                <w:sz w:val="16"/>
                <w:szCs w:val="16"/>
              </w:rPr>
            </w:pPr>
            <w:r>
              <w:rPr>
                <w:rFonts w:ascii="Times New Roman"/>
                <w:spacing w:val="-1"/>
                <w:sz w:val="16"/>
              </w:rPr>
              <w:t>283.851</w:t>
            </w:r>
          </w:p>
        </w:tc>
        <w:tc>
          <w:tcPr>
            <w:tcW w:w="900" w:type="dxa"/>
            <w:tcBorders>
              <w:top w:val="single" w:sz="4" w:space="0" w:color="000000"/>
              <w:left w:val="single" w:sz="4" w:space="0" w:color="000000"/>
              <w:bottom w:val="single" w:sz="4" w:space="0" w:color="000000"/>
              <w:right w:val="single" w:sz="4" w:space="0" w:color="000000"/>
            </w:tcBorders>
          </w:tcPr>
          <w:p>
            <w:pPr/>
          </w:p>
        </w:tc>
        <w:tc>
          <w:tcPr>
            <w:tcW w:w="1081"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3"/>
              <w:jc w:val="right"/>
              <w:rPr>
                <w:rFonts w:ascii="Times New Roman" w:hAnsi="Times New Roman" w:cs="Times New Roman" w:eastAsia="Times New Roman" w:hint="default"/>
                <w:sz w:val="16"/>
                <w:szCs w:val="16"/>
              </w:rPr>
            </w:pPr>
            <w:r>
              <w:rPr>
                <w:rFonts w:ascii="Times New Roman"/>
                <w:spacing w:val="-1"/>
                <w:sz w:val="16"/>
              </w:rPr>
              <w:t>283.851</w:t>
            </w:r>
          </w:p>
        </w:tc>
        <w:tc>
          <w:tcPr>
            <w:tcW w:w="768" w:type="dxa"/>
            <w:tcBorders>
              <w:top w:val="single" w:sz="4" w:space="0" w:color="000000"/>
              <w:left w:val="single" w:sz="4" w:space="0" w:color="000000"/>
              <w:bottom w:val="single" w:sz="4" w:space="0" w:color="000000"/>
              <w:right w:val="single" w:sz="4" w:space="0" w:color="000000"/>
            </w:tcBorders>
          </w:tcPr>
          <w:p>
            <w:pPr/>
          </w:p>
        </w:tc>
        <w:tc>
          <w:tcPr>
            <w:tcW w:w="1066" w:type="dxa"/>
            <w:tcBorders>
              <w:top w:val="single" w:sz="4" w:space="0" w:color="000000"/>
              <w:left w:val="single" w:sz="4" w:space="0" w:color="000000"/>
              <w:bottom w:val="single" w:sz="4" w:space="0" w:color="000000"/>
              <w:right w:val="single" w:sz="4" w:space="0" w:color="000000"/>
            </w:tcBorders>
          </w:tcPr>
          <w:p>
            <w:pPr/>
          </w:p>
        </w:tc>
        <w:tc>
          <w:tcPr>
            <w:tcW w:w="1063" w:type="dxa"/>
            <w:tcBorders>
              <w:top w:val="single" w:sz="4" w:space="0" w:color="000000"/>
              <w:left w:val="single" w:sz="4" w:space="0" w:color="000000"/>
              <w:bottom w:val="single" w:sz="4" w:space="0" w:color="000000"/>
              <w:right w:val="single" w:sz="4" w:space="0" w:color="000000"/>
            </w:tcBorders>
          </w:tcPr>
          <w:p>
            <w:pPr/>
          </w:p>
        </w:tc>
      </w:tr>
      <w:tr>
        <w:trPr>
          <w:trHeight w:val="194"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89" w:right="129"/>
              <w:jc w:val="center"/>
              <w:rPr>
                <w:rFonts w:ascii="Times New Roman" w:hAnsi="Times New Roman" w:cs="Times New Roman" w:eastAsia="Times New Roman" w:hint="default"/>
                <w:sz w:val="16"/>
                <w:szCs w:val="16"/>
              </w:rPr>
            </w:pPr>
            <w:r>
              <w:rPr>
                <w:rFonts w:ascii="Times New Roman"/>
                <w:sz w:val="16"/>
              </w:rPr>
              <w:t>480000</w:t>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0" w:right="110"/>
              <w:jc w:val="left"/>
              <w:rPr>
                <w:rFonts w:ascii="Times New Roman" w:hAnsi="Times New Roman" w:cs="Times New Roman" w:eastAsia="Times New Roman" w:hint="default"/>
                <w:sz w:val="16"/>
                <w:szCs w:val="16"/>
              </w:rPr>
            </w:pPr>
            <w:r>
              <w:rPr>
                <w:rFonts w:ascii="Times New Roman" w:hAnsi="Times New Roman"/>
                <w:sz w:val="16"/>
              </w:rPr>
              <w:t>Остали</w:t>
            </w:r>
            <w:r>
              <w:rPr>
                <w:rFonts w:ascii="Times New Roman" w:hAnsi="Times New Roman"/>
                <w:spacing w:val="-4"/>
                <w:sz w:val="16"/>
              </w:rPr>
              <w:t> </w:t>
            </w:r>
            <w:r>
              <w:rPr>
                <w:rFonts w:ascii="Times New Roman" w:hAnsi="Times New Roman"/>
                <w:sz w:val="16"/>
              </w:rPr>
              <w:t>расходи</w:t>
            </w:r>
          </w:p>
        </w:tc>
        <w:tc>
          <w:tcPr>
            <w:tcW w:w="1171"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384.202</w:t>
            </w:r>
          </w:p>
        </w:tc>
        <w:tc>
          <w:tcPr>
            <w:tcW w:w="900" w:type="dxa"/>
            <w:tcBorders>
              <w:top w:val="single" w:sz="4" w:space="0" w:color="000000"/>
              <w:left w:val="single" w:sz="4" w:space="0" w:color="000000"/>
              <w:bottom w:val="single" w:sz="4" w:space="0" w:color="000000"/>
              <w:right w:val="single" w:sz="4" w:space="0" w:color="000000"/>
            </w:tcBorders>
          </w:tcPr>
          <w:p>
            <w:pPr/>
          </w:p>
        </w:tc>
        <w:tc>
          <w:tcPr>
            <w:tcW w:w="108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362.546</w:t>
            </w:r>
          </w:p>
        </w:tc>
        <w:tc>
          <w:tcPr>
            <w:tcW w:w="768" w:type="dxa"/>
            <w:tcBorders>
              <w:top w:val="single" w:sz="4" w:space="0" w:color="000000"/>
              <w:left w:val="single" w:sz="4" w:space="0" w:color="000000"/>
              <w:bottom w:val="single" w:sz="4" w:space="0" w:color="000000"/>
              <w:right w:val="single" w:sz="4" w:space="0" w:color="000000"/>
            </w:tcBorders>
          </w:tcPr>
          <w:p>
            <w:pPr/>
          </w:p>
        </w:tc>
        <w:tc>
          <w:tcPr>
            <w:tcW w:w="1066" w:type="dxa"/>
            <w:tcBorders>
              <w:top w:val="single" w:sz="4" w:space="0" w:color="000000"/>
              <w:left w:val="single" w:sz="4" w:space="0" w:color="000000"/>
              <w:bottom w:val="single" w:sz="4" w:space="0" w:color="000000"/>
              <w:right w:val="single" w:sz="4" w:space="0" w:color="000000"/>
            </w:tcBorders>
          </w:tcPr>
          <w:p>
            <w:pP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21.656</w:t>
            </w:r>
          </w:p>
        </w:tc>
      </w:tr>
      <w:tr>
        <w:trPr>
          <w:trHeight w:val="194"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89" w:right="129"/>
              <w:jc w:val="center"/>
              <w:rPr>
                <w:rFonts w:ascii="Times New Roman" w:hAnsi="Times New Roman" w:cs="Times New Roman" w:eastAsia="Times New Roman" w:hint="default"/>
                <w:sz w:val="16"/>
                <w:szCs w:val="16"/>
              </w:rPr>
            </w:pPr>
            <w:r>
              <w:rPr>
                <w:rFonts w:ascii="Times New Roman"/>
                <w:b/>
                <w:sz w:val="16"/>
              </w:rPr>
              <w:t>400000</w:t>
            </w:r>
            <w:r>
              <w:rPr>
                <w:rFonts w:ascii="Times New Roman"/>
                <w:sz w:val="16"/>
              </w:rPr>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0" w:right="110"/>
              <w:jc w:val="left"/>
              <w:rPr>
                <w:rFonts w:ascii="Times New Roman" w:hAnsi="Times New Roman" w:cs="Times New Roman" w:eastAsia="Times New Roman" w:hint="default"/>
                <w:sz w:val="16"/>
                <w:szCs w:val="16"/>
              </w:rPr>
            </w:pPr>
            <w:r>
              <w:rPr>
                <w:rFonts w:ascii="Times New Roman" w:hAnsi="Times New Roman"/>
                <w:b/>
                <w:sz w:val="16"/>
              </w:rPr>
              <w:t>Текући</w:t>
            </w:r>
            <w:r>
              <w:rPr>
                <w:rFonts w:ascii="Times New Roman" w:hAnsi="Times New Roman"/>
                <w:b/>
                <w:spacing w:val="-8"/>
                <w:sz w:val="16"/>
              </w:rPr>
              <w:t> </w:t>
            </w:r>
            <w:r>
              <w:rPr>
                <w:rFonts w:ascii="Times New Roman" w:hAnsi="Times New Roman"/>
                <w:b/>
                <w:sz w:val="16"/>
              </w:rPr>
              <w:t>расходи</w:t>
            </w:r>
            <w:r>
              <w:rPr>
                <w:rFonts w:ascii="Times New Roman" w:hAnsi="Times New Roman"/>
                <w:sz w:val="16"/>
              </w:rPr>
            </w:r>
          </w:p>
        </w:tc>
        <w:tc>
          <w:tcPr>
            <w:tcW w:w="1171"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
        </w:tc>
        <w:tc>
          <w:tcPr>
            <w:tcW w:w="900" w:type="dxa"/>
            <w:tcBorders>
              <w:top w:val="single" w:sz="4" w:space="0" w:color="000000"/>
              <w:left w:val="single" w:sz="4" w:space="0" w:color="000000"/>
              <w:bottom w:val="single" w:sz="4" w:space="0" w:color="000000"/>
              <w:right w:val="single" w:sz="4" w:space="0" w:color="000000"/>
            </w:tcBorders>
          </w:tcPr>
          <w:p>
            <w:pPr/>
          </w:p>
        </w:tc>
        <w:tc>
          <w:tcPr>
            <w:tcW w:w="1081" w:type="dxa"/>
            <w:tcBorders>
              <w:top w:val="single" w:sz="4" w:space="0" w:color="000000"/>
              <w:left w:val="single" w:sz="4" w:space="0" w:color="000000"/>
              <w:bottom w:val="single" w:sz="4" w:space="0" w:color="000000"/>
              <w:right w:val="single" w:sz="4" w:space="0" w:color="000000"/>
            </w:tcBorders>
          </w:tcPr>
          <w:p>
            <w:pPr/>
          </w:p>
        </w:tc>
        <w:tc>
          <w:tcPr>
            <w:tcW w:w="768" w:type="dxa"/>
            <w:tcBorders>
              <w:top w:val="single" w:sz="4" w:space="0" w:color="000000"/>
              <w:left w:val="single" w:sz="4" w:space="0" w:color="000000"/>
              <w:bottom w:val="single" w:sz="4" w:space="0" w:color="000000"/>
              <w:right w:val="single" w:sz="4" w:space="0" w:color="000000"/>
            </w:tcBorders>
          </w:tcPr>
          <w:p>
            <w:pPr/>
          </w:p>
        </w:tc>
        <w:tc>
          <w:tcPr>
            <w:tcW w:w="1066" w:type="dxa"/>
            <w:tcBorders>
              <w:top w:val="single" w:sz="4" w:space="0" w:color="000000"/>
              <w:left w:val="single" w:sz="4" w:space="0" w:color="000000"/>
              <w:bottom w:val="single" w:sz="4" w:space="0" w:color="000000"/>
              <w:right w:val="single" w:sz="4" w:space="0" w:color="000000"/>
            </w:tcBorders>
          </w:tcPr>
          <w:p>
            <w:pPr/>
          </w:p>
        </w:tc>
        <w:tc>
          <w:tcPr>
            <w:tcW w:w="1063" w:type="dxa"/>
            <w:tcBorders>
              <w:top w:val="single" w:sz="4" w:space="0" w:color="000000"/>
              <w:left w:val="single" w:sz="4" w:space="0" w:color="000000"/>
              <w:bottom w:val="single" w:sz="4" w:space="0" w:color="000000"/>
              <w:right w:val="single" w:sz="4" w:space="0" w:color="000000"/>
            </w:tcBorders>
          </w:tcPr>
          <w:p>
            <w:pPr/>
          </w:p>
        </w:tc>
      </w:tr>
      <w:tr>
        <w:trPr>
          <w:trHeight w:val="192"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89" w:right="129"/>
              <w:jc w:val="center"/>
              <w:rPr>
                <w:rFonts w:ascii="Times New Roman" w:hAnsi="Times New Roman" w:cs="Times New Roman" w:eastAsia="Times New Roman" w:hint="default"/>
                <w:sz w:val="16"/>
                <w:szCs w:val="16"/>
              </w:rPr>
            </w:pPr>
            <w:r>
              <w:rPr>
                <w:rFonts w:ascii="Times New Roman"/>
                <w:sz w:val="16"/>
              </w:rPr>
              <w:t>510000</w:t>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0" w:right="110"/>
              <w:jc w:val="left"/>
              <w:rPr>
                <w:rFonts w:ascii="Times New Roman" w:hAnsi="Times New Roman" w:cs="Times New Roman" w:eastAsia="Times New Roman" w:hint="default"/>
                <w:sz w:val="16"/>
                <w:szCs w:val="16"/>
              </w:rPr>
            </w:pPr>
            <w:r>
              <w:rPr>
                <w:rFonts w:ascii="Times New Roman" w:hAnsi="Times New Roman"/>
                <w:sz w:val="16"/>
              </w:rPr>
              <w:t>Основна</w:t>
            </w:r>
            <w:r>
              <w:rPr>
                <w:rFonts w:ascii="Times New Roman" w:hAnsi="Times New Roman"/>
                <w:spacing w:val="-4"/>
                <w:sz w:val="16"/>
              </w:rPr>
              <w:t> </w:t>
            </w:r>
            <w:r>
              <w:rPr>
                <w:rFonts w:ascii="Times New Roman" w:hAnsi="Times New Roman"/>
                <w:sz w:val="16"/>
              </w:rPr>
              <w:t>средства</w:t>
            </w:r>
          </w:p>
        </w:tc>
        <w:tc>
          <w:tcPr>
            <w:tcW w:w="1171"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472.450</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1.893</w:t>
            </w:r>
          </w:p>
        </w:tc>
        <w:tc>
          <w:tcPr>
            <w:tcW w:w="108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467.048</w:t>
            </w:r>
          </w:p>
        </w:tc>
        <w:tc>
          <w:tcPr>
            <w:tcW w:w="768" w:type="dxa"/>
            <w:tcBorders>
              <w:top w:val="single" w:sz="4" w:space="0" w:color="000000"/>
              <w:left w:val="single" w:sz="4" w:space="0" w:color="000000"/>
              <w:bottom w:val="single" w:sz="4" w:space="0" w:color="000000"/>
              <w:right w:val="single" w:sz="4" w:space="0" w:color="000000"/>
            </w:tcBorders>
          </w:tcPr>
          <w:p>
            <w:pPr/>
          </w:p>
        </w:tc>
        <w:tc>
          <w:tcPr>
            <w:tcW w:w="106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535</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2.974</w:t>
            </w:r>
          </w:p>
        </w:tc>
      </w:tr>
      <w:tr>
        <w:trPr>
          <w:trHeight w:val="194"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89" w:right="129"/>
              <w:jc w:val="center"/>
              <w:rPr>
                <w:rFonts w:ascii="Times New Roman" w:hAnsi="Times New Roman" w:cs="Times New Roman" w:eastAsia="Times New Roman" w:hint="default"/>
                <w:sz w:val="16"/>
                <w:szCs w:val="16"/>
              </w:rPr>
            </w:pPr>
            <w:r>
              <w:rPr>
                <w:rFonts w:ascii="Times New Roman"/>
                <w:sz w:val="16"/>
              </w:rPr>
              <w:t>520000</w:t>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0" w:right="110"/>
              <w:jc w:val="left"/>
              <w:rPr>
                <w:rFonts w:ascii="Times New Roman" w:hAnsi="Times New Roman" w:cs="Times New Roman" w:eastAsia="Times New Roman" w:hint="default"/>
                <w:sz w:val="16"/>
                <w:szCs w:val="16"/>
              </w:rPr>
            </w:pPr>
            <w:r>
              <w:rPr>
                <w:rFonts w:ascii="Times New Roman" w:hAnsi="Times New Roman"/>
                <w:sz w:val="16"/>
              </w:rPr>
              <w:t>Залихе</w:t>
            </w:r>
          </w:p>
        </w:tc>
        <w:tc>
          <w:tcPr>
            <w:tcW w:w="1171"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2"/>
              <w:jc w:val="right"/>
              <w:rPr>
                <w:rFonts w:ascii="Times New Roman" w:hAnsi="Times New Roman" w:cs="Times New Roman" w:eastAsia="Times New Roman" w:hint="default"/>
                <w:sz w:val="16"/>
                <w:szCs w:val="16"/>
              </w:rPr>
            </w:pPr>
            <w:r>
              <w:rPr>
                <w:rFonts w:ascii="Times New Roman"/>
                <w:spacing w:val="-1"/>
                <w:sz w:val="16"/>
              </w:rPr>
              <w:t>83.229</w:t>
            </w:r>
          </w:p>
        </w:tc>
        <w:tc>
          <w:tcPr>
            <w:tcW w:w="900" w:type="dxa"/>
            <w:tcBorders>
              <w:top w:val="single" w:sz="4" w:space="0" w:color="000000"/>
              <w:left w:val="single" w:sz="4" w:space="0" w:color="000000"/>
              <w:bottom w:val="single" w:sz="4" w:space="0" w:color="000000"/>
              <w:right w:val="single" w:sz="4" w:space="0" w:color="000000"/>
            </w:tcBorders>
          </w:tcPr>
          <w:p>
            <w:pPr/>
          </w:p>
        </w:tc>
        <w:tc>
          <w:tcPr>
            <w:tcW w:w="1081"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3"/>
              <w:jc w:val="right"/>
              <w:rPr>
                <w:rFonts w:ascii="Times New Roman" w:hAnsi="Times New Roman" w:cs="Times New Roman" w:eastAsia="Times New Roman" w:hint="default"/>
                <w:sz w:val="16"/>
                <w:szCs w:val="16"/>
              </w:rPr>
            </w:pPr>
            <w:r>
              <w:rPr>
                <w:rFonts w:ascii="Times New Roman"/>
                <w:spacing w:val="-1"/>
                <w:sz w:val="16"/>
              </w:rPr>
              <w:t>59.072</w:t>
            </w:r>
          </w:p>
        </w:tc>
        <w:tc>
          <w:tcPr>
            <w:tcW w:w="768" w:type="dxa"/>
            <w:tcBorders>
              <w:top w:val="single" w:sz="4" w:space="0" w:color="000000"/>
              <w:left w:val="single" w:sz="4" w:space="0" w:color="000000"/>
              <w:bottom w:val="single" w:sz="4" w:space="0" w:color="000000"/>
              <w:right w:val="single" w:sz="4" w:space="0" w:color="000000"/>
            </w:tcBorders>
          </w:tcPr>
          <w:p>
            <w:pPr/>
          </w:p>
        </w:tc>
        <w:tc>
          <w:tcPr>
            <w:tcW w:w="1066" w:type="dxa"/>
            <w:tcBorders>
              <w:top w:val="single" w:sz="4" w:space="0" w:color="000000"/>
              <w:left w:val="single" w:sz="4" w:space="0" w:color="000000"/>
              <w:bottom w:val="single" w:sz="4" w:space="0" w:color="000000"/>
              <w:right w:val="single" w:sz="4" w:space="0" w:color="000000"/>
            </w:tcBorders>
          </w:tcPr>
          <w:p>
            <w:pP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2"/>
              <w:jc w:val="right"/>
              <w:rPr>
                <w:rFonts w:ascii="Times New Roman" w:hAnsi="Times New Roman" w:cs="Times New Roman" w:eastAsia="Times New Roman" w:hint="default"/>
                <w:sz w:val="16"/>
                <w:szCs w:val="16"/>
              </w:rPr>
            </w:pPr>
            <w:r>
              <w:rPr>
                <w:rFonts w:ascii="Times New Roman"/>
                <w:spacing w:val="-1"/>
                <w:sz w:val="16"/>
              </w:rPr>
              <w:t>24.157</w:t>
            </w:r>
          </w:p>
        </w:tc>
      </w:tr>
      <w:tr>
        <w:trPr>
          <w:trHeight w:val="194"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89" w:right="129"/>
              <w:jc w:val="center"/>
              <w:rPr>
                <w:rFonts w:ascii="Times New Roman" w:hAnsi="Times New Roman" w:cs="Times New Roman" w:eastAsia="Times New Roman" w:hint="default"/>
                <w:sz w:val="16"/>
                <w:szCs w:val="16"/>
              </w:rPr>
            </w:pPr>
            <w:r>
              <w:rPr>
                <w:rFonts w:ascii="Times New Roman"/>
                <w:sz w:val="16"/>
              </w:rPr>
              <w:t>540000</w:t>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0" w:right="110"/>
              <w:jc w:val="left"/>
              <w:rPr>
                <w:rFonts w:ascii="Times New Roman" w:hAnsi="Times New Roman" w:cs="Times New Roman" w:eastAsia="Times New Roman" w:hint="default"/>
                <w:sz w:val="16"/>
                <w:szCs w:val="16"/>
              </w:rPr>
            </w:pPr>
            <w:r>
              <w:rPr>
                <w:rFonts w:ascii="Times New Roman" w:hAnsi="Times New Roman"/>
                <w:sz w:val="16"/>
              </w:rPr>
              <w:t>Природна</w:t>
            </w:r>
            <w:r>
              <w:rPr>
                <w:rFonts w:ascii="Times New Roman" w:hAnsi="Times New Roman"/>
                <w:spacing w:val="-5"/>
                <w:sz w:val="16"/>
              </w:rPr>
              <w:t> </w:t>
            </w:r>
            <w:r>
              <w:rPr>
                <w:rFonts w:ascii="Times New Roman" w:hAnsi="Times New Roman"/>
                <w:sz w:val="16"/>
              </w:rPr>
              <w:t>имовина</w:t>
            </w:r>
          </w:p>
        </w:tc>
        <w:tc>
          <w:tcPr>
            <w:tcW w:w="1171"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177.504</w:t>
            </w:r>
          </w:p>
        </w:tc>
        <w:tc>
          <w:tcPr>
            <w:tcW w:w="900" w:type="dxa"/>
            <w:tcBorders>
              <w:top w:val="single" w:sz="4" w:space="0" w:color="000000"/>
              <w:left w:val="single" w:sz="4" w:space="0" w:color="000000"/>
              <w:bottom w:val="single" w:sz="4" w:space="0" w:color="000000"/>
              <w:right w:val="single" w:sz="4" w:space="0" w:color="000000"/>
            </w:tcBorders>
          </w:tcPr>
          <w:p>
            <w:pPr/>
          </w:p>
        </w:tc>
        <w:tc>
          <w:tcPr>
            <w:tcW w:w="108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177.504</w:t>
            </w:r>
          </w:p>
        </w:tc>
        <w:tc>
          <w:tcPr>
            <w:tcW w:w="768" w:type="dxa"/>
            <w:tcBorders>
              <w:top w:val="single" w:sz="4" w:space="0" w:color="000000"/>
              <w:left w:val="single" w:sz="4" w:space="0" w:color="000000"/>
              <w:bottom w:val="single" w:sz="4" w:space="0" w:color="000000"/>
              <w:right w:val="single" w:sz="4" w:space="0" w:color="000000"/>
            </w:tcBorders>
          </w:tcPr>
          <w:p>
            <w:pPr/>
          </w:p>
        </w:tc>
        <w:tc>
          <w:tcPr>
            <w:tcW w:w="1066" w:type="dxa"/>
            <w:tcBorders>
              <w:top w:val="single" w:sz="4" w:space="0" w:color="000000"/>
              <w:left w:val="single" w:sz="4" w:space="0" w:color="000000"/>
              <w:bottom w:val="single" w:sz="4" w:space="0" w:color="000000"/>
              <w:right w:val="single" w:sz="4" w:space="0" w:color="000000"/>
            </w:tcBorders>
          </w:tcPr>
          <w:p>
            <w:pPr/>
          </w:p>
        </w:tc>
        <w:tc>
          <w:tcPr>
            <w:tcW w:w="1063" w:type="dxa"/>
            <w:tcBorders>
              <w:top w:val="single" w:sz="4" w:space="0" w:color="000000"/>
              <w:left w:val="single" w:sz="4" w:space="0" w:color="000000"/>
              <w:bottom w:val="single" w:sz="4" w:space="0" w:color="000000"/>
              <w:right w:val="single" w:sz="4" w:space="0" w:color="000000"/>
            </w:tcBorders>
          </w:tcPr>
          <w:p>
            <w:pPr/>
          </w:p>
        </w:tc>
      </w:tr>
      <w:tr>
        <w:trPr>
          <w:trHeight w:val="380"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82" w:lineRule="exact"/>
              <w:ind w:left="89" w:right="129"/>
              <w:jc w:val="center"/>
              <w:rPr>
                <w:rFonts w:ascii="Times New Roman" w:hAnsi="Times New Roman" w:cs="Times New Roman" w:eastAsia="Times New Roman" w:hint="default"/>
                <w:sz w:val="16"/>
                <w:szCs w:val="16"/>
              </w:rPr>
            </w:pPr>
            <w:r>
              <w:rPr>
                <w:rFonts w:ascii="Times New Roman"/>
                <w:b/>
                <w:sz w:val="16"/>
              </w:rPr>
              <w:t>500000</w:t>
            </w:r>
            <w:r>
              <w:rPr>
                <w:rFonts w:ascii="Times New Roman"/>
                <w:sz w:val="16"/>
              </w:rPr>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0" w:right="110"/>
              <w:jc w:val="left"/>
              <w:rPr>
                <w:rFonts w:ascii="Times New Roman" w:hAnsi="Times New Roman" w:cs="Times New Roman" w:eastAsia="Times New Roman" w:hint="default"/>
                <w:sz w:val="16"/>
                <w:szCs w:val="16"/>
              </w:rPr>
            </w:pPr>
            <w:r>
              <w:rPr>
                <w:rFonts w:ascii="Times New Roman" w:hAnsi="Times New Roman"/>
                <w:b/>
                <w:sz w:val="16"/>
              </w:rPr>
              <w:t>Издаци за нефинан. имовину</w:t>
            </w:r>
            <w:r>
              <w:rPr>
                <w:rFonts w:ascii="Times New Roman" w:hAnsi="Times New Roman"/>
                <w:sz w:val="16"/>
              </w:rPr>
            </w:r>
          </w:p>
        </w:tc>
        <w:tc>
          <w:tcPr>
            <w:tcW w:w="1171"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
        </w:tc>
        <w:tc>
          <w:tcPr>
            <w:tcW w:w="900" w:type="dxa"/>
            <w:tcBorders>
              <w:top w:val="single" w:sz="4" w:space="0" w:color="000000"/>
              <w:left w:val="single" w:sz="4" w:space="0" w:color="000000"/>
              <w:bottom w:val="single" w:sz="4" w:space="0" w:color="000000"/>
              <w:right w:val="single" w:sz="4" w:space="0" w:color="000000"/>
            </w:tcBorders>
          </w:tcPr>
          <w:p>
            <w:pPr/>
          </w:p>
        </w:tc>
        <w:tc>
          <w:tcPr>
            <w:tcW w:w="1081" w:type="dxa"/>
            <w:tcBorders>
              <w:top w:val="single" w:sz="4" w:space="0" w:color="000000"/>
              <w:left w:val="single" w:sz="4" w:space="0" w:color="000000"/>
              <w:bottom w:val="single" w:sz="4" w:space="0" w:color="000000"/>
              <w:right w:val="single" w:sz="4" w:space="0" w:color="000000"/>
            </w:tcBorders>
          </w:tcPr>
          <w:p>
            <w:pPr/>
          </w:p>
        </w:tc>
        <w:tc>
          <w:tcPr>
            <w:tcW w:w="768" w:type="dxa"/>
            <w:tcBorders>
              <w:top w:val="single" w:sz="4" w:space="0" w:color="000000"/>
              <w:left w:val="single" w:sz="4" w:space="0" w:color="000000"/>
              <w:bottom w:val="single" w:sz="4" w:space="0" w:color="000000"/>
              <w:right w:val="single" w:sz="4" w:space="0" w:color="000000"/>
            </w:tcBorders>
          </w:tcPr>
          <w:p>
            <w:pPr/>
          </w:p>
        </w:tc>
        <w:tc>
          <w:tcPr>
            <w:tcW w:w="1066" w:type="dxa"/>
            <w:tcBorders>
              <w:top w:val="single" w:sz="4" w:space="0" w:color="000000"/>
              <w:left w:val="single" w:sz="4" w:space="0" w:color="000000"/>
              <w:bottom w:val="single" w:sz="4" w:space="0" w:color="000000"/>
              <w:right w:val="single" w:sz="4" w:space="0" w:color="000000"/>
            </w:tcBorders>
          </w:tcPr>
          <w:p>
            <w:pPr/>
          </w:p>
        </w:tc>
        <w:tc>
          <w:tcPr>
            <w:tcW w:w="1063" w:type="dxa"/>
            <w:tcBorders>
              <w:top w:val="single" w:sz="4" w:space="0" w:color="000000"/>
              <w:left w:val="single" w:sz="4" w:space="0" w:color="000000"/>
              <w:bottom w:val="single" w:sz="4" w:space="0" w:color="000000"/>
              <w:right w:val="single" w:sz="4" w:space="0" w:color="000000"/>
            </w:tcBorders>
          </w:tcPr>
          <w:p>
            <w:pPr/>
          </w:p>
        </w:tc>
      </w:tr>
      <w:tr>
        <w:trPr>
          <w:trHeight w:val="192"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89" w:right="129"/>
              <w:jc w:val="center"/>
              <w:rPr>
                <w:rFonts w:ascii="Times New Roman" w:hAnsi="Times New Roman" w:cs="Times New Roman" w:eastAsia="Times New Roman" w:hint="default"/>
                <w:sz w:val="16"/>
                <w:szCs w:val="16"/>
              </w:rPr>
            </w:pPr>
            <w:r>
              <w:rPr>
                <w:rFonts w:ascii="Times New Roman"/>
                <w:sz w:val="16"/>
              </w:rPr>
              <w:t>610000</w:t>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0" w:right="110"/>
              <w:jc w:val="left"/>
              <w:rPr>
                <w:rFonts w:ascii="Times New Roman" w:hAnsi="Times New Roman" w:cs="Times New Roman" w:eastAsia="Times New Roman" w:hint="default"/>
                <w:sz w:val="16"/>
                <w:szCs w:val="16"/>
              </w:rPr>
            </w:pPr>
            <w:r>
              <w:rPr>
                <w:rFonts w:ascii="Times New Roman" w:hAnsi="Times New Roman"/>
                <w:sz w:val="16"/>
              </w:rPr>
              <w:t>Отплата</w:t>
            </w:r>
            <w:r>
              <w:rPr>
                <w:rFonts w:ascii="Times New Roman" w:hAnsi="Times New Roman"/>
                <w:spacing w:val="-4"/>
                <w:sz w:val="16"/>
              </w:rPr>
              <w:t> </w:t>
            </w:r>
            <w:r>
              <w:rPr>
                <w:rFonts w:ascii="Times New Roman" w:hAnsi="Times New Roman"/>
                <w:sz w:val="16"/>
              </w:rPr>
              <w:t>главнице</w:t>
            </w:r>
          </w:p>
        </w:tc>
        <w:tc>
          <w:tcPr>
            <w:tcW w:w="1171"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688.087</w:t>
            </w:r>
          </w:p>
        </w:tc>
        <w:tc>
          <w:tcPr>
            <w:tcW w:w="900" w:type="dxa"/>
            <w:tcBorders>
              <w:top w:val="single" w:sz="4" w:space="0" w:color="000000"/>
              <w:left w:val="single" w:sz="4" w:space="0" w:color="000000"/>
              <w:bottom w:val="single" w:sz="4" w:space="0" w:color="000000"/>
              <w:right w:val="single" w:sz="4" w:space="0" w:color="000000"/>
            </w:tcBorders>
          </w:tcPr>
          <w:p>
            <w:pPr/>
          </w:p>
        </w:tc>
        <w:tc>
          <w:tcPr>
            <w:tcW w:w="108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688.087</w:t>
            </w:r>
          </w:p>
        </w:tc>
        <w:tc>
          <w:tcPr>
            <w:tcW w:w="768" w:type="dxa"/>
            <w:tcBorders>
              <w:top w:val="single" w:sz="4" w:space="0" w:color="000000"/>
              <w:left w:val="single" w:sz="4" w:space="0" w:color="000000"/>
              <w:bottom w:val="single" w:sz="4" w:space="0" w:color="000000"/>
              <w:right w:val="single" w:sz="4" w:space="0" w:color="000000"/>
            </w:tcBorders>
          </w:tcPr>
          <w:p>
            <w:pPr/>
          </w:p>
        </w:tc>
        <w:tc>
          <w:tcPr>
            <w:tcW w:w="1066" w:type="dxa"/>
            <w:tcBorders>
              <w:top w:val="single" w:sz="4" w:space="0" w:color="000000"/>
              <w:left w:val="single" w:sz="4" w:space="0" w:color="000000"/>
              <w:bottom w:val="single" w:sz="4" w:space="0" w:color="000000"/>
              <w:right w:val="single" w:sz="4" w:space="0" w:color="000000"/>
            </w:tcBorders>
          </w:tcPr>
          <w:p>
            <w:pPr/>
          </w:p>
        </w:tc>
        <w:tc>
          <w:tcPr>
            <w:tcW w:w="1063" w:type="dxa"/>
            <w:tcBorders>
              <w:top w:val="single" w:sz="4" w:space="0" w:color="000000"/>
              <w:left w:val="single" w:sz="4" w:space="0" w:color="000000"/>
              <w:bottom w:val="single" w:sz="4" w:space="0" w:color="000000"/>
              <w:right w:val="single" w:sz="4" w:space="0" w:color="000000"/>
            </w:tcBorders>
          </w:tcPr>
          <w:p>
            <w:pPr/>
          </w:p>
        </w:tc>
      </w:tr>
      <w:tr>
        <w:trPr>
          <w:trHeight w:val="379"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89" w:right="129"/>
              <w:jc w:val="center"/>
              <w:rPr>
                <w:rFonts w:ascii="Times New Roman" w:hAnsi="Times New Roman" w:cs="Times New Roman" w:eastAsia="Times New Roman" w:hint="default"/>
                <w:sz w:val="16"/>
                <w:szCs w:val="16"/>
              </w:rPr>
            </w:pPr>
            <w:r>
              <w:rPr>
                <w:rFonts w:ascii="Times New Roman"/>
                <w:sz w:val="16"/>
              </w:rPr>
              <w:t>620000</w:t>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line="182" w:lineRule="exact" w:before="1"/>
              <w:ind w:left="100" w:right="110"/>
              <w:jc w:val="left"/>
              <w:rPr>
                <w:rFonts w:ascii="Times New Roman" w:hAnsi="Times New Roman" w:cs="Times New Roman" w:eastAsia="Times New Roman" w:hint="default"/>
                <w:sz w:val="16"/>
                <w:szCs w:val="16"/>
              </w:rPr>
            </w:pPr>
            <w:r>
              <w:rPr>
                <w:rFonts w:ascii="Times New Roman" w:hAnsi="Times New Roman"/>
                <w:sz w:val="16"/>
              </w:rPr>
              <w:t>Набавка финансијске имовине</w:t>
            </w:r>
          </w:p>
        </w:tc>
        <w:tc>
          <w:tcPr>
            <w:tcW w:w="1171"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2"/>
              <w:jc w:val="right"/>
              <w:rPr>
                <w:rFonts w:ascii="Times New Roman" w:hAnsi="Times New Roman" w:cs="Times New Roman" w:eastAsia="Times New Roman" w:hint="default"/>
                <w:sz w:val="16"/>
                <w:szCs w:val="16"/>
              </w:rPr>
            </w:pPr>
            <w:r>
              <w:rPr>
                <w:rFonts w:ascii="Times New Roman"/>
                <w:spacing w:val="-1"/>
                <w:sz w:val="16"/>
              </w:rPr>
              <w:t>1.700</w:t>
            </w:r>
          </w:p>
        </w:tc>
        <w:tc>
          <w:tcPr>
            <w:tcW w:w="900" w:type="dxa"/>
            <w:tcBorders>
              <w:top w:val="single" w:sz="4" w:space="0" w:color="000000"/>
              <w:left w:val="single" w:sz="4" w:space="0" w:color="000000"/>
              <w:bottom w:val="single" w:sz="4" w:space="0" w:color="000000"/>
              <w:right w:val="single" w:sz="4" w:space="0" w:color="000000"/>
            </w:tcBorders>
          </w:tcPr>
          <w:p>
            <w:pPr/>
          </w:p>
        </w:tc>
        <w:tc>
          <w:tcPr>
            <w:tcW w:w="1081"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3"/>
              <w:jc w:val="right"/>
              <w:rPr>
                <w:rFonts w:ascii="Times New Roman" w:hAnsi="Times New Roman" w:cs="Times New Roman" w:eastAsia="Times New Roman" w:hint="default"/>
                <w:sz w:val="16"/>
                <w:szCs w:val="16"/>
              </w:rPr>
            </w:pPr>
            <w:r>
              <w:rPr>
                <w:rFonts w:ascii="Times New Roman"/>
                <w:spacing w:val="-1"/>
                <w:sz w:val="16"/>
              </w:rPr>
              <w:t>1.700</w:t>
            </w:r>
          </w:p>
        </w:tc>
        <w:tc>
          <w:tcPr>
            <w:tcW w:w="768" w:type="dxa"/>
            <w:tcBorders>
              <w:top w:val="single" w:sz="4" w:space="0" w:color="000000"/>
              <w:left w:val="single" w:sz="4" w:space="0" w:color="000000"/>
              <w:bottom w:val="single" w:sz="4" w:space="0" w:color="000000"/>
              <w:right w:val="single" w:sz="4" w:space="0" w:color="000000"/>
            </w:tcBorders>
          </w:tcPr>
          <w:p>
            <w:pPr/>
          </w:p>
        </w:tc>
        <w:tc>
          <w:tcPr>
            <w:tcW w:w="1066" w:type="dxa"/>
            <w:tcBorders>
              <w:top w:val="single" w:sz="4" w:space="0" w:color="000000"/>
              <w:left w:val="single" w:sz="4" w:space="0" w:color="000000"/>
              <w:bottom w:val="single" w:sz="4" w:space="0" w:color="000000"/>
              <w:right w:val="single" w:sz="4" w:space="0" w:color="000000"/>
            </w:tcBorders>
          </w:tcPr>
          <w:p>
            <w:pPr/>
          </w:p>
        </w:tc>
        <w:tc>
          <w:tcPr>
            <w:tcW w:w="1063" w:type="dxa"/>
            <w:tcBorders>
              <w:top w:val="single" w:sz="4" w:space="0" w:color="000000"/>
              <w:left w:val="single" w:sz="4" w:space="0" w:color="000000"/>
              <w:bottom w:val="single" w:sz="4" w:space="0" w:color="000000"/>
              <w:right w:val="single" w:sz="4" w:space="0" w:color="000000"/>
            </w:tcBorders>
          </w:tcPr>
          <w:p>
            <w:pPr/>
          </w:p>
        </w:tc>
      </w:tr>
      <w:tr>
        <w:trPr>
          <w:trHeight w:val="562"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89" w:right="129"/>
              <w:jc w:val="center"/>
              <w:rPr>
                <w:rFonts w:ascii="Times New Roman" w:hAnsi="Times New Roman" w:cs="Times New Roman" w:eastAsia="Times New Roman" w:hint="default"/>
                <w:sz w:val="16"/>
                <w:szCs w:val="16"/>
              </w:rPr>
            </w:pPr>
            <w:r>
              <w:rPr>
                <w:rFonts w:ascii="Times New Roman"/>
                <w:b/>
                <w:sz w:val="16"/>
              </w:rPr>
              <w:t>600000</w:t>
            </w:r>
            <w:r>
              <w:rPr>
                <w:rFonts w:ascii="Times New Roman"/>
                <w:sz w:val="16"/>
              </w:rPr>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0" w:right="104"/>
              <w:jc w:val="both"/>
              <w:rPr>
                <w:rFonts w:ascii="Times New Roman" w:hAnsi="Times New Roman" w:cs="Times New Roman" w:eastAsia="Times New Roman" w:hint="default"/>
                <w:sz w:val="16"/>
                <w:szCs w:val="16"/>
              </w:rPr>
            </w:pPr>
            <w:r>
              <w:rPr>
                <w:rFonts w:ascii="Times New Roman" w:hAnsi="Times New Roman"/>
                <w:b/>
                <w:sz w:val="16"/>
              </w:rPr>
              <w:t>Издаци за отплату главница и набавку финан.имовине</w:t>
            </w:r>
            <w:r>
              <w:rPr>
                <w:rFonts w:ascii="Times New Roman" w:hAnsi="Times New Roman"/>
                <w:sz w:val="16"/>
              </w:rPr>
            </w:r>
          </w:p>
        </w:tc>
        <w:tc>
          <w:tcPr>
            <w:tcW w:w="1171"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2"/>
              <w:jc w:val="right"/>
              <w:rPr>
                <w:rFonts w:ascii="Times New Roman" w:hAnsi="Times New Roman" w:cs="Times New Roman" w:eastAsia="Times New Roman" w:hint="default"/>
                <w:sz w:val="16"/>
                <w:szCs w:val="16"/>
              </w:rPr>
            </w:pPr>
            <w:r>
              <w:rPr>
                <w:rFonts w:ascii="Times New Roman"/>
                <w:b/>
                <w:spacing w:val="-1"/>
                <w:sz w:val="16"/>
              </w:rPr>
              <w:t>689.787</w:t>
            </w:r>
            <w:r>
              <w:rPr>
                <w:rFonts w:ascii="Times New Roman"/>
                <w:spacing w:val="-1"/>
                <w:sz w:val="16"/>
              </w:rPr>
            </w:r>
          </w:p>
        </w:tc>
        <w:tc>
          <w:tcPr>
            <w:tcW w:w="900" w:type="dxa"/>
            <w:tcBorders>
              <w:top w:val="single" w:sz="4" w:space="0" w:color="000000"/>
              <w:left w:val="single" w:sz="4" w:space="0" w:color="000000"/>
              <w:bottom w:val="single" w:sz="4" w:space="0" w:color="000000"/>
              <w:right w:val="single" w:sz="4" w:space="0" w:color="000000"/>
            </w:tcBorders>
          </w:tcPr>
          <w:p>
            <w:pPr/>
          </w:p>
        </w:tc>
        <w:tc>
          <w:tcPr>
            <w:tcW w:w="1081"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3"/>
              <w:jc w:val="right"/>
              <w:rPr>
                <w:rFonts w:ascii="Times New Roman" w:hAnsi="Times New Roman" w:cs="Times New Roman" w:eastAsia="Times New Roman" w:hint="default"/>
                <w:sz w:val="16"/>
                <w:szCs w:val="16"/>
              </w:rPr>
            </w:pPr>
            <w:r>
              <w:rPr>
                <w:rFonts w:ascii="Times New Roman"/>
                <w:b/>
                <w:spacing w:val="-1"/>
                <w:sz w:val="16"/>
              </w:rPr>
              <w:t>689.787</w:t>
            </w:r>
            <w:r>
              <w:rPr>
                <w:rFonts w:ascii="Times New Roman"/>
                <w:spacing w:val="-1"/>
                <w:sz w:val="16"/>
              </w:rPr>
            </w:r>
          </w:p>
        </w:tc>
        <w:tc>
          <w:tcPr>
            <w:tcW w:w="768" w:type="dxa"/>
            <w:tcBorders>
              <w:top w:val="single" w:sz="4" w:space="0" w:color="000000"/>
              <w:left w:val="single" w:sz="4" w:space="0" w:color="000000"/>
              <w:bottom w:val="single" w:sz="4" w:space="0" w:color="000000"/>
              <w:right w:val="single" w:sz="4" w:space="0" w:color="000000"/>
            </w:tcBorders>
          </w:tcPr>
          <w:p>
            <w:pPr/>
          </w:p>
        </w:tc>
        <w:tc>
          <w:tcPr>
            <w:tcW w:w="1066" w:type="dxa"/>
            <w:tcBorders>
              <w:top w:val="single" w:sz="4" w:space="0" w:color="000000"/>
              <w:left w:val="single" w:sz="4" w:space="0" w:color="000000"/>
              <w:bottom w:val="single" w:sz="4" w:space="0" w:color="000000"/>
              <w:right w:val="single" w:sz="4" w:space="0" w:color="000000"/>
            </w:tcBorders>
          </w:tcPr>
          <w:p>
            <w:pPr/>
          </w:p>
        </w:tc>
        <w:tc>
          <w:tcPr>
            <w:tcW w:w="1063" w:type="dxa"/>
            <w:tcBorders>
              <w:top w:val="single" w:sz="4" w:space="0" w:color="000000"/>
              <w:left w:val="single" w:sz="4" w:space="0" w:color="000000"/>
              <w:bottom w:val="single" w:sz="4" w:space="0" w:color="000000"/>
              <w:right w:val="single" w:sz="4" w:space="0" w:color="000000"/>
            </w:tcBorders>
          </w:tcPr>
          <w:p>
            <w:pPr/>
          </w:p>
        </w:tc>
      </w:tr>
      <w:tr>
        <w:trPr>
          <w:trHeight w:val="406" w:hRule="exact"/>
        </w:trPr>
        <w:tc>
          <w:tcPr>
            <w:tcW w:w="739" w:type="dxa"/>
            <w:tcBorders>
              <w:top w:val="single" w:sz="4" w:space="0" w:color="000000"/>
              <w:left w:val="single" w:sz="4" w:space="0" w:color="000000"/>
              <w:bottom w:val="single" w:sz="4" w:space="0" w:color="000000"/>
              <w:right w:val="single" w:sz="4" w:space="0" w:color="000000"/>
            </w:tcBorders>
          </w:tcPr>
          <w:p>
            <w:pP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0" w:right="110"/>
              <w:jc w:val="left"/>
              <w:rPr>
                <w:rFonts w:ascii="Times New Roman" w:hAnsi="Times New Roman" w:cs="Times New Roman" w:eastAsia="Times New Roman" w:hint="default"/>
                <w:sz w:val="16"/>
                <w:szCs w:val="16"/>
              </w:rPr>
            </w:pPr>
            <w:r>
              <w:rPr>
                <w:rFonts w:ascii="Times New Roman" w:hAnsi="Times New Roman"/>
                <w:sz w:val="16"/>
              </w:rPr>
              <w:t>Укупни расходи и издаци</w:t>
            </w:r>
          </w:p>
        </w:tc>
        <w:tc>
          <w:tcPr>
            <w:tcW w:w="1171"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7.629.782</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59.085</w:t>
            </w:r>
          </w:p>
        </w:tc>
        <w:tc>
          <w:tcPr>
            <w:tcW w:w="108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7.121.851</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1.564</w:t>
            </w:r>
          </w:p>
        </w:tc>
        <w:tc>
          <w:tcPr>
            <w:tcW w:w="106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2.745</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444.537</w:t>
            </w:r>
          </w:p>
        </w:tc>
      </w:tr>
      <w:tr>
        <w:trPr>
          <w:trHeight w:val="194" w:hRule="exact"/>
        </w:trPr>
        <w:tc>
          <w:tcPr>
            <w:tcW w:w="739" w:type="dxa"/>
            <w:tcBorders>
              <w:top w:val="single" w:sz="4" w:space="0" w:color="000000"/>
              <w:left w:val="single" w:sz="4" w:space="0" w:color="000000"/>
              <w:bottom w:val="single" w:sz="4" w:space="0" w:color="000000"/>
              <w:right w:val="single" w:sz="4" w:space="0" w:color="000000"/>
            </w:tcBorders>
          </w:tcPr>
          <w:p>
            <w:pP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0" w:right="110"/>
              <w:jc w:val="left"/>
              <w:rPr>
                <w:rFonts w:ascii="Times New Roman" w:hAnsi="Times New Roman" w:cs="Times New Roman" w:eastAsia="Times New Roman" w:hint="default"/>
                <w:sz w:val="16"/>
                <w:szCs w:val="16"/>
              </w:rPr>
            </w:pPr>
            <w:r>
              <w:rPr>
                <w:rFonts w:ascii="Times New Roman" w:hAnsi="Times New Roman"/>
                <w:sz w:val="16"/>
              </w:rPr>
              <w:t>Буџетски</w:t>
            </w:r>
            <w:r>
              <w:rPr>
                <w:rFonts w:ascii="Times New Roman" w:hAnsi="Times New Roman"/>
                <w:spacing w:val="-4"/>
                <w:sz w:val="16"/>
              </w:rPr>
              <w:t> </w:t>
            </w:r>
            <w:r>
              <w:rPr>
                <w:rFonts w:ascii="Times New Roman" w:hAnsi="Times New Roman"/>
                <w:sz w:val="16"/>
              </w:rPr>
              <w:t>суфицит</w:t>
            </w:r>
          </w:p>
        </w:tc>
        <w:tc>
          <w:tcPr>
            <w:tcW w:w="1171"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212.119</w:t>
            </w:r>
          </w:p>
        </w:tc>
        <w:tc>
          <w:tcPr>
            <w:tcW w:w="900" w:type="dxa"/>
            <w:tcBorders>
              <w:top w:val="single" w:sz="4" w:space="0" w:color="000000"/>
              <w:left w:val="single" w:sz="4" w:space="0" w:color="000000"/>
              <w:bottom w:val="single" w:sz="4" w:space="0" w:color="000000"/>
              <w:right w:val="single" w:sz="4" w:space="0" w:color="000000"/>
            </w:tcBorders>
          </w:tcPr>
          <w:p>
            <w:pPr/>
          </w:p>
        </w:tc>
        <w:tc>
          <w:tcPr>
            <w:tcW w:w="108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240.419</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1"/>
              <w:jc w:val="right"/>
              <w:rPr>
                <w:rFonts w:ascii="Times New Roman" w:hAnsi="Times New Roman" w:cs="Times New Roman" w:eastAsia="Times New Roman" w:hint="default"/>
                <w:sz w:val="16"/>
                <w:szCs w:val="16"/>
              </w:rPr>
            </w:pPr>
            <w:r>
              <w:rPr>
                <w:rFonts w:ascii="Times New Roman"/>
                <w:w w:val="100"/>
                <w:sz w:val="16"/>
              </w:rPr>
              <w:t>2</w:t>
            </w:r>
          </w:p>
        </w:tc>
        <w:tc>
          <w:tcPr>
            <w:tcW w:w="1066" w:type="dxa"/>
            <w:tcBorders>
              <w:top w:val="single" w:sz="4" w:space="0" w:color="000000"/>
              <w:left w:val="single" w:sz="4" w:space="0" w:color="000000"/>
              <w:bottom w:val="single" w:sz="4" w:space="0" w:color="000000"/>
              <w:right w:val="single" w:sz="4" w:space="0" w:color="000000"/>
            </w:tcBorders>
          </w:tcPr>
          <w:p>
            <w:pPr/>
          </w:p>
        </w:tc>
        <w:tc>
          <w:tcPr>
            <w:tcW w:w="1063" w:type="dxa"/>
            <w:tcBorders>
              <w:top w:val="single" w:sz="4" w:space="0" w:color="000000"/>
              <w:left w:val="single" w:sz="4" w:space="0" w:color="000000"/>
              <w:bottom w:val="single" w:sz="4" w:space="0" w:color="000000"/>
              <w:right w:val="single" w:sz="4" w:space="0" w:color="000000"/>
            </w:tcBorders>
          </w:tcPr>
          <w:p>
            <w:pPr/>
          </w:p>
        </w:tc>
      </w:tr>
      <w:tr>
        <w:trPr>
          <w:trHeight w:val="192" w:hRule="exact"/>
        </w:trPr>
        <w:tc>
          <w:tcPr>
            <w:tcW w:w="739" w:type="dxa"/>
            <w:tcBorders>
              <w:top w:val="single" w:sz="4" w:space="0" w:color="000000"/>
              <w:left w:val="single" w:sz="4" w:space="0" w:color="000000"/>
              <w:bottom w:val="single" w:sz="4" w:space="0" w:color="000000"/>
              <w:right w:val="single" w:sz="4" w:space="0" w:color="000000"/>
            </w:tcBorders>
          </w:tcPr>
          <w:p>
            <w:pP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0" w:right="110"/>
              <w:jc w:val="left"/>
              <w:rPr>
                <w:rFonts w:ascii="Times New Roman" w:hAnsi="Times New Roman" w:cs="Times New Roman" w:eastAsia="Times New Roman" w:hint="default"/>
                <w:sz w:val="16"/>
                <w:szCs w:val="16"/>
              </w:rPr>
            </w:pPr>
            <w:r>
              <w:rPr>
                <w:rFonts w:ascii="Times New Roman" w:hAnsi="Times New Roman"/>
                <w:sz w:val="16"/>
              </w:rPr>
              <w:t>Буџетски</w:t>
            </w:r>
            <w:r>
              <w:rPr>
                <w:rFonts w:ascii="Times New Roman" w:hAnsi="Times New Roman"/>
                <w:spacing w:val="-3"/>
                <w:sz w:val="16"/>
              </w:rPr>
              <w:t> </w:t>
            </w:r>
            <w:r>
              <w:rPr>
                <w:rFonts w:ascii="Times New Roman" w:hAnsi="Times New Roman"/>
                <w:sz w:val="16"/>
              </w:rPr>
              <w:t>дефицит</w:t>
            </w:r>
          </w:p>
        </w:tc>
        <w:tc>
          <w:tcPr>
            <w:tcW w:w="1171"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5.680</w:t>
            </w:r>
          </w:p>
        </w:tc>
        <w:tc>
          <w:tcPr>
            <w:tcW w:w="1081" w:type="dxa"/>
            <w:tcBorders>
              <w:top w:val="single" w:sz="4" w:space="0" w:color="000000"/>
              <w:left w:val="single" w:sz="4" w:space="0" w:color="000000"/>
              <w:bottom w:val="single" w:sz="4" w:space="0" w:color="000000"/>
              <w:right w:val="single" w:sz="4" w:space="0" w:color="000000"/>
            </w:tcBorders>
          </w:tcPr>
          <w:p>
            <w:pPr/>
          </w:p>
        </w:tc>
        <w:tc>
          <w:tcPr>
            <w:tcW w:w="768" w:type="dxa"/>
            <w:tcBorders>
              <w:top w:val="single" w:sz="4" w:space="0" w:color="000000"/>
              <w:left w:val="single" w:sz="4" w:space="0" w:color="000000"/>
              <w:bottom w:val="single" w:sz="4" w:space="0" w:color="000000"/>
              <w:right w:val="single" w:sz="4" w:space="0" w:color="000000"/>
            </w:tcBorders>
          </w:tcPr>
          <w:p>
            <w:pPr/>
          </w:p>
        </w:tc>
        <w:tc>
          <w:tcPr>
            <w:tcW w:w="106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774</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21.848</w:t>
            </w:r>
          </w:p>
        </w:tc>
      </w:tr>
      <w:tr>
        <w:trPr>
          <w:trHeight w:val="379"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89" w:right="129"/>
              <w:jc w:val="center"/>
              <w:rPr>
                <w:rFonts w:ascii="Times New Roman" w:hAnsi="Times New Roman" w:cs="Times New Roman" w:eastAsia="Times New Roman" w:hint="default"/>
                <w:sz w:val="16"/>
                <w:szCs w:val="16"/>
              </w:rPr>
            </w:pPr>
            <w:r>
              <w:rPr>
                <w:rFonts w:ascii="Times New Roman"/>
                <w:sz w:val="16"/>
              </w:rPr>
              <w:t>900000</w:t>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line="182" w:lineRule="exact" w:before="1"/>
              <w:ind w:left="100" w:right="110"/>
              <w:jc w:val="left"/>
              <w:rPr>
                <w:rFonts w:ascii="Times New Roman" w:hAnsi="Times New Roman" w:cs="Times New Roman" w:eastAsia="Times New Roman" w:hint="default"/>
                <w:sz w:val="16"/>
                <w:szCs w:val="16"/>
              </w:rPr>
            </w:pPr>
            <w:r>
              <w:rPr>
                <w:rFonts w:ascii="Times New Roman" w:hAnsi="Times New Roman"/>
                <w:sz w:val="16"/>
              </w:rPr>
              <w:t>Примања од задуж. и продаје</w:t>
            </w:r>
            <w:r>
              <w:rPr>
                <w:rFonts w:ascii="Times New Roman" w:hAnsi="Times New Roman"/>
                <w:spacing w:val="-6"/>
                <w:sz w:val="16"/>
              </w:rPr>
              <w:t> </w:t>
            </w:r>
            <w:r>
              <w:rPr>
                <w:rFonts w:ascii="Times New Roman" w:hAnsi="Times New Roman"/>
                <w:sz w:val="16"/>
              </w:rPr>
              <w:t>финан.имов.</w:t>
            </w:r>
          </w:p>
        </w:tc>
        <w:tc>
          <w:tcPr>
            <w:tcW w:w="1171"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2"/>
              <w:jc w:val="right"/>
              <w:rPr>
                <w:rFonts w:ascii="Times New Roman" w:hAnsi="Times New Roman" w:cs="Times New Roman" w:eastAsia="Times New Roman" w:hint="default"/>
                <w:sz w:val="16"/>
                <w:szCs w:val="16"/>
              </w:rPr>
            </w:pPr>
            <w:r>
              <w:rPr>
                <w:rFonts w:ascii="Times New Roman"/>
                <w:spacing w:val="-1"/>
                <w:sz w:val="16"/>
              </w:rPr>
              <w:t>516.501</w:t>
            </w:r>
          </w:p>
        </w:tc>
        <w:tc>
          <w:tcPr>
            <w:tcW w:w="900" w:type="dxa"/>
            <w:tcBorders>
              <w:top w:val="single" w:sz="4" w:space="0" w:color="000000"/>
              <w:left w:val="single" w:sz="4" w:space="0" w:color="000000"/>
              <w:bottom w:val="single" w:sz="4" w:space="0" w:color="000000"/>
              <w:right w:val="single" w:sz="4" w:space="0" w:color="000000"/>
            </w:tcBorders>
          </w:tcPr>
          <w:p>
            <w:pPr/>
          </w:p>
        </w:tc>
        <w:tc>
          <w:tcPr>
            <w:tcW w:w="1081"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3"/>
              <w:jc w:val="right"/>
              <w:rPr>
                <w:rFonts w:ascii="Times New Roman" w:hAnsi="Times New Roman" w:cs="Times New Roman" w:eastAsia="Times New Roman" w:hint="default"/>
                <w:sz w:val="16"/>
                <w:szCs w:val="16"/>
              </w:rPr>
            </w:pPr>
            <w:r>
              <w:rPr>
                <w:rFonts w:ascii="Times New Roman"/>
                <w:spacing w:val="-1"/>
                <w:sz w:val="16"/>
              </w:rPr>
              <w:t>516.501</w:t>
            </w:r>
          </w:p>
        </w:tc>
        <w:tc>
          <w:tcPr>
            <w:tcW w:w="768" w:type="dxa"/>
            <w:tcBorders>
              <w:top w:val="single" w:sz="4" w:space="0" w:color="000000"/>
              <w:left w:val="single" w:sz="4" w:space="0" w:color="000000"/>
              <w:bottom w:val="single" w:sz="4" w:space="0" w:color="000000"/>
              <w:right w:val="single" w:sz="4" w:space="0" w:color="000000"/>
            </w:tcBorders>
          </w:tcPr>
          <w:p>
            <w:pPr/>
          </w:p>
        </w:tc>
        <w:tc>
          <w:tcPr>
            <w:tcW w:w="1066" w:type="dxa"/>
            <w:tcBorders>
              <w:top w:val="single" w:sz="4" w:space="0" w:color="000000"/>
              <w:left w:val="single" w:sz="4" w:space="0" w:color="000000"/>
              <w:bottom w:val="single" w:sz="4" w:space="0" w:color="000000"/>
              <w:right w:val="single" w:sz="4" w:space="0" w:color="000000"/>
            </w:tcBorders>
          </w:tcPr>
          <w:p>
            <w:pPr/>
          </w:p>
        </w:tc>
        <w:tc>
          <w:tcPr>
            <w:tcW w:w="1063" w:type="dxa"/>
            <w:tcBorders>
              <w:top w:val="single" w:sz="4" w:space="0" w:color="000000"/>
              <w:left w:val="single" w:sz="4" w:space="0" w:color="000000"/>
              <w:bottom w:val="single" w:sz="4" w:space="0" w:color="000000"/>
              <w:right w:val="single" w:sz="4" w:space="0" w:color="000000"/>
            </w:tcBorders>
          </w:tcPr>
          <w:p>
            <w:pPr/>
          </w:p>
        </w:tc>
      </w:tr>
      <w:tr>
        <w:trPr>
          <w:trHeight w:val="377" w:hRule="exact"/>
        </w:trPr>
        <w:tc>
          <w:tcPr>
            <w:tcW w:w="73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89" w:right="129"/>
              <w:jc w:val="center"/>
              <w:rPr>
                <w:rFonts w:ascii="Times New Roman" w:hAnsi="Times New Roman" w:cs="Times New Roman" w:eastAsia="Times New Roman" w:hint="default"/>
                <w:sz w:val="16"/>
                <w:szCs w:val="16"/>
              </w:rPr>
            </w:pPr>
            <w:r>
              <w:rPr>
                <w:rFonts w:ascii="Times New Roman"/>
                <w:sz w:val="16"/>
              </w:rPr>
              <w:t>600000</w:t>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0" w:right="99"/>
              <w:jc w:val="left"/>
              <w:rPr>
                <w:rFonts w:ascii="Times New Roman" w:hAnsi="Times New Roman" w:cs="Times New Roman" w:eastAsia="Times New Roman" w:hint="default"/>
                <w:sz w:val="16"/>
                <w:szCs w:val="16"/>
              </w:rPr>
            </w:pPr>
            <w:r>
              <w:rPr>
                <w:rFonts w:ascii="Times New Roman" w:hAnsi="Times New Roman"/>
                <w:sz w:val="16"/>
              </w:rPr>
              <w:t>Изд.за отпл.главице и набавку</w:t>
            </w:r>
            <w:r>
              <w:rPr>
                <w:rFonts w:ascii="Times New Roman" w:hAnsi="Times New Roman"/>
                <w:spacing w:val="-4"/>
                <w:sz w:val="16"/>
              </w:rPr>
              <w:t> </w:t>
            </w:r>
            <w:r>
              <w:rPr>
                <w:rFonts w:ascii="Times New Roman" w:hAnsi="Times New Roman"/>
                <w:sz w:val="16"/>
              </w:rPr>
              <w:t>фин.имовине</w:t>
            </w:r>
          </w:p>
        </w:tc>
        <w:tc>
          <w:tcPr>
            <w:tcW w:w="1171"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689.787</w:t>
            </w:r>
          </w:p>
        </w:tc>
        <w:tc>
          <w:tcPr>
            <w:tcW w:w="900" w:type="dxa"/>
            <w:tcBorders>
              <w:top w:val="single" w:sz="4" w:space="0" w:color="000000"/>
              <w:left w:val="single" w:sz="4" w:space="0" w:color="000000"/>
              <w:bottom w:val="single" w:sz="4" w:space="0" w:color="000000"/>
              <w:right w:val="single" w:sz="4" w:space="0" w:color="000000"/>
            </w:tcBorders>
          </w:tcPr>
          <w:p>
            <w:pPr/>
          </w:p>
        </w:tc>
        <w:tc>
          <w:tcPr>
            <w:tcW w:w="108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689.787</w:t>
            </w:r>
          </w:p>
        </w:tc>
        <w:tc>
          <w:tcPr>
            <w:tcW w:w="768" w:type="dxa"/>
            <w:tcBorders>
              <w:top w:val="single" w:sz="4" w:space="0" w:color="000000"/>
              <w:left w:val="single" w:sz="4" w:space="0" w:color="000000"/>
              <w:bottom w:val="single" w:sz="4" w:space="0" w:color="000000"/>
              <w:right w:val="single" w:sz="4" w:space="0" w:color="000000"/>
            </w:tcBorders>
          </w:tcPr>
          <w:p>
            <w:pPr/>
          </w:p>
        </w:tc>
        <w:tc>
          <w:tcPr>
            <w:tcW w:w="1066" w:type="dxa"/>
            <w:tcBorders>
              <w:top w:val="single" w:sz="4" w:space="0" w:color="000000"/>
              <w:left w:val="single" w:sz="4" w:space="0" w:color="000000"/>
              <w:bottom w:val="single" w:sz="4" w:space="0" w:color="000000"/>
              <w:right w:val="single" w:sz="4" w:space="0" w:color="000000"/>
            </w:tcBorders>
          </w:tcPr>
          <w:p>
            <w:pPr/>
          </w:p>
        </w:tc>
        <w:tc>
          <w:tcPr>
            <w:tcW w:w="1063" w:type="dxa"/>
            <w:tcBorders>
              <w:top w:val="single" w:sz="4" w:space="0" w:color="000000"/>
              <w:left w:val="single" w:sz="4" w:space="0" w:color="000000"/>
              <w:bottom w:val="single" w:sz="4" w:space="0" w:color="000000"/>
              <w:right w:val="single" w:sz="4" w:space="0" w:color="000000"/>
            </w:tcBorders>
          </w:tcPr>
          <w:p>
            <w:pPr/>
          </w:p>
        </w:tc>
      </w:tr>
      <w:tr>
        <w:trPr>
          <w:trHeight w:val="194" w:hRule="exact"/>
        </w:trPr>
        <w:tc>
          <w:tcPr>
            <w:tcW w:w="739" w:type="dxa"/>
            <w:tcBorders>
              <w:top w:val="single" w:sz="4" w:space="0" w:color="000000"/>
              <w:left w:val="single" w:sz="4" w:space="0" w:color="000000"/>
              <w:bottom w:val="single" w:sz="4" w:space="0" w:color="000000"/>
              <w:right w:val="single" w:sz="4" w:space="0" w:color="000000"/>
            </w:tcBorders>
          </w:tcPr>
          <w:p>
            <w:pP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left="100" w:right="110"/>
              <w:jc w:val="left"/>
              <w:rPr>
                <w:rFonts w:ascii="Times New Roman" w:hAnsi="Times New Roman" w:cs="Times New Roman" w:eastAsia="Times New Roman" w:hint="default"/>
                <w:sz w:val="16"/>
                <w:szCs w:val="16"/>
              </w:rPr>
            </w:pPr>
            <w:r>
              <w:rPr>
                <w:rFonts w:ascii="Times New Roman" w:hAnsi="Times New Roman"/>
                <w:sz w:val="16"/>
              </w:rPr>
              <w:t>Мањак</w:t>
            </w:r>
            <w:r>
              <w:rPr>
                <w:rFonts w:ascii="Times New Roman" w:hAnsi="Times New Roman"/>
                <w:spacing w:val="-4"/>
                <w:sz w:val="16"/>
              </w:rPr>
              <w:t> </w:t>
            </w:r>
            <w:r>
              <w:rPr>
                <w:rFonts w:ascii="Times New Roman" w:hAnsi="Times New Roman"/>
                <w:sz w:val="16"/>
              </w:rPr>
              <w:t>примања</w:t>
            </w:r>
          </w:p>
        </w:tc>
        <w:tc>
          <w:tcPr>
            <w:tcW w:w="1171"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2"/>
              <w:jc w:val="right"/>
              <w:rPr>
                <w:rFonts w:ascii="Times New Roman" w:hAnsi="Times New Roman" w:cs="Times New Roman" w:eastAsia="Times New Roman" w:hint="default"/>
                <w:sz w:val="16"/>
                <w:szCs w:val="16"/>
              </w:rPr>
            </w:pPr>
            <w:r>
              <w:rPr>
                <w:rFonts w:ascii="Times New Roman"/>
                <w:spacing w:val="-1"/>
                <w:sz w:val="16"/>
              </w:rPr>
              <w:t>173.286</w:t>
            </w:r>
          </w:p>
        </w:tc>
        <w:tc>
          <w:tcPr>
            <w:tcW w:w="900" w:type="dxa"/>
            <w:tcBorders>
              <w:top w:val="single" w:sz="4" w:space="0" w:color="000000"/>
              <w:left w:val="single" w:sz="4" w:space="0" w:color="000000"/>
              <w:bottom w:val="single" w:sz="4" w:space="0" w:color="000000"/>
              <w:right w:val="single" w:sz="4" w:space="0" w:color="000000"/>
            </w:tcBorders>
          </w:tcPr>
          <w:p>
            <w:pPr/>
          </w:p>
        </w:tc>
        <w:tc>
          <w:tcPr>
            <w:tcW w:w="1081"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3"/>
              <w:jc w:val="right"/>
              <w:rPr>
                <w:rFonts w:ascii="Times New Roman" w:hAnsi="Times New Roman" w:cs="Times New Roman" w:eastAsia="Times New Roman" w:hint="default"/>
                <w:sz w:val="16"/>
                <w:szCs w:val="16"/>
              </w:rPr>
            </w:pPr>
            <w:r>
              <w:rPr>
                <w:rFonts w:ascii="Times New Roman"/>
                <w:spacing w:val="-1"/>
                <w:sz w:val="16"/>
              </w:rPr>
              <w:t>173.286</w:t>
            </w:r>
          </w:p>
        </w:tc>
        <w:tc>
          <w:tcPr>
            <w:tcW w:w="768" w:type="dxa"/>
            <w:tcBorders>
              <w:top w:val="single" w:sz="4" w:space="0" w:color="000000"/>
              <w:left w:val="single" w:sz="4" w:space="0" w:color="000000"/>
              <w:bottom w:val="single" w:sz="4" w:space="0" w:color="000000"/>
              <w:right w:val="single" w:sz="4" w:space="0" w:color="000000"/>
            </w:tcBorders>
          </w:tcPr>
          <w:p>
            <w:pPr/>
          </w:p>
        </w:tc>
        <w:tc>
          <w:tcPr>
            <w:tcW w:w="1066" w:type="dxa"/>
            <w:tcBorders>
              <w:top w:val="single" w:sz="4" w:space="0" w:color="000000"/>
              <w:left w:val="single" w:sz="4" w:space="0" w:color="000000"/>
              <w:bottom w:val="single" w:sz="4" w:space="0" w:color="000000"/>
              <w:right w:val="single" w:sz="4" w:space="0" w:color="000000"/>
            </w:tcBorders>
          </w:tcPr>
          <w:p>
            <w:pPr/>
          </w:p>
        </w:tc>
        <w:tc>
          <w:tcPr>
            <w:tcW w:w="1063" w:type="dxa"/>
            <w:tcBorders>
              <w:top w:val="single" w:sz="4" w:space="0" w:color="000000"/>
              <w:left w:val="single" w:sz="4" w:space="0" w:color="000000"/>
              <w:bottom w:val="single" w:sz="4" w:space="0" w:color="000000"/>
              <w:right w:val="single" w:sz="4" w:space="0" w:color="000000"/>
            </w:tcBorders>
          </w:tcPr>
          <w:p>
            <w:pPr/>
          </w:p>
        </w:tc>
      </w:tr>
      <w:tr>
        <w:trPr>
          <w:trHeight w:val="194" w:hRule="exact"/>
        </w:trPr>
        <w:tc>
          <w:tcPr>
            <w:tcW w:w="739" w:type="dxa"/>
            <w:tcBorders>
              <w:top w:val="single" w:sz="4" w:space="0" w:color="000000"/>
              <w:left w:val="single" w:sz="4" w:space="0" w:color="000000"/>
              <w:bottom w:val="single" w:sz="4" w:space="0" w:color="000000"/>
              <w:right w:val="single" w:sz="4" w:space="0" w:color="000000"/>
            </w:tcBorders>
          </w:tcPr>
          <w:p>
            <w:pP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0" w:right="99"/>
              <w:jc w:val="left"/>
              <w:rPr>
                <w:rFonts w:ascii="Times New Roman" w:hAnsi="Times New Roman" w:cs="Times New Roman" w:eastAsia="Times New Roman" w:hint="default"/>
                <w:sz w:val="16"/>
                <w:szCs w:val="16"/>
              </w:rPr>
            </w:pPr>
            <w:r>
              <w:rPr>
                <w:rFonts w:ascii="Times New Roman" w:hAnsi="Times New Roman"/>
                <w:sz w:val="16"/>
              </w:rPr>
              <w:t>Вишак новч.</w:t>
            </w:r>
            <w:r>
              <w:rPr>
                <w:rFonts w:ascii="Times New Roman" w:hAnsi="Times New Roman"/>
                <w:spacing w:val="-7"/>
                <w:sz w:val="16"/>
              </w:rPr>
              <w:t> </w:t>
            </w:r>
            <w:r>
              <w:rPr>
                <w:rFonts w:ascii="Times New Roman" w:hAnsi="Times New Roman"/>
                <w:sz w:val="16"/>
              </w:rPr>
              <w:t>прилива</w:t>
            </w:r>
          </w:p>
        </w:tc>
        <w:tc>
          <w:tcPr>
            <w:tcW w:w="1171"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38.833</w:t>
            </w:r>
          </w:p>
        </w:tc>
        <w:tc>
          <w:tcPr>
            <w:tcW w:w="900" w:type="dxa"/>
            <w:tcBorders>
              <w:top w:val="single" w:sz="4" w:space="0" w:color="000000"/>
              <w:left w:val="single" w:sz="4" w:space="0" w:color="000000"/>
              <w:bottom w:val="single" w:sz="4" w:space="0" w:color="000000"/>
              <w:right w:val="single" w:sz="4" w:space="0" w:color="000000"/>
            </w:tcBorders>
          </w:tcPr>
          <w:p>
            <w:pPr/>
          </w:p>
        </w:tc>
        <w:tc>
          <w:tcPr>
            <w:tcW w:w="1081"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67.133</w:t>
            </w:r>
          </w:p>
        </w:tc>
        <w:tc>
          <w:tcPr>
            <w:tcW w:w="768"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1"/>
              <w:jc w:val="right"/>
              <w:rPr>
                <w:rFonts w:ascii="Times New Roman" w:hAnsi="Times New Roman" w:cs="Times New Roman" w:eastAsia="Times New Roman" w:hint="default"/>
                <w:sz w:val="16"/>
                <w:szCs w:val="16"/>
              </w:rPr>
            </w:pPr>
            <w:r>
              <w:rPr>
                <w:rFonts w:ascii="Times New Roman"/>
                <w:w w:val="100"/>
                <w:sz w:val="16"/>
              </w:rPr>
              <w:t>2</w:t>
            </w:r>
          </w:p>
        </w:tc>
        <w:tc>
          <w:tcPr>
            <w:tcW w:w="1066" w:type="dxa"/>
            <w:tcBorders>
              <w:top w:val="single" w:sz="4" w:space="0" w:color="000000"/>
              <w:left w:val="single" w:sz="4" w:space="0" w:color="000000"/>
              <w:bottom w:val="single" w:sz="4" w:space="0" w:color="000000"/>
              <w:right w:val="single" w:sz="4" w:space="0" w:color="000000"/>
            </w:tcBorders>
          </w:tcPr>
          <w:p>
            <w:pPr/>
          </w:p>
        </w:tc>
        <w:tc>
          <w:tcPr>
            <w:tcW w:w="1063" w:type="dxa"/>
            <w:tcBorders>
              <w:top w:val="single" w:sz="4" w:space="0" w:color="000000"/>
              <w:left w:val="single" w:sz="4" w:space="0" w:color="000000"/>
              <w:bottom w:val="single" w:sz="4" w:space="0" w:color="000000"/>
              <w:right w:val="single" w:sz="4" w:space="0" w:color="000000"/>
            </w:tcBorders>
          </w:tcPr>
          <w:p>
            <w:pPr/>
          </w:p>
        </w:tc>
      </w:tr>
      <w:tr>
        <w:trPr>
          <w:trHeight w:val="194" w:hRule="exact"/>
        </w:trPr>
        <w:tc>
          <w:tcPr>
            <w:tcW w:w="739" w:type="dxa"/>
            <w:tcBorders>
              <w:top w:val="single" w:sz="4" w:space="0" w:color="000000"/>
              <w:left w:val="single" w:sz="4" w:space="0" w:color="000000"/>
              <w:bottom w:val="single" w:sz="4" w:space="0" w:color="000000"/>
              <w:right w:val="single" w:sz="4" w:space="0" w:color="000000"/>
            </w:tcBorders>
          </w:tcPr>
          <w:p>
            <w:pP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100" w:right="110"/>
              <w:jc w:val="left"/>
              <w:rPr>
                <w:rFonts w:ascii="Times New Roman" w:hAnsi="Times New Roman" w:cs="Times New Roman" w:eastAsia="Times New Roman" w:hint="default"/>
                <w:sz w:val="16"/>
                <w:szCs w:val="16"/>
              </w:rPr>
            </w:pPr>
            <w:r>
              <w:rPr>
                <w:rFonts w:ascii="Times New Roman" w:hAnsi="Times New Roman"/>
                <w:sz w:val="16"/>
              </w:rPr>
              <w:t>Мањак новч.</w:t>
            </w:r>
            <w:r>
              <w:rPr>
                <w:rFonts w:ascii="Times New Roman" w:hAnsi="Times New Roman"/>
                <w:spacing w:val="-7"/>
                <w:sz w:val="16"/>
              </w:rPr>
              <w:t> </w:t>
            </w:r>
            <w:r>
              <w:rPr>
                <w:rFonts w:ascii="Times New Roman" w:hAnsi="Times New Roman"/>
                <w:sz w:val="16"/>
              </w:rPr>
              <w:t>одлива</w:t>
            </w:r>
          </w:p>
        </w:tc>
        <w:tc>
          <w:tcPr>
            <w:tcW w:w="1171" w:type="dxa"/>
            <w:tcBorders>
              <w:top w:val="single" w:sz="4" w:space="0" w:color="000000"/>
              <w:left w:val="single" w:sz="4" w:space="0" w:color="000000"/>
              <w:bottom w:val="single" w:sz="4" w:space="0" w:color="000000"/>
              <w:right w:val="single" w:sz="4" w:space="0" w:color="000000"/>
            </w:tcBorders>
          </w:tcPr>
          <w:p>
            <w:pPr/>
          </w:p>
        </w:tc>
        <w:tc>
          <w:tcPr>
            <w:tcW w:w="1080" w:type="dxa"/>
            <w:tcBorders>
              <w:top w:val="single" w:sz="4" w:space="0" w:color="000000"/>
              <w:left w:val="single" w:sz="4" w:space="0" w:color="000000"/>
              <w:bottom w:val="single" w:sz="4" w:space="0" w:color="000000"/>
              <w:right w:val="single" w:sz="4" w:space="0" w:color="000000"/>
            </w:tcBorders>
          </w:tcPr>
          <w:p>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5.680</w:t>
            </w:r>
          </w:p>
        </w:tc>
        <w:tc>
          <w:tcPr>
            <w:tcW w:w="1081" w:type="dxa"/>
            <w:tcBorders>
              <w:top w:val="single" w:sz="4" w:space="0" w:color="000000"/>
              <w:left w:val="single" w:sz="4" w:space="0" w:color="000000"/>
              <w:bottom w:val="single" w:sz="4" w:space="0" w:color="000000"/>
              <w:right w:val="single" w:sz="4" w:space="0" w:color="000000"/>
            </w:tcBorders>
          </w:tcPr>
          <w:p>
            <w:pPr/>
          </w:p>
        </w:tc>
        <w:tc>
          <w:tcPr>
            <w:tcW w:w="768" w:type="dxa"/>
            <w:tcBorders>
              <w:top w:val="single" w:sz="4" w:space="0" w:color="000000"/>
              <w:left w:val="single" w:sz="4" w:space="0" w:color="000000"/>
              <w:bottom w:val="single" w:sz="4" w:space="0" w:color="000000"/>
              <w:right w:val="single" w:sz="4" w:space="0" w:color="000000"/>
            </w:tcBorders>
          </w:tcPr>
          <w:p>
            <w:pPr/>
          </w:p>
        </w:tc>
        <w:tc>
          <w:tcPr>
            <w:tcW w:w="1066"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774</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21.848</w:t>
            </w:r>
          </w:p>
        </w:tc>
      </w:tr>
    </w:tbl>
    <w:p>
      <w:pPr>
        <w:spacing w:after="0" w:line="179" w:lineRule="exact"/>
        <w:jc w:val="right"/>
        <w:rPr>
          <w:rFonts w:ascii="Times New Roman" w:hAnsi="Times New Roman" w:cs="Times New Roman" w:eastAsia="Times New Roman" w:hint="default"/>
          <w:sz w:val="16"/>
          <w:szCs w:val="16"/>
        </w:rPr>
        <w:sectPr>
          <w:pgSz w:w="12240" w:h="15840"/>
          <w:pgMar w:header="740" w:footer="1504" w:top="1200" w:bottom="1700" w:left="1340" w:right="1060"/>
        </w:sectPr>
      </w:pPr>
    </w:p>
    <w:p>
      <w:pPr>
        <w:spacing w:line="60" w:lineRule="exact"/>
        <w:ind w:left="16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BodyText"/>
        <w:spacing w:line="240" w:lineRule="auto" w:before="6"/>
        <w:ind w:left="220" w:right="334" w:firstLine="566"/>
        <w:jc w:val="both"/>
      </w:pPr>
      <w:r>
        <w:rPr>
          <w:rFonts w:ascii="Times New Roman" w:hAnsi="Times New Roman" w:cs="Times New Roman" w:eastAsia="Times New Roman" w:hint="default"/>
          <w:b/>
          <w:bCs/>
        </w:rPr>
        <w:t>На основу ревизије узорковане документације утврђено је </w:t>
      </w:r>
      <w:r>
        <w:rPr/>
        <w:t>да град Ниш није правилно попунио Образац 5, јер у колони 4 – Износ планираних прихода и примања и Износ одобрених апропријација, није </w:t>
      </w:r>
      <w:r>
        <w:rPr>
          <w:spacing w:val="-3"/>
        </w:rPr>
        <w:t>унео </w:t>
      </w:r>
      <w:r>
        <w:rPr/>
        <w:t>планиране приходе и примања, као и расходе  </w:t>
      </w:r>
      <w:r>
        <w:rPr/>
        <w:t>и издатке одобрене буџетом, што је супротно члану 10. Правилника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буџетских фондова.</w:t>
      </w:r>
    </w:p>
    <w:p>
      <w:pPr>
        <w:pStyle w:val="Heading2"/>
        <w:spacing w:line="240" w:lineRule="auto"/>
        <w:ind w:left="220" w:right="335"/>
        <w:jc w:val="both"/>
        <w:rPr>
          <w:b w:val="0"/>
          <w:bCs w:val="0"/>
          <w:i w:val="0"/>
        </w:rPr>
      </w:pPr>
      <w:r>
        <w:rPr>
          <w:i/>
        </w:rPr>
        <w:t>Препоручује се одговорним лицима да правилно сачињавају Образац 5 – Извештај о извршењу</w:t>
      </w:r>
      <w:r>
        <w:rPr>
          <w:i/>
          <w:spacing w:val="-5"/>
        </w:rPr>
        <w:t> </w:t>
      </w:r>
      <w:r>
        <w:rPr>
          <w:i/>
        </w:rPr>
        <w:t>буџета.</w:t>
      </w:r>
      <w:r>
        <w:rPr>
          <w:b w:val="0"/>
          <w:bCs w:val="0"/>
          <w:i w:val="0"/>
        </w:rPr>
      </w:r>
    </w:p>
    <w:p>
      <w:pPr>
        <w:spacing w:line="240" w:lineRule="auto" w:before="8"/>
        <w:rPr>
          <w:rFonts w:ascii="Times New Roman" w:hAnsi="Times New Roman" w:cs="Times New Roman" w:eastAsia="Times New Roman" w:hint="default"/>
          <w:b/>
          <w:bCs/>
          <w:i/>
          <w:sz w:val="19"/>
          <w:szCs w:val="19"/>
        </w:rPr>
      </w:pPr>
    </w:p>
    <w:p>
      <w:pPr>
        <w:tabs>
          <w:tab w:pos="7889" w:val="left" w:leader="none"/>
        </w:tabs>
        <w:spacing w:before="0" w:after="7"/>
        <w:ind w:left="940" w:right="0" w:firstLine="0"/>
        <w:jc w:val="left"/>
        <w:rPr>
          <w:rFonts w:ascii="Times New Roman" w:hAnsi="Times New Roman" w:cs="Times New Roman" w:eastAsia="Times New Roman" w:hint="default"/>
          <w:sz w:val="16"/>
          <w:szCs w:val="16"/>
        </w:rPr>
      </w:pPr>
      <w:r>
        <w:rPr>
          <w:rFonts w:ascii="Times New Roman" w:hAnsi="Times New Roman"/>
          <w:sz w:val="20"/>
        </w:rPr>
        <w:t>Табела разлика у обрасцима завршног рачуна за </w:t>
      </w:r>
      <w:r>
        <w:rPr>
          <w:rFonts w:ascii="Times New Roman" w:hAnsi="Times New Roman"/>
          <w:spacing w:val="40"/>
          <w:sz w:val="20"/>
        </w:rPr>
        <w:t> </w:t>
      </w:r>
      <w:r>
        <w:rPr>
          <w:rFonts w:ascii="Times New Roman" w:hAnsi="Times New Roman"/>
          <w:sz w:val="20"/>
        </w:rPr>
        <w:t>201</w:t>
      </w:r>
      <w:r>
        <w:rPr>
          <w:rFonts w:ascii="Times New Roman" w:hAnsi="Times New Roman"/>
          <w:sz w:val="20"/>
        </w:rPr>
        <w:t>4.</w:t>
      </w:r>
      <w:r>
        <w:rPr>
          <w:rFonts w:ascii="Times New Roman" w:hAnsi="Times New Roman"/>
          <w:spacing w:val="14"/>
          <w:sz w:val="20"/>
        </w:rPr>
        <w:t> </w:t>
      </w:r>
      <w:r>
        <w:rPr>
          <w:rFonts w:ascii="Times New Roman" w:hAnsi="Times New Roman"/>
          <w:sz w:val="20"/>
        </w:rPr>
        <w:t>годину</w:t>
        <w:tab/>
      </w:r>
      <w:r>
        <w:rPr>
          <w:rFonts w:ascii="Times New Roman" w:hAnsi="Times New Roman"/>
          <w:sz w:val="16"/>
        </w:rPr>
        <w:t>(у хиљадама</w:t>
      </w:r>
      <w:r>
        <w:rPr>
          <w:rFonts w:ascii="Times New Roman" w:hAnsi="Times New Roman"/>
          <w:spacing w:val="-6"/>
          <w:sz w:val="16"/>
        </w:rPr>
        <w:t> </w:t>
      </w:r>
      <w:r>
        <w:rPr>
          <w:rFonts w:ascii="Times New Roman" w:hAnsi="Times New Roman"/>
          <w:sz w:val="16"/>
        </w:rPr>
        <w:t>динара)</w:t>
      </w:r>
    </w:p>
    <w:tbl>
      <w:tblPr>
        <w:tblW w:w="0" w:type="auto"/>
        <w:jc w:val="left"/>
        <w:tblInd w:w="107" w:type="dxa"/>
        <w:tblLayout w:type="fixed"/>
        <w:tblCellMar>
          <w:top w:w="0" w:type="dxa"/>
          <w:left w:w="0" w:type="dxa"/>
          <w:bottom w:w="0" w:type="dxa"/>
          <w:right w:w="0" w:type="dxa"/>
        </w:tblCellMar>
        <w:tblLook w:val="01E0"/>
      </w:tblPr>
      <w:tblGrid>
        <w:gridCol w:w="1205"/>
        <w:gridCol w:w="1390"/>
        <w:gridCol w:w="1445"/>
        <w:gridCol w:w="1442"/>
        <w:gridCol w:w="1330"/>
        <w:gridCol w:w="1435"/>
        <w:gridCol w:w="1330"/>
      </w:tblGrid>
      <w:tr>
        <w:trPr>
          <w:trHeight w:val="493" w:hRule="exact"/>
        </w:trPr>
        <w:tc>
          <w:tcPr>
            <w:tcW w:w="1205"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386" w:right="269" w:firstLine="62"/>
              <w:jc w:val="left"/>
              <w:rPr>
                <w:rFonts w:ascii="Times New Roman" w:hAnsi="Times New Roman" w:cs="Times New Roman" w:eastAsia="Times New Roman" w:hint="default"/>
                <w:sz w:val="16"/>
                <w:szCs w:val="16"/>
              </w:rPr>
            </w:pPr>
            <w:r>
              <w:rPr>
                <w:rFonts w:ascii="Times New Roman" w:hAnsi="Times New Roman"/>
                <w:sz w:val="16"/>
              </w:rPr>
              <w:t>Екон</w:t>
            </w:r>
            <w:r>
              <w:rPr>
                <w:rFonts w:ascii="Times New Roman" w:hAnsi="Times New Roman"/>
                <w:sz w:val="16"/>
              </w:rPr>
              <w:t>. </w:t>
            </w:r>
            <w:r>
              <w:rPr>
                <w:rFonts w:ascii="Times New Roman" w:hAnsi="Times New Roman"/>
                <w:sz w:val="16"/>
              </w:rPr>
              <w:t>класиф</w:t>
            </w:r>
            <w:r>
              <w:rPr>
                <w:rFonts w:ascii="Times New Roman" w:hAnsi="Times New Roman"/>
                <w:sz w:val="16"/>
              </w:rPr>
              <w:t>.</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343" w:right="0"/>
              <w:jc w:val="left"/>
              <w:rPr>
                <w:rFonts w:ascii="Times New Roman" w:hAnsi="Times New Roman" w:cs="Times New Roman" w:eastAsia="Times New Roman" w:hint="default"/>
                <w:sz w:val="16"/>
                <w:szCs w:val="16"/>
              </w:rPr>
            </w:pPr>
            <w:r>
              <w:rPr>
                <w:rFonts w:ascii="Times New Roman" w:hAnsi="Times New Roman"/>
                <w:sz w:val="16"/>
              </w:rPr>
              <w:t>Образац</w:t>
            </w:r>
            <w:r>
              <w:rPr>
                <w:rFonts w:ascii="Times New Roman" w:hAnsi="Times New Roman"/>
                <w:spacing w:val="-2"/>
                <w:sz w:val="16"/>
              </w:rPr>
              <w:t> </w:t>
            </w:r>
            <w:r>
              <w:rPr>
                <w:rFonts w:ascii="Times New Roman" w:hAnsi="Times New Roman"/>
                <w:sz w:val="16"/>
              </w:rPr>
              <w:t>2</w:t>
            </w:r>
          </w:p>
        </w:tc>
        <w:tc>
          <w:tcPr>
            <w:tcW w:w="144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369" w:right="0"/>
              <w:jc w:val="left"/>
              <w:rPr>
                <w:rFonts w:ascii="Times New Roman" w:hAnsi="Times New Roman" w:cs="Times New Roman" w:eastAsia="Times New Roman" w:hint="default"/>
                <w:sz w:val="16"/>
                <w:szCs w:val="16"/>
              </w:rPr>
            </w:pPr>
            <w:r>
              <w:rPr>
                <w:rFonts w:ascii="Times New Roman" w:hAnsi="Times New Roman"/>
                <w:sz w:val="16"/>
              </w:rPr>
              <w:t>Образац</w:t>
            </w:r>
            <w:r>
              <w:rPr>
                <w:rFonts w:ascii="Times New Roman" w:hAnsi="Times New Roman"/>
                <w:spacing w:val="-1"/>
                <w:sz w:val="16"/>
              </w:rPr>
              <w:t> </w:t>
            </w:r>
            <w:r>
              <w:rPr>
                <w:rFonts w:ascii="Times New Roman" w:hAnsi="Times New Roman"/>
                <w:sz w:val="16"/>
              </w:rPr>
              <w:t>3</w:t>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369" w:right="94"/>
              <w:jc w:val="left"/>
              <w:rPr>
                <w:rFonts w:ascii="Times New Roman" w:hAnsi="Times New Roman" w:cs="Times New Roman" w:eastAsia="Times New Roman" w:hint="default"/>
                <w:sz w:val="16"/>
                <w:szCs w:val="16"/>
              </w:rPr>
            </w:pPr>
            <w:r>
              <w:rPr>
                <w:rFonts w:ascii="Times New Roman" w:hAnsi="Times New Roman"/>
                <w:sz w:val="16"/>
              </w:rPr>
              <w:t>Образац</w:t>
            </w:r>
            <w:r>
              <w:rPr>
                <w:rFonts w:ascii="Times New Roman" w:hAnsi="Times New Roman"/>
                <w:spacing w:val="-1"/>
                <w:sz w:val="16"/>
              </w:rPr>
              <w:t> </w:t>
            </w:r>
            <w:r>
              <w:rPr>
                <w:rFonts w:ascii="Times New Roman" w:hAnsi="Times New Roman"/>
                <w:sz w:val="16"/>
              </w:rPr>
              <w:t>4</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359" w:right="309" w:hanging="46"/>
              <w:jc w:val="left"/>
              <w:rPr>
                <w:rFonts w:ascii="Times New Roman" w:hAnsi="Times New Roman" w:cs="Times New Roman" w:eastAsia="Times New Roman" w:hint="default"/>
                <w:sz w:val="16"/>
                <w:szCs w:val="16"/>
              </w:rPr>
            </w:pPr>
            <w:r>
              <w:rPr>
                <w:rFonts w:ascii="Times New Roman" w:hAnsi="Times New Roman"/>
                <w:sz w:val="16"/>
              </w:rPr>
              <w:t>Образац </w:t>
            </w:r>
            <w:r>
              <w:rPr>
                <w:rFonts w:ascii="Times New Roman" w:hAnsi="Times New Roman"/>
                <w:sz w:val="16"/>
              </w:rPr>
              <w:t>5 </w:t>
            </w:r>
            <w:r>
              <w:rPr>
                <w:rFonts w:ascii="Times New Roman" w:hAnsi="Times New Roman"/>
                <w:sz w:val="16"/>
              </w:rPr>
              <w:t>(укупно)</w:t>
            </w:r>
          </w:p>
        </w:tc>
        <w:tc>
          <w:tcPr>
            <w:tcW w:w="143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left="367" w:right="0"/>
              <w:jc w:val="left"/>
              <w:rPr>
                <w:rFonts w:ascii="Times New Roman" w:hAnsi="Times New Roman" w:cs="Times New Roman" w:eastAsia="Times New Roman" w:hint="default"/>
                <w:sz w:val="16"/>
                <w:szCs w:val="16"/>
              </w:rPr>
            </w:pPr>
            <w:r>
              <w:rPr>
                <w:rFonts w:ascii="Times New Roman" w:hAnsi="Times New Roman"/>
                <w:sz w:val="16"/>
              </w:rPr>
              <w:t>Образац</w:t>
            </w:r>
            <w:r>
              <w:rPr>
                <w:rFonts w:ascii="Times New Roman" w:hAnsi="Times New Roman"/>
                <w:spacing w:val="-2"/>
                <w:sz w:val="16"/>
              </w:rPr>
              <w:t> </w:t>
            </w:r>
            <w:r>
              <w:rPr>
                <w:rFonts w:ascii="Times New Roman" w:hAnsi="Times New Roman"/>
                <w:sz w:val="16"/>
              </w:rPr>
              <w:t>5</w:t>
            </w:r>
          </w:p>
          <w:p>
            <w:pPr>
              <w:pStyle w:val="TableParagraph"/>
              <w:spacing w:line="240" w:lineRule="auto" w:before="1"/>
              <w:ind w:left="364" w:right="0"/>
              <w:jc w:val="left"/>
              <w:rPr>
                <w:rFonts w:ascii="Times New Roman" w:hAnsi="Times New Roman" w:cs="Times New Roman" w:eastAsia="Times New Roman" w:hint="default"/>
                <w:sz w:val="16"/>
                <w:szCs w:val="16"/>
              </w:rPr>
            </w:pPr>
            <w:r>
              <w:rPr>
                <w:rFonts w:ascii="Times New Roman" w:hAnsi="Times New Roman"/>
                <w:sz w:val="16"/>
              </w:rPr>
              <w:t>(извор</w:t>
            </w:r>
            <w:r>
              <w:rPr>
                <w:rFonts w:ascii="Times New Roman" w:hAnsi="Times New Roman"/>
                <w:spacing w:val="-2"/>
                <w:sz w:val="16"/>
              </w:rPr>
              <w:t> </w:t>
            </w:r>
            <w:r>
              <w:rPr>
                <w:rFonts w:ascii="Times New Roman" w:hAnsi="Times New Roman"/>
                <w:sz w:val="16"/>
              </w:rPr>
              <w:t>01)</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444" w:right="206" w:hanging="231"/>
              <w:jc w:val="left"/>
              <w:rPr>
                <w:rFonts w:ascii="Times New Roman" w:hAnsi="Times New Roman" w:cs="Times New Roman" w:eastAsia="Times New Roman" w:hint="default"/>
                <w:sz w:val="16"/>
                <w:szCs w:val="16"/>
              </w:rPr>
            </w:pPr>
            <w:r>
              <w:rPr>
                <w:rFonts w:ascii="Times New Roman" w:hAnsi="Times New Roman"/>
                <w:sz w:val="16"/>
              </w:rPr>
              <w:t>ЗАКЉУЧНИ ЛИСТ</w:t>
            </w:r>
          </w:p>
        </w:tc>
      </w:tr>
      <w:tr>
        <w:trPr>
          <w:trHeight w:val="192" w:hRule="exact"/>
        </w:trPr>
        <w:tc>
          <w:tcPr>
            <w:tcW w:w="120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354"/>
              <w:jc w:val="right"/>
              <w:rPr>
                <w:rFonts w:ascii="Times New Roman" w:hAnsi="Times New Roman" w:cs="Times New Roman" w:eastAsia="Times New Roman" w:hint="default"/>
                <w:sz w:val="16"/>
                <w:szCs w:val="16"/>
              </w:rPr>
            </w:pPr>
            <w:r>
              <w:rPr>
                <w:rFonts w:ascii="Times New Roman"/>
                <w:spacing w:val="-1"/>
                <w:sz w:val="16"/>
              </w:rPr>
              <w:t>700000</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7.030.829</w:t>
            </w:r>
          </w:p>
        </w:tc>
        <w:tc>
          <w:tcPr>
            <w:tcW w:w="1445" w:type="dxa"/>
            <w:tcBorders>
              <w:top w:val="single" w:sz="4" w:space="0" w:color="000000"/>
              <w:left w:val="single" w:sz="4" w:space="0" w:color="000000"/>
              <w:bottom w:val="single" w:sz="4" w:space="0" w:color="000000"/>
              <w:right w:val="single" w:sz="4" w:space="0" w:color="000000"/>
            </w:tcBorders>
          </w:tcPr>
          <w:p>
            <w:pP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7.030.829</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7.030.829</w:t>
            </w:r>
          </w:p>
        </w:tc>
        <w:tc>
          <w:tcPr>
            <w:tcW w:w="143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6.613.410</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98"/>
              <w:jc w:val="right"/>
              <w:rPr>
                <w:rFonts w:ascii="Times New Roman" w:hAnsi="Times New Roman" w:cs="Times New Roman" w:eastAsia="Times New Roman" w:hint="default"/>
                <w:sz w:val="16"/>
                <w:szCs w:val="16"/>
              </w:rPr>
            </w:pPr>
            <w:r>
              <w:rPr>
                <w:rFonts w:ascii="Times New Roman"/>
                <w:spacing w:val="-1"/>
                <w:sz w:val="16"/>
              </w:rPr>
              <w:t>6.613.410</w:t>
            </w:r>
            <w:r>
              <w:rPr>
                <w:rFonts w:ascii="Times New Roman"/>
                <w:sz w:val="16"/>
              </w:rPr>
            </w:r>
          </w:p>
        </w:tc>
      </w:tr>
      <w:tr>
        <w:trPr>
          <w:trHeight w:val="194" w:hRule="exact"/>
        </w:trPr>
        <w:tc>
          <w:tcPr>
            <w:tcW w:w="1205"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354"/>
              <w:jc w:val="right"/>
              <w:rPr>
                <w:rFonts w:ascii="Times New Roman" w:hAnsi="Times New Roman" w:cs="Times New Roman" w:eastAsia="Times New Roman" w:hint="default"/>
                <w:sz w:val="16"/>
                <w:szCs w:val="16"/>
              </w:rPr>
            </w:pPr>
            <w:r>
              <w:rPr>
                <w:rFonts w:ascii="Times New Roman"/>
                <w:spacing w:val="-1"/>
                <w:sz w:val="16"/>
              </w:rPr>
              <w:t>710000</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3"/>
              <w:jc w:val="right"/>
              <w:rPr>
                <w:rFonts w:ascii="Times New Roman" w:hAnsi="Times New Roman" w:cs="Times New Roman" w:eastAsia="Times New Roman" w:hint="default"/>
                <w:sz w:val="16"/>
                <w:szCs w:val="16"/>
              </w:rPr>
            </w:pPr>
            <w:r>
              <w:rPr>
                <w:rFonts w:ascii="Times New Roman"/>
                <w:spacing w:val="-1"/>
                <w:sz w:val="16"/>
              </w:rPr>
              <w:t>4.824.793</w:t>
            </w:r>
          </w:p>
        </w:tc>
        <w:tc>
          <w:tcPr>
            <w:tcW w:w="1445" w:type="dxa"/>
            <w:tcBorders>
              <w:top w:val="single" w:sz="4" w:space="0" w:color="000000"/>
              <w:left w:val="single" w:sz="4" w:space="0" w:color="000000"/>
              <w:bottom w:val="single" w:sz="4" w:space="0" w:color="000000"/>
              <w:right w:val="single" w:sz="4" w:space="0" w:color="000000"/>
            </w:tcBorders>
          </w:tcPr>
          <w:p>
            <w:pP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4.824.793</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3"/>
              <w:jc w:val="right"/>
              <w:rPr>
                <w:rFonts w:ascii="Times New Roman" w:hAnsi="Times New Roman" w:cs="Times New Roman" w:eastAsia="Times New Roman" w:hint="default"/>
                <w:sz w:val="16"/>
                <w:szCs w:val="16"/>
              </w:rPr>
            </w:pPr>
            <w:r>
              <w:rPr>
                <w:rFonts w:ascii="Times New Roman"/>
                <w:spacing w:val="-1"/>
                <w:sz w:val="16"/>
              </w:rPr>
              <w:t>4.824.793</w:t>
            </w:r>
          </w:p>
        </w:tc>
        <w:tc>
          <w:tcPr>
            <w:tcW w:w="1435"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4.824.265</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1"/>
              <w:jc w:val="right"/>
              <w:rPr>
                <w:rFonts w:ascii="Times New Roman" w:hAnsi="Times New Roman" w:cs="Times New Roman" w:eastAsia="Times New Roman" w:hint="default"/>
                <w:sz w:val="16"/>
                <w:szCs w:val="16"/>
              </w:rPr>
            </w:pPr>
            <w:r>
              <w:rPr>
                <w:rFonts w:ascii="Times New Roman"/>
                <w:spacing w:val="-1"/>
                <w:sz w:val="16"/>
              </w:rPr>
              <w:t>4.824.265</w:t>
            </w:r>
          </w:p>
        </w:tc>
      </w:tr>
      <w:tr>
        <w:trPr>
          <w:trHeight w:val="194" w:hRule="exact"/>
        </w:trPr>
        <w:tc>
          <w:tcPr>
            <w:tcW w:w="120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354"/>
              <w:jc w:val="right"/>
              <w:rPr>
                <w:rFonts w:ascii="Times New Roman" w:hAnsi="Times New Roman" w:cs="Times New Roman" w:eastAsia="Times New Roman" w:hint="default"/>
                <w:sz w:val="16"/>
                <w:szCs w:val="16"/>
              </w:rPr>
            </w:pPr>
            <w:r>
              <w:rPr>
                <w:rFonts w:ascii="Times New Roman"/>
                <w:spacing w:val="-1"/>
                <w:sz w:val="16"/>
              </w:rPr>
              <w:t>730000</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911.367</w:t>
            </w:r>
          </w:p>
        </w:tc>
        <w:tc>
          <w:tcPr>
            <w:tcW w:w="1445" w:type="dxa"/>
            <w:tcBorders>
              <w:top w:val="single" w:sz="4" w:space="0" w:color="000000"/>
              <w:left w:val="single" w:sz="4" w:space="0" w:color="000000"/>
              <w:bottom w:val="single" w:sz="4" w:space="0" w:color="000000"/>
              <w:right w:val="single" w:sz="4" w:space="0" w:color="000000"/>
            </w:tcBorders>
          </w:tcPr>
          <w:p>
            <w:pP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911.367</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911.367</w:t>
            </w:r>
          </w:p>
        </w:tc>
        <w:tc>
          <w:tcPr>
            <w:tcW w:w="143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900.990</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900.990</w:t>
            </w:r>
          </w:p>
        </w:tc>
      </w:tr>
      <w:tr>
        <w:trPr>
          <w:trHeight w:val="194" w:hRule="exact"/>
        </w:trPr>
        <w:tc>
          <w:tcPr>
            <w:tcW w:w="120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354"/>
              <w:jc w:val="right"/>
              <w:rPr>
                <w:rFonts w:ascii="Times New Roman" w:hAnsi="Times New Roman" w:cs="Times New Roman" w:eastAsia="Times New Roman" w:hint="default"/>
                <w:sz w:val="16"/>
                <w:szCs w:val="16"/>
              </w:rPr>
            </w:pPr>
            <w:r>
              <w:rPr>
                <w:rFonts w:ascii="Times New Roman"/>
                <w:spacing w:val="-1"/>
                <w:sz w:val="16"/>
              </w:rPr>
              <w:t>740000</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1.228.130</w:t>
            </w:r>
          </w:p>
        </w:tc>
        <w:tc>
          <w:tcPr>
            <w:tcW w:w="1445" w:type="dxa"/>
            <w:tcBorders>
              <w:top w:val="single" w:sz="4" w:space="0" w:color="000000"/>
              <w:left w:val="single" w:sz="4" w:space="0" w:color="000000"/>
              <w:bottom w:val="single" w:sz="4" w:space="0" w:color="000000"/>
              <w:right w:val="single" w:sz="4" w:space="0" w:color="000000"/>
            </w:tcBorders>
          </w:tcPr>
          <w:p>
            <w:pP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1.228.130</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1.228.130</w:t>
            </w:r>
          </w:p>
        </w:tc>
        <w:tc>
          <w:tcPr>
            <w:tcW w:w="143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888.155</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888.155</w:t>
            </w:r>
          </w:p>
        </w:tc>
      </w:tr>
      <w:tr>
        <w:trPr>
          <w:trHeight w:val="194" w:hRule="exact"/>
        </w:trPr>
        <w:tc>
          <w:tcPr>
            <w:tcW w:w="120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354"/>
              <w:jc w:val="right"/>
              <w:rPr>
                <w:rFonts w:ascii="Times New Roman" w:hAnsi="Times New Roman" w:cs="Times New Roman" w:eastAsia="Times New Roman" w:hint="default"/>
                <w:sz w:val="16"/>
                <w:szCs w:val="16"/>
              </w:rPr>
            </w:pPr>
            <w:r>
              <w:rPr>
                <w:rFonts w:ascii="Times New Roman"/>
                <w:spacing w:val="-1"/>
                <w:sz w:val="16"/>
              </w:rPr>
              <w:t>770000</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5.220</w:t>
            </w:r>
          </w:p>
        </w:tc>
        <w:tc>
          <w:tcPr>
            <w:tcW w:w="1445" w:type="dxa"/>
            <w:tcBorders>
              <w:top w:val="single" w:sz="4" w:space="0" w:color="000000"/>
              <w:left w:val="single" w:sz="4" w:space="0" w:color="000000"/>
              <w:bottom w:val="single" w:sz="4" w:space="0" w:color="000000"/>
              <w:right w:val="single" w:sz="4" w:space="0" w:color="000000"/>
            </w:tcBorders>
          </w:tcPr>
          <w:p>
            <w:pP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5.220</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5.220</w:t>
            </w:r>
          </w:p>
        </w:tc>
        <w:tc>
          <w:tcPr>
            <w:tcW w:w="143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w w:val="100"/>
                <w:sz w:val="16"/>
              </w:rPr>
              <w:t>-</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w w:val="100"/>
                <w:sz w:val="16"/>
              </w:rPr>
              <w:t>-</w:t>
            </w:r>
          </w:p>
        </w:tc>
      </w:tr>
      <w:tr>
        <w:trPr>
          <w:trHeight w:val="194" w:hRule="exact"/>
        </w:trPr>
        <w:tc>
          <w:tcPr>
            <w:tcW w:w="120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354"/>
              <w:jc w:val="right"/>
              <w:rPr>
                <w:rFonts w:ascii="Times New Roman" w:hAnsi="Times New Roman" w:cs="Times New Roman" w:eastAsia="Times New Roman" w:hint="default"/>
                <w:sz w:val="16"/>
                <w:szCs w:val="16"/>
              </w:rPr>
            </w:pPr>
            <w:r>
              <w:rPr>
                <w:rFonts w:ascii="Times New Roman"/>
                <w:spacing w:val="-1"/>
                <w:sz w:val="16"/>
              </w:rPr>
              <w:t>780000</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10.013</w:t>
            </w:r>
          </w:p>
        </w:tc>
        <w:tc>
          <w:tcPr>
            <w:tcW w:w="1445" w:type="dxa"/>
            <w:tcBorders>
              <w:top w:val="single" w:sz="4" w:space="0" w:color="000000"/>
              <w:left w:val="single" w:sz="4" w:space="0" w:color="000000"/>
              <w:bottom w:val="single" w:sz="4" w:space="0" w:color="000000"/>
              <w:right w:val="single" w:sz="4" w:space="0" w:color="000000"/>
            </w:tcBorders>
          </w:tcPr>
          <w:p>
            <w:pP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10.013</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10.013</w:t>
            </w:r>
          </w:p>
        </w:tc>
        <w:tc>
          <w:tcPr>
            <w:tcW w:w="143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w w:val="100"/>
                <w:sz w:val="16"/>
              </w:rPr>
              <w:t>-</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w w:val="100"/>
                <w:sz w:val="16"/>
              </w:rPr>
              <w:t>-</w:t>
            </w:r>
          </w:p>
        </w:tc>
      </w:tr>
      <w:tr>
        <w:trPr>
          <w:trHeight w:val="192" w:hRule="exact"/>
        </w:trPr>
        <w:tc>
          <w:tcPr>
            <w:tcW w:w="120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354"/>
              <w:jc w:val="right"/>
              <w:rPr>
                <w:rFonts w:ascii="Times New Roman" w:hAnsi="Times New Roman" w:cs="Times New Roman" w:eastAsia="Times New Roman" w:hint="default"/>
                <w:sz w:val="16"/>
                <w:szCs w:val="16"/>
              </w:rPr>
            </w:pPr>
            <w:r>
              <w:rPr>
                <w:rFonts w:ascii="Times New Roman"/>
                <w:spacing w:val="-1"/>
                <w:sz w:val="16"/>
              </w:rPr>
              <w:t>790000</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51.306</w:t>
            </w:r>
          </w:p>
        </w:tc>
        <w:tc>
          <w:tcPr>
            <w:tcW w:w="1445" w:type="dxa"/>
            <w:tcBorders>
              <w:top w:val="single" w:sz="4" w:space="0" w:color="000000"/>
              <w:left w:val="single" w:sz="4" w:space="0" w:color="000000"/>
              <w:bottom w:val="single" w:sz="4" w:space="0" w:color="000000"/>
              <w:right w:val="single" w:sz="4" w:space="0" w:color="000000"/>
            </w:tcBorders>
          </w:tcPr>
          <w:p>
            <w:pP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51.306</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51.306</w:t>
            </w:r>
          </w:p>
        </w:tc>
        <w:tc>
          <w:tcPr>
            <w:tcW w:w="143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w w:val="100"/>
                <w:sz w:val="16"/>
              </w:rPr>
              <w:t>-</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w w:val="100"/>
                <w:sz w:val="16"/>
              </w:rPr>
              <w:t>-</w:t>
            </w:r>
          </w:p>
        </w:tc>
      </w:tr>
      <w:tr>
        <w:trPr>
          <w:trHeight w:val="194" w:hRule="exact"/>
        </w:trPr>
        <w:tc>
          <w:tcPr>
            <w:tcW w:w="1205"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354"/>
              <w:jc w:val="right"/>
              <w:rPr>
                <w:rFonts w:ascii="Times New Roman" w:hAnsi="Times New Roman" w:cs="Times New Roman" w:eastAsia="Times New Roman" w:hint="default"/>
                <w:sz w:val="16"/>
                <w:szCs w:val="16"/>
              </w:rPr>
            </w:pPr>
            <w:r>
              <w:rPr>
                <w:rFonts w:ascii="Times New Roman"/>
                <w:spacing w:val="-1"/>
                <w:sz w:val="16"/>
              </w:rPr>
              <w:t>800000</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2"/>
              <w:jc w:val="right"/>
              <w:rPr>
                <w:rFonts w:ascii="Times New Roman" w:hAnsi="Times New Roman" w:cs="Times New Roman" w:eastAsia="Times New Roman" w:hint="default"/>
                <w:sz w:val="16"/>
                <w:szCs w:val="16"/>
              </w:rPr>
            </w:pPr>
            <w:r>
              <w:rPr>
                <w:rFonts w:ascii="Times New Roman"/>
                <w:spacing w:val="-1"/>
                <w:sz w:val="16"/>
              </w:rPr>
              <w:t>121.285</w:t>
            </w:r>
          </w:p>
        </w:tc>
        <w:tc>
          <w:tcPr>
            <w:tcW w:w="1445"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3"/>
              <w:jc w:val="right"/>
              <w:rPr>
                <w:rFonts w:ascii="Times New Roman" w:hAnsi="Times New Roman" w:cs="Times New Roman" w:eastAsia="Times New Roman" w:hint="default"/>
                <w:sz w:val="16"/>
                <w:szCs w:val="16"/>
              </w:rPr>
            </w:pPr>
            <w:r>
              <w:rPr>
                <w:rFonts w:ascii="Times New Roman"/>
                <w:spacing w:val="-1"/>
                <w:sz w:val="16"/>
              </w:rPr>
              <w:t>121.285</w:t>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121.285</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3"/>
              <w:jc w:val="right"/>
              <w:rPr>
                <w:rFonts w:ascii="Times New Roman" w:hAnsi="Times New Roman" w:cs="Times New Roman" w:eastAsia="Times New Roman" w:hint="default"/>
                <w:sz w:val="16"/>
                <w:szCs w:val="16"/>
              </w:rPr>
            </w:pPr>
            <w:r>
              <w:rPr>
                <w:rFonts w:ascii="Times New Roman"/>
                <w:spacing w:val="-1"/>
                <w:sz w:val="16"/>
              </w:rPr>
              <w:t>121.285</w:t>
            </w:r>
          </w:p>
        </w:tc>
        <w:tc>
          <w:tcPr>
            <w:tcW w:w="1435"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59.073</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59.073</w:t>
            </w:r>
          </w:p>
        </w:tc>
      </w:tr>
      <w:tr>
        <w:trPr>
          <w:trHeight w:val="194" w:hRule="exact"/>
        </w:trPr>
        <w:tc>
          <w:tcPr>
            <w:tcW w:w="120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354"/>
              <w:jc w:val="right"/>
              <w:rPr>
                <w:rFonts w:ascii="Times New Roman" w:hAnsi="Times New Roman" w:cs="Times New Roman" w:eastAsia="Times New Roman" w:hint="default"/>
                <w:sz w:val="16"/>
                <w:szCs w:val="16"/>
              </w:rPr>
            </w:pPr>
            <w:r>
              <w:rPr>
                <w:rFonts w:ascii="Times New Roman"/>
                <w:spacing w:val="-1"/>
                <w:sz w:val="16"/>
              </w:rPr>
              <w:t>810000</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11.048</w:t>
            </w:r>
          </w:p>
        </w:tc>
        <w:tc>
          <w:tcPr>
            <w:tcW w:w="144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11.048</w:t>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11.048</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11.048</w:t>
            </w:r>
          </w:p>
        </w:tc>
        <w:tc>
          <w:tcPr>
            <w:tcW w:w="143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10.896</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10.896</w:t>
            </w:r>
          </w:p>
        </w:tc>
      </w:tr>
      <w:tr>
        <w:trPr>
          <w:trHeight w:val="194" w:hRule="exact"/>
        </w:trPr>
        <w:tc>
          <w:tcPr>
            <w:tcW w:w="120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354"/>
              <w:jc w:val="right"/>
              <w:rPr>
                <w:rFonts w:ascii="Times New Roman" w:hAnsi="Times New Roman" w:cs="Times New Roman" w:eastAsia="Times New Roman" w:hint="default"/>
                <w:sz w:val="16"/>
                <w:szCs w:val="16"/>
              </w:rPr>
            </w:pPr>
            <w:r>
              <w:rPr>
                <w:rFonts w:ascii="Times New Roman"/>
                <w:spacing w:val="-1"/>
                <w:sz w:val="16"/>
              </w:rPr>
              <w:t>820000</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110.237</w:t>
            </w:r>
          </w:p>
        </w:tc>
        <w:tc>
          <w:tcPr>
            <w:tcW w:w="144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110.237</w:t>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110.237</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110.237</w:t>
            </w:r>
          </w:p>
        </w:tc>
        <w:tc>
          <w:tcPr>
            <w:tcW w:w="143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48.177</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48.177</w:t>
            </w:r>
          </w:p>
        </w:tc>
      </w:tr>
      <w:tr>
        <w:trPr>
          <w:trHeight w:val="194" w:hRule="exact"/>
        </w:trPr>
        <w:tc>
          <w:tcPr>
            <w:tcW w:w="120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354"/>
              <w:jc w:val="right"/>
              <w:rPr>
                <w:rFonts w:ascii="Times New Roman" w:hAnsi="Times New Roman" w:cs="Times New Roman" w:eastAsia="Times New Roman" w:hint="default"/>
                <w:sz w:val="16"/>
                <w:szCs w:val="16"/>
              </w:rPr>
            </w:pPr>
            <w:r>
              <w:rPr>
                <w:rFonts w:ascii="Times New Roman"/>
                <w:spacing w:val="-1"/>
                <w:sz w:val="16"/>
              </w:rPr>
              <w:t>900000</w:t>
            </w:r>
          </w:p>
        </w:tc>
        <w:tc>
          <w:tcPr>
            <w:tcW w:w="1390" w:type="dxa"/>
            <w:tcBorders>
              <w:top w:val="single" w:sz="4" w:space="0" w:color="000000"/>
              <w:left w:val="single" w:sz="4" w:space="0" w:color="000000"/>
              <w:bottom w:val="single" w:sz="4" w:space="0" w:color="000000"/>
              <w:right w:val="single" w:sz="4" w:space="0" w:color="000000"/>
            </w:tcBorders>
          </w:tcPr>
          <w:p>
            <w:pPr/>
          </w:p>
        </w:tc>
        <w:tc>
          <w:tcPr>
            <w:tcW w:w="144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516.501</w:t>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516.501</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516.501</w:t>
            </w:r>
          </w:p>
        </w:tc>
        <w:tc>
          <w:tcPr>
            <w:tcW w:w="143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516.501</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516.501</w:t>
            </w:r>
          </w:p>
        </w:tc>
      </w:tr>
      <w:tr>
        <w:trPr>
          <w:trHeight w:val="194" w:hRule="exact"/>
        </w:trPr>
        <w:tc>
          <w:tcPr>
            <w:tcW w:w="120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354"/>
              <w:jc w:val="right"/>
              <w:rPr>
                <w:rFonts w:ascii="Times New Roman" w:hAnsi="Times New Roman" w:cs="Times New Roman" w:eastAsia="Times New Roman" w:hint="default"/>
                <w:sz w:val="16"/>
                <w:szCs w:val="16"/>
              </w:rPr>
            </w:pPr>
            <w:r>
              <w:rPr>
                <w:rFonts w:ascii="Times New Roman"/>
                <w:spacing w:val="-1"/>
                <w:sz w:val="16"/>
              </w:rPr>
              <w:t>910000</w:t>
            </w:r>
          </w:p>
        </w:tc>
        <w:tc>
          <w:tcPr>
            <w:tcW w:w="1390" w:type="dxa"/>
            <w:tcBorders>
              <w:top w:val="single" w:sz="4" w:space="0" w:color="000000"/>
              <w:left w:val="single" w:sz="4" w:space="0" w:color="000000"/>
              <w:bottom w:val="single" w:sz="4" w:space="0" w:color="000000"/>
              <w:right w:val="single" w:sz="4" w:space="0" w:color="000000"/>
            </w:tcBorders>
          </w:tcPr>
          <w:p>
            <w:pPr/>
          </w:p>
        </w:tc>
        <w:tc>
          <w:tcPr>
            <w:tcW w:w="144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323.333</w:t>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323.333</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323.333</w:t>
            </w:r>
          </w:p>
        </w:tc>
        <w:tc>
          <w:tcPr>
            <w:tcW w:w="143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323.333</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323.333</w:t>
            </w:r>
          </w:p>
        </w:tc>
      </w:tr>
      <w:tr>
        <w:trPr>
          <w:trHeight w:val="192" w:hRule="exact"/>
        </w:trPr>
        <w:tc>
          <w:tcPr>
            <w:tcW w:w="120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354"/>
              <w:jc w:val="right"/>
              <w:rPr>
                <w:rFonts w:ascii="Times New Roman" w:hAnsi="Times New Roman" w:cs="Times New Roman" w:eastAsia="Times New Roman" w:hint="default"/>
                <w:sz w:val="16"/>
                <w:szCs w:val="16"/>
              </w:rPr>
            </w:pPr>
            <w:r>
              <w:rPr>
                <w:rFonts w:ascii="Times New Roman"/>
                <w:spacing w:val="-1"/>
                <w:sz w:val="16"/>
              </w:rPr>
              <w:t>920000</w:t>
            </w:r>
          </w:p>
        </w:tc>
        <w:tc>
          <w:tcPr>
            <w:tcW w:w="1390" w:type="dxa"/>
            <w:tcBorders>
              <w:top w:val="single" w:sz="4" w:space="0" w:color="000000"/>
              <w:left w:val="single" w:sz="4" w:space="0" w:color="000000"/>
              <w:bottom w:val="single" w:sz="4" w:space="0" w:color="000000"/>
              <w:right w:val="single" w:sz="4" w:space="0" w:color="000000"/>
            </w:tcBorders>
          </w:tcPr>
          <w:p>
            <w:pPr/>
          </w:p>
        </w:tc>
        <w:tc>
          <w:tcPr>
            <w:tcW w:w="144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193.168</w:t>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193.168</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193.168</w:t>
            </w:r>
          </w:p>
        </w:tc>
        <w:tc>
          <w:tcPr>
            <w:tcW w:w="143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193.168</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193.168</w:t>
            </w:r>
          </w:p>
        </w:tc>
      </w:tr>
      <w:tr>
        <w:trPr>
          <w:trHeight w:val="195" w:hRule="exact"/>
        </w:trPr>
        <w:tc>
          <w:tcPr>
            <w:tcW w:w="1205"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354"/>
              <w:jc w:val="right"/>
              <w:rPr>
                <w:rFonts w:ascii="Times New Roman" w:hAnsi="Times New Roman" w:cs="Times New Roman" w:eastAsia="Times New Roman" w:hint="default"/>
                <w:sz w:val="16"/>
                <w:szCs w:val="16"/>
              </w:rPr>
            </w:pPr>
            <w:r>
              <w:rPr>
                <w:rFonts w:ascii="Times New Roman"/>
                <w:spacing w:val="-1"/>
                <w:sz w:val="16"/>
              </w:rPr>
              <w:t>400000</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3"/>
              <w:jc w:val="right"/>
              <w:rPr>
                <w:rFonts w:ascii="Times New Roman" w:hAnsi="Times New Roman" w:cs="Times New Roman" w:eastAsia="Times New Roman" w:hint="default"/>
                <w:sz w:val="16"/>
                <w:szCs w:val="16"/>
              </w:rPr>
            </w:pPr>
            <w:r>
              <w:rPr>
                <w:rFonts w:ascii="Times New Roman"/>
                <w:spacing w:val="-1"/>
                <w:sz w:val="16"/>
              </w:rPr>
              <w:t>6.206.812</w:t>
            </w:r>
          </w:p>
        </w:tc>
        <w:tc>
          <w:tcPr>
            <w:tcW w:w="1445" w:type="dxa"/>
            <w:tcBorders>
              <w:top w:val="single" w:sz="4" w:space="0" w:color="000000"/>
              <w:left w:val="single" w:sz="4" w:space="0" w:color="000000"/>
              <w:bottom w:val="single" w:sz="4" w:space="0" w:color="000000"/>
              <w:right w:val="single" w:sz="4" w:space="0" w:color="000000"/>
            </w:tcBorders>
          </w:tcPr>
          <w:p>
            <w:pP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6.206.812</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3"/>
              <w:jc w:val="right"/>
              <w:rPr>
                <w:rFonts w:ascii="Times New Roman" w:hAnsi="Times New Roman" w:cs="Times New Roman" w:eastAsia="Times New Roman" w:hint="default"/>
                <w:sz w:val="16"/>
                <w:szCs w:val="16"/>
              </w:rPr>
            </w:pPr>
            <w:r>
              <w:rPr>
                <w:rFonts w:ascii="Times New Roman"/>
                <w:spacing w:val="-1"/>
                <w:sz w:val="16"/>
              </w:rPr>
              <w:t>6.206.812</w:t>
            </w:r>
          </w:p>
        </w:tc>
        <w:tc>
          <w:tcPr>
            <w:tcW w:w="1435"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5.728.440</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5.728.672</w:t>
            </w:r>
          </w:p>
        </w:tc>
      </w:tr>
      <w:tr>
        <w:trPr>
          <w:trHeight w:val="194" w:hRule="exact"/>
        </w:trPr>
        <w:tc>
          <w:tcPr>
            <w:tcW w:w="120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354"/>
              <w:jc w:val="right"/>
              <w:rPr>
                <w:rFonts w:ascii="Times New Roman" w:hAnsi="Times New Roman" w:cs="Times New Roman" w:eastAsia="Times New Roman" w:hint="default"/>
                <w:sz w:val="16"/>
                <w:szCs w:val="16"/>
              </w:rPr>
            </w:pPr>
            <w:r>
              <w:rPr>
                <w:rFonts w:ascii="Times New Roman"/>
                <w:spacing w:val="-1"/>
                <w:sz w:val="16"/>
              </w:rPr>
              <w:t>410000</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2.268.660</w:t>
            </w:r>
          </w:p>
        </w:tc>
        <w:tc>
          <w:tcPr>
            <w:tcW w:w="1445" w:type="dxa"/>
            <w:tcBorders>
              <w:top w:val="single" w:sz="4" w:space="0" w:color="000000"/>
              <w:left w:val="single" w:sz="4" w:space="0" w:color="000000"/>
              <w:bottom w:val="single" w:sz="4" w:space="0" w:color="000000"/>
              <w:right w:val="single" w:sz="4" w:space="0" w:color="000000"/>
            </w:tcBorders>
          </w:tcPr>
          <w:p>
            <w:pP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2.268.660</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2.268.660</w:t>
            </w:r>
          </w:p>
        </w:tc>
        <w:tc>
          <w:tcPr>
            <w:tcW w:w="143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2.065.033</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2.065.277</w:t>
            </w:r>
          </w:p>
        </w:tc>
      </w:tr>
      <w:tr>
        <w:trPr>
          <w:trHeight w:val="194" w:hRule="exact"/>
        </w:trPr>
        <w:tc>
          <w:tcPr>
            <w:tcW w:w="120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354"/>
              <w:jc w:val="right"/>
              <w:rPr>
                <w:rFonts w:ascii="Times New Roman" w:hAnsi="Times New Roman" w:cs="Times New Roman" w:eastAsia="Times New Roman" w:hint="default"/>
                <w:sz w:val="16"/>
                <w:szCs w:val="16"/>
              </w:rPr>
            </w:pPr>
            <w:r>
              <w:rPr>
                <w:rFonts w:ascii="Times New Roman"/>
                <w:spacing w:val="-1"/>
                <w:sz w:val="16"/>
              </w:rPr>
              <w:t>420000</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2.040.748</w:t>
            </w:r>
          </w:p>
        </w:tc>
        <w:tc>
          <w:tcPr>
            <w:tcW w:w="1445" w:type="dxa"/>
            <w:tcBorders>
              <w:top w:val="single" w:sz="4" w:space="0" w:color="000000"/>
              <w:left w:val="single" w:sz="4" w:space="0" w:color="000000"/>
              <w:bottom w:val="single" w:sz="4" w:space="0" w:color="000000"/>
              <w:right w:val="single" w:sz="4" w:space="0" w:color="000000"/>
            </w:tcBorders>
          </w:tcPr>
          <w:p>
            <w:pP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2.040.748</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2.040.748</w:t>
            </w:r>
          </w:p>
        </w:tc>
        <w:tc>
          <w:tcPr>
            <w:tcW w:w="143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1.798.264</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1.798.487</w:t>
            </w:r>
          </w:p>
        </w:tc>
      </w:tr>
      <w:tr>
        <w:trPr>
          <w:trHeight w:val="194" w:hRule="exact"/>
        </w:trPr>
        <w:tc>
          <w:tcPr>
            <w:tcW w:w="120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354"/>
              <w:jc w:val="right"/>
              <w:rPr>
                <w:rFonts w:ascii="Times New Roman" w:hAnsi="Times New Roman" w:cs="Times New Roman" w:eastAsia="Times New Roman" w:hint="default"/>
                <w:sz w:val="16"/>
                <w:szCs w:val="16"/>
              </w:rPr>
            </w:pPr>
            <w:r>
              <w:rPr>
                <w:rFonts w:ascii="Times New Roman"/>
                <w:spacing w:val="-1"/>
                <w:sz w:val="16"/>
              </w:rPr>
              <w:t>430000</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361</w:t>
            </w:r>
          </w:p>
        </w:tc>
        <w:tc>
          <w:tcPr>
            <w:tcW w:w="1445" w:type="dxa"/>
            <w:tcBorders>
              <w:top w:val="single" w:sz="4" w:space="0" w:color="000000"/>
              <w:left w:val="single" w:sz="4" w:space="0" w:color="000000"/>
              <w:bottom w:val="single" w:sz="4" w:space="0" w:color="000000"/>
              <w:right w:val="single" w:sz="4" w:space="0" w:color="000000"/>
            </w:tcBorders>
          </w:tcPr>
          <w:p>
            <w:pP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361</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361</w:t>
            </w:r>
          </w:p>
        </w:tc>
        <w:tc>
          <w:tcPr>
            <w:tcW w:w="143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w w:val="100"/>
                <w:sz w:val="16"/>
              </w:rPr>
              <w:t>-</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w w:val="100"/>
                <w:sz w:val="16"/>
              </w:rPr>
              <w:t>-</w:t>
            </w:r>
          </w:p>
        </w:tc>
      </w:tr>
      <w:tr>
        <w:trPr>
          <w:trHeight w:val="194" w:hRule="exact"/>
        </w:trPr>
        <w:tc>
          <w:tcPr>
            <w:tcW w:w="120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354"/>
              <w:jc w:val="right"/>
              <w:rPr>
                <w:rFonts w:ascii="Times New Roman" w:hAnsi="Times New Roman" w:cs="Times New Roman" w:eastAsia="Times New Roman" w:hint="default"/>
                <w:sz w:val="16"/>
                <w:szCs w:val="16"/>
              </w:rPr>
            </w:pPr>
            <w:r>
              <w:rPr>
                <w:rFonts w:ascii="Times New Roman"/>
                <w:spacing w:val="-1"/>
                <w:sz w:val="16"/>
              </w:rPr>
              <w:t>440000</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150.629</w:t>
            </w:r>
          </w:p>
        </w:tc>
        <w:tc>
          <w:tcPr>
            <w:tcW w:w="1445" w:type="dxa"/>
            <w:tcBorders>
              <w:top w:val="single" w:sz="4" w:space="0" w:color="000000"/>
              <w:left w:val="single" w:sz="4" w:space="0" w:color="000000"/>
              <w:bottom w:val="single" w:sz="4" w:space="0" w:color="000000"/>
              <w:right w:val="single" w:sz="4" w:space="0" w:color="000000"/>
            </w:tcBorders>
          </w:tcPr>
          <w:p>
            <w:pP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150.629</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150.629</w:t>
            </w:r>
          </w:p>
        </w:tc>
        <w:tc>
          <w:tcPr>
            <w:tcW w:w="143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140.899</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140.899</w:t>
            </w:r>
          </w:p>
        </w:tc>
      </w:tr>
      <w:tr>
        <w:trPr>
          <w:trHeight w:val="192" w:hRule="exact"/>
        </w:trPr>
        <w:tc>
          <w:tcPr>
            <w:tcW w:w="120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354"/>
              <w:jc w:val="right"/>
              <w:rPr>
                <w:rFonts w:ascii="Times New Roman" w:hAnsi="Times New Roman" w:cs="Times New Roman" w:eastAsia="Times New Roman" w:hint="default"/>
                <w:sz w:val="16"/>
                <w:szCs w:val="16"/>
              </w:rPr>
            </w:pPr>
            <w:r>
              <w:rPr>
                <w:rFonts w:ascii="Times New Roman"/>
                <w:spacing w:val="-1"/>
                <w:sz w:val="16"/>
              </w:rPr>
              <w:t>450000</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328.311</w:t>
            </w:r>
          </w:p>
        </w:tc>
        <w:tc>
          <w:tcPr>
            <w:tcW w:w="1445" w:type="dxa"/>
            <w:tcBorders>
              <w:top w:val="single" w:sz="4" w:space="0" w:color="000000"/>
              <w:left w:val="single" w:sz="4" w:space="0" w:color="000000"/>
              <w:bottom w:val="single" w:sz="4" w:space="0" w:color="000000"/>
              <w:right w:val="single" w:sz="4" w:space="0" w:color="000000"/>
            </w:tcBorders>
          </w:tcPr>
          <w:p>
            <w:pP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328.311</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328.311</w:t>
            </w:r>
          </w:p>
        </w:tc>
        <w:tc>
          <w:tcPr>
            <w:tcW w:w="143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328.311</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328.311</w:t>
            </w:r>
          </w:p>
        </w:tc>
      </w:tr>
      <w:tr>
        <w:trPr>
          <w:trHeight w:val="194" w:hRule="exact"/>
        </w:trPr>
        <w:tc>
          <w:tcPr>
            <w:tcW w:w="1205"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354"/>
              <w:jc w:val="right"/>
              <w:rPr>
                <w:rFonts w:ascii="Times New Roman" w:hAnsi="Times New Roman" w:cs="Times New Roman" w:eastAsia="Times New Roman" w:hint="default"/>
                <w:sz w:val="16"/>
                <w:szCs w:val="16"/>
              </w:rPr>
            </w:pPr>
            <w:r>
              <w:rPr>
                <w:rFonts w:ascii="Times New Roman"/>
                <w:spacing w:val="-1"/>
                <w:sz w:val="16"/>
              </w:rPr>
              <w:t>460000</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2"/>
              <w:jc w:val="right"/>
              <w:rPr>
                <w:rFonts w:ascii="Times New Roman" w:hAnsi="Times New Roman" w:cs="Times New Roman" w:eastAsia="Times New Roman" w:hint="default"/>
                <w:sz w:val="16"/>
                <w:szCs w:val="16"/>
              </w:rPr>
            </w:pPr>
            <w:r>
              <w:rPr>
                <w:rFonts w:ascii="Times New Roman"/>
                <w:spacing w:val="-1"/>
                <w:sz w:val="16"/>
              </w:rPr>
              <w:t>750.050</w:t>
            </w:r>
          </w:p>
        </w:tc>
        <w:tc>
          <w:tcPr>
            <w:tcW w:w="1445" w:type="dxa"/>
            <w:tcBorders>
              <w:top w:val="single" w:sz="4" w:space="0" w:color="000000"/>
              <w:left w:val="single" w:sz="4" w:space="0" w:color="000000"/>
              <w:bottom w:val="single" w:sz="4" w:space="0" w:color="000000"/>
              <w:right w:val="single" w:sz="4" w:space="0" w:color="000000"/>
            </w:tcBorders>
          </w:tcPr>
          <w:p>
            <w:pP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750.050</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3"/>
              <w:jc w:val="right"/>
              <w:rPr>
                <w:rFonts w:ascii="Times New Roman" w:hAnsi="Times New Roman" w:cs="Times New Roman" w:eastAsia="Times New Roman" w:hint="default"/>
                <w:sz w:val="16"/>
                <w:szCs w:val="16"/>
              </w:rPr>
            </w:pPr>
            <w:r>
              <w:rPr>
                <w:rFonts w:ascii="Times New Roman"/>
                <w:spacing w:val="-1"/>
                <w:sz w:val="16"/>
              </w:rPr>
              <w:t>750.050</w:t>
            </w:r>
          </w:p>
        </w:tc>
        <w:tc>
          <w:tcPr>
            <w:tcW w:w="1435"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749.536</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1"/>
              <w:jc w:val="right"/>
              <w:rPr>
                <w:rFonts w:ascii="Times New Roman" w:hAnsi="Times New Roman" w:cs="Times New Roman" w:eastAsia="Times New Roman" w:hint="default"/>
                <w:sz w:val="16"/>
                <w:szCs w:val="16"/>
              </w:rPr>
            </w:pPr>
            <w:r>
              <w:rPr>
                <w:rFonts w:ascii="Times New Roman"/>
                <w:spacing w:val="-1"/>
                <w:sz w:val="16"/>
              </w:rPr>
              <w:t>749.536</w:t>
            </w:r>
          </w:p>
        </w:tc>
      </w:tr>
      <w:tr>
        <w:trPr>
          <w:trHeight w:val="194" w:hRule="exact"/>
        </w:trPr>
        <w:tc>
          <w:tcPr>
            <w:tcW w:w="120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354"/>
              <w:jc w:val="right"/>
              <w:rPr>
                <w:rFonts w:ascii="Times New Roman" w:hAnsi="Times New Roman" w:cs="Times New Roman" w:eastAsia="Times New Roman" w:hint="default"/>
                <w:sz w:val="16"/>
                <w:szCs w:val="16"/>
              </w:rPr>
            </w:pPr>
            <w:r>
              <w:rPr>
                <w:rFonts w:ascii="Times New Roman"/>
                <w:spacing w:val="-1"/>
                <w:sz w:val="16"/>
              </w:rPr>
              <w:t>470000</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283.851</w:t>
            </w:r>
          </w:p>
        </w:tc>
        <w:tc>
          <w:tcPr>
            <w:tcW w:w="1445" w:type="dxa"/>
            <w:tcBorders>
              <w:top w:val="single" w:sz="4" w:space="0" w:color="000000"/>
              <w:left w:val="single" w:sz="4" w:space="0" w:color="000000"/>
              <w:bottom w:val="single" w:sz="4" w:space="0" w:color="000000"/>
              <w:right w:val="single" w:sz="4" w:space="0" w:color="000000"/>
            </w:tcBorders>
          </w:tcPr>
          <w:p>
            <w:pP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283.851</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283.851</w:t>
            </w:r>
          </w:p>
        </w:tc>
        <w:tc>
          <w:tcPr>
            <w:tcW w:w="143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283.851</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1"/>
              <w:jc w:val="right"/>
              <w:rPr>
                <w:rFonts w:ascii="Times New Roman" w:hAnsi="Times New Roman" w:cs="Times New Roman" w:eastAsia="Times New Roman" w:hint="default"/>
                <w:sz w:val="16"/>
                <w:szCs w:val="16"/>
              </w:rPr>
            </w:pPr>
            <w:r>
              <w:rPr>
                <w:rFonts w:ascii="Times New Roman"/>
                <w:spacing w:val="-1"/>
                <w:sz w:val="16"/>
              </w:rPr>
              <w:t>283.851</w:t>
            </w:r>
          </w:p>
        </w:tc>
      </w:tr>
      <w:tr>
        <w:trPr>
          <w:trHeight w:val="194" w:hRule="exact"/>
        </w:trPr>
        <w:tc>
          <w:tcPr>
            <w:tcW w:w="120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354"/>
              <w:jc w:val="right"/>
              <w:rPr>
                <w:rFonts w:ascii="Times New Roman" w:hAnsi="Times New Roman" w:cs="Times New Roman" w:eastAsia="Times New Roman" w:hint="default"/>
                <w:sz w:val="16"/>
                <w:szCs w:val="16"/>
              </w:rPr>
            </w:pPr>
            <w:r>
              <w:rPr>
                <w:rFonts w:ascii="Times New Roman"/>
                <w:spacing w:val="-1"/>
                <w:sz w:val="16"/>
              </w:rPr>
              <w:t>480000</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384.202</w:t>
            </w:r>
          </w:p>
        </w:tc>
        <w:tc>
          <w:tcPr>
            <w:tcW w:w="1445" w:type="dxa"/>
            <w:tcBorders>
              <w:top w:val="single" w:sz="4" w:space="0" w:color="000000"/>
              <w:left w:val="single" w:sz="4" w:space="0" w:color="000000"/>
              <w:bottom w:val="single" w:sz="4" w:space="0" w:color="000000"/>
              <w:right w:val="single" w:sz="4" w:space="0" w:color="000000"/>
            </w:tcBorders>
          </w:tcPr>
          <w:p>
            <w:pP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384.202</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384.202</w:t>
            </w:r>
          </w:p>
        </w:tc>
        <w:tc>
          <w:tcPr>
            <w:tcW w:w="143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362.546</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362.313</w:t>
            </w:r>
          </w:p>
        </w:tc>
      </w:tr>
      <w:tr>
        <w:trPr>
          <w:trHeight w:val="194" w:hRule="exact"/>
        </w:trPr>
        <w:tc>
          <w:tcPr>
            <w:tcW w:w="120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354"/>
              <w:jc w:val="right"/>
              <w:rPr>
                <w:rFonts w:ascii="Times New Roman" w:hAnsi="Times New Roman" w:cs="Times New Roman" w:eastAsia="Times New Roman" w:hint="default"/>
                <w:sz w:val="16"/>
                <w:szCs w:val="16"/>
              </w:rPr>
            </w:pPr>
            <w:r>
              <w:rPr>
                <w:rFonts w:ascii="Times New Roman"/>
                <w:spacing w:val="-1"/>
                <w:sz w:val="16"/>
              </w:rPr>
              <w:t>500000</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733.183</w:t>
            </w:r>
          </w:p>
        </w:tc>
        <w:tc>
          <w:tcPr>
            <w:tcW w:w="144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733.183</w:t>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733.183</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733.183</w:t>
            </w:r>
          </w:p>
        </w:tc>
        <w:tc>
          <w:tcPr>
            <w:tcW w:w="143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703.624</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703.791</w:t>
            </w:r>
          </w:p>
        </w:tc>
      </w:tr>
      <w:tr>
        <w:trPr>
          <w:trHeight w:val="192" w:hRule="exact"/>
        </w:trPr>
        <w:tc>
          <w:tcPr>
            <w:tcW w:w="120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354"/>
              <w:jc w:val="right"/>
              <w:rPr>
                <w:rFonts w:ascii="Times New Roman" w:hAnsi="Times New Roman" w:cs="Times New Roman" w:eastAsia="Times New Roman" w:hint="default"/>
                <w:sz w:val="16"/>
                <w:szCs w:val="16"/>
              </w:rPr>
            </w:pPr>
            <w:r>
              <w:rPr>
                <w:rFonts w:ascii="Times New Roman"/>
                <w:spacing w:val="-1"/>
                <w:sz w:val="16"/>
              </w:rPr>
              <w:t>510000</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472.450</w:t>
            </w:r>
          </w:p>
        </w:tc>
        <w:tc>
          <w:tcPr>
            <w:tcW w:w="144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472.450</w:t>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472.450</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472.450</w:t>
            </w:r>
          </w:p>
        </w:tc>
        <w:tc>
          <w:tcPr>
            <w:tcW w:w="143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467.048</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467.215</w:t>
            </w:r>
          </w:p>
        </w:tc>
      </w:tr>
      <w:tr>
        <w:trPr>
          <w:trHeight w:val="194" w:hRule="exact"/>
        </w:trPr>
        <w:tc>
          <w:tcPr>
            <w:tcW w:w="1205"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354"/>
              <w:jc w:val="right"/>
              <w:rPr>
                <w:rFonts w:ascii="Times New Roman" w:hAnsi="Times New Roman" w:cs="Times New Roman" w:eastAsia="Times New Roman" w:hint="default"/>
                <w:sz w:val="16"/>
                <w:szCs w:val="16"/>
              </w:rPr>
            </w:pPr>
            <w:r>
              <w:rPr>
                <w:rFonts w:ascii="Times New Roman"/>
                <w:spacing w:val="-1"/>
                <w:sz w:val="16"/>
              </w:rPr>
              <w:t>520000</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2"/>
              <w:jc w:val="right"/>
              <w:rPr>
                <w:rFonts w:ascii="Times New Roman" w:hAnsi="Times New Roman" w:cs="Times New Roman" w:eastAsia="Times New Roman" w:hint="default"/>
                <w:sz w:val="16"/>
                <w:szCs w:val="16"/>
              </w:rPr>
            </w:pPr>
            <w:r>
              <w:rPr>
                <w:rFonts w:ascii="Times New Roman"/>
                <w:spacing w:val="-1"/>
                <w:sz w:val="16"/>
              </w:rPr>
              <w:t>83.229</w:t>
            </w:r>
          </w:p>
        </w:tc>
        <w:tc>
          <w:tcPr>
            <w:tcW w:w="1445"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2"/>
              <w:jc w:val="right"/>
              <w:rPr>
                <w:rFonts w:ascii="Times New Roman" w:hAnsi="Times New Roman" w:cs="Times New Roman" w:eastAsia="Times New Roman" w:hint="default"/>
                <w:sz w:val="16"/>
                <w:szCs w:val="16"/>
              </w:rPr>
            </w:pPr>
            <w:r>
              <w:rPr>
                <w:rFonts w:ascii="Times New Roman"/>
                <w:spacing w:val="-1"/>
                <w:sz w:val="16"/>
              </w:rPr>
              <w:t>83.229</w:t>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83.229</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2"/>
              <w:jc w:val="right"/>
              <w:rPr>
                <w:rFonts w:ascii="Times New Roman" w:hAnsi="Times New Roman" w:cs="Times New Roman" w:eastAsia="Times New Roman" w:hint="default"/>
                <w:sz w:val="16"/>
                <w:szCs w:val="16"/>
              </w:rPr>
            </w:pPr>
            <w:r>
              <w:rPr>
                <w:rFonts w:ascii="Times New Roman"/>
                <w:spacing w:val="-1"/>
                <w:sz w:val="16"/>
              </w:rPr>
              <w:t>83.229</w:t>
            </w:r>
          </w:p>
        </w:tc>
        <w:tc>
          <w:tcPr>
            <w:tcW w:w="1435"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59.072</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81" w:lineRule="exact"/>
              <w:ind w:right="100"/>
              <w:jc w:val="right"/>
              <w:rPr>
                <w:rFonts w:ascii="Times New Roman" w:hAnsi="Times New Roman" w:cs="Times New Roman" w:eastAsia="Times New Roman" w:hint="default"/>
                <w:sz w:val="16"/>
                <w:szCs w:val="16"/>
              </w:rPr>
            </w:pPr>
            <w:r>
              <w:rPr>
                <w:rFonts w:ascii="Times New Roman"/>
                <w:spacing w:val="-1"/>
                <w:sz w:val="16"/>
              </w:rPr>
              <w:t>59.072</w:t>
            </w:r>
          </w:p>
        </w:tc>
      </w:tr>
      <w:tr>
        <w:trPr>
          <w:trHeight w:val="194" w:hRule="exact"/>
        </w:trPr>
        <w:tc>
          <w:tcPr>
            <w:tcW w:w="120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354"/>
              <w:jc w:val="right"/>
              <w:rPr>
                <w:rFonts w:ascii="Times New Roman" w:hAnsi="Times New Roman" w:cs="Times New Roman" w:eastAsia="Times New Roman" w:hint="default"/>
                <w:sz w:val="16"/>
                <w:szCs w:val="16"/>
              </w:rPr>
            </w:pPr>
            <w:r>
              <w:rPr>
                <w:rFonts w:ascii="Times New Roman"/>
                <w:spacing w:val="-1"/>
                <w:sz w:val="16"/>
              </w:rPr>
              <w:t>540000</w:t>
            </w:r>
          </w:p>
        </w:tc>
        <w:tc>
          <w:tcPr>
            <w:tcW w:w="139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177.504</w:t>
            </w:r>
          </w:p>
        </w:tc>
        <w:tc>
          <w:tcPr>
            <w:tcW w:w="144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177.504</w:t>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177.504</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177.504</w:t>
            </w:r>
          </w:p>
        </w:tc>
        <w:tc>
          <w:tcPr>
            <w:tcW w:w="143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177.504</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177.504</w:t>
            </w:r>
          </w:p>
        </w:tc>
      </w:tr>
      <w:tr>
        <w:trPr>
          <w:trHeight w:val="194" w:hRule="exact"/>
        </w:trPr>
        <w:tc>
          <w:tcPr>
            <w:tcW w:w="120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354"/>
              <w:jc w:val="right"/>
              <w:rPr>
                <w:rFonts w:ascii="Times New Roman" w:hAnsi="Times New Roman" w:cs="Times New Roman" w:eastAsia="Times New Roman" w:hint="default"/>
                <w:sz w:val="16"/>
                <w:szCs w:val="16"/>
              </w:rPr>
            </w:pPr>
            <w:r>
              <w:rPr>
                <w:rFonts w:ascii="Times New Roman"/>
                <w:spacing w:val="-1"/>
                <w:sz w:val="16"/>
              </w:rPr>
              <w:t>600000</w:t>
            </w:r>
          </w:p>
        </w:tc>
        <w:tc>
          <w:tcPr>
            <w:tcW w:w="1390" w:type="dxa"/>
            <w:tcBorders>
              <w:top w:val="single" w:sz="4" w:space="0" w:color="000000"/>
              <w:left w:val="single" w:sz="4" w:space="0" w:color="000000"/>
              <w:bottom w:val="single" w:sz="4" w:space="0" w:color="000000"/>
              <w:right w:val="single" w:sz="4" w:space="0" w:color="000000"/>
            </w:tcBorders>
          </w:tcPr>
          <w:p>
            <w:pPr/>
          </w:p>
        </w:tc>
        <w:tc>
          <w:tcPr>
            <w:tcW w:w="144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689.787</w:t>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689.787</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689.787</w:t>
            </w:r>
          </w:p>
        </w:tc>
        <w:tc>
          <w:tcPr>
            <w:tcW w:w="143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689.787</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689.787</w:t>
            </w:r>
          </w:p>
        </w:tc>
      </w:tr>
      <w:tr>
        <w:trPr>
          <w:trHeight w:val="194" w:hRule="exact"/>
        </w:trPr>
        <w:tc>
          <w:tcPr>
            <w:tcW w:w="120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354"/>
              <w:jc w:val="right"/>
              <w:rPr>
                <w:rFonts w:ascii="Times New Roman" w:hAnsi="Times New Roman" w:cs="Times New Roman" w:eastAsia="Times New Roman" w:hint="default"/>
                <w:sz w:val="16"/>
                <w:szCs w:val="16"/>
              </w:rPr>
            </w:pPr>
            <w:r>
              <w:rPr>
                <w:rFonts w:ascii="Times New Roman"/>
                <w:spacing w:val="-1"/>
                <w:sz w:val="16"/>
              </w:rPr>
              <w:t>610000</w:t>
            </w:r>
          </w:p>
        </w:tc>
        <w:tc>
          <w:tcPr>
            <w:tcW w:w="1390" w:type="dxa"/>
            <w:tcBorders>
              <w:top w:val="single" w:sz="4" w:space="0" w:color="000000"/>
              <w:left w:val="single" w:sz="4" w:space="0" w:color="000000"/>
              <w:bottom w:val="single" w:sz="4" w:space="0" w:color="000000"/>
              <w:right w:val="single" w:sz="4" w:space="0" w:color="000000"/>
            </w:tcBorders>
          </w:tcPr>
          <w:p>
            <w:pPr/>
          </w:p>
        </w:tc>
        <w:tc>
          <w:tcPr>
            <w:tcW w:w="144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688.087</w:t>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688.087</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688.087</w:t>
            </w:r>
          </w:p>
        </w:tc>
        <w:tc>
          <w:tcPr>
            <w:tcW w:w="143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688.087</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688.087</w:t>
            </w:r>
          </w:p>
        </w:tc>
      </w:tr>
      <w:tr>
        <w:trPr>
          <w:trHeight w:val="194" w:hRule="exact"/>
        </w:trPr>
        <w:tc>
          <w:tcPr>
            <w:tcW w:w="120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354"/>
              <w:jc w:val="right"/>
              <w:rPr>
                <w:rFonts w:ascii="Times New Roman" w:hAnsi="Times New Roman" w:cs="Times New Roman" w:eastAsia="Times New Roman" w:hint="default"/>
                <w:sz w:val="16"/>
                <w:szCs w:val="16"/>
              </w:rPr>
            </w:pPr>
            <w:r>
              <w:rPr>
                <w:rFonts w:ascii="Times New Roman"/>
                <w:spacing w:val="-1"/>
                <w:sz w:val="16"/>
              </w:rPr>
              <w:t>620000</w:t>
            </w:r>
          </w:p>
        </w:tc>
        <w:tc>
          <w:tcPr>
            <w:tcW w:w="1390" w:type="dxa"/>
            <w:tcBorders>
              <w:top w:val="single" w:sz="4" w:space="0" w:color="000000"/>
              <w:left w:val="single" w:sz="4" w:space="0" w:color="000000"/>
              <w:bottom w:val="single" w:sz="4" w:space="0" w:color="000000"/>
              <w:right w:val="single" w:sz="4" w:space="0" w:color="000000"/>
            </w:tcBorders>
          </w:tcPr>
          <w:p>
            <w:pPr/>
          </w:p>
        </w:tc>
        <w:tc>
          <w:tcPr>
            <w:tcW w:w="144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3"/>
              <w:jc w:val="right"/>
              <w:rPr>
                <w:rFonts w:ascii="Times New Roman" w:hAnsi="Times New Roman" w:cs="Times New Roman" w:eastAsia="Times New Roman" w:hint="default"/>
                <w:sz w:val="16"/>
                <w:szCs w:val="16"/>
              </w:rPr>
            </w:pPr>
            <w:r>
              <w:rPr>
                <w:rFonts w:ascii="Times New Roman"/>
                <w:spacing w:val="-1"/>
                <w:sz w:val="16"/>
              </w:rPr>
              <w:t>1.700</w:t>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1.700</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2"/>
              <w:jc w:val="right"/>
              <w:rPr>
                <w:rFonts w:ascii="Times New Roman" w:hAnsi="Times New Roman" w:cs="Times New Roman" w:eastAsia="Times New Roman" w:hint="default"/>
                <w:sz w:val="16"/>
                <w:szCs w:val="16"/>
              </w:rPr>
            </w:pPr>
            <w:r>
              <w:rPr>
                <w:rFonts w:ascii="Times New Roman"/>
                <w:spacing w:val="-1"/>
                <w:sz w:val="16"/>
              </w:rPr>
              <w:t>1.700</w:t>
            </w:r>
          </w:p>
        </w:tc>
        <w:tc>
          <w:tcPr>
            <w:tcW w:w="1435"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1.700</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line="179" w:lineRule="exact"/>
              <w:ind w:right="100"/>
              <w:jc w:val="right"/>
              <w:rPr>
                <w:rFonts w:ascii="Times New Roman" w:hAnsi="Times New Roman" w:cs="Times New Roman" w:eastAsia="Times New Roman" w:hint="default"/>
                <w:sz w:val="16"/>
                <w:szCs w:val="16"/>
              </w:rPr>
            </w:pPr>
            <w:r>
              <w:rPr>
                <w:rFonts w:ascii="Times New Roman"/>
                <w:spacing w:val="-1"/>
                <w:sz w:val="16"/>
              </w:rPr>
              <w:t>1.700</w:t>
            </w:r>
          </w:p>
        </w:tc>
      </w:tr>
    </w:tbl>
    <w:p>
      <w:pPr>
        <w:spacing w:line="240" w:lineRule="auto" w:before="7"/>
        <w:rPr>
          <w:rFonts w:ascii="Times New Roman" w:hAnsi="Times New Roman" w:cs="Times New Roman" w:eastAsia="Times New Roman" w:hint="default"/>
          <w:sz w:val="9"/>
          <w:szCs w:val="9"/>
        </w:rPr>
      </w:pPr>
    </w:p>
    <w:p>
      <w:pPr>
        <w:pStyle w:val="Heading1"/>
        <w:spacing w:line="275" w:lineRule="exact" w:before="69"/>
        <w:ind w:left="786" w:right="0"/>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2"/>
        </w:rPr>
        <w:t> </w:t>
      </w:r>
      <w:r>
        <w:rPr/>
        <w:t>је</w:t>
      </w:r>
      <w:r>
        <w:rPr>
          <w:rFonts w:ascii="Times New Roman" w:hAnsi="Times New Roman"/>
        </w:rPr>
        <w:t>:</w:t>
      </w:r>
      <w:r>
        <w:rPr>
          <w:rFonts w:ascii="Times New Roman" w:hAnsi="Times New Roman"/>
          <w:b w:val="0"/>
        </w:rPr>
      </w:r>
    </w:p>
    <w:p>
      <w:pPr>
        <w:pStyle w:val="ListParagraph"/>
        <w:numPr>
          <w:ilvl w:val="0"/>
          <w:numId w:val="9"/>
        </w:numPr>
        <w:tabs>
          <w:tab w:pos="363" w:val="left" w:leader="none"/>
        </w:tabs>
        <w:spacing w:line="240" w:lineRule="auto" w:before="0" w:after="0"/>
        <w:ind w:left="220" w:right="33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Исказана је разлика између података из Консолидованог обрасца 5 (колона 8) и закључног листа буџета Града и то: на категорији 410000 – Расходи за запослене у износу од </w:t>
      </w:r>
      <w:r>
        <w:rPr>
          <w:rFonts w:ascii="Times New Roman" w:hAnsi="Times New Roman" w:cs="Times New Roman" w:eastAsia="Times New Roman" w:hint="default"/>
          <w:sz w:val="24"/>
          <w:szCs w:val="24"/>
        </w:rPr>
        <w:t>244 </w:t>
      </w:r>
      <w:r>
        <w:rPr>
          <w:rFonts w:ascii="Times New Roman" w:hAnsi="Times New Roman" w:cs="Times New Roman" w:eastAsia="Times New Roman" w:hint="default"/>
          <w:sz w:val="24"/>
          <w:szCs w:val="24"/>
        </w:rPr>
        <w:t>хиљаде динара, на категорији 420000 – Коришћење услуга и роба у износу од </w:t>
      </w:r>
      <w:r>
        <w:rPr>
          <w:rFonts w:ascii="Times New Roman" w:hAnsi="Times New Roman" w:cs="Times New Roman" w:eastAsia="Times New Roman" w:hint="default"/>
          <w:sz w:val="24"/>
          <w:szCs w:val="24"/>
        </w:rPr>
        <w:t>223 </w:t>
      </w:r>
      <w:r>
        <w:rPr>
          <w:rFonts w:ascii="Times New Roman" w:hAnsi="Times New Roman" w:cs="Times New Roman" w:eastAsia="Times New Roman" w:hint="default"/>
          <w:sz w:val="24"/>
          <w:szCs w:val="24"/>
        </w:rPr>
        <w:t>хиљаде динара, на категорији 480000 – остали расходи у износу од 233 хиљаде динара, на категорији 510000 – основна средства у износу од 167 хиљада</w:t>
      </w:r>
      <w:r>
        <w:rPr>
          <w:rFonts w:ascii="Times New Roman" w:hAnsi="Times New Roman" w:cs="Times New Roman" w:eastAsia="Times New Roman" w:hint="default"/>
          <w:spacing w:val="-15"/>
          <w:sz w:val="24"/>
          <w:szCs w:val="24"/>
        </w:rPr>
        <w:t> </w:t>
      </w:r>
      <w:r>
        <w:rPr>
          <w:rFonts w:ascii="Times New Roman" w:hAnsi="Times New Roman" w:cs="Times New Roman" w:eastAsia="Times New Roman" w:hint="default"/>
          <w:sz w:val="24"/>
          <w:szCs w:val="24"/>
        </w:rPr>
        <w:t>динара.</w:t>
      </w:r>
    </w:p>
    <w:p>
      <w:pPr>
        <w:pStyle w:val="ListParagraph"/>
        <w:numPr>
          <w:ilvl w:val="0"/>
          <w:numId w:val="9"/>
        </w:numPr>
        <w:tabs>
          <w:tab w:pos="363" w:val="left" w:leader="none"/>
        </w:tabs>
        <w:spacing w:line="240" w:lineRule="auto" w:before="2" w:after="0"/>
        <w:ind w:left="220" w:right="338" w:firstLine="0"/>
        <w:jc w:val="both"/>
        <w:rPr>
          <w:rFonts w:ascii="Times New Roman" w:hAnsi="Times New Roman" w:cs="Times New Roman" w:eastAsia="Times New Roman" w:hint="default"/>
          <w:sz w:val="24"/>
          <w:szCs w:val="24"/>
        </w:rPr>
      </w:pPr>
      <w:r>
        <w:rPr>
          <w:rFonts w:ascii="Times New Roman" w:hAnsi="Times New Roman"/>
          <w:sz w:val="24"/>
        </w:rPr>
        <w:t>ЈП Градска стамбена агенција није у Обрасцу 5 у колони 10 на групи конта 523000, исказала издатак у износу од 19.</w:t>
      </w:r>
      <w:r>
        <w:rPr>
          <w:rFonts w:ascii="Times New Roman" w:hAnsi="Times New Roman"/>
          <w:sz w:val="24"/>
        </w:rPr>
        <w:t>568 </w:t>
      </w:r>
      <w:r>
        <w:rPr>
          <w:rFonts w:ascii="Times New Roman" w:hAnsi="Times New Roman"/>
          <w:sz w:val="24"/>
        </w:rPr>
        <w:t>хиљада динара за средства добијена од Регионалне агенције за становање, за изградњу станова за социјално становања у Л5 и Л6 на  локацији улице Мајаковског у Нишу, што је супротно члану 9. Уредбе о буџетском рачуноводству и  члану 10. Правилника о  начину припреме, састављања   </w:t>
      </w:r>
      <w:r>
        <w:rPr>
          <w:rFonts w:ascii="Times New Roman" w:hAnsi="Times New Roman"/>
          <w:spacing w:val="48"/>
          <w:sz w:val="24"/>
        </w:rPr>
        <w:t> </w:t>
      </w:r>
      <w:r>
        <w:rPr>
          <w:rFonts w:ascii="Times New Roman" w:hAnsi="Times New Roman"/>
          <w:sz w:val="24"/>
        </w:rPr>
        <w:t>и  подношења</w:t>
      </w:r>
    </w:p>
    <w:p>
      <w:pPr>
        <w:spacing w:after="0" w:line="240" w:lineRule="auto"/>
        <w:jc w:val="both"/>
        <w:rPr>
          <w:rFonts w:ascii="Times New Roman" w:hAnsi="Times New Roman" w:cs="Times New Roman" w:eastAsia="Times New Roman" w:hint="default"/>
          <w:sz w:val="24"/>
          <w:szCs w:val="24"/>
        </w:rPr>
        <w:sectPr>
          <w:pgSz w:w="12240" w:h="15840"/>
          <w:pgMar w:header="740" w:footer="1504" w:top="1200" w:bottom="1700" w:left="1340" w:right="110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BodyText"/>
        <w:spacing w:line="240" w:lineRule="auto" w:before="6"/>
        <w:ind w:right="180"/>
        <w:jc w:val="both"/>
      </w:pPr>
      <w:r>
        <w:rPr/>
        <w:t>финансијскаих извештаја корисника буџетских средстава и корисника средстава организација за обавезно социјално осигурање и буџетских</w:t>
      </w:r>
      <w:r>
        <w:rPr>
          <w:spacing w:val="-22"/>
        </w:rPr>
        <w:t> </w:t>
      </w:r>
      <w:r>
        <w:rPr/>
        <w:t>фондова.</w:t>
      </w:r>
    </w:p>
    <w:p>
      <w:pPr>
        <w:pStyle w:val="ListParagraph"/>
        <w:numPr>
          <w:ilvl w:val="0"/>
          <w:numId w:val="9"/>
        </w:numPr>
        <w:tabs>
          <w:tab w:pos="303"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Град Ниш није у Обрасцу 5 исказао приход од донација на групи конта </w:t>
      </w:r>
      <w:r>
        <w:rPr>
          <w:rFonts w:ascii="Times New Roman" w:hAnsi="Times New Roman" w:cs="Times New Roman" w:eastAsia="Times New Roman" w:hint="default"/>
          <w:sz w:val="24"/>
          <w:szCs w:val="24"/>
        </w:rPr>
        <w:t>732000 </w:t>
      </w:r>
      <w:r>
        <w:rPr>
          <w:rFonts w:ascii="Times New Roman" w:hAnsi="Times New Roman" w:cs="Times New Roman" w:eastAsia="Times New Roman" w:hint="default"/>
          <w:sz w:val="24"/>
          <w:szCs w:val="24"/>
        </w:rPr>
        <w:t>у износу од </w:t>
      </w:r>
      <w:r>
        <w:rPr>
          <w:rFonts w:ascii="Times New Roman" w:hAnsi="Times New Roman" w:cs="Times New Roman" w:eastAsia="Times New Roman" w:hint="default"/>
          <w:sz w:val="24"/>
          <w:szCs w:val="24"/>
        </w:rPr>
        <w:t>16.509 </w:t>
      </w:r>
      <w:r>
        <w:rPr>
          <w:rFonts w:ascii="Times New Roman" w:hAnsi="Times New Roman" w:cs="Times New Roman" w:eastAsia="Times New Roman" w:hint="default"/>
          <w:sz w:val="24"/>
          <w:szCs w:val="24"/>
        </w:rPr>
        <w:t>хиљада динара и то: 2.593 хиљаде динара који је уплаћен на подрачун консолидованог рачуна трезора по основу пројекта са Бугарском „Eco</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milk“</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у износу од 11.945 хиљада динара који је уплаћен на девизни подрачун за Пројекат „Имовина локалних самоуправа у процесу ЕУ интеграција“ и у износу од </w:t>
      </w:r>
      <w:r>
        <w:rPr>
          <w:rFonts w:ascii="Times New Roman" w:hAnsi="Times New Roman" w:cs="Times New Roman" w:eastAsia="Times New Roman" w:hint="default"/>
          <w:sz w:val="24"/>
          <w:szCs w:val="24"/>
        </w:rPr>
        <w:t>1.971 </w:t>
      </w:r>
      <w:r>
        <w:rPr>
          <w:rFonts w:ascii="Times New Roman" w:hAnsi="Times New Roman" w:cs="Times New Roman" w:eastAsia="Times New Roman" w:hint="default"/>
          <w:sz w:val="24"/>
          <w:szCs w:val="24"/>
        </w:rPr>
        <w:t>хиљаде динара које су примили следећи индиректни корисници: Сигурна кућа у износу од 1.101 хиљаде динара, Народна Библиотека у износу од 20 хиљада динара, Установа Дечији центар у износу од 453 хиљад</w:t>
      </w:r>
      <w:r>
        <w:rPr>
          <w:rFonts w:ascii="Times New Roman" w:hAnsi="Times New Roman" w:cs="Times New Roman" w:eastAsia="Times New Roman" w:hint="default"/>
          <w:sz w:val="24"/>
          <w:szCs w:val="24"/>
        </w:rPr>
        <w:t>e </w:t>
      </w:r>
      <w:r>
        <w:rPr>
          <w:rFonts w:ascii="Times New Roman" w:hAnsi="Times New Roman" w:cs="Times New Roman" w:eastAsia="Times New Roman" w:hint="default"/>
          <w:sz w:val="24"/>
          <w:szCs w:val="24"/>
        </w:rPr>
        <w:t>динара, Регионални центар за професионани развој запослених у износу од 95 хиљада динара, Центар за дневни боравак деце, омладине и одраслих лица ментално ометених у развоју „Мара“ у износу од 302 хиљаде динара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што је супротно члану </w:t>
      </w:r>
      <w:r>
        <w:rPr>
          <w:rFonts w:ascii="Times New Roman" w:hAnsi="Times New Roman" w:cs="Times New Roman" w:eastAsia="Times New Roman" w:hint="default"/>
          <w:sz w:val="24"/>
          <w:szCs w:val="24"/>
        </w:rPr>
        <w:t>7. </w:t>
      </w:r>
      <w:r>
        <w:rPr>
          <w:rFonts w:ascii="Times New Roman" w:hAnsi="Times New Roman" w:cs="Times New Roman" w:eastAsia="Times New Roman" w:hint="default"/>
          <w:sz w:val="24"/>
          <w:szCs w:val="24"/>
        </w:rPr>
        <w:t>и члану 9. Уредбе о буџетском рачуноводству и члану 10. Правилника о начину припреме, састављања и подношења финансијскаих извештаја корисника буџетских средстава и корисника средстава организација за обавезно социјално осигурање и буџетских</w:t>
      </w:r>
      <w:r>
        <w:rPr>
          <w:rFonts w:ascii="Times New Roman" w:hAnsi="Times New Roman" w:cs="Times New Roman" w:eastAsia="Times New Roman" w:hint="default"/>
          <w:spacing w:val="-7"/>
          <w:sz w:val="24"/>
          <w:szCs w:val="24"/>
        </w:rPr>
        <w:t> </w:t>
      </w:r>
      <w:r>
        <w:rPr>
          <w:rFonts w:ascii="Times New Roman" w:hAnsi="Times New Roman" w:cs="Times New Roman" w:eastAsia="Times New Roman" w:hint="default"/>
          <w:sz w:val="24"/>
          <w:szCs w:val="24"/>
        </w:rPr>
        <w:t>фондова.</w:t>
      </w:r>
    </w:p>
    <w:p>
      <w:pPr>
        <w:pStyle w:val="ListParagraph"/>
        <w:numPr>
          <w:ilvl w:val="0"/>
          <w:numId w:val="9"/>
        </w:numPr>
        <w:tabs>
          <w:tab w:pos="303" w:val="left" w:leader="none"/>
        </w:tabs>
        <w:spacing w:line="292" w:lineRule="exact" w:before="2" w:after="0"/>
        <w:ind w:left="302" w:right="0" w:hanging="142"/>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Град Ниш није у Обрасцу 5 исказао приход од донација на групи   </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733000 </w:t>
      </w:r>
      <w:r>
        <w:rPr>
          <w:rFonts w:ascii="Times New Roman" w:hAnsi="Times New Roman" w:cs="Times New Roman" w:eastAsia="Times New Roman" w:hint="default"/>
          <w:sz w:val="24"/>
          <w:szCs w:val="24"/>
        </w:rPr>
        <w:t>– у износу од</w:t>
      </w:r>
    </w:p>
    <w:p>
      <w:pPr>
        <w:pStyle w:val="BodyText"/>
        <w:spacing w:line="240" w:lineRule="auto"/>
        <w:ind w:right="174"/>
        <w:jc w:val="both"/>
      </w:pPr>
      <w:r>
        <w:rPr/>
        <w:t>6.489 хиљада динара, који је уплаћен на подрачуне консолидованог рачуна трезора по основу пројекта Комесаријата за избеглице и миграције Републике Србије</w:t>
      </w:r>
      <w:r>
        <w:rPr>
          <w:rFonts w:ascii="Times New Roman" w:hAnsi="Times New Roman"/>
        </w:rPr>
        <w:t>, </w:t>
      </w:r>
      <w:r>
        <w:rPr/>
        <w:t>што је супротно члану 9. Уредбе о буџетском рачуноводству и члану 10. Правилника о начину припреме, састављања и подношења финансијскаих извештаја корисника буџетских средстава и корисника средстава организација за обавезно социјално осигурање и буџетских</w:t>
      </w:r>
      <w:r>
        <w:rPr>
          <w:spacing w:val="-7"/>
        </w:rPr>
        <w:t> </w:t>
      </w:r>
      <w:r>
        <w:rPr/>
        <w:t>фондова.</w:t>
      </w:r>
    </w:p>
    <w:p>
      <w:pPr>
        <w:pStyle w:val="ListParagraph"/>
        <w:numPr>
          <w:ilvl w:val="0"/>
          <w:numId w:val="9"/>
        </w:numPr>
        <w:tabs>
          <w:tab w:pos="303" w:val="left" w:leader="none"/>
        </w:tabs>
        <w:spacing w:line="240" w:lineRule="auto" w:before="2" w:after="0"/>
        <w:ind w:left="160" w:right="171" w:firstLine="0"/>
        <w:jc w:val="both"/>
        <w:rPr>
          <w:rFonts w:ascii="Times New Roman" w:hAnsi="Times New Roman" w:cs="Times New Roman" w:eastAsia="Times New Roman" w:hint="default"/>
          <w:sz w:val="24"/>
          <w:szCs w:val="24"/>
        </w:rPr>
      </w:pPr>
      <w:r>
        <w:rPr>
          <w:rFonts w:ascii="Times New Roman" w:hAnsi="Times New Roman"/>
          <w:sz w:val="24"/>
        </w:rPr>
        <w:t>Град Ниш није у Обрасцу 5 исказао расходе и издатке који су извршени са наменских подрачуна за пројекте у износу од 6.334 хиљаде динара, и то за следеће пројекте: Комесаријат за избеглице у износу од 434 хиљаде динара, Држава</w:t>
      </w:r>
      <w:r>
        <w:rPr>
          <w:rFonts w:ascii="Times New Roman" w:hAnsi="Times New Roman"/>
          <w:sz w:val="24"/>
        </w:rPr>
        <w:t>-</w:t>
      </w:r>
      <w:r>
        <w:rPr>
          <w:rFonts w:ascii="Times New Roman" w:hAnsi="Times New Roman"/>
          <w:sz w:val="24"/>
        </w:rPr>
        <w:t>Црква</w:t>
      </w:r>
      <w:r>
        <w:rPr>
          <w:rFonts w:ascii="Times New Roman" w:hAnsi="Times New Roman"/>
          <w:sz w:val="24"/>
        </w:rPr>
        <w:t>-</w:t>
      </w:r>
      <w:r>
        <w:rPr>
          <w:rFonts w:ascii="Times New Roman" w:hAnsi="Times New Roman"/>
          <w:sz w:val="24"/>
        </w:rPr>
        <w:t>Друштво у износу од 990 хиљада динара, Милански едикт у износу од 1.702 хиљаде динара и Еко</w:t>
      </w:r>
      <w:r>
        <w:rPr>
          <w:rFonts w:ascii="Times New Roman" w:hAnsi="Times New Roman"/>
          <w:sz w:val="24"/>
        </w:rPr>
        <w:t>- </w:t>
      </w:r>
      <w:r>
        <w:rPr>
          <w:rFonts w:ascii="Times New Roman" w:hAnsi="Times New Roman"/>
          <w:sz w:val="24"/>
        </w:rPr>
        <w:t>Милк у износу од 3.208 хиљада динара, што је супротно члану 9. Уредбе о буџетском рачуноводству и члану 10. Правилника о начину припреме, састављања и подношења финансијскаих извештаја корисника буџетских средстава и корисника средстава организација за обавезно социјално осигурање и буџетских</w:t>
      </w:r>
      <w:r>
        <w:rPr>
          <w:rFonts w:ascii="Times New Roman" w:hAnsi="Times New Roman"/>
          <w:spacing w:val="-19"/>
          <w:sz w:val="24"/>
        </w:rPr>
        <w:t> </w:t>
      </w:r>
      <w:r>
        <w:rPr>
          <w:rFonts w:ascii="Times New Roman" w:hAnsi="Times New Roman"/>
          <w:sz w:val="24"/>
        </w:rPr>
        <w:t>фондова</w:t>
      </w:r>
      <w:r>
        <w:rPr>
          <w:rFonts w:ascii="Times New Roman" w:hAnsi="Times New Roman"/>
          <w:sz w:val="24"/>
        </w:rPr>
        <w:t>.</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Приликом израде завршног рачуна, подаци, који се односе на директне кориснике, програм преузима аутоматски, а подаци из образаца индиректних корисника се уносе ручно чиме се повећава ризик правилног исказивања тих</w:t>
      </w:r>
      <w:r>
        <w:rPr>
          <w:rFonts w:ascii="Times New Roman" w:hAnsi="Times New Roman"/>
          <w:spacing w:val="-19"/>
          <w:sz w:val="24"/>
        </w:rPr>
        <w:t> </w:t>
      </w:r>
      <w:r>
        <w:rPr>
          <w:rFonts w:ascii="Times New Roman" w:hAnsi="Times New Roman"/>
          <w:sz w:val="24"/>
        </w:rPr>
        <w:t>података</w:t>
      </w:r>
      <w:r>
        <w:rPr>
          <w:rFonts w:ascii="Times New Roman" w:hAnsi="Times New Roman"/>
          <w:sz w:val="24"/>
        </w:rPr>
        <w:t>.</w:t>
      </w:r>
    </w:p>
    <w:p>
      <w:pPr>
        <w:pStyle w:val="ListParagraph"/>
        <w:numPr>
          <w:ilvl w:val="0"/>
          <w:numId w:val="9"/>
        </w:numPr>
        <w:tabs>
          <w:tab w:pos="303" w:val="left" w:leader="none"/>
        </w:tabs>
        <w:spacing w:line="274" w:lineRule="exact" w:before="24"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Градске управе нису у потпуности контролисале и сравниле податке из завршних рачуна индиректних корисника који су у њиховој</w:t>
      </w:r>
      <w:r>
        <w:rPr>
          <w:rFonts w:ascii="Times New Roman" w:hAnsi="Times New Roman"/>
          <w:spacing w:val="-20"/>
          <w:sz w:val="24"/>
        </w:rPr>
        <w:t> </w:t>
      </w:r>
      <w:r>
        <w:rPr>
          <w:rFonts w:ascii="Times New Roman" w:hAnsi="Times New Roman"/>
          <w:sz w:val="24"/>
        </w:rPr>
        <w:t>надлежности.</w:t>
      </w:r>
    </w:p>
    <w:p>
      <w:pPr>
        <w:pStyle w:val="Heading2"/>
        <w:spacing w:line="240" w:lineRule="auto" w:before="2"/>
        <w:ind w:right="176"/>
        <w:jc w:val="both"/>
        <w:rPr>
          <w:rFonts w:ascii="Times New Roman" w:hAnsi="Times New Roman" w:cs="Times New Roman" w:eastAsia="Times New Roman" w:hint="default"/>
          <w:b w:val="0"/>
          <w:bCs w:val="0"/>
          <w:i w:val="0"/>
        </w:rPr>
      </w:pPr>
      <w:r>
        <w:rPr>
          <w:i/>
        </w:rPr>
        <w:t>Препоручује се одговорним лицима да обезбеде правилну примену одредби Уредбе о буџетском рачуноводству и Правилника о начину припреме, састављања и подношења финансијских извештаја корисника буџетских средстава и корисника организација за обавезно социјално осигурање и буџетских</w:t>
      </w:r>
      <w:r>
        <w:rPr>
          <w:i/>
          <w:spacing w:val="-16"/>
        </w:rPr>
        <w:t> </w:t>
      </w:r>
      <w:r>
        <w:rPr>
          <w:i/>
        </w:rPr>
        <w:t>фондова</w:t>
      </w:r>
      <w:r>
        <w:rPr>
          <w:rFonts w:ascii="Times New Roman" w:hAnsi="Times New Roman"/>
          <w:i/>
        </w:rPr>
        <w:t>.</w:t>
      </w:r>
      <w:r>
        <w:rPr>
          <w:rFonts w:ascii="Times New Roman" w:hAnsi="Times New Roman"/>
          <w:b w:val="0"/>
          <w:i w:val="0"/>
        </w:rPr>
      </w:r>
    </w:p>
    <w:p>
      <w:pPr>
        <w:spacing w:before="137"/>
        <w:ind w:left="160" w:right="173" w:firstLine="566"/>
        <w:jc w:val="both"/>
        <w:rPr>
          <w:rFonts w:ascii="Times New Roman" w:hAnsi="Times New Roman" w:cs="Times New Roman" w:eastAsia="Times New Roman" w:hint="default"/>
          <w:sz w:val="24"/>
          <w:szCs w:val="24"/>
        </w:rPr>
      </w:pPr>
      <w:r>
        <w:rPr>
          <w:rFonts w:ascii="Times New Roman" w:hAnsi="Times New Roman"/>
          <w:b/>
          <w:sz w:val="24"/>
        </w:rPr>
        <w:t>Образложење одступања између одобрених средстава и извршења у буџету града Ниша у 201</w:t>
      </w:r>
      <w:r>
        <w:rPr>
          <w:rFonts w:ascii="Times New Roman" w:hAnsi="Times New Roman"/>
          <w:b/>
          <w:sz w:val="24"/>
        </w:rPr>
        <w:t>4</w:t>
      </w:r>
      <w:r>
        <w:rPr>
          <w:rFonts w:ascii="Times New Roman" w:hAnsi="Times New Roman"/>
          <w:b/>
          <w:sz w:val="24"/>
        </w:rPr>
        <w:t>.</w:t>
      </w:r>
      <w:r>
        <w:rPr>
          <w:rFonts w:ascii="Times New Roman" w:hAnsi="Times New Roman"/>
          <w:b/>
          <w:spacing w:val="-5"/>
          <w:sz w:val="24"/>
        </w:rPr>
        <w:t> </w:t>
      </w:r>
      <w:r>
        <w:rPr>
          <w:rFonts w:ascii="Times New Roman" w:hAnsi="Times New Roman"/>
          <w:b/>
          <w:sz w:val="24"/>
        </w:rPr>
        <w:t>години</w:t>
      </w:r>
      <w:r>
        <w:rPr>
          <w:rFonts w:ascii="Times New Roman" w:hAnsi="Times New Roman"/>
          <w:sz w:val="24"/>
        </w:rPr>
      </w:r>
    </w:p>
    <w:p>
      <w:pPr>
        <w:pStyle w:val="BodyText"/>
        <w:spacing w:line="240" w:lineRule="auto"/>
        <w:ind w:right="180" w:firstLine="626"/>
        <w:jc w:val="both"/>
      </w:pPr>
      <w:r>
        <w:rPr/>
        <w:t>Одступање између одобрених средстава из буџета и извршења дато је у облику прегледа планираних и извршених расхода и издатака из средстава буџета и додатних извора  са  писаним  образложењем.  Одступања су исказана  код  следећих </w:t>
      </w:r>
      <w:r>
        <w:rPr>
          <w:spacing w:val="18"/>
        </w:rPr>
        <w:t> </w:t>
      </w:r>
      <w:r>
        <w:rPr/>
        <w:t>индиректних</w:t>
      </w:r>
    </w:p>
    <w:p>
      <w:pPr>
        <w:spacing w:after="0" w:line="240" w:lineRule="auto"/>
        <w:jc w:val="both"/>
        <w:sectPr>
          <w:pgSz w:w="12240" w:h="15840"/>
          <w:pgMar w:header="740" w:footer="1504" w:top="120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BodyText"/>
        <w:spacing w:line="240" w:lineRule="auto" w:before="6"/>
        <w:ind w:right="184"/>
        <w:jc w:val="both"/>
      </w:pPr>
      <w:r>
        <w:rPr/>
        <w:t>корисника: ЈП Дирекција за изградњу града Ниша, Установа Нишки културни центар и Галерија савремене ликовне</w:t>
      </w:r>
      <w:r>
        <w:rPr>
          <w:spacing w:val="-12"/>
        </w:rPr>
        <w:t> </w:t>
      </w:r>
      <w:r>
        <w:rPr/>
        <w:t>уметности.</w:t>
      </w:r>
    </w:p>
    <w:p>
      <w:pPr>
        <w:pStyle w:val="BodyText"/>
        <w:spacing w:line="240" w:lineRule="auto"/>
        <w:ind w:right="180" w:firstLine="566"/>
        <w:jc w:val="both"/>
      </w:pPr>
      <w:r>
        <w:rPr/>
        <w:t>Неслагање код ЈП Дирекција за изградњу града Ниша, утврђено је на следећим групама конта: 421000 за износ од 38 хиљада динара (мање код Дирекције), 422000 за износ од 2 хиљаде динара (више код Дирекције), 423000 за износ од 7 хиљада динара (више код Дирекције), 425000 за износ од </w:t>
      </w:r>
      <w:r>
        <w:rPr>
          <w:spacing w:val="2"/>
        </w:rPr>
        <w:t>347 </w:t>
      </w:r>
      <w:r>
        <w:rPr/>
        <w:t>хиљада динара (мање код Дирекције), </w:t>
      </w:r>
      <w:r>
        <w:rPr/>
        <w:t>482000 за износ од 17 хиљада динара (више код Дирекције), 483000 за износ од 248 хиљада динара (више код Дирекције), 511000 за износ од 166 хиљада динара (мање код Дирекције).</w:t>
      </w:r>
    </w:p>
    <w:p>
      <w:pPr>
        <w:pStyle w:val="BodyText"/>
        <w:spacing w:line="240" w:lineRule="auto"/>
        <w:ind w:right="178" w:firstLine="566"/>
        <w:jc w:val="both"/>
      </w:pPr>
      <w:r>
        <w:rPr/>
        <w:t>Неслагање код Нишког културног центра, утврђено је на следећим групама конта: 413000 за износ од 246 хиљада динара (мање код НКЦ) и 421000 за износ од 246 хиљада динара (више код</w:t>
      </w:r>
      <w:r>
        <w:rPr>
          <w:spacing w:val="-3"/>
        </w:rPr>
        <w:t> </w:t>
      </w:r>
      <w:r>
        <w:rPr/>
        <w:t>НКЦ).</w:t>
      </w:r>
    </w:p>
    <w:p>
      <w:pPr>
        <w:pStyle w:val="BodyText"/>
        <w:spacing w:line="240" w:lineRule="auto"/>
        <w:ind w:right="182" w:firstLine="566"/>
        <w:jc w:val="both"/>
      </w:pPr>
      <w:r>
        <w:rPr/>
        <w:t>Неслагање код Галерије савремене ликовне уметности, утврђена је на групи конта 424000 за износ од 88 хиљада динара (мање код</w:t>
      </w:r>
      <w:r>
        <w:rPr>
          <w:spacing w:val="-11"/>
        </w:rPr>
        <w:t> </w:t>
      </w:r>
      <w:r>
        <w:rPr/>
        <w:t>Галерије).</w:t>
      </w:r>
    </w:p>
    <w:p>
      <w:pPr>
        <w:pStyle w:val="Heading1"/>
        <w:spacing w:line="240" w:lineRule="auto" w:before="0"/>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1"/>
        </w:rPr>
        <w:t> </w:t>
      </w:r>
      <w:r>
        <w:rPr>
          <w:rFonts w:ascii="Times New Roman" w:hAnsi="Times New Roman"/>
          <w:b w:val="0"/>
        </w:rPr>
        <w:t>је</w:t>
      </w:r>
      <w:r>
        <w:rPr>
          <w:rFonts w:ascii="Times New Roman" w:hAnsi="Times New Roman"/>
          <w:b w:val="0"/>
        </w:rPr>
        <w:t>:</w:t>
      </w:r>
    </w:p>
    <w:p>
      <w:pPr>
        <w:pStyle w:val="ListParagraph"/>
        <w:numPr>
          <w:ilvl w:val="0"/>
          <w:numId w:val="9"/>
        </w:numPr>
        <w:tabs>
          <w:tab w:pos="303" w:val="left" w:leader="none"/>
        </w:tabs>
        <w:spacing w:line="240" w:lineRule="auto" w:before="2" w:after="0"/>
        <w:ind w:left="160" w:right="180" w:firstLine="0"/>
        <w:jc w:val="both"/>
        <w:rPr>
          <w:rFonts w:ascii="Times New Roman" w:hAnsi="Times New Roman" w:cs="Times New Roman" w:eastAsia="Times New Roman" w:hint="default"/>
          <w:sz w:val="24"/>
          <w:szCs w:val="24"/>
        </w:rPr>
      </w:pPr>
      <w:r>
        <w:rPr>
          <w:rFonts w:ascii="Times New Roman" w:hAnsi="Times New Roman"/>
          <w:sz w:val="24"/>
        </w:rPr>
        <w:t>До неслагања је дошло из разлога што није вршено сравњавање података са индиректним корисницима, што је супротно члану 78. Закона о буџетском</w:t>
      </w:r>
      <w:r>
        <w:rPr>
          <w:rFonts w:ascii="Times New Roman" w:hAnsi="Times New Roman"/>
          <w:spacing w:val="-28"/>
          <w:sz w:val="24"/>
        </w:rPr>
        <w:t> </w:t>
      </w:r>
      <w:r>
        <w:rPr>
          <w:rFonts w:ascii="Times New Roman" w:hAnsi="Times New Roman"/>
          <w:sz w:val="24"/>
        </w:rPr>
        <w:t>систему.</w:t>
      </w:r>
    </w:p>
    <w:p>
      <w:pPr>
        <w:pStyle w:val="ListParagraph"/>
        <w:numPr>
          <w:ilvl w:val="0"/>
          <w:numId w:val="9"/>
        </w:numPr>
        <w:tabs>
          <w:tab w:pos="303" w:val="left" w:leader="none"/>
        </w:tabs>
        <w:spacing w:line="240" w:lineRule="auto" w:before="0" w:after="0"/>
        <w:ind w:left="160" w:right="17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ПУ „Пчелица“ није исказала одступања између одобрених средстава и извршења у буџету, за групу 421000</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стални трошкови у износу од 384 хиљаде динара, за групу </w:t>
      </w:r>
      <w:r>
        <w:rPr>
          <w:rFonts w:ascii="Times New Roman" w:hAnsi="Times New Roman" w:cs="Times New Roman" w:eastAsia="Times New Roman" w:hint="default"/>
          <w:sz w:val="24"/>
          <w:szCs w:val="24"/>
        </w:rPr>
        <w:t>426000-</w:t>
      </w:r>
      <w:r>
        <w:rPr>
          <w:rFonts w:ascii="Times New Roman" w:hAnsi="Times New Roman" w:cs="Times New Roman" w:eastAsia="Times New Roman" w:hint="default"/>
          <w:sz w:val="24"/>
          <w:szCs w:val="24"/>
        </w:rPr>
        <w:t>материјал и групу 511000</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зграде и грађевински објекти у износу од 328 хиљада динара.</w:t>
      </w:r>
    </w:p>
    <w:p>
      <w:pPr>
        <w:pStyle w:val="Heading2"/>
        <w:spacing w:line="240" w:lineRule="auto"/>
        <w:ind w:right="176"/>
        <w:jc w:val="both"/>
        <w:rPr>
          <w:b w:val="0"/>
          <w:bCs w:val="0"/>
          <w:i w:val="0"/>
        </w:rPr>
      </w:pPr>
      <w:r>
        <w:rPr>
          <w:i/>
        </w:rPr>
        <w:t>Препоручује се одговорним лицима да обезбеде редовно усаглашавање података директних корисника са својим индиректним</w:t>
      </w:r>
      <w:r>
        <w:rPr>
          <w:i/>
          <w:spacing w:val="-20"/>
        </w:rPr>
        <w:t> </w:t>
      </w:r>
      <w:r>
        <w:rPr>
          <w:i/>
        </w:rPr>
        <w:t>корисницима.</w:t>
      </w:r>
      <w:r>
        <w:rPr>
          <w:b w:val="0"/>
          <w:i w:val="0"/>
        </w:rPr>
      </w:r>
    </w:p>
    <w:p>
      <w:pPr>
        <w:spacing w:before="137"/>
        <w:ind w:left="160" w:right="580" w:firstLine="566"/>
        <w:jc w:val="left"/>
        <w:rPr>
          <w:rFonts w:ascii="Times New Roman" w:hAnsi="Times New Roman" w:cs="Times New Roman" w:eastAsia="Times New Roman" w:hint="default"/>
          <w:sz w:val="24"/>
          <w:szCs w:val="24"/>
        </w:rPr>
      </w:pPr>
      <w:r>
        <w:rPr>
          <w:rFonts w:ascii="Times New Roman" w:hAnsi="Times New Roman"/>
          <w:b/>
          <w:sz w:val="24"/>
        </w:rPr>
        <w:t>Извештај о примљеним донацијама и кредитима, домаћим и иностраним, и извршеним отплатама дугова у периоду од 01.01. до 31.12.2014.</w:t>
      </w:r>
      <w:r>
        <w:rPr>
          <w:rFonts w:ascii="Times New Roman" w:hAnsi="Times New Roman"/>
          <w:b/>
          <w:spacing w:val="-10"/>
          <w:sz w:val="24"/>
        </w:rPr>
        <w:t> </w:t>
      </w:r>
      <w:r>
        <w:rPr>
          <w:rFonts w:ascii="Times New Roman" w:hAnsi="Times New Roman"/>
          <w:b/>
          <w:sz w:val="24"/>
        </w:rPr>
        <w:t>године</w:t>
      </w:r>
      <w:r>
        <w:rPr>
          <w:rFonts w:ascii="Times New Roman" w:hAnsi="Times New Roman"/>
          <w:sz w:val="24"/>
        </w:rPr>
      </w:r>
    </w:p>
    <w:p>
      <w:pPr>
        <w:pStyle w:val="BodyText"/>
        <w:spacing w:line="240" w:lineRule="auto"/>
        <w:ind w:right="173" w:firstLine="566"/>
        <w:jc w:val="both"/>
      </w:pPr>
      <w:r>
        <w:rPr/>
        <w:t>Град Ниш је у извештају о примљеним донацијама навео да није остварио приход  по основу донација у 2014.</w:t>
      </w:r>
      <w:r>
        <w:rPr>
          <w:spacing w:val="-9"/>
        </w:rPr>
        <w:t> </w:t>
      </w:r>
      <w:r>
        <w:rPr/>
        <w:t>години.</w:t>
      </w:r>
    </w:p>
    <w:p>
      <w:pPr>
        <w:pStyle w:val="BodyText"/>
        <w:spacing w:line="240" w:lineRule="auto"/>
        <w:ind w:right="173" w:firstLine="566"/>
        <w:jc w:val="both"/>
      </w:pPr>
      <w:r>
        <w:rPr>
          <w:rFonts w:ascii="Times New Roman" w:hAnsi="Times New Roman"/>
          <w:b/>
        </w:rPr>
        <w:t>На основу ревизије узорковане документације утврђено је </w:t>
      </w:r>
      <w:r>
        <w:rPr/>
        <w:t>да укупно остварени приходи од донација у 2014. години, износе </w:t>
      </w:r>
      <w:r>
        <w:rPr>
          <w:rFonts w:ascii="Times New Roman" w:hAnsi="Times New Roman"/>
        </w:rPr>
        <w:t>4.564 </w:t>
      </w:r>
      <w:r>
        <w:rPr/>
        <w:t>хиљад</w:t>
      </w:r>
      <w:r>
        <w:rPr>
          <w:rFonts w:ascii="Times New Roman" w:hAnsi="Times New Roman"/>
        </w:rPr>
        <w:t>e </w:t>
      </w:r>
      <w:r>
        <w:rPr/>
        <w:t>динара код следећих корисника: Сигурна кућа у износу од 1.101 хиљаде динара, Народна Библиотека у износу од 20 хиљада динара, Установа Дечији центар у износу од 453 хиљад</w:t>
      </w:r>
      <w:r>
        <w:rPr>
          <w:rFonts w:ascii="Times New Roman" w:hAnsi="Times New Roman"/>
        </w:rPr>
        <w:t>e </w:t>
      </w:r>
      <w:r>
        <w:rPr/>
        <w:t>динара, Регионални центар за професионани развој запослених у износу од 95 хиљада динара, Центар за дневни боравак деце, омладине и одраслих лица ментално ометених у  </w:t>
      </w:r>
      <w:r>
        <w:rPr>
          <w:spacing w:val="39"/>
        </w:rPr>
        <w:t> </w:t>
      </w:r>
      <w:r>
        <w:rPr/>
        <w:t>развоју</w:t>
      </w:r>
    </w:p>
    <w:p>
      <w:pPr>
        <w:pStyle w:val="BodyText"/>
        <w:spacing w:line="240" w:lineRule="auto"/>
        <w:ind w:right="174"/>
        <w:jc w:val="both"/>
      </w:pPr>
      <w:r>
        <w:rPr/>
        <w:t>„Мара“ у износу од 302 хиљаде динара и Управа за пољопривреду и развој села у износу од 2.593 хиљаде динара. Град Ниш није исказао у извештају о примљеним донацијама наведене донације, што је супротно члану 7. и члану 9. Уредбе о буџетском рачуноводству.</w:t>
      </w:r>
    </w:p>
    <w:p>
      <w:pPr>
        <w:pStyle w:val="Heading2"/>
        <w:spacing w:line="240" w:lineRule="auto"/>
        <w:ind w:right="184"/>
        <w:jc w:val="both"/>
        <w:rPr>
          <w:rFonts w:ascii="Times New Roman" w:hAnsi="Times New Roman" w:cs="Times New Roman" w:eastAsia="Times New Roman" w:hint="default"/>
          <w:b w:val="0"/>
          <w:bCs w:val="0"/>
          <w:i w:val="0"/>
        </w:rPr>
      </w:pPr>
      <w:r>
        <w:rPr>
          <w:i/>
        </w:rPr>
        <w:t>Препоручује се одговорним лицима да у својим пословним књигама евидентирају примљене донаццје и тачно исказују податке у  Извештају о примљеним</w:t>
      </w:r>
      <w:r>
        <w:rPr>
          <w:i/>
          <w:spacing w:val="-19"/>
        </w:rPr>
        <w:t> </w:t>
      </w:r>
      <w:r>
        <w:rPr>
          <w:i/>
        </w:rPr>
        <w:t>донацијама</w:t>
      </w:r>
      <w:r>
        <w:rPr>
          <w:rFonts w:ascii="Times New Roman" w:hAnsi="Times New Roman"/>
          <w:i/>
        </w:rPr>
        <w:t>.</w:t>
      </w:r>
      <w:r>
        <w:rPr>
          <w:rFonts w:ascii="Times New Roman" w:hAnsi="Times New Roman"/>
          <w:b w:val="0"/>
          <w:i w:val="0"/>
        </w:rPr>
      </w:r>
    </w:p>
    <w:p>
      <w:pPr>
        <w:spacing w:line="274" w:lineRule="exact" w:before="137"/>
        <w:ind w:left="726" w:right="141" w:firstLine="0"/>
        <w:jc w:val="left"/>
        <w:rPr>
          <w:rFonts w:ascii="Times New Roman" w:hAnsi="Times New Roman" w:cs="Times New Roman" w:eastAsia="Times New Roman" w:hint="default"/>
          <w:sz w:val="24"/>
          <w:szCs w:val="24"/>
        </w:rPr>
      </w:pPr>
      <w:r>
        <w:rPr>
          <w:rFonts w:ascii="Times New Roman" w:hAnsi="Times New Roman"/>
          <w:b/>
          <w:sz w:val="24"/>
        </w:rPr>
        <w:t>Отплате</w:t>
      </w:r>
      <w:r>
        <w:rPr>
          <w:rFonts w:ascii="Times New Roman" w:hAnsi="Times New Roman"/>
          <w:b/>
          <w:spacing w:val="-6"/>
          <w:sz w:val="24"/>
        </w:rPr>
        <w:t> </w:t>
      </w:r>
      <w:r>
        <w:rPr>
          <w:rFonts w:ascii="Times New Roman" w:hAnsi="Times New Roman"/>
          <w:b/>
          <w:sz w:val="24"/>
        </w:rPr>
        <w:t>кредита</w:t>
      </w:r>
      <w:r>
        <w:rPr>
          <w:rFonts w:ascii="Times New Roman" w:hAnsi="Times New Roman"/>
          <w:sz w:val="24"/>
        </w:rPr>
      </w:r>
    </w:p>
    <w:p>
      <w:pPr>
        <w:pStyle w:val="BodyText"/>
        <w:spacing w:line="274" w:lineRule="exact"/>
        <w:ind w:left="726" w:right="141"/>
        <w:jc w:val="left"/>
      </w:pPr>
      <w:r>
        <w:rPr/>
        <w:t>Град је у Извештају приказао отплате по свих осам уговора о кредиту и</w:t>
      </w:r>
      <w:r>
        <w:rPr>
          <w:spacing w:val="-10"/>
        </w:rPr>
        <w:t> </w:t>
      </w:r>
      <w:r>
        <w:rPr/>
        <w:t>то:</w:t>
      </w:r>
    </w:p>
    <w:p>
      <w:pPr>
        <w:pStyle w:val="ListParagraph"/>
        <w:numPr>
          <w:ilvl w:val="0"/>
          <w:numId w:val="118"/>
        </w:numPr>
        <w:tabs>
          <w:tab w:pos="444"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По Уговору о наменском кредиту број 3556/2010</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17.12.2010. године закљученом са „Banca Intesa“ ад Београд отплаћена је главница у износу од 52.898 хиљада динара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камата у износу од 7.504 хиљаде динара и пратећи трошкови задуживања у износу од 139 хиљада</w:t>
      </w:r>
      <w:r>
        <w:rPr>
          <w:rFonts w:ascii="Times New Roman" w:hAnsi="Times New Roman" w:cs="Times New Roman" w:eastAsia="Times New Roman" w:hint="default"/>
          <w:spacing w:val="-3"/>
          <w:sz w:val="24"/>
          <w:szCs w:val="24"/>
        </w:rPr>
        <w:t> </w:t>
      </w:r>
      <w:r>
        <w:rPr>
          <w:rFonts w:ascii="Times New Roman" w:hAnsi="Times New Roman" w:cs="Times New Roman" w:eastAsia="Times New Roman" w:hint="default"/>
          <w:sz w:val="24"/>
          <w:szCs w:val="24"/>
        </w:rPr>
        <w:t>динара.</w:t>
      </w:r>
    </w:p>
    <w:p>
      <w:pPr>
        <w:spacing w:after="0" w:line="240" w:lineRule="auto"/>
        <w:jc w:val="both"/>
        <w:rPr>
          <w:rFonts w:ascii="Times New Roman" w:hAnsi="Times New Roman" w:cs="Times New Roman" w:eastAsia="Times New Roman" w:hint="default"/>
          <w:sz w:val="24"/>
          <w:szCs w:val="24"/>
        </w:rPr>
        <w:sectPr>
          <w:pgSz w:w="12240" w:h="15840"/>
          <w:pgMar w:header="740" w:footer="1504" w:top="120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ListParagraph"/>
        <w:numPr>
          <w:ilvl w:val="0"/>
          <w:numId w:val="118"/>
        </w:numPr>
        <w:tabs>
          <w:tab w:pos="444" w:val="left" w:leader="none"/>
        </w:tabs>
        <w:spacing w:line="240" w:lineRule="auto" w:before="6"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По Уговору о наменском кредиту број 1903/2010</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01.07.2010. године закљученом са „Banca Intesa“ ад Београд отплаћена је главница у износу од 44.635 хиљада динара и камата у износу од 3.212 хиљада</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динара.</w:t>
      </w:r>
    </w:p>
    <w:p>
      <w:pPr>
        <w:pStyle w:val="ListParagraph"/>
        <w:numPr>
          <w:ilvl w:val="0"/>
          <w:numId w:val="118"/>
        </w:numPr>
        <w:tabs>
          <w:tab w:pos="444"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По Уговору о наменском кредиту број </w:t>
      </w:r>
      <w:r>
        <w:rPr>
          <w:rFonts w:ascii="Times New Roman" w:hAnsi="Times New Roman" w:cs="Times New Roman" w:eastAsia="Times New Roman" w:hint="default"/>
          <w:sz w:val="24"/>
          <w:szCs w:val="24"/>
        </w:rPr>
        <w:t>LTL </w:t>
      </w:r>
      <w:r>
        <w:rPr>
          <w:rFonts w:ascii="Times New Roman" w:hAnsi="Times New Roman" w:cs="Times New Roman" w:eastAsia="Times New Roman" w:hint="default"/>
          <w:sz w:val="24"/>
          <w:szCs w:val="24"/>
        </w:rPr>
        <w:t>228447 од 19.05.2011. године закљученом са „Societe Generale Banka Srbije“ ад Београд отплаћена је главница у износу од 71.367 хиљада динара, камата у износу од 15.726 хиљада динара и пратећи трошкови задуживања у износу од 373 хиљада</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динара.</w:t>
      </w:r>
    </w:p>
    <w:p>
      <w:pPr>
        <w:pStyle w:val="ListParagraph"/>
        <w:numPr>
          <w:ilvl w:val="0"/>
          <w:numId w:val="118"/>
        </w:numPr>
        <w:tabs>
          <w:tab w:pos="444"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По Уговору о дугорочном кредиту број 404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2у/16</w:t>
      </w:r>
      <w:r>
        <w:rPr>
          <w:rFonts w:ascii="Times New Roman" w:hAnsi="Times New Roman" w:cs="Times New Roman" w:eastAsia="Times New Roman" w:hint="default"/>
          <w:sz w:val="24"/>
          <w:szCs w:val="24"/>
        </w:rPr>
        <w:t>-2011-</w:t>
      </w:r>
      <w:r>
        <w:rPr>
          <w:rFonts w:ascii="Times New Roman" w:hAnsi="Times New Roman" w:cs="Times New Roman" w:eastAsia="Times New Roman" w:hint="default"/>
          <w:sz w:val="24"/>
          <w:szCs w:val="24"/>
        </w:rPr>
        <w:t>11 од 30.06.2011. године закљученом са Конзорцијумима „Banca Intesa“ ад Београд и „</w:t>
      </w:r>
      <w:r>
        <w:rPr>
          <w:rFonts w:ascii="Times New Roman" w:hAnsi="Times New Roman" w:cs="Times New Roman" w:eastAsia="Times New Roman" w:hint="default"/>
          <w:sz w:val="24"/>
          <w:szCs w:val="24"/>
        </w:rPr>
        <w:t>Societe Generale Banka </w:t>
      </w:r>
      <w:r>
        <w:rPr>
          <w:rFonts w:ascii="Times New Roman" w:hAnsi="Times New Roman" w:cs="Times New Roman" w:eastAsia="Times New Roman" w:hint="default"/>
          <w:sz w:val="24"/>
          <w:szCs w:val="24"/>
        </w:rPr>
        <w:t>Srbije“ ад Београд отплаћена је главница у износу од 38.645 хиљада динара и камата у износу од 31.749 хиљада</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динара.</w:t>
      </w:r>
    </w:p>
    <w:p>
      <w:pPr>
        <w:pStyle w:val="ListParagraph"/>
        <w:numPr>
          <w:ilvl w:val="0"/>
          <w:numId w:val="118"/>
        </w:numPr>
        <w:tabs>
          <w:tab w:pos="444"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По Уговору о наменском кредиту број 105020458002486057 од 26.12.2011. године закљученом са „Аик банка“ ад Београд отплаћена је главница у износу од 34.210 хиљада динара, камата у износу од 30.237 хиљада динара и пратећи трошкови задуживања у износу од 586 хиљада</w:t>
      </w:r>
      <w:r>
        <w:rPr>
          <w:rFonts w:ascii="Times New Roman" w:hAnsi="Times New Roman" w:cs="Times New Roman" w:eastAsia="Times New Roman" w:hint="default"/>
          <w:spacing w:val="-8"/>
          <w:sz w:val="24"/>
          <w:szCs w:val="24"/>
        </w:rPr>
        <w:t> </w:t>
      </w:r>
      <w:r>
        <w:rPr>
          <w:rFonts w:ascii="Times New Roman" w:hAnsi="Times New Roman" w:cs="Times New Roman" w:eastAsia="Times New Roman" w:hint="default"/>
          <w:sz w:val="24"/>
          <w:szCs w:val="24"/>
        </w:rPr>
        <w:t>динара.</w:t>
      </w:r>
    </w:p>
    <w:p>
      <w:pPr>
        <w:pStyle w:val="ListParagraph"/>
        <w:numPr>
          <w:ilvl w:val="0"/>
          <w:numId w:val="118"/>
        </w:numPr>
        <w:tabs>
          <w:tab w:pos="444" w:val="left" w:leader="none"/>
        </w:tabs>
        <w:spacing w:line="240" w:lineRule="auto" w:before="0" w:after="0"/>
        <w:ind w:left="160" w:right="171"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По Уговору о кредиту број 1171/2014</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31.03.2014. године закљученом са „ Аик банка“ ад Београд отплаћена је главница у износу од 330.418 хиљада динара, камата у износу од 6.322 хиљада динара, пратећи трошкови задуживања у износу од две хиљаде динара и курсне разлике у износу од 7.085 хиљада</w:t>
      </w:r>
      <w:r>
        <w:rPr>
          <w:rFonts w:ascii="Times New Roman" w:hAnsi="Times New Roman" w:cs="Times New Roman" w:eastAsia="Times New Roman" w:hint="default"/>
          <w:spacing w:val="-19"/>
          <w:sz w:val="24"/>
          <w:szCs w:val="24"/>
        </w:rPr>
        <w:t> </w:t>
      </w:r>
      <w:r>
        <w:rPr>
          <w:rFonts w:ascii="Times New Roman" w:hAnsi="Times New Roman" w:cs="Times New Roman" w:eastAsia="Times New Roman" w:hint="default"/>
          <w:sz w:val="24"/>
          <w:szCs w:val="24"/>
        </w:rPr>
        <w:t>динара.</w:t>
      </w:r>
    </w:p>
    <w:p>
      <w:pPr>
        <w:pStyle w:val="ListParagraph"/>
        <w:numPr>
          <w:ilvl w:val="0"/>
          <w:numId w:val="118"/>
        </w:numPr>
        <w:tabs>
          <w:tab w:pos="444"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По Уговору о комисиону број </w:t>
      </w:r>
      <w:r>
        <w:rPr>
          <w:rFonts w:ascii="Times New Roman" w:hAnsi="Times New Roman"/>
          <w:sz w:val="24"/>
        </w:rPr>
        <w:t>3448/2010-01 </w:t>
      </w:r>
      <w:r>
        <w:rPr>
          <w:rFonts w:ascii="Times New Roman" w:hAnsi="Times New Roman"/>
          <w:sz w:val="24"/>
        </w:rPr>
        <w:t>од </w:t>
      </w:r>
      <w:r>
        <w:rPr>
          <w:rFonts w:ascii="Times New Roman" w:hAnsi="Times New Roman"/>
          <w:sz w:val="24"/>
        </w:rPr>
        <w:t>16.12.2010. </w:t>
      </w:r>
      <w:r>
        <w:rPr>
          <w:rFonts w:ascii="Times New Roman" w:hAnsi="Times New Roman"/>
          <w:sz w:val="24"/>
        </w:rPr>
        <w:t>године закљученом са Фондом за развој Републике Србије и Министарством животне средине и просторног планирања отплаћена је главница у износу од 81.428 хиљада динара, камата у износу  </w:t>
      </w:r>
      <w:r>
        <w:rPr>
          <w:rFonts w:ascii="Times New Roman" w:hAnsi="Times New Roman"/>
          <w:spacing w:val="49"/>
          <w:sz w:val="24"/>
        </w:rPr>
        <w:t> </w:t>
      </w:r>
      <w:r>
        <w:rPr>
          <w:rFonts w:ascii="Times New Roman" w:hAnsi="Times New Roman"/>
          <w:sz w:val="24"/>
        </w:rPr>
        <w:t>од</w:t>
      </w:r>
    </w:p>
    <w:p>
      <w:pPr>
        <w:pStyle w:val="BodyText"/>
        <w:spacing w:line="240" w:lineRule="auto"/>
        <w:ind w:right="0"/>
        <w:jc w:val="both"/>
      </w:pPr>
      <w:r>
        <w:rPr/>
        <w:t>44.204 хиљада динара и пратећи трошкови задуживања у износу од 34 хиљада</w:t>
      </w:r>
      <w:r>
        <w:rPr>
          <w:spacing w:val="-17"/>
        </w:rPr>
        <w:t> </w:t>
      </w:r>
      <w:r>
        <w:rPr/>
        <w:t>динара.</w:t>
      </w:r>
    </w:p>
    <w:p>
      <w:pPr>
        <w:pStyle w:val="ListParagraph"/>
        <w:numPr>
          <w:ilvl w:val="0"/>
          <w:numId w:val="118"/>
        </w:numPr>
        <w:tabs>
          <w:tab w:pos="521" w:val="left" w:leader="none"/>
        </w:tabs>
        <w:spacing w:line="240" w:lineRule="auto" w:before="0"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По Уговору о зајму са Европском банком за реконструкцију и развој од </w:t>
      </w:r>
      <w:r>
        <w:rPr>
          <w:rFonts w:ascii="Times New Roman" w:hAnsi="Times New Roman"/>
          <w:sz w:val="24"/>
        </w:rPr>
        <w:t>27.06.2002. </w:t>
      </w:r>
      <w:r>
        <w:rPr>
          <w:rFonts w:ascii="Times New Roman" w:hAnsi="Times New Roman"/>
          <w:sz w:val="24"/>
        </w:rPr>
        <w:t>године отплаћена је главница у износу од 34.484 хиљаде динара и камата у износу од 813 хиљада</w:t>
      </w:r>
      <w:r>
        <w:rPr>
          <w:rFonts w:ascii="Times New Roman" w:hAnsi="Times New Roman"/>
          <w:spacing w:val="-3"/>
          <w:sz w:val="24"/>
        </w:rPr>
        <w:t> </w:t>
      </w:r>
      <w:r>
        <w:rPr>
          <w:rFonts w:ascii="Times New Roman" w:hAnsi="Times New Roman"/>
          <w:sz w:val="24"/>
        </w:rPr>
        <w:t>динара.</w:t>
      </w:r>
    </w:p>
    <w:p>
      <w:pPr>
        <w:pStyle w:val="Heading1"/>
        <w:spacing w:line="274" w:lineRule="exact" w:before="144"/>
        <w:ind w:right="141"/>
        <w:jc w:val="left"/>
        <w:rPr>
          <w:b w:val="0"/>
          <w:bCs w:val="0"/>
        </w:rPr>
      </w:pPr>
      <w:r>
        <w:rPr/>
        <w:t>Извештај о гаранцијама датим у току фискалне</w:t>
      </w:r>
      <w:r>
        <w:rPr>
          <w:spacing w:val="-17"/>
        </w:rPr>
        <w:t> </w:t>
      </w:r>
      <w:r>
        <w:rPr/>
        <w:t>године</w:t>
      </w:r>
      <w:r>
        <w:rPr>
          <w:b w:val="0"/>
        </w:rPr>
      </w:r>
    </w:p>
    <w:p>
      <w:pPr>
        <w:pStyle w:val="BodyText"/>
        <w:spacing w:line="240" w:lineRule="auto"/>
        <w:ind w:right="184" w:firstLine="566"/>
        <w:jc w:val="both"/>
      </w:pPr>
      <w:r>
        <w:rPr/>
        <w:t>Чланом 34. Закона о јавном дугу дефинисано је да локалне власти не могу давати гаранције. Према писаној изјави одговорних лица наведено је да град Ниш у току 2014. години није давао наведене</w:t>
      </w:r>
      <w:r>
        <w:rPr>
          <w:spacing w:val="-12"/>
        </w:rPr>
        <w:t> </w:t>
      </w:r>
      <w:r>
        <w:rPr/>
        <w:t>гаранције.</w:t>
      </w:r>
    </w:p>
    <w:p>
      <w:pPr>
        <w:pStyle w:val="Heading1"/>
        <w:spacing w:line="274" w:lineRule="exact" w:before="141"/>
        <w:ind w:right="141"/>
        <w:jc w:val="left"/>
        <w:rPr>
          <w:b w:val="0"/>
          <w:bCs w:val="0"/>
        </w:rPr>
      </w:pPr>
      <w:r>
        <w:rPr/>
        <w:t>Извештај о коришћењу средстава сталне буџетске резерве у 20</w:t>
      </w:r>
      <w:r>
        <w:rPr>
          <w:rFonts w:ascii="Times New Roman" w:hAnsi="Times New Roman"/>
        </w:rPr>
        <w:t>14</w:t>
      </w:r>
      <w:r>
        <w:rPr/>
        <w:t>.</w:t>
      </w:r>
      <w:r>
        <w:rPr>
          <w:spacing w:val="-15"/>
        </w:rPr>
        <w:t> </w:t>
      </w:r>
      <w:r>
        <w:rPr/>
        <w:t>години</w:t>
      </w:r>
      <w:r>
        <w:rPr>
          <w:b w:val="0"/>
        </w:rPr>
      </w:r>
    </w:p>
    <w:p>
      <w:pPr>
        <w:pStyle w:val="BodyText"/>
        <w:spacing w:line="240" w:lineRule="auto"/>
        <w:ind w:right="170" w:firstLine="566"/>
        <w:jc w:val="both"/>
      </w:pPr>
      <w:r>
        <w:rPr/>
        <w:t>Одлуком о буџету града Ниша за 201</w:t>
      </w:r>
      <w:r>
        <w:rPr>
          <w:rFonts w:ascii="Times New Roman" w:hAnsi="Times New Roman"/>
        </w:rPr>
        <w:t>4</w:t>
      </w:r>
      <w:r>
        <w:rPr/>
        <w:t>. годину одобрена су средства за сталну буџетску резерву у износу од </w:t>
      </w:r>
      <w:r>
        <w:rPr>
          <w:rFonts w:ascii="Times New Roman" w:hAnsi="Times New Roman"/>
        </w:rPr>
        <w:t>3.000 </w:t>
      </w:r>
      <w:r>
        <w:rPr/>
        <w:t>хиљада динара. Средства сталне буџетске резерве у </w:t>
      </w:r>
      <w:r>
        <w:rPr>
          <w:rFonts w:ascii="Times New Roman" w:hAnsi="Times New Roman"/>
        </w:rPr>
        <w:t>2014. </w:t>
      </w:r>
      <w:r>
        <w:rPr/>
        <w:t>години нису</w:t>
      </w:r>
      <w:r>
        <w:rPr>
          <w:spacing w:val="-11"/>
        </w:rPr>
        <w:t> </w:t>
      </w:r>
      <w:r>
        <w:rPr/>
        <w:t>коришћена.</w:t>
      </w:r>
    </w:p>
    <w:p>
      <w:pPr>
        <w:pStyle w:val="Heading1"/>
        <w:spacing w:line="274" w:lineRule="exact" w:before="144"/>
        <w:ind w:right="141"/>
        <w:jc w:val="left"/>
        <w:rPr>
          <w:b w:val="0"/>
          <w:bCs w:val="0"/>
        </w:rPr>
      </w:pPr>
      <w:r>
        <w:rPr/>
        <w:t>Извештај о коришћењу средстава текуће буџетске резерве у 201</w:t>
      </w:r>
      <w:r>
        <w:rPr>
          <w:rFonts w:ascii="Times New Roman" w:hAnsi="Times New Roman"/>
        </w:rPr>
        <w:t>4</w:t>
      </w:r>
      <w:r>
        <w:rPr/>
        <w:t>.</w:t>
      </w:r>
      <w:r>
        <w:rPr>
          <w:spacing w:val="-15"/>
        </w:rPr>
        <w:t> </w:t>
      </w:r>
      <w:r>
        <w:rPr/>
        <w:t>години</w:t>
      </w:r>
      <w:r>
        <w:rPr>
          <w:b w:val="0"/>
        </w:rPr>
      </w:r>
    </w:p>
    <w:p>
      <w:pPr>
        <w:pStyle w:val="BodyText"/>
        <w:spacing w:line="240" w:lineRule="auto"/>
        <w:ind w:right="175" w:firstLine="566"/>
        <w:jc w:val="both"/>
      </w:pPr>
      <w:r>
        <w:rPr/>
        <w:t>Буџетом града одобрена су средства за текућу буџетску резерву у износу од </w:t>
      </w:r>
      <w:r>
        <w:rPr>
          <w:rFonts w:ascii="Times New Roman" w:hAnsi="Times New Roman"/>
        </w:rPr>
        <w:t>80.000 </w:t>
      </w:r>
      <w:r>
        <w:rPr/>
        <w:t>хиљада динара, која су Одлуком о изменама и допунама одлуке о буџету увећана за  </w:t>
      </w:r>
      <w:r>
        <w:rPr>
          <w:spacing w:val="51"/>
        </w:rPr>
        <w:t> </w:t>
      </w:r>
      <w:r>
        <w:rPr/>
        <w:t>још</w:t>
      </w:r>
    </w:p>
    <w:p>
      <w:pPr>
        <w:pStyle w:val="BodyText"/>
        <w:spacing w:line="240" w:lineRule="auto"/>
        <w:ind w:right="0"/>
        <w:jc w:val="both"/>
      </w:pPr>
      <w:r>
        <w:rPr/>
        <w:t>90.000 хиљада</w:t>
      </w:r>
      <w:r>
        <w:rPr>
          <w:spacing w:val="-3"/>
        </w:rPr>
        <w:t> </w:t>
      </w:r>
      <w:r>
        <w:rPr/>
        <w:t>динара.</w:t>
      </w:r>
    </w:p>
    <w:p>
      <w:pPr>
        <w:pStyle w:val="BodyText"/>
        <w:spacing w:line="240" w:lineRule="auto"/>
        <w:ind w:right="174" w:firstLine="566"/>
        <w:jc w:val="both"/>
      </w:pPr>
      <w:r>
        <w:rPr/>
        <w:t>У 201</w:t>
      </w:r>
      <w:r>
        <w:rPr>
          <w:rFonts w:ascii="Times New Roman" w:hAnsi="Times New Roman" w:cs="Times New Roman" w:eastAsia="Times New Roman" w:hint="default"/>
        </w:rPr>
        <w:t>4</w:t>
      </w:r>
      <w:r>
        <w:rPr/>
        <w:t>. години донето је 20 решења о употреби средстава текуће буџетске резерве на основу којих су распоређена средства у износу од </w:t>
      </w:r>
      <w:r>
        <w:rPr>
          <w:rFonts w:ascii="Times New Roman" w:hAnsi="Times New Roman" w:cs="Times New Roman" w:eastAsia="Times New Roman" w:hint="default"/>
        </w:rPr>
        <w:t>112.218 </w:t>
      </w:r>
      <w:r>
        <w:rPr/>
        <w:t>хиљада динара. На дан 31.12.2014. године нераспоређена средства износе 57.782 хиљада динара. Средства су распоређена за групу: 411000 – плате, додаци и накнаде запослених у износу од 472 хиљаде динара, 412000 – социјални доприноси на терет послодавца у износу од 60 хиљада  динара,    414000  </w:t>
      </w:r>
      <w:r>
        <w:rPr>
          <w:rFonts w:ascii="Times New Roman" w:hAnsi="Times New Roman" w:cs="Times New Roman" w:eastAsia="Times New Roman" w:hint="default"/>
        </w:rPr>
        <w:t>-  </w:t>
      </w:r>
      <w:r>
        <w:rPr/>
        <w:t>социјална  давања  запосленима  у  износу  од  5.484 </w:t>
      </w:r>
      <w:r>
        <w:rPr>
          <w:spacing w:val="51"/>
        </w:rPr>
        <w:t> </w:t>
      </w:r>
      <w:r>
        <w:rPr/>
        <w:t>хиљаде</w:t>
      </w:r>
    </w:p>
    <w:p>
      <w:pPr>
        <w:spacing w:after="0" w:line="240" w:lineRule="auto"/>
        <w:jc w:val="both"/>
        <w:sectPr>
          <w:pgSz w:w="12240" w:h="15840"/>
          <w:pgMar w:header="740" w:footer="1504" w:top="120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BodyText"/>
        <w:spacing w:line="240" w:lineRule="auto" w:before="6"/>
        <w:ind w:right="174"/>
        <w:jc w:val="both"/>
      </w:pPr>
      <w:r>
        <w:rPr/>
        <w:t>динара, 416000 – награде, бонуси и остали посебни расходи у износу од 28 хиљада динара, </w:t>
      </w:r>
      <w:r>
        <w:rPr>
          <w:rFonts w:ascii="Times New Roman" w:hAnsi="Times New Roman" w:cs="Times New Roman" w:eastAsia="Times New Roman" w:hint="default"/>
        </w:rPr>
        <w:t>417000 </w:t>
      </w:r>
      <w:r>
        <w:rPr/>
        <w:t>– посланички додатак у износу од 500 хиљада динара, 421000 – стални трошкови  у износу од  25.000 хиљада динара, 423000  –  услуге по  уговору у износу   </w:t>
      </w:r>
      <w:r>
        <w:rPr>
          <w:spacing w:val="4"/>
        </w:rPr>
        <w:t> </w:t>
      </w:r>
      <w:r>
        <w:rPr/>
        <w:t>од</w:t>
      </w:r>
    </w:p>
    <w:p>
      <w:pPr>
        <w:pStyle w:val="BodyText"/>
        <w:spacing w:line="240" w:lineRule="auto"/>
        <w:ind w:right="173"/>
        <w:jc w:val="both"/>
      </w:pPr>
      <w:r>
        <w:rPr/>
        <w:t>5.464 хиљаде динара, 441000 – отплата домаћих камата у износу од 16.000 хиљада динара, 451000 – субвенције јавним нефинансијским предузећима и организацијама у износу од 9.815 хиљада динара, 463000</w:t>
      </w:r>
      <w:r>
        <w:rPr>
          <w:rFonts w:ascii="Times New Roman" w:hAnsi="Times New Roman" w:cs="Times New Roman" w:eastAsia="Times New Roman" w:hint="default"/>
        </w:rPr>
        <w:t>- </w:t>
      </w:r>
      <w:r>
        <w:rPr/>
        <w:t>трансфери осталим нивоима власти у износу  </w:t>
      </w:r>
      <w:r>
        <w:rPr>
          <w:spacing w:val="31"/>
        </w:rPr>
        <w:t> </w:t>
      </w:r>
      <w:r>
        <w:rPr/>
        <w:t>од</w:t>
      </w:r>
    </w:p>
    <w:p>
      <w:pPr>
        <w:pStyle w:val="BodyText"/>
        <w:spacing w:line="240" w:lineRule="auto"/>
        <w:ind w:right="172"/>
        <w:jc w:val="both"/>
      </w:pPr>
      <w:r>
        <w:rPr/>
        <w:t>9.102 хиљаде динара, 465000 – остале дотације и трансфри у износу од 11.168 хиљада динара, 482000 – порези обавезне таксе, казне и пенали, 483000 – новчане казне и пенали по решењу судова 1.300 хиљада динара, 541000 – земљиште у износу од 27.396 хиљада динара и 611000 – отплата главнице домаћим кредиторима у износу од 223 хиљаде динара.</w:t>
      </w:r>
    </w:p>
    <w:p>
      <w:pPr>
        <w:pStyle w:val="BodyText"/>
        <w:spacing w:line="240" w:lineRule="auto" w:before="60"/>
        <w:ind w:right="185" w:firstLine="566"/>
        <w:jc w:val="both"/>
      </w:pPr>
      <w:r>
        <w:rPr/>
        <w:t>Ревизијом је утврђено да узорковане рачуноводствене исправе не садрже неправилности.</w:t>
      </w:r>
    </w:p>
    <w:p>
      <w:pPr>
        <w:pStyle w:val="Heading1"/>
        <w:spacing w:line="274" w:lineRule="exact" w:before="204"/>
        <w:ind w:right="141"/>
        <w:jc w:val="left"/>
        <w:rPr>
          <w:b w:val="0"/>
          <w:bCs w:val="0"/>
        </w:rPr>
      </w:pPr>
      <w:r>
        <w:rPr/>
        <w:t>Неевидентиране промене на наменским подрачунима за</w:t>
      </w:r>
      <w:r>
        <w:rPr>
          <w:spacing w:val="-21"/>
        </w:rPr>
        <w:t> </w:t>
      </w:r>
      <w:r>
        <w:rPr/>
        <w:t>пројекте</w:t>
      </w:r>
      <w:r>
        <w:rPr>
          <w:b w:val="0"/>
        </w:rPr>
      </w:r>
    </w:p>
    <w:p>
      <w:pPr>
        <w:pStyle w:val="ListParagraph"/>
        <w:numPr>
          <w:ilvl w:val="0"/>
          <w:numId w:val="119"/>
        </w:numPr>
        <w:tabs>
          <w:tab w:pos="444" w:val="left" w:leader="none"/>
        </w:tabs>
        <w:spacing w:line="274" w:lineRule="exact" w:before="0" w:after="0"/>
        <w:ind w:left="160" w:right="0" w:firstLine="0"/>
        <w:jc w:val="both"/>
        <w:rPr>
          <w:rFonts w:ascii="Times New Roman" w:hAnsi="Times New Roman" w:cs="Times New Roman" w:eastAsia="Times New Roman" w:hint="default"/>
          <w:sz w:val="24"/>
          <w:szCs w:val="24"/>
        </w:rPr>
      </w:pPr>
      <w:r>
        <w:rPr>
          <w:rFonts w:ascii="Times New Roman" w:hAnsi="Times New Roman"/>
          <w:b/>
          <w:sz w:val="24"/>
        </w:rPr>
        <w:t>Управа за дечију</w:t>
      </w:r>
      <w:r>
        <w:rPr>
          <w:rFonts w:ascii="Times New Roman" w:hAnsi="Times New Roman"/>
          <w:b/>
          <w:sz w:val="24"/>
        </w:rPr>
        <w:t>, </w:t>
      </w:r>
      <w:r>
        <w:rPr>
          <w:rFonts w:ascii="Times New Roman" w:hAnsi="Times New Roman"/>
          <w:b/>
          <w:sz w:val="24"/>
        </w:rPr>
        <w:t>социјалну и примарну здравствену заштиту  </w:t>
      </w:r>
      <w:r>
        <w:rPr>
          <w:rFonts w:ascii="Times New Roman" w:hAnsi="Times New Roman"/>
          <w:sz w:val="24"/>
        </w:rPr>
        <w:t>- </w:t>
      </w:r>
      <w:r>
        <w:rPr>
          <w:rFonts w:ascii="Times New Roman" w:hAnsi="Times New Roman"/>
          <w:sz w:val="24"/>
        </w:rPr>
      </w:r>
      <w:r>
        <w:rPr>
          <w:rFonts w:ascii="Times New Roman" w:hAnsi="Times New Roman"/>
          <w:sz w:val="24"/>
          <w:u w:val="single" w:color="000000"/>
        </w:rPr>
      </w:r>
      <w:r>
        <w:rPr>
          <w:rFonts w:ascii="Times New Roman" w:hAnsi="Times New Roman"/>
          <w:sz w:val="24"/>
          <w:u w:val="single" w:color="000000"/>
        </w:rPr>
        <w:t>Пројекат   </w:t>
      </w:r>
      <w:r>
        <w:rPr>
          <w:rFonts w:ascii="Times New Roman" w:hAnsi="Times New Roman"/>
          <w:spacing w:val="57"/>
          <w:sz w:val="24"/>
          <w:u w:val="single" w:color="000000"/>
        </w:rPr>
        <w:t> </w:t>
      </w:r>
      <w:r>
        <w:rPr>
          <w:rFonts w:ascii="Times New Roman" w:hAnsi="Times New Roman"/>
          <w:sz w:val="24"/>
          <w:u w:val="single" w:color="000000"/>
        </w:rPr>
        <w:t>доделе</w:t>
      </w:r>
      <w:r>
        <w:rPr>
          <w:rFonts w:ascii="Times New Roman" w:hAnsi="Times New Roman"/>
          <w:sz w:val="24"/>
        </w:rPr>
      </w:r>
    </w:p>
    <w:p>
      <w:pPr>
        <w:pStyle w:val="BodyText"/>
        <w:spacing w:line="240" w:lineRule="auto"/>
        <w:ind w:right="0"/>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помоћи побољшању услова становања (подрачун број</w:t>
      </w:r>
      <w:r>
        <w:rPr>
          <w:spacing w:val="-11"/>
          <w:u w:val="single" w:color="000000"/>
        </w:rPr>
        <w:t> </w:t>
      </w:r>
      <w:r>
        <w:rPr>
          <w:u w:val="single" w:color="000000"/>
        </w:rPr>
        <w:t>840</w:t>
      </w:r>
      <w:r>
        <w:rPr>
          <w:rFonts w:ascii="Times New Roman" w:hAnsi="Times New Roman"/>
          <w:u w:val="single" w:color="000000"/>
        </w:rPr>
        <w:t>-2952741-42)</w:t>
      </w:r>
      <w:r>
        <w:rPr>
          <w:rFonts w:ascii="Times New Roman" w:hAnsi="Times New Roman"/>
        </w:rPr>
      </w:r>
    </w:p>
    <w:p>
      <w:pPr>
        <w:pStyle w:val="BodyText"/>
        <w:spacing w:line="240" w:lineRule="auto"/>
        <w:ind w:right="173" w:firstLine="566"/>
        <w:jc w:val="both"/>
      </w:pPr>
      <w:r>
        <w:rPr/>
        <w:t>Дана 10.12.2013. године, Градоначелник града Ниша закључио је Уговор број </w:t>
      </w:r>
      <w:r>
        <w:rPr>
          <w:rFonts w:ascii="Times New Roman" w:hAnsi="Times New Roman"/>
        </w:rPr>
        <w:t>4251/2013-</w:t>
      </w:r>
      <w:r>
        <w:rPr/>
        <w:t>01 о сарадњи на реализацији пројекта доделе помоћи намењене побољшању услова становања интерно расељеним лицима док су у расељеништву, обезбеђивањем домаћинства са окућницом са Комесаријатом за избеглице и миграције Републике Србије. За реализацију пројекта граду је додељено 7.290 хиљада динара за прибављање најмање 10 домаћинстава са окућницом. Поред додељених средстава Град се обавезао да учествује са износом од 810 хиљада динара. Дана 16.12.2013. године, сачињен је Анекс уговора број 4273/2013</w:t>
      </w:r>
      <w:r>
        <w:rPr>
          <w:rFonts w:ascii="Times New Roman" w:hAnsi="Times New Roman"/>
        </w:rPr>
        <w:t>-</w:t>
      </w:r>
      <w:r>
        <w:rPr/>
        <w:t>01 у коме се наводи број подрачуна на који ће Комесаријат уплатити средства. Дана 26.01.2015. године сачињен је Анекс </w:t>
      </w:r>
      <w:r>
        <w:rPr>
          <w:rFonts w:ascii="Times New Roman" w:hAnsi="Times New Roman"/>
        </w:rPr>
        <w:t>I </w:t>
      </w:r>
      <w:r>
        <w:rPr/>
        <w:t>уговора, број </w:t>
      </w:r>
      <w:r>
        <w:rPr>
          <w:rFonts w:ascii="Times New Roman" w:hAnsi="Times New Roman"/>
        </w:rPr>
        <w:t>199/2015-01, </w:t>
      </w:r>
      <w:r>
        <w:rPr/>
        <w:t>којим се мења обавеза о доказу извршења уговора и то: доставити доказе о извршењу својих обавеза преузете из Уговора до 30.06.2015. године, а доказе о наменском коришћењу откупљених домаћинастава са окућницом до 31.08.2015. године. Комесаријат се обавезао да средства уплати на рачун 840</w:t>
      </w:r>
      <w:r>
        <w:rPr>
          <w:rFonts w:ascii="Times New Roman" w:hAnsi="Times New Roman"/>
        </w:rPr>
        <w:t>-2952741-</w:t>
      </w:r>
      <w:r>
        <w:rPr/>
        <w:t>42. У 2013. години уплаћена су средства у износу од 7.290 хиљада динара. У 2014. години није било уплата из разлога што средства у 2013. години нису утрошена, већ су у укупном износу пренета у 2014. годину. Средства нису евидентирана у пословним књигама града Ниша и нису трошена у 2014.</w:t>
      </w:r>
      <w:r>
        <w:rPr>
          <w:spacing w:val="-2"/>
        </w:rPr>
        <w:t> </w:t>
      </w:r>
      <w:r>
        <w:rPr/>
        <w:t>години.</w:t>
      </w:r>
    </w:p>
    <w:p>
      <w:pPr>
        <w:pStyle w:val="BodyText"/>
        <w:spacing w:line="240" w:lineRule="auto"/>
        <w:ind w:right="179" w:firstLine="566"/>
        <w:jc w:val="both"/>
      </w:pPr>
      <w:r>
        <w:rPr/>
        <w:t>Дана 06.05.2014. године, Градоначелник града Ниша закључио је Уговор број </w:t>
      </w:r>
      <w:r>
        <w:rPr>
          <w:rFonts w:ascii="Times New Roman" w:hAnsi="Times New Roman"/>
        </w:rPr>
        <w:t>1636/2014-</w:t>
      </w:r>
      <w:r>
        <w:rPr/>
        <w:t>01 о сарадњи на реализацији програма коришћења средстава за решавање стамбених потреба и друге програме интеграције избеглица у 2014. години, са Комесаријатом за избеглице и миграције Републике Србије. Сврха уговора је додела средстава намењених стварању услова становања породицама избеглица на територији Града, у процесу интеграције, набавком 10 пакета грађевинског материјала. За реализацију пројекта граду је додељено 5.000 хиљада динара, док се град обавезао да обезбеди средства у износу од 500 хиљада динара. Комесаријат се обавезао да средства уплати на рачун 840</w:t>
      </w:r>
      <w:r>
        <w:rPr>
          <w:rFonts w:ascii="Times New Roman" w:hAnsi="Times New Roman"/>
        </w:rPr>
        <w:t>-2952741-</w:t>
      </w:r>
      <w:r>
        <w:rPr/>
        <w:t>42. Град је овај подрачун отворио код Управе за трезор у окиру Консолидованог рачуна трезора. У 2014. години уплаћена су средства у износу </w:t>
      </w:r>
      <w:r>
        <w:rPr>
          <w:spacing w:val="46"/>
        </w:rPr>
        <w:t> </w:t>
      </w:r>
      <w:r>
        <w:rPr/>
        <w:t>од</w:t>
      </w:r>
    </w:p>
    <w:p>
      <w:pPr>
        <w:pStyle w:val="BodyText"/>
        <w:spacing w:line="240" w:lineRule="auto"/>
        <w:ind w:right="178"/>
        <w:jc w:val="both"/>
      </w:pPr>
      <w:r>
        <w:rPr/>
        <w:t>5.000 хиљада динара, која нису коришћена и која нису евидентирана у пословним књигама града</w:t>
      </w:r>
      <w:r>
        <w:rPr>
          <w:spacing w:val="-6"/>
        </w:rPr>
        <w:t> </w:t>
      </w:r>
      <w:r>
        <w:rPr/>
        <w:t>Ниша.</w:t>
      </w:r>
    </w:p>
    <w:p>
      <w:pPr>
        <w:spacing w:after="0" w:line="240" w:lineRule="auto"/>
        <w:jc w:val="both"/>
        <w:sectPr>
          <w:pgSz w:w="12240" w:h="15840"/>
          <w:pgMar w:header="740" w:footer="1504" w:top="120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BodyText"/>
        <w:spacing w:line="240" w:lineRule="auto" w:before="6"/>
        <w:ind w:right="173" w:firstLine="566"/>
        <w:jc w:val="both"/>
      </w:pPr>
      <w:r>
        <w:rPr/>
        <w:t>Са овог подрачуна</w:t>
      </w:r>
      <w:r>
        <w:rPr>
          <w:rFonts w:ascii="Times New Roman" w:hAnsi="Times New Roman"/>
        </w:rPr>
        <w:t>, </w:t>
      </w:r>
      <w:r>
        <w:rPr/>
        <w:t>вршено је плаћање по основу: једнократне новчане помоћи за избегла и интерно расељена лица за превазилажење тешке материјалне ситуације</w:t>
      </w:r>
      <w:r>
        <w:rPr>
          <w:rFonts w:ascii="Times New Roman" w:hAnsi="Times New Roman"/>
        </w:rPr>
        <w:t>, </w:t>
      </w:r>
      <w:r>
        <w:rPr/>
        <w:t>рефундирање погребних трошкова и набавке огревног дрвета. Комесаријат за избеглице је за ове расходе пренео средства у износу од 1.489 хиљада динара. Управа за дечију</w:t>
      </w:r>
      <w:r>
        <w:rPr>
          <w:rFonts w:ascii="Times New Roman" w:hAnsi="Times New Roman"/>
        </w:rPr>
        <w:t>, </w:t>
      </w:r>
      <w:r>
        <w:rPr/>
        <w:t>социјалну и примарну здравствену заштиту је за овај расход извршила плаћање у износу од 594 хиљаде динара, док је износ од 895 хиљада динара остао на подрачуну као неутрошена</w:t>
      </w:r>
      <w:r>
        <w:rPr>
          <w:spacing w:val="-9"/>
        </w:rPr>
        <w:t> </w:t>
      </w:r>
      <w:r>
        <w:rPr/>
        <w:t>средства.</w:t>
      </w:r>
    </w:p>
    <w:p>
      <w:pPr>
        <w:pStyle w:val="Heading1"/>
        <w:spacing w:line="275" w:lineRule="exact"/>
        <w:ind w:right="141"/>
        <w:jc w:val="left"/>
        <w:rPr>
          <w:rFonts w:ascii="Times New Roman" w:hAnsi="Times New Roman" w:cs="Times New Roman" w:eastAsia="Times New Roman" w:hint="default"/>
          <w:b w:val="0"/>
          <w:bCs w:val="0"/>
        </w:rPr>
      </w:pPr>
      <w:r>
        <w:rPr/>
        <w:t>На основу ревизије узорковане документације утврђено</w:t>
      </w:r>
      <w:r>
        <w:rPr>
          <w:spacing w:val="-13"/>
        </w:rPr>
        <w:t> </w:t>
      </w:r>
      <w:r>
        <w:rPr/>
        <w:t>је</w:t>
      </w:r>
      <w:r>
        <w:rPr>
          <w:rFonts w:ascii="Times New Roman" w:hAnsi="Times New Roman"/>
        </w:rPr>
        <w:t>:</w:t>
      </w:r>
      <w:r>
        <w:rPr>
          <w:rFonts w:ascii="Times New Roman" w:hAnsi="Times New Roman"/>
          <w:b w:val="0"/>
        </w:rPr>
      </w:r>
    </w:p>
    <w:p>
      <w:pPr>
        <w:pStyle w:val="ListParagraph"/>
        <w:numPr>
          <w:ilvl w:val="0"/>
          <w:numId w:val="9"/>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Примљена средства у 20</w:t>
      </w:r>
      <w:r>
        <w:rPr>
          <w:rFonts w:ascii="Times New Roman" w:hAnsi="Times New Roman" w:cs="Times New Roman" w:eastAsia="Times New Roman" w:hint="default"/>
          <w:sz w:val="24"/>
          <w:szCs w:val="24"/>
        </w:rPr>
        <w:t>13</w:t>
      </w:r>
      <w:r>
        <w:rPr>
          <w:rFonts w:ascii="Times New Roman" w:hAnsi="Times New Roman" w:cs="Times New Roman" w:eastAsia="Times New Roman" w:hint="default"/>
          <w:sz w:val="24"/>
          <w:szCs w:val="24"/>
        </w:rPr>
        <w:t>. години од Комесаријата за избеглице и миграције  Републике Србије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у износу од </w:t>
      </w:r>
      <w:r>
        <w:rPr>
          <w:rFonts w:ascii="Times New Roman" w:hAnsi="Times New Roman" w:cs="Times New Roman" w:eastAsia="Times New Roman" w:hint="default"/>
          <w:sz w:val="24"/>
          <w:szCs w:val="24"/>
        </w:rPr>
        <w:t>7.290 </w:t>
      </w:r>
      <w:r>
        <w:rPr>
          <w:rFonts w:ascii="Times New Roman" w:hAnsi="Times New Roman" w:cs="Times New Roman" w:eastAsia="Times New Roman" w:hint="default"/>
          <w:sz w:val="24"/>
          <w:szCs w:val="24"/>
        </w:rPr>
        <w:t>хиљада динара</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по Уговору о сарадњи број </w:t>
      </w:r>
      <w:r>
        <w:rPr>
          <w:rFonts w:ascii="Times New Roman" w:hAnsi="Times New Roman" w:cs="Times New Roman" w:eastAsia="Times New Roman" w:hint="default"/>
          <w:sz w:val="24"/>
          <w:szCs w:val="24"/>
        </w:rPr>
        <w:t>4251/2013-01, </w:t>
      </w:r>
      <w:r>
        <w:rPr>
          <w:rFonts w:ascii="Times New Roman" w:hAnsi="Times New Roman" w:cs="Times New Roman" w:eastAsia="Times New Roman" w:hint="default"/>
          <w:sz w:val="24"/>
          <w:szCs w:val="24"/>
        </w:rPr>
        <w:t>нису евидентирана у пословним књигама директног корисника, тако да су билансна позиција 121000 – новчана средства, племенити метали, хартије од вредности и билансна позиција 311000 – капитал, на дан 31.12.2013. године, мање исказане за износ од 7.290 хиљада динара, што је супротно члану </w:t>
      </w:r>
      <w:r>
        <w:rPr>
          <w:rFonts w:ascii="Times New Roman" w:hAnsi="Times New Roman" w:cs="Times New Roman" w:eastAsia="Times New Roman" w:hint="default"/>
          <w:sz w:val="24"/>
          <w:szCs w:val="24"/>
        </w:rPr>
        <w:t>9. </w:t>
      </w:r>
      <w:r>
        <w:rPr>
          <w:rFonts w:ascii="Times New Roman" w:hAnsi="Times New Roman" w:cs="Times New Roman" w:eastAsia="Times New Roman" w:hint="default"/>
          <w:sz w:val="24"/>
          <w:szCs w:val="24"/>
        </w:rPr>
        <w:t>и члану 16.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систем.</w:t>
      </w:r>
    </w:p>
    <w:p>
      <w:pPr>
        <w:pStyle w:val="BodyText"/>
        <w:spacing w:line="240" w:lineRule="auto" w:before="2"/>
        <w:ind w:right="168" w:firstLine="16"/>
        <w:jc w:val="both"/>
        <w:rPr>
          <w:rFonts w:ascii="Times New Roman" w:hAnsi="Times New Roman" w:cs="Times New Roman" w:eastAsia="Times New Roman" w:hint="default"/>
        </w:rPr>
      </w:pPr>
      <w:r>
        <w:rPr>
          <w:rFonts w:ascii="Symbol" w:hAnsi="Symbol" w:cs="Symbol" w:eastAsia="Symbol" w:hint="default"/>
        </w:rPr>
        <w:t></w:t>
      </w:r>
      <w:r>
        <w:rPr/>
        <w:t>Примљена средства у 2014. години од Комесаријата за избеглице и миграцију  Републике Србије у износу од 5.000 хиљада динара по основу Уговора о сарадњи број </w:t>
      </w:r>
      <w:r>
        <w:rPr>
          <w:rFonts w:ascii="Times New Roman" w:hAnsi="Times New Roman" w:cs="Times New Roman" w:eastAsia="Times New Roman" w:hint="default"/>
        </w:rPr>
        <w:t>1636/2014-</w:t>
      </w:r>
      <w:r>
        <w:rPr/>
        <w:t>01 и у износу од 1.489 хиљада динара по основу решења, нису евидентирана у пословним књигама директног корисника</w:t>
      </w:r>
      <w:r>
        <w:rPr>
          <w:rFonts w:ascii="Times New Roman" w:hAnsi="Times New Roman" w:cs="Times New Roman" w:eastAsia="Times New Roman" w:hint="default"/>
        </w:rPr>
        <w:t>, </w:t>
      </w:r>
      <w:r>
        <w:rPr/>
        <w:t>и на тај начин исказан је приход 733100 – текући трансфери од других нивоа власти у мањем износу за 6.489 хиљада динара, што је супротно члану </w:t>
      </w:r>
      <w:r>
        <w:rPr>
          <w:rFonts w:ascii="Times New Roman" w:hAnsi="Times New Roman" w:cs="Times New Roman" w:eastAsia="Times New Roman" w:hint="default"/>
        </w:rPr>
        <w:t>9</w:t>
      </w:r>
      <w:r>
        <w:rPr/>
        <w:t>. Уредбе о буџетском рачуноводству, Правилнику о начину припреме, састављања и подношења финансијских извештаја корисника буџетских средстава</w:t>
      </w:r>
      <w:r>
        <w:rPr>
          <w:rFonts w:ascii="Times New Roman" w:hAnsi="Times New Roman" w:cs="Times New Roman" w:eastAsia="Times New Roman" w:hint="default"/>
        </w:rPr>
        <w:t>, </w:t>
      </w:r>
      <w:r>
        <w:rPr/>
        <w:t>корисника средстава организација за обавезно социјално осигурање и буџетских фондова и Правилнику о стандардном класификационом оквиру и контном плану за буџетски систем</w:t>
      </w:r>
      <w:r>
        <w:rPr>
          <w:rFonts w:ascii="Times New Roman" w:hAnsi="Times New Roman" w:cs="Times New Roman" w:eastAsia="Times New Roman" w:hint="default"/>
        </w:rPr>
        <w:t>.</w:t>
      </w:r>
    </w:p>
    <w:p>
      <w:pPr>
        <w:pStyle w:val="ListParagraph"/>
        <w:numPr>
          <w:ilvl w:val="0"/>
          <w:numId w:val="9"/>
        </w:numPr>
        <w:tabs>
          <w:tab w:pos="303"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Са подрачуна је извршено плаћање у износу 594 хиљаде динара за једнократне новчане помоћи, од којих је износ од 160 хиљада динара плаћен са рачуна извршења буџета, док је износ од 434 хиљаде динара плаћен са подрачуна 840</w:t>
      </w:r>
      <w:r>
        <w:rPr>
          <w:rFonts w:ascii="Times New Roman" w:hAnsi="Times New Roman" w:cs="Times New Roman" w:eastAsia="Times New Roman" w:hint="default"/>
          <w:sz w:val="24"/>
          <w:szCs w:val="24"/>
        </w:rPr>
        <w:t>-2952741-</w:t>
      </w:r>
      <w:r>
        <w:rPr>
          <w:rFonts w:ascii="Times New Roman" w:hAnsi="Times New Roman" w:cs="Times New Roman" w:eastAsia="Times New Roman" w:hint="default"/>
          <w:sz w:val="24"/>
          <w:szCs w:val="24"/>
        </w:rPr>
        <w:t>42, а да при томе није извршено евидентирање расхода на групи 472000 – накнаде за социјалну заштиту из буџета у износу од 434 хиљаде динара, што је супротно члану </w:t>
      </w:r>
      <w:r>
        <w:rPr>
          <w:rFonts w:ascii="Times New Roman" w:hAnsi="Times New Roman" w:cs="Times New Roman" w:eastAsia="Times New Roman" w:hint="default"/>
          <w:sz w:val="24"/>
          <w:szCs w:val="24"/>
        </w:rPr>
        <w:t>9. </w:t>
      </w:r>
      <w:r>
        <w:rPr>
          <w:rFonts w:ascii="Times New Roman" w:hAnsi="Times New Roman" w:cs="Times New Roman" w:eastAsia="Times New Roman" w:hint="default"/>
          <w:sz w:val="24"/>
          <w:szCs w:val="24"/>
        </w:rPr>
        <w:t>и члану </w:t>
      </w:r>
      <w:r>
        <w:rPr>
          <w:rFonts w:ascii="Times New Roman" w:hAnsi="Times New Roman" w:cs="Times New Roman" w:eastAsia="Times New Roman" w:hint="default"/>
          <w:sz w:val="24"/>
          <w:szCs w:val="24"/>
        </w:rPr>
        <w:t>16. </w:t>
      </w:r>
      <w:r>
        <w:rPr>
          <w:rFonts w:ascii="Times New Roman" w:hAnsi="Times New Roman" w:cs="Times New Roman" w:eastAsia="Times New Roman" w:hint="default"/>
          <w:sz w:val="24"/>
          <w:szCs w:val="24"/>
        </w:rPr>
        <w:t>Уредбе о буџетском рачуноводству и Правилника о стандардном класификационом оквиру и контном плану за буџетски</w:t>
      </w:r>
      <w:r>
        <w:rPr>
          <w:rFonts w:ascii="Times New Roman" w:hAnsi="Times New Roman" w:cs="Times New Roman" w:eastAsia="Times New Roman" w:hint="default"/>
          <w:spacing w:val="-17"/>
          <w:sz w:val="24"/>
          <w:szCs w:val="24"/>
        </w:rPr>
        <w:t> </w:t>
      </w:r>
      <w:r>
        <w:rPr>
          <w:rFonts w:ascii="Times New Roman" w:hAnsi="Times New Roman" w:cs="Times New Roman" w:eastAsia="Times New Roman" w:hint="default"/>
          <w:sz w:val="24"/>
          <w:szCs w:val="24"/>
        </w:rPr>
        <w:t>систем.</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Град Ниш није исказао обавезе по основу Уговора број </w:t>
      </w:r>
      <w:r>
        <w:rPr>
          <w:rFonts w:ascii="Times New Roman" w:hAnsi="Times New Roman" w:cs="Times New Roman" w:eastAsia="Times New Roman" w:hint="default"/>
          <w:sz w:val="24"/>
          <w:szCs w:val="24"/>
        </w:rPr>
        <w:t>4251/2013-01 </w:t>
      </w:r>
      <w:r>
        <w:rPr>
          <w:rFonts w:ascii="Times New Roman" w:hAnsi="Times New Roman" w:cs="Times New Roman" w:eastAsia="Times New Roman" w:hint="default"/>
          <w:sz w:val="24"/>
          <w:szCs w:val="24"/>
        </w:rPr>
        <w:t>(у износу од 810 хиљада динара) и Уговора број </w:t>
      </w:r>
      <w:r>
        <w:rPr>
          <w:rFonts w:ascii="Times New Roman" w:hAnsi="Times New Roman" w:cs="Times New Roman" w:eastAsia="Times New Roman" w:hint="default"/>
          <w:sz w:val="24"/>
          <w:szCs w:val="24"/>
        </w:rPr>
        <w:t>1636/2014-01 </w:t>
      </w:r>
      <w:r>
        <w:rPr>
          <w:rFonts w:ascii="Times New Roman" w:hAnsi="Times New Roman" w:cs="Times New Roman" w:eastAsia="Times New Roman" w:hint="default"/>
          <w:sz w:val="24"/>
          <w:szCs w:val="24"/>
        </w:rPr>
        <w:t>(у износу од 500 хиљада динара) на групи конта 244000 – обавезе за социјално осигурање у износу од 1.310 хиљада динара, што је супротно члану 9. Уредбе о буџетском рачуноводству и Правилника о стандардном класификационом оквиру и контном плану за буџетски</w:t>
      </w:r>
      <w:r>
        <w:rPr>
          <w:rFonts w:ascii="Times New Roman" w:hAnsi="Times New Roman" w:cs="Times New Roman" w:eastAsia="Times New Roman" w:hint="default"/>
          <w:spacing w:val="-26"/>
          <w:sz w:val="24"/>
          <w:szCs w:val="24"/>
        </w:rPr>
        <w:t> </w:t>
      </w:r>
      <w:r>
        <w:rPr>
          <w:rFonts w:ascii="Times New Roman" w:hAnsi="Times New Roman" w:cs="Times New Roman" w:eastAsia="Times New Roman" w:hint="default"/>
          <w:sz w:val="24"/>
          <w:szCs w:val="24"/>
        </w:rPr>
        <w:t>систем.</w:t>
      </w:r>
    </w:p>
    <w:p>
      <w:pPr>
        <w:pStyle w:val="Heading2"/>
        <w:spacing w:line="240" w:lineRule="auto"/>
        <w:ind w:right="172"/>
        <w:jc w:val="both"/>
        <w:rPr>
          <w:rFonts w:ascii="Times New Roman" w:hAnsi="Times New Roman" w:cs="Times New Roman" w:eastAsia="Times New Roman" w:hint="default"/>
          <w:b w:val="0"/>
          <w:bCs w:val="0"/>
          <w:i w:val="0"/>
        </w:rPr>
      </w:pPr>
      <w:r>
        <w:rPr>
          <w:i/>
        </w:rPr>
        <w:t>Препоручује се одговорним лицима да приходе и примања и расходе и издатке по пројектима евидентирају у својим пословним књигама и да обезбеде правилну примену одредби Уредбе о буџетском рачуноводству, Правилника о стандардном класификационом оквиру и контном плану за буџетски систем и Правилника о начину припреме, састављања и подношења финансијских извештаја корисника буџетских средстава</w:t>
      </w:r>
      <w:r>
        <w:rPr>
          <w:rFonts w:ascii="Times New Roman" w:hAnsi="Times New Roman"/>
          <w:i/>
        </w:rPr>
        <w:t>, </w:t>
      </w:r>
      <w:r>
        <w:rPr>
          <w:i/>
        </w:rPr>
        <w:t>корисника средстава организација за обавезно социјално осигурање и буџетских</w:t>
      </w:r>
      <w:r>
        <w:rPr>
          <w:i/>
          <w:spacing w:val="-7"/>
        </w:rPr>
        <w:t> </w:t>
      </w:r>
      <w:r>
        <w:rPr>
          <w:i/>
        </w:rPr>
        <w:t>фондова</w:t>
      </w:r>
      <w:r>
        <w:rPr>
          <w:rFonts w:ascii="Times New Roman" w:hAnsi="Times New Roman"/>
          <w:i/>
        </w:rPr>
        <w:t>.</w:t>
      </w:r>
      <w:r>
        <w:rPr>
          <w:rFonts w:ascii="Times New Roman" w:hAnsi="Times New Roman"/>
          <w:b w:val="0"/>
          <w:i w:val="0"/>
        </w:rPr>
      </w:r>
    </w:p>
    <w:p>
      <w:pPr>
        <w:spacing w:after="0" w:line="240" w:lineRule="auto"/>
        <w:jc w:val="both"/>
        <w:rPr>
          <w:rFonts w:ascii="Times New Roman" w:hAnsi="Times New Roman" w:cs="Times New Roman" w:eastAsia="Times New Roman" w:hint="default"/>
        </w:rPr>
        <w:sectPr>
          <w:pgSz w:w="12240" w:h="15840"/>
          <w:pgMar w:header="740" w:footer="1504" w:top="120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ListParagraph"/>
        <w:numPr>
          <w:ilvl w:val="0"/>
          <w:numId w:val="119"/>
        </w:numPr>
        <w:tabs>
          <w:tab w:pos="444" w:val="left" w:leader="none"/>
        </w:tabs>
        <w:spacing w:line="240" w:lineRule="auto" w:before="6" w:after="0"/>
        <w:ind w:left="443" w:right="0" w:hanging="283"/>
        <w:jc w:val="both"/>
        <w:rPr>
          <w:rFonts w:ascii="Times New Roman" w:hAnsi="Times New Roman" w:cs="Times New Roman" w:eastAsia="Times New Roman" w:hint="default"/>
          <w:sz w:val="24"/>
          <w:szCs w:val="24"/>
        </w:rPr>
      </w:pPr>
      <w:r>
        <w:rPr>
          <w:rFonts w:ascii="Times New Roman" w:hAnsi="Times New Roman"/>
          <w:b/>
          <w:sz w:val="24"/>
        </w:rPr>
        <w:t>Служба за послове градоначелника  </w:t>
      </w:r>
      <w:r>
        <w:rPr>
          <w:rFonts w:ascii="Times New Roman" w:hAnsi="Times New Roman"/>
          <w:sz w:val="24"/>
        </w:rPr>
        <w:t>- </w:t>
      </w:r>
      <w:r>
        <w:rPr>
          <w:rFonts w:ascii="Times New Roman" w:hAnsi="Times New Roman"/>
          <w:sz w:val="24"/>
        </w:rPr>
      </w:r>
      <w:r>
        <w:rPr>
          <w:rFonts w:ascii="Times New Roman" w:hAnsi="Times New Roman"/>
          <w:sz w:val="24"/>
          <w:u w:val="single" w:color="000000"/>
        </w:rPr>
      </w:r>
      <w:r>
        <w:rPr>
          <w:rFonts w:ascii="Times New Roman" w:hAnsi="Times New Roman"/>
          <w:sz w:val="24"/>
          <w:u w:val="single" w:color="000000"/>
        </w:rPr>
        <w:t>Међународна конференција:    </w:t>
      </w:r>
      <w:r>
        <w:rPr>
          <w:rFonts w:ascii="Times New Roman" w:hAnsi="Times New Roman"/>
          <w:spacing w:val="21"/>
          <w:sz w:val="24"/>
          <w:u w:val="single" w:color="000000"/>
        </w:rPr>
        <w:t> </w:t>
      </w:r>
      <w:r>
        <w:rPr>
          <w:rFonts w:ascii="Times New Roman" w:hAnsi="Times New Roman"/>
          <w:sz w:val="24"/>
          <w:u w:val="single" w:color="000000"/>
        </w:rPr>
        <w:t>Држава</w:t>
      </w:r>
      <w:r>
        <w:rPr>
          <w:rFonts w:ascii="Times New Roman" w:hAnsi="Times New Roman"/>
          <w:sz w:val="24"/>
          <w:u w:val="single" w:color="000000"/>
        </w:rPr>
        <w:t>-</w:t>
      </w:r>
      <w:r>
        <w:rPr>
          <w:rFonts w:ascii="Times New Roman" w:hAnsi="Times New Roman"/>
          <w:sz w:val="24"/>
          <w:u w:val="single" w:color="000000"/>
        </w:rPr>
        <w:t>Црква</w:t>
      </w:r>
      <w:r>
        <w:rPr>
          <w:rFonts w:ascii="Times New Roman" w:hAnsi="Times New Roman"/>
          <w:sz w:val="24"/>
          <w:u w:val="single" w:color="000000"/>
        </w:rPr>
        <w:t>-</w:t>
      </w:r>
      <w:r>
        <w:rPr>
          <w:rFonts w:ascii="Times New Roman" w:hAnsi="Times New Roman"/>
          <w:sz w:val="24"/>
        </w:rPr>
      </w:r>
    </w:p>
    <w:p>
      <w:pPr>
        <w:pStyle w:val="BodyText"/>
        <w:spacing w:line="240" w:lineRule="auto"/>
        <w:ind w:right="0"/>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Друштво: Историјске лекције и перспективе (подрачун број</w:t>
      </w:r>
      <w:r>
        <w:rPr>
          <w:spacing w:val="-17"/>
          <w:u w:val="single" w:color="000000"/>
        </w:rPr>
        <w:t> </w:t>
      </w:r>
      <w:r>
        <w:rPr>
          <w:u w:val="single" w:color="000000"/>
        </w:rPr>
        <w:t>840</w:t>
      </w:r>
      <w:r>
        <w:rPr>
          <w:rFonts w:ascii="Times New Roman" w:hAnsi="Times New Roman"/>
          <w:u w:val="single" w:color="000000"/>
        </w:rPr>
        <w:t>-2959741-91)</w:t>
      </w:r>
      <w:r>
        <w:rPr>
          <w:rFonts w:ascii="Times New Roman" w:hAnsi="Times New Roman"/>
        </w:rPr>
        <w:t>.</w:t>
      </w:r>
    </w:p>
    <w:p>
      <w:pPr>
        <w:pStyle w:val="BodyText"/>
        <w:spacing w:line="240" w:lineRule="auto"/>
        <w:ind w:right="177" w:firstLine="566"/>
        <w:jc w:val="both"/>
      </w:pPr>
      <w:r>
        <w:rPr/>
        <w:t>Дана 24.12.2013. године, Градоначеник града Ниша закључио је Уговор о донаторству број 4353/2013</w:t>
      </w:r>
      <w:r>
        <w:rPr>
          <w:rFonts w:ascii="Times New Roman" w:hAnsi="Times New Roman" w:cs="Times New Roman" w:eastAsia="Times New Roman" w:hint="default"/>
        </w:rPr>
        <w:t>-</w:t>
      </w:r>
      <w:r>
        <w:rPr/>
        <w:t>01, са Предузећем за изградњу гасоводних система, транспорт и промет природнох гаса „Југоросгас“ ад Београд (донатор). Донатор се овим уговором обавезује да партиципира у трошковима организације Међународне конференције: Држава – Црква</w:t>
      </w:r>
      <w:r>
        <w:rPr>
          <w:rFonts w:ascii="Times New Roman" w:hAnsi="Times New Roman" w:cs="Times New Roman" w:eastAsia="Times New Roman" w:hint="default"/>
        </w:rPr>
        <w:t>-</w:t>
      </w:r>
      <w:r>
        <w:rPr/>
        <w:t>Друштво: Историјске лекције и перспективе. Донатор се обавезао да примаоцу донаторства донира новчана средства у износу од 1.000 хиљада динара</w:t>
      </w:r>
      <w:r>
        <w:rPr>
          <w:spacing w:val="20"/>
        </w:rPr>
        <w:t> </w:t>
      </w:r>
      <w:r>
        <w:rPr/>
        <w:t>на</w:t>
      </w:r>
      <w:r>
        <w:rPr>
          <w:spacing w:val="20"/>
        </w:rPr>
        <w:t> </w:t>
      </w:r>
      <w:r>
        <w:rPr/>
        <w:t>наменски</w:t>
      </w:r>
      <w:r>
        <w:rPr>
          <w:spacing w:val="20"/>
        </w:rPr>
        <w:t> </w:t>
      </w:r>
      <w:r>
        <w:rPr/>
        <w:t>подрачун.</w:t>
      </w:r>
      <w:r>
        <w:rPr>
          <w:spacing w:val="21"/>
        </w:rPr>
        <w:t> </w:t>
      </w:r>
      <w:r>
        <w:rPr/>
        <w:t>У</w:t>
      </w:r>
      <w:r>
        <w:rPr>
          <w:spacing w:val="22"/>
        </w:rPr>
        <w:t> </w:t>
      </w:r>
      <w:r>
        <w:rPr/>
        <w:t>2013.</w:t>
      </w:r>
      <w:r>
        <w:rPr>
          <w:spacing w:val="21"/>
        </w:rPr>
        <w:t> </w:t>
      </w:r>
      <w:r>
        <w:rPr/>
        <w:t>години</w:t>
      </w:r>
      <w:r>
        <w:rPr>
          <w:spacing w:val="22"/>
        </w:rPr>
        <w:t> </w:t>
      </w:r>
      <w:r>
        <w:rPr/>
        <w:t>донатор</w:t>
      </w:r>
      <w:r>
        <w:rPr>
          <w:spacing w:val="21"/>
        </w:rPr>
        <w:t> </w:t>
      </w:r>
      <w:r>
        <w:rPr/>
        <w:t>је</w:t>
      </w:r>
      <w:r>
        <w:rPr>
          <w:spacing w:val="23"/>
        </w:rPr>
        <w:t> </w:t>
      </w:r>
      <w:r>
        <w:rPr/>
        <w:t>уплатио</w:t>
      </w:r>
      <w:r>
        <w:rPr>
          <w:spacing w:val="21"/>
        </w:rPr>
        <w:t> </w:t>
      </w:r>
      <w:r>
        <w:rPr/>
        <w:t>средства</w:t>
      </w:r>
      <w:r>
        <w:rPr>
          <w:spacing w:val="30"/>
        </w:rPr>
        <w:t> </w:t>
      </w:r>
      <w:r>
        <w:rPr/>
        <w:t>у</w:t>
      </w:r>
      <w:r>
        <w:rPr>
          <w:spacing w:val="16"/>
        </w:rPr>
        <w:t> </w:t>
      </w:r>
      <w:r>
        <w:rPr/>
        <w:t>износу</w:t>
      </w:r>
      <w:r>
        <w:rPr>
          <w:spacing w:val="16"/>
        </w:rPr>
        <w:t> </w:t>
      </w:r>
      <w:r>
        <w:rPr/>
        <w:t>од</w:t>
      </w:r>
    </w:p>
    <w:p>
      <w:pPr>
        <w:pStyle w:val="BodyText"/>
        <w:spacing w:line="240" w:lineRule="auto"/>
        <w:ind w:right="0"/>
        <w:jc w:val="both"/>
      </w:pPr>
      <w:r>
        <w:rPr/>
        <w:t>1.000 хиљада динара. Средства у 2013. години нису</w:t>
      </w:r>
      <w:r>
        <w:rPr>
          <w:spacing w:val="-16"/>
        </w:rPr>
        <w:t> </w:t>
      </w:r>
      <w:r>
        <w:rPr/>
        <w:t>трошена.</w:t>
      </w:r>
    </w:p>
    <w:p>
      <w:pPr>
        <w:pStyle w:val="BodyText"/>
        <w:spacing w:line="240" w:lineRule="auto"/>
        <w:ind w:right="178" w:firstLine="566"/>
        <w:jc w:val="both"/>
      </w:pPr>
      <w:r>
        <w:rPr/>
        <w:t>Дана 24.12.2013. године, Градоначеник града Ниша закључио је Уговор о спонзорству број 4352/2013</w:t>
      </w:r>
      <w:r>
        <w:rPr>
          <w:rFonts w:ascii="Times New Roman" w:hAnsi="Times New Roman" w:cs="Times New Roman" w:eastAsia="Times New Roman" w:hint="default"/>
        </w:rPr>
        <w:t>-</w:t>
      </w:r>
      <w:r>
        <w:rPr/>
        <w:t>01, са Предузећем за изградњу гасоводних система, транспорт и промет природнох гаса „Југоросгас“ ад Београд (спонзор). Спонзор се овим уговором обавезао да партиципира у трошковима организације Међународне конференције: Држава – Црква</w:t>
      </w:r>
      <w:r>
        <w:rPr>
          <w:rFonts w:ascii="Times New Roman" w:hAnsi="Times New Roman" w:cs="Times New Roman" w:eastAsia="Times New Roman" w:hint="default"/>
        </w:rPr>
        <w:t>-</w:t>
      </w:r>
      <w:r>
        <w:rPr/>
        <w:t>Друштво: Историјске лекције и перспективе. Спонзор се обавезао да примаоцу спонзорства уплати новчана средства у износу од 500 хиљада динара на наменски подрачуни. У 2013. години спонзор је уплатио средства у износу од 500 хиљада динара, на наменски подрачун. Средства у 2013. години нису</w:t>
      </w:r>
      <w:r>
        <w:rPr>
          <w:spacing w:val="-25"/>
        </w:rPr>
        <w:t> </w:t>
      </w:r>
      <w:r>
        <w:rPr/>
        <w:t>трошена.</w:t>
      </w:r>
    </w:p>
    <w:p>
      <w:pPr>
        <w:pStyle w:val="BodyText"/>
        <w:spacing w:line="240" w:lineRule="auto"/>
        <w:ind w:right="175" w:firstLine="566"/>
        <w:jc w:val="both"/>
      </w:pPr>
      <w:r>
        <w:rPr/>
        <w:t>У 2014. години извршено плаћање по Уговору број 4353/2013</w:t>
      </w:r>
      <w:r>
        <w:rPr>
          <w:rFonts w:ascii="Times New Roman" w:hAnsi="Times New Roman"/>
        </w:rPr>
        <w:t>-</w:t>
      </w:r>
      <w:r>
        <w:rPr/>
        <w:t>01 и Уговору број </w:t>
      </w:r>
      <w:r>
        <w:rPr>
          <w:rFonts w:ascii="Times New Roman" w:hAnsi="Times New Roman"/>
        </w:rPr>
        <w:t>4352/2013-</w:t>
      </w:r>
      <w:r>
        <w:rPr/>
        <w:t>01 у износу од 990 хиљада динара и остао је неискоришћени износ од 510 хиљада динара. Средства нису евидентирана у пословним књигама града</w:t>
      </w:r>
      <w:r>
        <w:rPr>
          <w:spacing w:val="-21"/>
        </w:rPr>
        <w:t> </w:t>
      </w:r>
      <w:r>
        <w:rPr/>
        <w:t>Ниша.</w:t>
      </w:r>
    </w:p>
    <w:p>
      <w:pPr>
        <w:pStyle w:val="Heading1"/>
        <w:spacing w:line="275" w:lineRule="exact"/>
        <w:ind w:right="141"/>
        <w:jc w:val="left"/>
        <w:rPr>
          <w:b w:val="0"/>
          <w:bCs w:val="0"/>
        </w:rPr>
      </w:pPr>
      <w:r>
        <w:rPr/>
        <w:t>На основу ревизије узорковане документације утврђено</w:t>
      </w:r>
      <w:r>
        <w:rPr>
          <w:spacing w:val="-13"/>
        </w:rPr>
        <w:t> </w:t>
      </w:r>
      <w:r>
        <w:rPr/>
        <w:t>је:</w:t>
      </w:r>
      <w:r>
        <w:rPr>
          <w:b w:val="0"/>
        </w:rPr>
      </w:r>
    </w:p>
    <w:p>
      <w:pPr>
        <w:pStyle w:val="ListParagraph"/>
        <w:numPr>
          <w:ilvl w:val="0"/>
          <w:numId w:val="9"/>
        </w:numPr>
        <w:tabs>
          <w:tab w:pos="303" w:val="left" w:leader="none"/>
        </w:tabs>
        <w:spacing w:line="240" w:lineRule="auto" w:before="0"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Примљена средства у 20</w:t>
      </w:r>
      <w:r>
        <w:rPr>
          <w:rFonts w:ascii="Times New Roman" w:hAnsi="Times New Roman" w:cs="Times New Roman" w:eastAsia="Times New Roman" w:hint="default"/>
          <w:sz w:val="24"/>
          <w:szCs w:val="24"/>
        </w:rPr>
        <w:t>13</w:t>
      </w:r>
      <w:r>
        <w:rPr>
          <w:rFonts w:ascii="Times New Roman" w:hAnsi="Times New Roman" w:cs="Times New Roman" w:eastAsia="Times New Roman" w:hint="default"/>
          <w:sz w:val="24"/>
          <w:szCs w:val="24"/>
        </w:rPr>
        <w:t>. години од Предузећа за изградњу гасоводних система, транспорт и промет природнох гаса „Југоросгас“ ад Београд у износу од </w:t>
      </w:r>
      <w:r>
        <w:rPr>
          <w:rFonts w:ascii="Times New Roman" w:hAnsi="Times New Roman" w:cs="Times New Roman" w:eastAsia="Times New Roman" w:hint="default"/>
          <w:sz w:val="24"/>
          <w:szCs w:val="24"/>
        </w:rPr>
        <w:t>1.000 </w:t>
      </w:r>
      <w:r>
        <w:rPr>
          <w:rFonts w:ascii="Times New Roman" w:hAnsi="Times New Roman" w:cs="Times New Roman" w:eastAsia="Times New Roman" w:hint="default"/>
          <w:sz w:val="24"/>
          <w:szCs w:val="24"/>
        </w:rPr>
        <w:t>хиљада динара по Уговору број 4353/2013</w:t>
      </w:r>
      <w:r>
        <w:rPr>
          <w:rFonts w:ascii="Times New Roman" w:hAnsi="Times New Roman" w:cs="Times New Roman" w:eastAsia="Times New Roman" w:hint="default"/>
          <w:sz w:val="24"/>
          <w:szCs w:val="24"/>
        </w:rPr>
        <w:t>-01 </w:t>
      </w:r>
      <w:r>
        <w:rPr>
          <w:rFonts w:ascii="Times New Roman" w:hAnsi="Times New Roman" w:cs="Times New Roman" w:eastAsia="Times New Roman" w:hint="default"/>
          <w:sz w:val="24"/>
          <w:szCs w:val="24"/>
        </w:rPr>
        <w:t>и у износу од </w:t>
      </w:r>
      <w:r>
        <w:rPr>
          <w:rFonts w:ascii="Times New Roman" w:hAnsi="Times New Roman" w:cs="Times New Roman" w:eastAsia="Times New Roman" w:hint="default"/>
          <w:sz w:val="24"/>
          <w:szCs w:val="24"/>
        </w:rPr>
        <w:t>500 </w:t>
      </w:r>
      <w:r>
        <w:rPr>
          <w:rFonts w:ascii="Times New Roman" w:hAnsi="Times New Roman" w:cs="Times New Roman" w:eastAsia="Times New Roman" w:hint="default"/>
          <w:sz w:val="24"/>
          <w:szCs w:val="24"/>
        </w:rPr>
        <w:t>хиљада динара по Уговору број </w:t>
      </w:r>
      <w:r>
        <w:rPr>
          <w:rFonts w:ascii="Times New Roman" w:hAnsi="Times New Roman" w:cs="Times New Roman" w:eastAsia="Times New Roman" w:hint="default"/>
          <w:sz w:val="24"/>
          <w:szCs w:val="24"/>
        </w:rPr>
        <w:t>4352/2013-01 </w:t>
      </w:r>
      <w:r>
        <w:rPr>
          <w:rFonts w:ascii="Times New Roman" w:hAnsi="Times New Roman" w:cs="Times New Roman" w:eastAsia="Times New Roman" w:hint="default"/>
          <w:sz w:val="24"/>
          <w:szCs w:val="24"/>
        </w:rPr>
        <w:t>нису евидентирана у пословним књигама директног корисника, тако да је  на дан 31.12.2013. године, билансна позиција 121000 – новчана средства, племенити метали, хартије од вредности и билансна позиција 311000 – капитал, мање исказана за износ од 1.500 хиљада динара, што је супротно члану </w:t>
      </w:r>
      <w:r>
        <w:rPr>
          <w:rFonts w:ascii="Times New Roman" w:hAnsi="Times New Roman" w:cs="Times New Roman" w:eastAsia="Times New Roman" w:hint="default"/>
          <w:sz w:val="24"/>
          <w:szCs w:val="24"/>
        </w:rPr>
        <w:t>9. </w:t>
      </w:r>
      <w:r>
        <w:rPr>
          <w:rFonts w:ascii="Times New Roman" w:hAnsi="Times New Roman" w:cs="Times New Roman" w:eastAsia="Times New Roman" w:hint="default"/>
          <w:sz w:val="24"/>
          <w:szCs w:val="24"/>
        </w:rPr>
        <w:t>и 16. Уредбе о буџетском рачуноводству и Правилнику о стандардном класификационом оквиру и контном плану за буџетски</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систем.</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2014. години, је са овог подрачуна је извршено плаћање у износу </w:t>
      </w:r>
      <w:r>
        <w:rPr>
          <w:rFonts w:ascii="Times New Roman" w:hAnsi="Times New Roman" w:cs="Times New Roman" w:eastAsia="Times New Roman" w:hint="default"/>
          <w:sz w:val="24"/>
          <w:szCs w:val="24"/>
        </w:rPr>
        <w:t>990 </w:t>
      </w:r>
      <w:r>
        <w:rPr>
          <w:rFonts w:ascii="Times New Roman" w:hAnsi="Times New Roman" w:cs="Times New Roman" w:eastAsia="Times New Roman" w:hint="default"/>
          <w:sz w:val="24"/>
          <w:szCs w:val="24"/>
        </w:rPr>
        <w:t>хиљада динара, а да при томе није извршено евидентирање расхода на групи</w:t>
      </w:r>
      <w:r>
        <w:rPr>
          <w:rFonts w:ascii="Times New Roman" w:hAnsi="Times New Roman" w:cs="Times New Roman" w:eastAsia="Times New Roman" w:hint="default"/>
          <w:sz w:val="24"/>
          <w:szCs w:val="24"/>
        </w:rPr>
        <w:t>: 421000 </w:t>
      </w:r>
      <w:r>
        <w:rPr>
          <w:rFonts w:ascii="Times New Roman" w:hAnsi="Times New Roman" w:cs="Times New Roman" w:eastAsia="Times New Roman" w:hint="default"/>
          <w:sz w:val="24"/>
          <w:szCs w:val="24"/>
        </w:rPr>
        <w:t>– стални трошкови  у износу од две хиљаде динара и групи 423000 – услуге по уговору у износу од 988 хиљада динара, што је супротно члану </w:t>
      </w:r>
      <w:r>
        <w:rPr>
          <w:rFonts w:ascii="Times New Roman" w:hAnsi="Times New Roman" w:cs="Times New Roman" w:eastAsia="Times New Roman" w:hint="default"/>
          <w:sz w:val="24"/>
          <w:szCs w:val="24"/>
        </w:rPr>
        <w:t>9. </w:t>
      </w:r>
      <w:r>
        <w:rPr>
          <w:rFonts w:ascii="Times New Roman" w:hAnsi="Times New Roman" w:cs="Times New Roman" w:eastAsia="Times New Roman" w:hint="default"/>
          <w:sz w:val="24"/>
          <w:szCs w:val="24"/>
        </w:rPr>
        <w:t>и 16. Уредбе о буџетском рачуноводству и Правилнику о стандардном класификационом оквиру и контном плану за буџетски систем.</w:t>
      </w:r>
    </w:p>
    <w:p>
      <w:pPr>
        <w:pStyle w:val="ListParagraph"/>
        <w:numPr>
          <w:ilvl w:val="0"/>
          <w:numId w:val="9"/>
        </w:numPr>
        <w:tabs>
          <w:tab w:pos="303" w:val="left" w:leader="none"/>
        </w:tabs>
        <w:spacing w:line="240" w:lineRule="auto" w:before="2" w:after="0"/>
        <w:ind w:left="160" w:right="168"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Извршена је набавка услуга преноћишта од „</w:t>
      </w:r>
      <w:r>
        <w:rPr>
          <w:rFonts w:ascii="Times New Roman" w:hAnsi="Times New Roman" w:cs="Times New Roman" w:eastAsia="Times New Roman" w:hint="default"/>
          <w:sz w:val="24"/>
          <w:szCs w:val="24"/>
        </w:rPr>
        <w:t>Tami residence</w:t>
      </w:r>
      <w:r>
        <w:rPr>
          <w:rFonts w:ascii="Times New Roman" w:hAnsi="Times New Roman" w:cs="Times New Roman" w:eastAsia="Times New Roman" w:hint="default"/>
          <w:sz w:val="24"/>
          <w:szCs w:val="24"/>
        </w:rPr>
        <w:t>“ доо Ниш у 201</w:t>
      </w:r>
      <w:r>
        <w:rPr>
          <w:rFonts w:ascii="Times New Roman" w:hAnsi="Times New Roman" w:cs="Times New Roman" w:eastAsia="Times New Roman" w:hint="default"/>
          <w:sz w:val="24"/>
          <w:szCs w:val="24"/>
        </w:rPr>
        <w:t>4</w:t>
      </w:r>
      <w:r>
        <w:rPr>
          <w:rFonts w:ascii="Times New Roman" w:hAnsi="Times New Roman" w:cs="Times New Roman" w:eastAsia="Times New Roman" w:hint="default"/>
          <w:sz w:val="24"/>
          <w:szCs w:val="24"/>
        </w:rPr>
        <w:t>. години  без спроведеног поступка јавне набавке, док су по том основу извршени расходи  у износу од </w:t>
      </w:r>
      <w:r>
        <w:rPr>
          <w:rFonts w:ascii="Times New Roman" w:hAnsi="Times New Roman" w:cs="Times New Roman" w:eastAsia="Times New Roman" w:hint="default"/>
          <w:sz w:val="24"/>
          <w:szCs w:val="24"/>
        </w:rPr>
        <w:t>800 </w:t>
      </w:r>
      <w:r>
        <w:rPr>
          <w:rFonts w:ascii="Times New Roman" w:hAnsi="Times New Roman" w:cs="Times New Roman" w:eastAsia="Times New Roman" w:hint="default"/>
          <w:sz w:val="24"/>
          <w:szCs w:val="24"/>
        </w:rPr>
        <w:t>хиљада динара, што је супротно члану 39. Закона о јавним набавкама и члану 56. Закона о буџетском</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систему.</w:t>
      </w:r>
    </w:p>
    <w:p>
      <w:pPr>
        <w:pStyle w:val="Heading2"/>
        <w:spacing w:line="240" w:lineRule="auto"/>
        <w:ind w:right="173"/>
        <w:jc w:val="both"/>
        <w:rPr>
          <w:b w:val="0"/>
          <w:bCs w:val="0"/>
          <w:i w:val="0"/>
        </w:rPr>
      </w:pPr>
      <w:r>
        <w:rPr>
          <w:i/>
        </w:rPr>
        <w:t>Препоручује се одговорним лицима да приходе и примања и расходе и издатке по пројектима евидентирају у својим пословним књигама и да обезбеде правилну примену одредби Уредбе о буџетском рачуноводству, Правилника о стандардном класификационом оквиру и контном плану за буџетски систем и Правилника о начину  припреме,  састављања  и  подношења  финансијских  извештаја   </w:t>
      </w:r>
      <w:r>
        <w:rPr>
          <w:i/>
          <w:spacing w:val="29"/>
        </w:rPr>
        <w:t> </w:t>
      </w:r>
      <w:r>
        <w:rPr>
          <w:i/>
        </w:rPr>
        <w:t>корисника</w:t>
      </w:r>
      <w:r>
        <w:rPr>
          <w:b w:val="0"/>
          <w:i w:val="0"/>
        </w:rPr>
      </w:r>
    </w:p>
    <w:p>
      <w:pPr>
        <w:spacing w:after="0" w:line="240" w:lineRule="auto"/>
        <w:jc w:val="both"/>
        <w:sectPr>
          <w:pgSz w:w="12240" w:h="15840"/>
          <w:pgMar w:header="740" w:footer="1504" w:top="120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Heading2"/>
        <w:spacing w:line="240" w:lineRule="auto" w:before="11"/>
        <w:ind w:right="174" w:firstLine="0"/>
        <w:jc w:val="both"/>
        <w:rPr>
          <w:b w:val="0"/>
          <w:bCs w:val="0"/>
          <w:i w:val="0"/>
        </w:rPr>
      </w:pPr>
      <w:r>
        <w:rPr>
          <w:i/>
        </w:rPr>
        <w:t>буџетских средстава</w:t>
      </w:r>
      <w:r>
        <w:rPr>
          <w:rFonts w:ascii="Times New Roman" w:hAnsi="Times New Roman"/>
          <w:i/>
        </w:rPr>
        <w:t>, </w:t>
      </w:r>
      <w:r>
        <w:rPr>
          <w:i/>
        </w:rPr>
        <w:t>корисника средстава организација за обавезно социјално осигурање и буџетских фондова и да набавку услуга врше у поступку јавне</w:t>
      </w:r>
      <w:r>
        <w:rPr>
          <w:i/>
          <w:spacing w:val="-19"/>
        </w:rPr>
        <w:t> </w:t>
      </w:r>
      <w:r>
        <w:rPr>
          <w:i/>
        </w:rPr>
        <w:t>набавке.</w:t>
      </w:r>
      <w:r>
        <w:rPr>
          <w:b w:val="0"/>
          <w:i w:val="0"/>
        </w:rPr>
      </w:r>
    </w:p>
    <w:p>
      <w:pPr>
        <w:pStyle w:val="ListParagraph"/>
        <w:numPr>
          <w:ilvl w:val="0"/>
          <w:numId w:val="119"/>
        </w:numPr>
        <w:tabs>
          <w:tab w:pos="432" w:val="left" w:leader="none"/>
        </w:tabs>
        <w:spacing w:line="240" w:lineRule="auto" w:before="134" w:after="0"/>
        <w:ind w:left="431" w:right="0" w:hanging="271"/>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b/>
          <w:bCs/>
          <w:sz w:val="24"/>
          <w:szCs w:val="24"/>
        </w:rPr>
        <w:t>Служба за послове градоначелника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pacing w:val="16"/>
          <w:sz w:val="24"/>
          <w:szCs w:val="24"/>
        </w:rPr>
      </w:r>
      <w:r>
        <w:rPr>
          <w:rFonts w:ascii="Times New Roman" w:hAnsi="Times New Roman" w:cs="Times New Roman" w:eastAsia="Times New Roman" w:hint="default"/>
          <w:spacing w:val="16"/>
          <w:sz w:val="24"/>
          <w:szCs w:val="24"/>
          <w:u w:val="single" w:color="000000"/>
        </w:rPr>
      </w:r>
      <w:r>
        <w:rPr>
          <w:rFonts w:ascii="Times New Roman" w:hAnsi="Times New Roman" w:cs="Times New Roman" w:eastAsia="Times New Roman" w:hint="default"/>
          <w:sz w:val="24"/>
          <w:szCs w:val="24"/>
          <w:u w:val="single" w:color="000000"/>
        </w:rPr>
        <w:t>„1700 година Миланског едикта“ (подрачун</w:t>
      </w:r>
      <w:r>
        <w:rPr>
          <w:rFonts w:ascii="Times New Roman" w:hAnsi="Times New Roman" w:cs="Times New Roman" w:eastAsia="Times New Roman" w:hint="default"/>
          <w:sz w:val="24"/>
          <w:szCs w:val="24"/>
        </w:rPr>
      </w:r>
    </w:p>
    <w:p>
      <w:pPr>
        <w:pStyle w:val="BodyText"/>
        <w:spacing w:line="240" w:lineRule="auto"/>
        <w:ind w:right="0"/>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број</w:t>
      </w:r>
      <w:r>
        <w:rPr>
          <w:spacing w:val="-3"/>
          <w:u w:val="single" w:color="000000"/>
        </w:rPr>
        <w:t> </w:t>
      </w:r>
      <w:r>
        <w:rPr>
          <w:u w:val="single" w:color="000000"/>
        </w:rPr>
        <w:t>840</w:t>
      </w:r>
      <w:r>
        <w:rPr>
          <w:rFonts w:ascii="Times New Roman" w:hAnsi="Times New Roman"/>
          <w:u w:val="single" w:color="000000"/>
        </w:rPr>
        <w:t>-2959741-91)</w:t>
      </w:r>
      <w:r>
        <w:rPr>
          <w:rFonts w:ascii="Times New Roman" w:hAnsi="Times New Roman"/>
        </w:rPr>
        <w:t>.</w:t>
      </w:r>
    </w:p>
    <w:p>
      <w:pPr>
        <w:pStyle w:val="BodyText"/>
        <w:spacing w:line="240" w:lineRule="auto" w:before="60"/>
        <w:ind w:right="141" w:firstLine="566"/>
        <w:jc w:val="left"/>
      </w:pPr>
      <w:r>
        <w:rPr/>
        <w:t>Градоначеник града Ниша закључио је Уговоре о донаторству за прославу 1700 година Миланског едикта са следећим</w:t>
      </w:r>
      <w:r>
        <w:rPr>
          <w:spacing w:val="-14"/>
        </w:rPr>
        <w:t> </w:t>
      </w:r>
      <w:r>
        <w:rPr/>
        <w:t>донаторима:</w:t>
      </w:r>
    </w:p>
    <w:p>
      <w:pPr>
        <w:pStyle w:val="ListParagraph"/>
        <w:numPr>
          <w:ilvl w:val="1"/>
          <w:numId w:val="119"/>
        </w:numPr>
        <w:tabs>
          <w:tab w:pos="941" w:val="left" w:leader="none"/>
        </w:tabs>
        <w:spacing w:line="240" w:lineRule="auto" w:before="0" w:after="0"/>
        <w:ind w:left="160" w:right="174" w:firstLine="566"/>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„Аик банка“ ад Ниш, Уговор о донаторству број </w:t>
      </w:r>
      <w:r>
        <w:rPr>
          <w:rFonts w:ascii="Times New Roman" w:hAnsi="Times New Roman" w:cs="Times New Roman" w:eastAsia="Times New Roman" w:hint="default"/>
          <w:sz w:val="24"/>
          <w:szCs w:val="24"/>
        </w:rPr>
        <w:t>1162/2013-</w:t>
      </w:r>
      <w:r>
        <w:rPr>
          <w:rFonts w:ascii="Times New Roman" w:hAnsi="Times New Roman" w:cs="Times New Roman" w:eastAsia="Times New Roman" w:hint="default"/>
          <w:sz w:val="24"/>
          <w:szCs w:val="24"/>
        </w:rPr>
        <w:t>01 дана 26.03.2013. године</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у износу од 5.000 хиљада</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динара;</w:t>
      </w:r>
    </w:p>
    <w:p>
      <w:pPr>
        <w:pStyle w:val="ListParagraph"/>
        <w:numPr>
          <w:ilvl w:val="1"/>
          <w:numId w:val="119"/>
        </w:numPr>
        <w:tabs>
          <w:tab w:pos="941" w:val="left" w:leader="none"/>
        </w:tabs>
        <w:spacing w:line="240" w:lineRule="auto" w:before="0" w:after="0"/>
        <w:ind w:left="160" w:right="175" w:firstLine="566"/>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Концерн „Фармаком“ доо Шабац, Уговор о донаторству број 1270/2013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дана 03.04.2013. године, у износу од 5.000 хиљада динара, (уплатио је 3.000 хиљаде</w:t>
      </w:r>
      <w:r>
        <w:rPr>
          <w:rFonts w:ascii="Times New Roman" w:hAnsi="Times New Roman" w:cs="Times New Roman" w:eastAsia="Times New Roman" w:hint="default"/>
          <w:spacing w:val="-18"/>
          <w:sz w:val="24"/>
          <w:szCs w:val="24"/>
        </w:rPr>
        <w:t> </w:t>
      </w:r>
      <w:r>
        <w:rPr>
          <w:rFonts w:ascii="Times New Roman" w:hAnsi="Times New Roman" w:cs="Times New Roman" w:eastAsia="Times New Roman" w:hint="default"/>
          <w:sz w:val="24"/>
          <w:szCs w:val="24"/>
        </w:rPr>
        <w:t>динара);</w:t>
      </w:r>
    </w:p>
    <w:p>
      <w:pPr>
        <w:pStyle w:val="ListParagraph"/>
        <w:numPr>
          <w:ilvl w:val="1"/>
          <w:numId w:val="119"/>
        </w:numPr>
        <w:tabs>
          <w:tab w:pos="881" w:val="left" w:leader="none"/>
        </w:tabs>
        <w:spacing w:line="240" w:lineRule="auto" w:before="0" w:after="0"/>
        <w:ind w:left="160" w:right="172" w:firstLine="566"/>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„Електромеханика“ доо Ниш, Уговор о донаторству број 4307/2012</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дана 18.12.2012. године, у износу од 200 хиљада</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динара;</w:t>
      </w:r>
    </w:p>
    <w:p>
      <w:pPr>
        <w:pStyle w:val="ListParagraph"/>
        <w:numPr>
          <w:ilvl w:val="1"/>
          <w:numId w:val="119"/>
        </w:numPr>
        <w:tabs>
          <w:tab w:pos="881" w:val="left" w:leader="none"/>
        </w:tabs>
        <w:spacing w:line="240" w:lineRule="auto" w:before="0" w:after="0"/>
        <w:ind w:left="160" w:right="173" w:firstLine="566"/>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„Југо</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импех“ доо Ниш, Уговор о донаторству број 130/2013</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01 од 17.01.</w:t>
      </w:r>
      <w:r>
        <w:rPr>
          <w:rFonts w:ascii="Times New Roman" w:hAnsi="Times New Roman" w:cs="Times New Roman" w:eastAsia="Times New Roman" w:hint="default"/>
          <w:sz w:val="24"/>
          <w:szCs w:val="24"/>
        </w:rPr>
        <w:t>2013. </w:t>
      </w:r>
      <w:r>
        <w:rPr>
          <w:rFonts w:ascii="Times New Roman" w:hAnsi="Times New Roman" w:cs="Times New Roman" w:eastAsia="Times New Roman" w:hint="default"/>
          <w:sz w:val="24"/>
          <w:szCs w:val="24"/>
        </w:rPr>
        <w:t>године, у износу од 1.000 хиљада</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динара;</w:t>
      </w:r>
    </w:p>
    <w:p>
      <w:pPr>
        <w:pStyle w:val="ListParagraph"/>
        <w:numPr>
          <w:ilvl w:val="1"/>
          <w:numId w:val="119"/>
        </w:numPr>
        <w:tabs>
          <w:tab w:pos="881" w:val="left" w:leader="none"/>
        </w:tabs>
        <w:spacing w:line="240" w:lineRule="auto" w:before="0" w:after="0"/>
        <w:ind w:left="160" w:right="172" w:firstLine="566"/>
        <w:jc w:val="left"/>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„Делта генерали осигурање“ адо Београд, Уговор о донаторству број 4478/2012</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01, дана 26.12.2012. године, у износу од 250 хиљада</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динара;</w:t>
      </w:r>
    </w:p>
    <w:p>
      <w:pPr>
        <w:pStyle w:val="ListParagraph"/>
        <w:numPr>
          <w:ilvl w:val="1"/>
          <w:numId w:val="119"/>
        </w:numPr>
        <w:tabs>
          <w:tab w:pos="881" w:val="left" w:leader="none"/>
        </w:tabs>
        <w:spacing w:line="240" w:lineRule="auto" w:before="0" w:after="0"/>
        <w:ind w:left="160" w:right="176" w:firstLine="566"/>
        <w:jc w:val="left"/>
        <w:rPr>
          <w:rFonts w:ascii="Times New Roman" w:hAnsi="Times New Roman" w:cs="Times New Roman" w:eastAsia="Times New Roman" w:hint="default"/>
          <w:sz w:val="24"/>
          <w:szCs w:val="24"/>
        </w:rPr>
      </w:pPr>
      <w:r>
        <w:rPr>
          <w:rFonts w:ascii="Times New Roman" w:hAnsi="Times New Roman"/>
          <w:sz w:val="24"/>
        </w:rPr>
        <w:t>Акционарско друштво за осигурање ДДОР адо Нови Сад, Уговор о донаторству број 532/2013</w:t>
      </w:r>
      <w:r>
        <w:rPr>
          <w:rFonts w:ascii="Times New Roman" w:hAnsi="Times New Roman"/>
          <w:sz w:val="24"/>
        </w:rPr>
        <w:t>-</w:t>
      </w:r>
      <w:r>
        <w:rPr>
          <w:rFonts w:ascii="Times New Roman" w:hAnsi="Times New Roman"/>
          <w:sz w:val="24"/>
        </w:rPr>
        <w:t>01 дана 18.02.2013. године, у износу од 265 хиљада</w:t>
      </w:r>
      <w:r>
        <w:rPr>
          <w:rFonts w:ascii="Times New Roman" w:hAnsi="Times New Roman"/>
          <w:spacing w:val="-14"/>
          <w:sz w:val="24"/>
        </w:rPr>
        <w:t> </w:t>
      </w:r>
      <w:r>
        <w:rPr>
          <w:rFonts w:ascii="Times New Roman" w:hAnsi="Times New Roman"/>
          <w:sz w:val="24"/>
        </w:rPr>
        <w:t>динара;</w:t>
      </w:r>
    </w:p>
    <w:p>
      <w:pPr>
        <w:pStyle w:val="ListParagraph"/>
        <w:numPr>
          <w:ilvl w:val="1"/>
          <w:numId w:val="119"/>
        </w:numPr>
        <w:tabs>
          <w:tab w:pos="881" w:val="left" w:leader="none"/>
        </w:tabs>
        <w:spacing w:line="240" w:lineRule="auto" w:before="0" w:after="0"/>
        <w:ind w:left="160" w:right="175" w:firstLine="566"/>
        <w:jc w:val="left"/>
        <w:rPr>
          <w:rFonts w:ascii="Times New Roman" w:hAnsi="Times New Roman" w:cs="Times New Roman" w:eastAsia="Times New Roman" w:hint="default"/>
          <w:sz w:val="24"/>
          <w:szCs w:val="24"/>
        </w:rPr>
      </w:pPr>
      <w:r>
        <w:rPr>
          <w:rFonts w:ascii="Times New Roman" w:hAnsi="Times New Roman"/>
          <w:sz w:val="24"/>
        </w:rPr>
        <w:t>Акционарско друштво за осигурање ДДОР адо Нови Сад, уплатило је и донацију без писаног уговора, у износу од 20 хиљада</w:t>
      </w:r>
      <w:r>
        <w:rPr>
          <w:rFonts w:ascii="Times New Roman" w:hAnsi="Times New Roman"/>
          <w:spacing w:val="-18"/>
          <w:sz w:val="24"/>
        </w:rPr>
        <w:t> </w:t>
      </w:r>
      <w:r>
        <w:rPr>
          <w:rFonts w:ascii="Times New Roman" w:hAnsi="Times New Roman"/>
          <w:sz w:val="24"/>
        </w:rPr>
        <w:t>динара.</w:t>
      </w:r>
    </w:p>
    <w:p>
      <w:pPr>
        <w:pStyle w:val="Heading1"/>
        <w:spacing w:line="275" w:lineRule="exact"/>
        <w:ind w:right="141"/>
        <w:jc w:val="left"/>
        <w:rPr>
          <w:b w:val="0"/>
          <w:bCs w:val="0"/>
        </w:rPr>
      </w:pPr>
      <w:r>
        <w:rPr/>
        <w:t>На основу ревизије узорковане документације утврђено</w:t>
      </w:r>
      <w:r>
        <w:rPr>
          <w:spacing w:val="-13"/>
        </w:rPr>
        <w:t> </w:t>
      </w:r>
      <w:r>
        <w:rPr/>
        <w:t>је:</w:t>
      </w:r>
      <w:r>
        <w:rPr>
          <w:b w:val="0"/>
        </w:rPr>
      </w:r>
    </w:p>
    <w:p>
      <w:pPr>
        <w:pStyle w:val="ListParagraph"/>
        <w:numPr>
          <w:ilvl w:val="0"/>
          <w:numId w:val="9"/>
        </w:numPr>
        <w:tabs>
          <w:tab w:pos="303" w:val="left" w:leader="none"/>
        </w:tabs>
        <w:spacing w:line="237" w:lineRule="auto" w:before="1" w:after="0"/>
        <w:ind w:left="160" w:right="184" w:firstLine="0"/>
        <w:jc w:val="both"/>
        <w:rPr>
          <w:rFonts w:ascii="Times New Roman" w:hAnsi="Times New Roman" w:cs="Times New Roman" w:eastAsia="Times New Roman" w:hint="default"/>
          <w:sz w:val="24"/>
          <w:szCs w:val="24"/>
        </w:rPr>
      </w:pPr>
      <w:r>
        <w:rPr>
          <w:rFonts w:ascii="Times New Roman" w:hAnsi="Times New Roman"/>
          <w:sz w:val="24"/>
        </w:rPr>
        <w:t>Акционарско друштво за осигурање ДДОР Нови Сад, уплатило је донацију у износу од 20 хиљада динара, без писаног уговора, што је супротно члану 2. Закона о буџетском систему.</w:t>
      </w:r>
    </w:p>
    <w:p>
      <w:pPr>
        <w:pStyle w:val="ListParagraph"/>
        <w:numPr>
          <w:ilvl w:val="0"/>
          <w:numId w:val="9"/>
        </w:numPr>
        <w:tabs>
          <w:tab w:pos="303" w:val="left" w:leader="none"/>
        </w:tabs>
        <w:spacing w:line="240" w:lineRule="auto" w:before="2" w:after="0"/>
        <w:ind w:left="160" w:right="170"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У </w:t>
      </w:r>
      <w:r>
        <w:rPr>
          <w:rFonts w:ascii="Times New Roman" w:hAnsi="Times New Roman" w:cs="Times New Roman" w:eastAsia="Times New Roman" w:hint="default"/>
          <w:sz w:val="24"/>
          <w:szCs w:val="24"/>
        </w:rPr>
        <w:t>2013</w:t>
      </w:r>
      <w:r>
        <w:rPr>
          <w:rFonts w:ascii="Times New Roman" w:hAnsi="Times New Roman" w:cs="Times New Roman" w:eastAsia="Times New Roman" w:hint="default"/>
          <w:sz w:val="24"/>
          <w:szCs w:val="24"/>
        </w:rPr>
        <w:t>. години примљена су средства по уговорима у износу од </w:t>
      </w:r>
      <w:r>
        <w:rPr>
          <w:rFonts w:ascii="Times New Roman" w:hAnsi="Times New Roman" w:cs="Times New Roman" w:eastAsia="Times New Roman" w:hint="default"/>
          <w:sz w:val="24"/>
          <w:szCs w:val="24"/>
        </w:rPr>
        <w:t>9.735 </w:t>
      </w:r>
      <w:r>
        <w:rPr>
          <w:rFonts w:ascii="Times New Roman" w:hAnsi="Times New Roman" w:cs="Times New Roman" w:eastAsia="Times New Roman" w:hint="default"/>
          <w:sz w:val="24"/>
          <w:szCs w:val="24"/>
        </w:rPr>
        <w:t>хиљада од стране донатора и до краја 2013. године утрошена у износу 7.861 хиљаде динара, тако да су остала неутрошена средства на овом подрачуну у износу од 1.874 хиљаде динара. У 2014. години од ових средстава су утрошена средства у износу од 1.702 хиљаде динара, </w:t>
      </w:r>
      <w:r>
        <w:rPr>
          <w:rFonts w:ascii="Times New Roman" w:hAnsi="Times New Roman" w:cs="Times New Roman" w:eastAsia="Times New Roman" w:hint="default"/>
          <w:spacing w:val="2"/>
          <w:sz w:val="24"/>
          <w:szCs w:val="24"/>
        </w:rPr>
        <w:t>тако </w:t>
      </w:r>
      <w:r>
        <w:rPr>
          <w:rFonts w:ascii="Times New Roman" w:hAnsi="Times New Roman" w:cs="Times New Roman" w:eastAsia="Times New Roman" w:hint="default"/>
          <w:sz w:val="24"/>
          <w:szCs w:val="24"/>
        </w:rPr>
        <w:t>да </w:t>
      </w:r>
      <w:r>
        <w:rPr>
          <w:rFonts w:ascii="Times New Roman" w:hAnsi="Times New Roman" w:cs="Times New Roman" w:eastAsia="Times New Roman" w:hint="default"/>
          <w:sz w:val="24"/>
          <w:szCs w:val="24"/>
        </w:rPr>
        <w:t>је на крају 2014. године остало 172 хиљаде динара неутрошених средстава на дан 31.12.2014. године. Неутрошена средства у износу од 172 хиљаде динара нису евидентирана у пословним књигама директног корисника, тако да је билансна позиција </w:t>
      </w:r>
      <w:r>
        <w:rPr>
          <w:rFonts w:ascii="Times New Roman" w:hAnsi="Times New Roman" w:cs="Times New Roman" w:eastAsia="Times New Roman" w:hint="default"/>
          <w:sz w:val="24"/>
          <w:szCs w:val="24"/>
        </w:rPr>
        <w:t>121000 </w:t>
      </w:r>
      <w:r>
        <w:rPr>
          <w:rFonts w:ascii="Times New Roman" w:hAnsi="Times New Roman" w:cs="Times New Roman" w:eastAsia="Times New Roman" w:hint="default"/>
          <w:sz w:val="24"/>
          <w:szCs w:val="24"/>
        </w:rPr>
        <w:t>– новчана средства, племенити метали, хартије од вредности и билансна позиција </w:t>
      </w:r>
      <w:r>
        <w:rPr>
          <w:rFonts w:ascii="Times New Roman" w:hAnsi="Times New Roman" w:cs="Times New Roman" w:eastAsia="Times New Roman" w:hint="default"/>
          <w:sz w:val="24"/>
          <w:szCs w:val="24"/>
        </w:rPr>
        <w:t>311000</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капитал,</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мање</w:t>
      </w:r>
      <w:r>
        <w:rPr>
          <w:rFonts w:ascii="Times New Roman" w:hAnsi="Times New Roman" w:cs="Times New Roman" w:eastAsia="Times New Roman" w:hint="default"/>
          <w:spacing w:val="12"/>
          <w:sz w:val="24"/>
          <w:szCs w:val="24"/>
        </w:rPr>
        <w:t> </w:t>
      </w:r>
      <w:r>
        <w:rPr>
          <w:rFonts w:ascii="Times New Roman" w:hAnsi="Times New Roman" w:cs="Times New Roman" w:eastAsia="Times New Roman" w:hint="default"/>
          <w:sz w:val="24"/>
          <w:szCs w:val="24"/>
        </w:rPr>
        <w:t>исказана</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за</w:t>
      </w:r>
      <w:r>
        <w:rPr>
          <w:rFonts w:ascii="Times New Roman" w:hAnsi="Times New Roman" w:cs="Times New Roman" w:eastAsia="Times New Roman" w:hint="default"/>
          <w:spacing w:val="11"/>
          <w:sz w:val="24"/>
          <w:szCs w:val="24"/>
        </w:rPr>
        <w:t> </w:t>
      </w:r>
      <w:r>
        <w:rPr>
          <w:rFonts w:ascii="Times New Roman" w:hAnsi="Times New Roman" w:cs="Times New Roman" w:eastAsia="Times New Roman" w:hint="default"/>
          <w:sz w:val="24"/>
          <w:szCs w:val="24"/>
        </w:rPr>
        <w:t>износ</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од</w:t>
      </w:r>
      <w:r>
        <w:rPr>
          <w:rFonts w:ascii="Times New Roman" w:hAnsi="Times New Roman" w:cs="Times New Roman" w:eastAsia="Times New Roman" w:hint="default"/>
          <w:spacing w:val="10"/>
          <w:sz w:val="24"/>
          <w:szCs w:val="24"/>
        </w:rPr>
        <w:t> </w:t>
      </w:r>
      <w:r>
        <w:rPr>
          <w:rFonts w:ascii="Times New Roman" w:hAnsi="Times New Roman" w:cs="Times New Roman" w:eastAsia="Times New Roman" w:hint="default"/>
          <w:sz w:val="24"/>
          <w:szCs w:val="24"/>
        </w:rPr>
        <w:t>172</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хиљаде</w:t>
      </w:r>
      <w:r>
        <w:rPr>
          <w:rFonts w:ascii="Times New Roman" w:hAnsi="Times New Roman" w:cs="Times New Roman" w:eastAsia="Times New Roman" w:hint="default"/>
          <w:spacing w:val="13"/>
          <w:sz w:val="24"/>
          <w:szCs w:val="24"/>
        </w:rPr>
        <w:t> </w:t>
      </w:r>
      <w:r>
        <w:rPr>
          <w:rFonts w:ascii="Times New Roman" w:hAnsi="Times New Roman" w:cs="Times New Roman" w:eastAsia="Times New Roman" w:hint="default"/>
          <w:sz w:val="24"/>
          <w:szCs w:val="24"/>
        </w:rPr>
        <w:t>динара,</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што</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је</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супротно</w:t>
      </w:r>
      <w:r>
        <w:rPr>
          <w:rFonts w:ascii="Times New Roman" w:hAnsi="Times New Roman" w:cs="Times New Roman" w:eastAsia="Times New Roman" w:hint="default"/>
          <w:spacing w:val="14"/>
          <w:sz w:val="24"/>
          <w:szCs w:val="24"/>
        </w:rPr>
        <w:t> </w:t>
      </w:r>
      <w:r>
        <w:rPr>
          <w:rFonts w:ascii="Times New Roman" w:hAnsi="Times New Roman" w:cs="Times New Roman" w:eastAsia="Times New Roman" w:hint="default"/>
          <w:sz w:val="24"/>
          <w:szCs w:val="24"/>
        </w:rPr>
        <w:t>члану</w:t>
      </w:r>
    </w:p>
    <w:p>
      <w:pPr>
        <w:pStyle w:val="ListParagraph"/>
        <w:numPr>
          <w:ilvl w:val="0"/>
          <w:numId w:val="117"/>
        </w:numPr>
        <w:tabs>
          <w:tab w:pos="401" w:val="left" w:leader="none"/>
        </w:tabs>
        <w:spacing w:line="240" w:lineRule="auto" w:before="0" w:after="0"/>
        <w:ind w:left="400" w:right="0" w:hanging="240"/>
        <w:jc w:val="both"/>
        <w:rPr>
          <w:rFonts w:ascii="Times New Roman" w:hAnsi="Times New Roman" w:cs="Times New Roman" w:eastAsia="Times New Roman" w:hint="default"/>
          <w:sz w:val="24"/>
          <w:szCs w:val="24"/>
        </w:rPr>
      </w:pPr>
      <w:r>
        <w:rPr>
          <w:rFonts w:ascii="Times New Roman" w:hAnsi="Times New Roman"/>
          <w:sz w:val="24"/>
        </w:rPr>
        <w:t>и члану 16. став 11. Уредбе о буџетском</w:t>
      </w:r>
      <w:r>
        <w:rPr>
          <w:rFonts w:ascii="Times New Roman" w:hAnsi="Times New Roman"/>
          <w:spacing w:val="-13"/>
          <w:sz w:val="24"/>
        </w:rPr>
        <w:t> </w:t>
      </w:r>
      <w:r>
        <w:rPr>
          <w:rFonts w:ascii="Times New Roman" w:hAnsi="Times New Roman"/>
          <w:sz w:val="24"/>
        </w:rPr>
        <w:t>рачуноводству</w:t>
      </w:r>
      <w:r>
        <w:rPr>
          <w:rFonts w:ascii="Times New Roman" w:hAnsi="Times New Roman"/>
          <w:sz w:val="24"/>
        </w:rPr>
        <w:t>.</w:t>
      </w:r>
    </w:p>
    <w:p>
      <w:pPr>
        <w:pStyle w:val="ListParagraph"/>
        <w:numPr>
          <w:ilvl w:val="0"/>
          <w:numId w:val="9"/>
        </w:numPr>
        <w:tabs>
          <w:tab w:pos="303" w:val="left" w:leader="none"/>
        </w:tabs>
        <w:spacing w:line="240" w:lineRule="auto" w:before="2" w:after="0"/>
        <w:ind w:left="160" w:right="173"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Са овог подрачуна </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извршено је плаћање у износу </w:t>
      </w:r>
      <w:r>
        <w:rPr>
          <w:rFonts w:ascii="Times New Roman" w:hAnsi="Times New Roman" w:cs="Times New Roman" w:eastAsia="Times New Roman" w:hint="default"/>
          <w:sz w:val="24"/>
          <w:szCs w:val="24"/>
        </w:rPr>
        <w:t>1.702 </w:t>
      </w:r>
      <w:r>
        <w:rPr>
          <w:rFonts w:ascii="Times New Roman" w:hAnsi="Times New Roman" w:cs="Times New Roman" w:eastAsia="Times New Roman" w:hint="default"/>
          <w:sz w:val="24"/>
          <w:szCs w:val="24"/>
        </w:rPr>
        <w:t>хиљаде динара, а да притом није извршено евидентирање и самим тим мање су исказани расходи на групи конта</w:t>
      </w:r>
      <w:r>
        <w:rPr>
          <w:rFonts w:ascii="Times New Roman" w:hAnsi="Times New Roman" w:cs="Times New Roman" w:eastAsia="Times New Roman" w:hint="default"/>
          <w:sz w:val="24"/>
          <w:szCs w:val="24"/>
        </w:rPr>
        <w:t>: 421000 </w:t>
      </w:r>
      <w:r>
        <w:rPr>
          <w:rFonts w:ascii="Times New Roman" w:hAnsi="Times New Roman" w:cs="Times New Roman" w:eastAsia="Times New Roman" w:hint="default"/>
          <w:sz w:val="24"/>
          <w:szCs w:val="24"/>
        </w:rPr>
        <w:t>– стални трошкови у износу од пет хиљада динара, 423000 – услуге по уговору у износу од 197 хиљада динара</w:t>
      </w:r>
      <w:r>
        <w:rPr>
          <w:rFonts w:ascii="Times New Roman" w:hAnsi="Times New Roman" w:cs="Times New Roman" w:eastAsia="Times New Roman" w:hint="default"/>
          <w:sz w:val="24"/>
          <w:szCs w:val="24"/>
        </w:rPr>
        <w:t>, 424000- </w:t>
      </w:r>
      <w:r>
        <w:rPr>
          <w:rFonts w:ascii="Times New Roman" w:hAnsi="Times New Roman" w:cs="Times New Roman" w:eastAsia="Times New Roman" w:hint="default"/>
          <w:sz w:val="24"/>
          <w:szCs w:val="24"/>
        </w:rPr>
        <w:t>специјализоване услуге у износу од 300 хиљада динара, 425000</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текуће поправке и одржавање у износу од 200 хиљада динара, 426000</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материјал у износу од 200 хиљада динара и 512000 </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машине и опрема у износу од 800 хиљада динара, што је супротно члану </w:t>
      </w:r>
      <w:r>
        <w:rPr>
          <w:rFonts w:ascii="Times New Roman" w:hAnsi="Times New Roman" w:cs="Times New Roman" w:eastAsia="Times New Roman" w:hint="default"/>
          <w:sz w:val="24"/>
          <w:szCs w:val="24"/>
        </w:rPr>
        <w:t>9. </w:t>
      </w:r>
      <w:r>
        <w:rPr>
          <w:rFonts w:ascii="Times New Roman" w:hAnsi="Times New Roman" w:cs="Times New Roman" w:eastAsia="Times New Roman" w:hint="default"/>
          <w:sz w:val="24"/>
          <w:szCs w:val="24"/>
        </w:rPr>
        <w:t>и 16. Уредбе о буџетском рачуноводству и Правилника о стандардном класификационом оквиру и контном плану за буџетски систем. Уједно су у Билансу стања нефинансијска имовина и капитал мање исказани за износ од 800 хиљада</w:t>
      </w:r>
      <w:r>
        <w:rPr>
          <w:rFonts w:ascii="Times New Roman" w:hAnsi="Times New Roman" w:cs="Times New Roman" w:eastAsia="Times New Roman" w:hint="default"/>
          <w:spacing w:val="-9"/>
          <w:sz w:val="24"/>
          <w:szCs w:val="24"/>
        </w:rPr>
        <w:t> </w:t>
      </w:r>
      <w:r>
        <w:rPr>
          <w:rFonts w:ascii="Times New Roman" w:hAnsi="Times New Roman" w:cs="Times New Roman" w:eastAsia="Times New Roman" w:hint="default"/>
          <w:sz w:val="24"/>
          <w:szCs w:val="24"/>
        </w:rPr>
        <w:t>динара.</w:t>
      </w:r>
    </w:p>
    <w:p>
      <w:pPr>
        <w:spacing w:after="0" w:line="240" w:lineRule="auto"/>
        <w:jc w:val="both"/>
        <w:rPr>
          <w:rFonts w:ascii="Times New Roman" w:hAnsi="Times New Roman" w:cs="Times New Roman" w:eastAsia="Times New Roman" w:hint="default"/>
          <w:sz w:val="24"/>
          <w:szCs w:val="24"/>
        </w:rPr>
        <w:sectPr>
          <w:footerReference w:type="default" r:id="rId105"/>
          <w:pgSz w:w="12240" w:h="15840"/>
          <w:pgMar w:footer="1504" w:header="740" w:top="1200" w:bottom="1700" w:left="1400" w:right="1260"/>
          <w:pgNumType w:start="3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ListParagraph"/>
        <w:numPr>
          <w:ilvl w:val="0"/>
          <w:numId w:val="9"/>
        </w:numPr>
        <w:tabs>
          <w:tab w:pos="303" w:val="left" w:leader="none"/>
        </w:tabs>
        <w:spacing w:line="240" w:lineRule="auto" w:before="8" w:after="0"/>
        <w:ind w:left="160" w:right="178" w:firstLine="0"/>
        <w:jc w:val="both"/>
        <w:rPr>
          <w:rFonts w:ascii="Times New Roman" w:hAnsi="Times New Roman" w:cs="Times New Roman" w:eastAsia="Times New Roman" w:hint="default"/>
          <w:sz w:val="24"/>
          <w:szCs w:val="24"/>
        </w:rPr>
      </w:pPr>
      <w:r>
        <w:rPr>
          <w:rFonts w:ascii="Times New Roman" w:hAnsi="Times New Roman"/>
          <w:sz w:val="24"/>
        </w:rPr>
        <w:t>У Одлуци о буџету града Ниша за 2013. годину у осталим извештајима, није исказан Извештај о примљеним донацијама у 2013. години у износу од 9.735 хиљада динара, што је супротно члану 7. Уредбе о буџетском рачуноводству и члану 3. Правилника о начину припреме, састављања и подношења финансијских извештаја корисника буџетских средстава организација за обавезно социјално</w:t>
      </w:r>
      <w:r>
        <w:rPr>
          <w:rFonts w:ascii="Times New Roman" w:hAnsi="Times New Roman"/>
          <w:spacing w:val="-22"/>
          <w:sz w:val="24"/>
        </w:rPr>
        <w:t> </w:t>
      </w:r>
      <w:r>
        <w:rPr>
          <w:rFonts w:ascii="Times New Roman" w:hAnsi="Times New Roman"/>
          <w:sz w:val="24"/>
        </w:rPr>
        <w:t>осигурање.</w:t>
      </w:r>
    </w:p>
    <w:p>
      <w:pPr>
        <w:pStyle w:val="ListParagraph"/>
        <w:numPr>
          <w:ilvl w:val="0"/>
          <w:numId w:val="9"/>
        </w:numPr>
        <w:tabs>
          <w:tab w:pos="341" w:val="left" w:leader="none"/>
        </w:tabs>
        <w:spacing w:line="240" w:lineRule="auto" w:before="2" w:after="0"/>
        <w:ind w:left="160" w:right="173" w:firstLine="17"/>
        <w:jc w:val="both"/>
        <w:rPr>
          <w:rFonts w:ascii="Times New Roman" w:hAnsi="Times New Roman" w:cs="Times New Roman" w:eastAsia="Times New Roman" w:hint="default"/>
          <w:sz w:val="24"/>
          <w:szCs w:val="24"/>
        </w:rPr>
      </w:pPr>
      <w:r>
        <w:rPr>
          <w:rFonts w:ascii="Times New Roman" w:hAnsi="Times New Roman"/>
          <w:sz w:val="24"/>
        </w:rPr>
        <w:t>Извршено је плаћање у износу од 6.832 хиљаде динара, и то: у 2013. години извршено  је плаћање по основу предрачуна у износу од </w:t>
      </w:r>
      <w:r>
        <w:rPr>
          <w:rFonts w:ascii="Times New Roman" w:hAnsi="Times New Roman"/>
          <w:sz w:val="24"/>
        </w:rPr>
        <w:t>6.132 </w:t>
      </w:r>
      <w:r>
        <w:rPr>
          <w:rFonts w:ascii="Times New Roman" w:hAnsi="Times New Roman"/>
          <w:sz w:val="24"/>
        </w:rPr>
        <w:t>хиљаде динара (за ФК Раданички Ниш у износу од 4.000 хиљада динара, а у 2014. години извршено плаћање по основу предрачуна у износу од </w:t>
      </w:r>
      <w:r>
        <w:rPr>
          <w:rFonts w:ascii="Times New Roman" w:hAnsi="Times New Roman"/>
          <w:sz w:val="24"/>
        </w:rPr>
        <w:t>700 </w:t>
      </w:r>
      <w:r>
        <w:rPr>
          <w:rFonts w:ascii="Times New Roman" w:hAnsi="Times New Roman"/>
          <w:sz w:val="24"/>
        </w:rPr>
        <w:t>хиљада динара и евидентирање у пословним књигама, без накнадно приложених рачуна, односно без валидне рачуноводствене документације, што је супротно члану 58. Закона о буџетском систему и члану 16. Уредбе о буџетском рачуноводству.</w:t>
      </w:r>
    </w:p>
    <w:p>
      <w:pPr>
        <w:pStyle w:val="ListParagraph"/>
        <w:numPr>
          <w:ilvl w:val="0"/>
          <w:numId w:val="9"/>
        </w:numPr>
        <w:tabs>
          <w:tab w:pos="341"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У 2013. години извршено је плаћање по уговорима о учешћу и финансирању пројекта који је Градоначелник закључио са физичким лицем у износу од </w:t>
      </w:r>
      <w:r>
        <w:rPr>
          <w:rFonts w:ascii="Times New Roman" w:hAnsi="Times New Roman"/>
          <w:sz w:val="24"/>
        </w:rPr>
        <w:t>926 </w:t>
      </w:r>
      <w:r>
        <w:rPr>
          <w:rFonts w:ascii="Times New Roman" w:hAnsi="Times New Roman"/>
          <w:sz w:val="24"/>
        </w:rPr>
        <w:t>хиљада динара (бруто) и евидентирање у пословним књигама, без извештаја о извршеном послу,  односно без валидне рачуноводствене документације, што је супротно члану 58. Закона о буџетском систему и члану 16. Уредбе о буџетском рачуноводству. На крају обављене услуге није сачињен извештаје о извршеној</w:t>
      </w:r>
      <w:r>
        <w:rPr>
          <w:rFonts w:ascii="Times New Roman" w:hAnsi="Times New Roman"/>
          <w:spacing w:val="-18"/>
          <w:sz w:val="24"/>
        </w:rPr>
        <w:t> </w:t>
      </w:r>
      <w:r>
        <w:rPr>
          <w:rFonts w:ascii="Times New Roman" w:hAnsi="Times New Roman"/>
          <w:sz w:val="24"/>
        </w:rPr>
        <w:t>услузи</w:t>
      </w:r>
      <w:r>
        <w:rPr>
          <w:rFonts w:ascii="Times New Roman" w:hAnsi="Times New Roman"/>
          <w:sz w:val="24"/>
        </w:rPr>
        <w:t>.</w:t>
      </w:r>
    </w:p>
    <w:p>
      <w:pPr>
        <w:pStyle w:val="ListParagraph"/>
        <w:numPr>
          <w:ilvl w:val="0"/>
          <w:numId w:val="9"/>
        </w:numPr>
        <w:tabs>
          <w:tab w:pos="341" w:val="left" w:leader="none"/>
        </w:tabs>
        <w:spacing w:line="240" w:lineRule="auto" w:before="2" w:after="0"/>
        <w:ind w:left="160" w:right="174" w:firstLine="17"/>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Извршена је набавка плакета поводом јубилеја од добављача „Ортодокс</w:t>
      </w:r>
      <w:r>
        <w:rPr>
          <w:rFonts w:ascii="Times New Roman" w:hAnsi="Times New Roman" w:cs="Times New Roman" w:eastAsia="Times New Roman" w:hint="default"/>
          <w:sz w:val="24"/>
          <w:szCs w:val="24"/>
        </w:rPr>
        <w:t>-</w:t>
      </w:r>
      <w:r>
        <w:rPr>
          <w:rFonts w:ascii="Times New Roman" w:hAnsi="Times New Roman" w:cs="Times New Roman" w:eastAsia="Times New Roman" w:hint="default"/>
          <w:sz w:val="24"/>
          <w:szCs w:val="24"/>
        </w:rPr>
        <w:t>арт“ доо Гаџин Хан у 2013. години без спроведеног поступка јавне набавке, док су по том основу извршени расходи у износу од </w:t>
      </w:r>
      <w:r>
        <w:rPr>
          <w:rFonts w:ascii="Times New Roman" w:hAnsi="Times New Roman" w:cs="Times New Roman" w:eastAsia="Times New Roman" w:hint="default"/>
          <w:sz w:val="24"/>
          <w:szCs w:val="24"/>
        </w:rPr>
        <w:t>660 </w:t>
      </w:r>
      <w:r>
        <w:rPr>
          <w:rFonts w:ascii="Times New Roman" w:hAnsi="Times New Roman" w:cs="Times New Roman" w:eastAsia="Times New Roman" w:hint="default"/>
          <w:sz w:val="24"/>
          <w:szCs w:val="24"/>
        </w:rPr>
        <w:t>хиљада динара, супротно члану 39. Закона о јавним набавкама и члану 56. Закона о буџетском</w:t>
      </w:r>
      <w:r>
        <w:rPr>
          <w:rFonts w:ascii="Times New Roman" w:hAnsi="Times New Roman" w:cs="Times New Roman" w:eastAsia="Times New Roman" w:hint="default"/>
          <w:spacing w:val="-16"/>
          <w:sz w:val="24"/>
          <w:szCs w:val="24"/>
        </w:rPr>
        <w:t> </w:t>
      </w:r>
      <w:r>
        <w:rPr>
          <w:rFonts w:ascii="Times New Roman" w:hAnsi="Times New Roman" w:cs="Times New Roman" w:eastAsia="Times New Roman" w:hint="default"/>
          <w:sz w:val="24"/>
          <w:szCs w:val="24"/>
        </w:rPr>
        <w:t>систему.</w:t>
      </w:r>
    </w:p>
    <w:p>
      <w:pPr>
        <w:pStyle w:val="Heading2"/>
        <w:spacing w:line="240" w:lineRule="auto"/>
        <w:ind w:right="173"/>
        <w:jc w:val="both"/>
        <w:rPr>
          <w:rFonts w:ascii="Times New Roman" w:hAnsi="Times New Roman" w:cs="Times New Roman" w:eastAsia="Times New Roman" w:hint="default"/>
          <w:b w:val="0"/>
          <w:bCs w:val="0"/>
          <w:i w:val="0"/>
        </w:rPr>
      </w:pPr>
      <w:r>
        <w:rPr>
          <w:i/>
        </w:rPr>
        <w:t>Препоручује се одговорним лицима да приходе и примања и расходе и издатке по пројектима евидентирају у својим пословним књигама и да обезбеде правилну примену одредби Уредбе о буџетском рачуноводству, Правилника о стандардном класификационом оквиру и контном плану за буџетски систем и да набавку врше у поступку јавне</w:t>
      </w:r>
      <w:r>
        <w:rPr>
          <w:i/>
          <w:spacing w:val="-8"/>
        </w:rPr>
        <w:t> </w:t>
      </w:r>
      <w:r>
        <w:rPr>
          <w:i/>
        </w:rPr>
        <w:t>набавке</w:t>
      </w:r>
      <w:r>
        <w:rPr>
          <w:rFonts w:ascii="Times New Roman" w:hAnsi="Times New Roman"/>
          <w:i/>
        </w:rPr>
        <w:t>.</w:t>
      </w:r>
      <w:r>
        <w:rPr>
          <w:rFonts w:ascii="Times New Roman" w:hAnsi="Times New Roman"/>
          <w:b w:val="0"/>
          <w:i w:val="0"/>
        </w:rPr>
      </w:r>
    </w:p>
    <w:p>
      <w:pPr>
        <w:pStyle w:val="ListParagraph"/>
        <w:numPr>
          <w:ilvl w:val="0"/>
          <w:numId w:val="119"/>
        </w:numPr>
        <w:tabs>
          <w:tab w:pos="444" w:val="left" w:leader="none"/>
        </w:tabs>
        <w:spacing w:line="240" w:lineRule="auto" w:before="132" w:after="0"/>
        <w:ind w:left="443" w:right="0" w:hanging="283"/>
        <w:jc w:val="both"/>
        <w:rPr>
          <w:rFonts w:ascii="Times New Roman" w:hAnsi="Times New Roman" w:cs="Times New Roman" w:eastAsia="Times New Roman" w:hint="default"/>
          <w:sz w:val="24"/>
          <w:szCs w:val="24"/>
        </w:rPr>
      </w:pPr>
      <w:r>
        <w:rPr>
          <w:rFonts w:ascii="Times New Roman" w:hAnsi="Times New Roman"/>
          <w:b/>
          <w:sz w:val="24"/>
        </w:rPr>
        <w:t>Управа   за   пољопривреду   и   развој   села   </w:t>
      </w:r>
      <w:r>
        <w:rPr>
          <w:rFonts w:ascii="Times New Roman" w:hAnsi="Times New Roman"/>
          <w:sz w:val="24"/>
        </w:rPr>
        <w:t>-   </w:t>
      </w:r>
      <w:r>
        <w:rPr>
          <w:rFonts w:ascii="Times New Roman" w:hAnsi="Times New Roman"/>
          <w:sz w:val="24"/>
        </w:rPr>
      </w:r>
      <w:r>
        <w:rPr>
          <w:rFonts w:ascii="Times New Roman" w:hAnsi="Times New Roman"/>
          <w:sz w:val="24"/>
          <w:u w:val="single" w:color="000000"/>
        </w:rPr>
      </w:r>
      <w:r>
        <w:rPr>
          <w:rFonts w:ascii="Times New Roman" w:hAnsi="Times New Roman"/>
          <w:sz w:val="24"/>
          <w:u w:val="single" w:color="000000"/>
        </w:rPr>
        <w:t>Ј</w:t>
      </w:r>
      <w:r>
        <w:rPr>
          <w:rFonts w:ascii="Times New Roman" w:hAnsi="Times New Roman"/>
          <w:sz w:val="24"/>
          <w:u w:val="single" w:color="000000"/>
        </w:rPr>
        <w:t>a</w:t>
      </w:r>
      <w:r>
        <w:rPr>
          <w:rFonts w:ascii="Times New Roman" w:hAnsi="Times New Roman"/>
          <w:sz w:val="24"/>
          <w:u w:val="single" w:color="000000"/>
        </w:rPr>
        <w:t>чање   капацитета   произвођача</w:t>
      </w:r>
      <w:r>
        <w:rPr>
          <w:rFonts w:ascii="Times New Roman" w:hAnsi="Times New Roman"/>
          <w:spacing w:val="24"/>
          <w:sz w:val="24"/>
          <w:u w:val="single" w:color="000000"/>
        </w:rPr>
        <w:t> </w:t>
      </w:r>
      <w:r>
        <w:rPr>
          <w:rFonts w:ascii="Times New Roman" w:hAnsi="Times New Roman"/>
          <w:sz w:val="24"/>
          <w:u w:val="single" w:color="000000"/>
        </w:rPr>
        <w:t>и</w:t>
      </w:r>
      <w:r>
        <w:rPr>
          <w:rFonts w:ascii="Times New Roman" w:hAnsi="Times New Roman"/>
          <w:sz w:val="24"/>
        </w:rPr>
      </w:r>
    </w:p>
    <w:p>
      <w:pPr>
        <w:pStyle w:val="BodyText"/>
        <w:spacing w:line="240" w:lineRule="auto"/>
        <w:ind w:right="0"/>
        <w:jc w:val="both"/>
        <w:rPr>
          <w:rFonts w:ascii="Times New Roman" w:hAnsi="Times New Roman" w:cs="Times New Roman" w:eastAsia="Times New Roman" w:hint="default"/>
        </w:rPr>
      </w:pPr>
      <w:r>
        <w:rPr>
          <w:rFonts w:ascii="Times New Roman" w:hAnsi="Times New Roman"/>
        </w:rPr>
      </w:r>
      <w:r>
        <w:rPr>
          <w:rFonts w:ascii="Times New Roman" w:hAnsi="Times New Roman"/>
          <w:spacing w:val="-60"/>
          <w:u w:val="single" w:color="000000"/>
        </w:rPr>
        <w:t> </w:t>
      </w:r>
      <w:r>
        <w:rPr>
          <w:u w:val="single" w:color="000000"/>
        </w:rPr>
        <w:t>прерађивача млека </w:t>
      </w:r>
      <w:r>
        <w:rPr>
          <w:rFonts w:ascii="Times New Roman" w:hAnsi="Times New Roman"/>
          <w:u w:val="single" w:color="000000"/>
        </w:rPr>
        <w:t>Eco-milk </w:t>
      </w:r>
      <w:r>
        <w:rPr>
          <w:u w:val="single" w:color="000000"/>
        </w:rPr>
        <w:t>(подрачун број</w:t>
      </w:r>
      <w:r>
        <w:rPr>
          <w:spacing w:val="-11"/>
          <w:u w:val="single" w:color="000000"/>
        </w:rPr>
        <w:t> </w:t>
      </w:r>
      <w:r>
        <w:rPr>
          <w:u w:val="single" w:color="000000"/>
        </w:rPr>
        <w:t>840</w:t>
      </w:r>
      <w:r>
        <w:rPr>
          <w:rFonts w:ascii="Times New Roman" w:hAnsi="Times New Roman"/>
          <w:u w:val="single" w:color="000000"/>
        </w:rPr>
        <w:t>-2775741-64)</w:t>
      </w:r>
      <w:r>
        <w:rPr>
          <w:rFonts w:ascii="Times New Roman" w:hAnsi="Times New Roman"/>
        </w:rPr>
        <w:t>.</w:t>
      </w:r>
    </w:p>
    <w:p>
      <w:pPr>
        <w:pStyle w:val="BodyText"/>
        <w:spacing w:line="240" w:lineRule="auto"/>
        <w:ind w:right="174" w:firstLine="566"/>
        <w:jc w:val="both"/>
      </w:pPr>
      <w:r>
        <w:rPr/>
        <w:t>Дана </w:t>
      </w:r>
      <w:r>
        <w:rPr>
          <w:rFonts w:ascii="Times New Roman" w:hAnsi="Times New Roman" w:cs="Times New Roman" w:eastAsia="Times New Roman" w:hint="default"/>
        </w:rPr>
        <w:t>21.01</w:t>
      </w:r>
      <w:r>
        <w:rPr/>
        <w:t>.2013. године, Градоначеник града Ниша закључио је Уговор о субвенцији број </w:t>
      </w:r>
      <w:r>
        <w:rPr>
          <w:rFonts w:ascii="Times New Roman" w:hAnsi="Times New Roman" w:cs="Times New Roman" w:eastAsia="Times New Roman" w:hint="default"/>
        </w:rPr>
        <w:t>P2-02-29-</w:t>
      </w:r>
      <w:r>
        <w:rPr/>
        <w:t>35/21.01.2013. године, са замеником министра за регионални развој и јавне радове Бугарске </w:t>
      </w:r>
      <w:r>
        <w:rPr>
          <w:rFonts w:ascii="Times New Roman" w:hAnsi="Times New Roman" w:cs="Times New Roman" w:eastAsia="Times New Roman" w:hint="default"/>
        </w:rPr>
        <w:t>- </w:t>
      </w:r>
      <w:r>
        <w:rPr/>
        <w:t>шеф Управног органа по ИПА програму прекограничне сарадње Бугарска</w:t>
      </w:r>
      <w:r>
        <w:rPr>
          <w:rFonts w:ascii="Times New Roman" w:hAnsi="Times New Roman" w:cs="Times New Roman" w:eastAsia="Times New Roman" w:hint="default"/>
        </w:rPr>
        <w:t>-</w:t>
      </w:r>
      <w:r>
        <w:rPr/>
        <w:t>Србија, Генералним директоријатом „Управљање територијалном сарадњом“ и општином Тран. Сврха уговора је додела субвенције „Јачање капацитета произвођача и прерађивача млека“. Имплементациони период пројекта је 12 месеци. Град Ниш је по основу овог пројекта отворио девизни рачун код Народне банке Србије, са  кога је банка преносила средства на наменски отворен</w:t>
      </w:r>
      <w:r>
        <w:rPr>
          <w:spacing w:val="-25"/>
        </w:rPr>
        <w:t> </w:t>
      </w:r>
      <w:r>
        <w:rPr/>
        <w:t>подрачун.</w:t>
      </w:r>
    </w:p>
    <w:p>
      <w:pPr>
        <w:pStyle w:val="Heading1"/>
        <w:spacing w:line="275" w:lineRule="exact"/>
        <w:ind w:right="141"/>
        <w:jc w:val="left"/>
        <w:rPr>
          <w:b w:val="0"/>
          <w:bCs w:val="0"/>
        </w:rPr>
      </w:pPr>
      <w:r>
        <w:rPr/>
        <w:t>На основу извршене ревизије узоркованих докумената утврђено је</w:t>
      </w:r>
      <w:r>
        <w:rPr>
          <w:spacing w:val="-20"/>
        </w:rPr>
        <w:t> </w:t>
      </w:r>
      <w:r>
        <w:rPr/>
        <w:t>следеће:</w:t>
      </w:r>
      <w:r>
        <w:rPr>
          <w:b w:val="0"/>
        </w:rPr>
      </w:r>
    </w:p>
    <w:p>
      <w:pPr>
        <w:pStyle w:val="BodyText"/>
        <w:spacing w:line="240" w:lineRule="auto"/>
        <w:ind w:right="176" w:firstLine="16"/>
        <w:jc w:val="both"/>
      </w:pPr>
      <w:r>
        <w:rPr>
          <w:rFonts w:ascii="Symbol" w:hAnsi="Symbol" w:cs="Symbol" w:eastAsia="Symbol" w:hint="default"/>
        </w:rPr>
        <w:t></w:t>
      </w:r>
      <w:r>
        <w:rPr/>
        <w:t>Уговор и тендерска документација за пројекат Ј</w:t>
      </w:r>
      <w:r>
        <w:rPr>
          <w:rFonts w:ascii="Times New Roman" w:hAnsi="Times New Roman" w:cs="Times New Roman" w:eastAsia="Times New Roman" w:hint="default"/>
        </w:rPr>
        <w:t>a</w:t>
      </w:r>
      <w:r>
        <w:rPr/>
        <w:t>чање капацитета произвођача и прерађивача млека </w:t>
      </w:r>
      <w:r>
        <w:rPr>
          <w:rFonts w:ascii="Times New Roman" w:hAnsi="Times New Roman" w:cs="Times New Roman" w:eastAsia="Times New Roman" w:hint="default"/>
        </w:rPr>
        <w:t>Eco-milk </w:t>
      </w:r>
      <w:r>
        <w:rPr/>
        <w:t>састављени су само на енглеском језику, што није у складу са Уставом и важећим законским прописима. Документација коју доставља консултант као основ за плаћање није преведена на српски језик, нпр. евиденција о оствареним сатима рада (извештај о</w:t>
      </w:r>
      <w:r>
        <w:rPr>
          <w:spacing w:val="-9"/>
        </w:rPr>
        <w:t> </w:t>
      </w:r>
      <w:r>
        <w:rPr/>
        <w:t>раду).</w:t>
      </w:r>
    </w:p>
    <w:p>
      <w:pPr>
        <w:pStyle w:val="ListParagraph"/>
        <w:numPr>
          <w:ilvl w:val="0"/>
          <w:numId w:val="9"/>
        </w:numPr>
        <w:tabs>
          <w:tab w:pos="303"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sz w:val="24"/>
        </w:rPr>
        <w:t>У </w:t>
      </w:r>
      <w:r>
        <w:rPr>
          <w:rFonts w:ascii="Times New Roman" w:hAnsi="Times New Roman"/>
          <w:sz w:val="24"/>
        </w:rPr>
        <w:t>2013</w:t>
      </w:r>
      <w:r>
        <w:rPr>
          <w:rFonts w:ascii="Times New Roman" w:hAnsi="Times New Roman"/>
          <w:sz w:val="24"/>
        </w:rPr>
        <w:t>. години добијена су средства по овом пројекту у износу од </w:t>
      </w:r>
      <w:r>
        <w:rPr>
          <w:rFonts w:ascii="Times New Roman" w:hAnsi="Times New Roman"/>
          <w:sz w:val="24"/>
        </w:rPr>
        <w:t>3.420 </w:t>
      </w:r>
      <w:r>
        <w:rPr>
          <w:rFonts w:ascii="Times New Roman" w:hAnsi="Times New Roman"/>
          <w:sz w:val="24"/>
        </w:rPr>
        <w:t>хиљада динара и  до  краја  2013.  године  утрошена  у  износу  2.807  хиљада  динара,  тако  да  су</w:t>
      </w:r>
      <w:r>
        <w:rPr>
          <w:rFonts w:ascii="Times New Roman" w:hAnsi="Times New Roman"/>
          <w:spacing w:val="13"/>
          <w:sz w:val="24"/>
        </w:rPr>
        <w:t> </w:t>
      </w:r>
      <w:r>
        <w:rPr>
          <w:rFonts w:ascii="Times New Roman" w:hAnsi="Times New Roman"/>
          <w:sz w:val="24"/>
        </w:rPr>
        <w:t>остала</w:t>
      </w:r>
    </w:p>
    <w:p>
      <w:pPr>
        <w:spacing w:after="0" w:line="240" w:lineRule="auto"/>
        <w:jc w:val="both"/>
        <w:rPr>
          <w:rFonts w:ascii="Times New Roman" w:hAnsi="Times New Roman" w:cs="Times New Roman" w:eastAsia="Times New Roman" w:hint="default"/>
          <w:sz w:val="24"/>
          <w:szCs w:val="24"/>
        </w:rPr>
        <w:sectPr>
          <w:pgSz w:w="12240" w:h="15840"/>
          <w:pgMar w:header="740" w:footer="1504" w:top="120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BodyText"/>
        <w:spacing w:line="240" w:lineRule="auto" w:before="6"/>
        <w:ind w:right="172"/>
        <w:jc w:val="both"/>
        <w:rPr>
          <w:rFonts w:ascii="Times New Roman" w:hAnsi="Times New Roman" w:cs="Times New Roman" w:eastAsia="Times New Roman" w:hint="default"/>
        </w:rPr>
      </w:pPr>
      <w:r>
        <w:rPr/>
        <w:t>неутрошена средства на дан 31.12.2013. године на подрачуну у износу од 614 хиљада динара. Неутрошена средства у износу од 614 хиљада динара нису евидентирани у пословним књигама директног корисника, на дан 31.12.2013. године, тако да су билансна позиција 121000 – новчана средства, племенити метали, хартије од вредности и билансна позиција 311000 – капитал, мање исказан тај износ, што је супротно члану 9. и члану </w:t>
      </w:r>
      <w:r>
        <w:rPr>
          <w:rFonts w:ascii="Times New Roman" w:hAnsi="Times New Roman" w:cs="Times New Roman" w:eastAsia="Times New Roman" w:hint="default"/>
        </w:rPr>
        <w:t>16. </w:t>
      </w:r>
      <w:r>
        <w:rPr/>
        <w:t>став 11. Уредбе о буџетском</w:t>
      </w:r>
      <w:r>
        <w:rPr>
          <w:spacing w:val="-9"/>
        </w:rPr>
        <w:t> </w:t>
      </w:r>
      <w:r>
        <w:rPr/>
        <w:t>рачуноводству</w:t>
      </w:r>
      <w:r>
        <w:rPr>
          <w:rFonts w:ascii="Times New Roman" w:hAnsi="Times New Roman" w:cs="Times New Roman" w:eastAsia="Times New Roman" w:hint="default"/>
        </w:rPr>
        <w:t>.</w:t>
      </w:r>
    </w:p>
    <w:p>
      <w:pPr>
        <w:pStyle w:val="ListParagraph"/>
        <w:numPr>
          <w:ilvl w:val="0"/>
          <w:numId w:val="9"/>
        </w:numPr>
        <w:tabs>
          <w:tab w:pos="303" w:val="left" w:leader="none"/>
        </w:tabs>
        <w:spacing w:line="240" w:lineRule="auto" w:before="2" w:after="0"/>
        <w:ind w:left="160" w:right="177" w:firstLine="0"/>
        <w:jc w:val="both"/>
        <w:rPr>
          <w:rFonts w:ascii="Times New Roman" w:hAnsi="Times New Roman" w:cs="Times New Roman" w:eastAsia="Times New Roman" w:hint="default"/>
          <w:sz w:val="24"/>
          <w:szCs w:val="24"/>
        </w:rPr>
      </w:pPr>
      <w:r>
        <w:rPr>
          <w:rFonts w:ascii="Times New Roman" w:hAnsi="Times New Roman"/>
          <w:sz w:val="24"/>
        </w:rPr>
        <w:t>У 2014. години примљена су средства по овом пројекту у износу од 2.593 хиљаде динара, а да притом нису евидентирана и исказана на конту 731000 </w:t>
      </w:r>
      <w:r>
        <w:rPr>
          <w:rFonts w:ascii="Times New Roman" w:hAnsi="Times New Roman"/>
          <w:sz w:val="24"/>
        </w:rPr>
        <w:t>- </w:t>
      </w:r>
      <w:r>
        <w:rPr>
          <w:rFonts w:ascii="Times New Roman" w:hAnsi="Times New Roman"/>
          <w:sz w:val="24"/>
        </w:rPr>
        <w:t>донације од иностраних држава, што је супротно члану 9</w:t>
      </w:r>
      <w:r>
        <w:rPr>
          <w:rFonts w:ascii="Times New Roman" w:hAnsi="Times New Roman"/>
          <w:sz w:val="24"/>
        </w:rPr>
        <w:t>. </w:t>
      </w:r>
      <w:r>
        <w:rPr>
          <w:rFonts w:ascii="Times New Roman" w:hAnsi="Times New Roman"/>
          <w:sz w:val="24"/>
        </w:rPr>
        <w:t>Уредбе о буџетском рачуноводству и Правилнику о стандардном класификационом оквиру и контном плану за буџетски систем.</w:t>
      </w:r>
    </w:p>
    <w:p>
      <w:pPr>
        <w:pStyle w:val="ListParagraph"/>
        <w:numPr>
          <w:ilvl w:val="0"/>
          <w:numId w:val="9"/>
        </w:numPr>
        <w:tabs>
          <w:tab w:pos="303" w:val="left" w:leader="none"/>
        </w:tabs>
        <w:spacing w:line="240" w:lineRule="auto" w:before="2"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Са овог подрачуна у 201</w:t>
      </w:r>
      <w:r>
        <w:rPr>
          <w:rFonts w:ascii="Times New Roman" w:hAnsi="Times New Roman" w:cs="Times New Roman" w:eastAsia="Times New Roman" w:hint="default"/>
          <w:sz w:val="24"/>
          <w:szCs w:val="24"/>
        </w:rPr>
        <w:t>4. </w:t>
      </w:r>
      <w:r>
        <w:rPr>
          <w:rFonts w:ascii="Times New Roman" w:hAnsi="Times New Roman" w:cs="Times New Roman" w:eastAsia="Times New Roman" w:hint="default"/>
          <w:sz w:val="24"/>
          <w:szCs w:val="24"/>
        </w:rPr>
        <w:t>години (извршено је плаћање у износу </w:t>
      </w:r>
      <w:r>
        <w:rPr>
          <w:rFonts w:ascii="Times New Roman" w:hAnsi="Times New Roman" w:cs="Times New Roman" w:eastAsia="Times New Roman" w:hint="default"/>
          <w:sz w:val="24"/>
          <w:szCs w:val="24"/>
        </w:rPr>
        <w:t>3.208 </w:t>
      </w:r>
      <w:r>
        <w:rPr>
          <w:rFonts w:ascii="Times New Roman" w:hAnsi="Times New Roman" w:cs="Times New Roman" w:eastAsia="Times New Roman" w:hint="default"/>
          <w:sz w:val="24"/>
          <w:szCs w:val="24"/>
        </w:rPr>
        <w:t>хиљада динара,  а да притом није извршено евидентирање и самим тим мање су исказани расходи на групи конта: 421000 – стални трошкови у износу од </w:t>
      </w:r>
      <w:r>
        <w:rPr>
          <w:rFonts w:ascii="Times New Roman" w:hAnsi="Times New Roman" w:cs="Times New Roman" w:eastAsia="Times New Roman" w:hint="default"/>
          <w:sz w:val="24"/>
          <w:szCs w:val="24"/>
        </w:rPr>
        <w:t>7 </w:t>
      </w:r>
      <w:r>
        <w:rPr>
          <w:rFonts w:ascii="Times New Roman" w:hAnsi="Times New Roman" w:cs="Times New Roman" w:eastAsia="Times New Roman" w:hint="default"/>
          <w:sz w:val="24"/>
          <w:szCs w:val="24"/>
        </w:rPr>
        <w:t>хиљада динара и </w:t>
      </w:r>
      <w:r>
        <w:rPr>
          <w:rFonts w:ascii="Times New Roman" w:hAnsi="Times New Roman" w:cs="Times New Roman" w:eastAsia="Times New Roman" w:hint="default"/>
          <w:sz w:val="24"/>
          <w:szCs w:val="24"/>
        </w:rPr>
        <w:t>424000 - </w:t>
      </w:r>
      <w:r>
        <w:rPr>
          <w:rFonts w:ascii="Times New Roman" w:hAnsi="Times New Roman" w:cs="Times New Roman" w:eastAsia="Times New Roman" w:hint="default"/>
          <w:sz w:val="24"/>
          <w:szCs w:val="24"/>
        </w:rPr>
        <w:t>специјализоване услуге у износу од </w:t>
      </w:r>
      <w:r>
        <w:rPr>
          <w:rFonts w:ascii="Times New Roman" w:hAnsi="Times New Roman" w:cs="Times New Roman" w:eastAsia="Times New Roman" w:hint="default"/>
          <w:sz w:val="24"/>
          <w:szCs w:val="24"/>
        </w:rPr>
        <w:t>3.202 </w:t>
      </w:r>
      <w:r>
        <w:rPr>
          <w:rFonts w:ascii="Times New Roman" w:hAnsi="Times New Roman" w:cs="Times New Roman" w:eastAsia="Times New Roman" w:hint="default"/>
          <w:sz w:val="24"/>
          <w:szCs w:val="24"/>
        </w:rPr>
        <w:t>хиљаде динара, што је супротно члану </w:t>
      </w:r>
      <w:r>
        <w:rPr>
          <w:rFonts w:ascii="Times New Roman" w:hAnsi="Times New Roman" w:cs="Times New Roman" w:eastAsia="Times New Roman" w:hint="default"/>
          <w:sz w:val="24"/>
          <w:szCs w:val="24"/>
        </w:rPr>
        <w:t>9. </w:t>
      </w:r>
      <w:r>
        <w:rPr>
          <w:rFonts w:ascii="Times New Roman" w:hAnsi="Times New Roman" w:cs="Times New Roman" w:eastAsia="Times New Roman" w:hint="default"/>
          <w:sz w:val="24"/>
          <w:szCs w:val="24"/>
        </w:rPr>
        <w:t>и 16. Уредбе о буџетском рачуноводству</w:t>
      </w:r>
      <w:r>
        <w:rPr>
          <w:rFonts w:ascii="Times New Roman" w:hAnsi="Times New Roman" w:cs="Times New Roman" w:eastAsia="Times New Roman" w:hint="default"/>
          <w:sz w:val="24"/>
          <w:szCs w:val="24"/>
        </w:rPr>
        <w:t>, </w:t>
      </w:r>
      <w:r>
        <w:rPr>
          <w:rFonts w:ascii="Times New Roman" w:hAnsi="Times New Roman" w:cs="Times New Roman" w:eastAsia="Times New Roman" w:hint="default"/>
          <w:sz w:val="24"/>
          <w:szCs w:val="24"/>
        </w:rPr>
        <w:t>Правилника о стандардном класификационом  оквиру и контном плану за буџетски систем и Правилнику о начину припреме, састављања и подношења финансијских извештаја корисника буџетских средстава и корисника средстава организација за обавезно социјално осигурање  и  буџетских фондова</w:t>
      </w:r>
      <w:r>
        <w:rPr>
          <w:rFonts w:ascii="Times New Roman" w:hAnsi="Times New Roman" w:cs="Times New Roman" w:eastAsia="Times New Roman" w:hint="default"/>
          <w:sz w:val="24"/>
          <w:szCs w:val="24"/>
        </w:rPr>
        <w:t>.</w:t>
      </w:r>
    </w:p>
    <w:p>
      <w:pPr>
        <w:pStyle w:val="Heading2"/>
        <w:spacing w:line="240" w:lineRule="auto"/>
        <w:ind w:right="173"/>
        <w:jc w:val="both"/>
        <w:rPr>
          <w:b w:val="0"/>
          <w:bCs w:val="0"/>
          <w:i w:val="0"/>
        </w:rPr>
      </w:pPr>
      <w:r>
        <w:rPr>
          <w:i/>
        </w:rPr>
        <w:t>Препоручује се одговорним лицима да приходе и примања и расходе и издатке по пројектима евидентирају у својим пословним књигама и да обезбеде правилну примену одредби Уредбе о буџетском рачуноводству, Правилника о стандардном класификационом оквиру и контном плану за буџетски систем и Правилника о начину припреме, састављања и подношења финансијских извештаја корисника буџетских средстава</w:t>
      </w:r>
      <w:r>
        <w:rPr>
          <w:rFonts w:ascii="Times New Roman" w:hAnsi="Times New Roman"/>
          <w:i/>
        </w:rPr>
        <w:t>, </w:t>
      </w:r>
      <w:r>
        <w:rPr>
          <w:i/>
        </w:rPr>
        <w:t>корисника средстава организација за обавезно социјално осигурање и буџетских</w:t>
      </w:r>
      <w:r>
        <w:rPr>
          <w:i/>
          <w:spacing w:val="-9"/>
        </w:rPr>
        <w:t> </w:t>
      </w:r>
      <w:r>
        <w:rPr>
          <w:i/>
        </w:rPr>
        <w:t>фондова.</w:t>
      </w:r>
      <w:r>
        <w:rPr>
          <w:b w:val="0"/>
          <w:i w:val="0"/>
        </w:rPr>
      </w:r>
    </w:p>
    <w:p>
      <w:pPr>
        <w:pStyle w:val="ListParagraph"/>
        <w:numPr>
          <w:ilvl w:val="0"/>
          <w:numId w:val="119"/>
        </w:numPr>
        <w:tabs>
          <w:tab w:pos="432" w:val="left" w:leader="none"/>
        </w:tabs>
        <w:spacing w:line="240" w:lineRule="auto" w:before="132" w:after="0"/>
        <w:ind w:left="160" w:right="175" w:firstLine="0"/>
        <w:jc w:val="both"/>
        <w:rPr>
          <w:rFonts w:ascii="Times New Roman" w:hAnsi="Times New Roman" w:cs="Times New Roman" w:eastAsia="Times New Roman" w:hint="default"/>
          <w:sz w:val="24"/>
          <w:szCs w:val="24"/>
        </w:rPr>
      </w:pPr>
      <w:r>
        <w:rPr>
          <w:rFonts w:ascii="Times New Roman" w:hAnsi="Times New Roman"/>
          <w:b/>
          <w:sz w:val="24"/>
        </w:rPr>
        <w:t>ЈП Градска стамбена агенција </w:t>
      </w:r>
      <w:r>
        <w:rPr>
          <w:rFonts w:ascii="Times New Roman" w:hAnsi="Times New Roman"/>
          <w:b/>
          <w:sz w:val="24"/>
        </w:rPr>
        <w:t>- </w:t>
      </w:r>
      <w:r>
        <w:rPr>
          <w:rFonts w:ascii="Times New Roman" w:hAnsi="Times New Roman"/>
          <w:sz w:val="24"/>
        </w:rPr>
      </w:r>
      <w:r>
        <w:rPr>
          <w:rFonts w:ascii="Times New Roman" w:hAnsi="Times New Roman"/>
          <w:sz w:val="24"/>
          <w:u w:val="single" w:color="000000"/>
        </w:rPr>
      </w:r>
      <w:r>
        <w:rPr>
          <w:rFonts w:ascii="Times New Roman" w:hAnsi="Times New Roman"/>
          <w:sz w:val="24"/>
          <w:u w:val="single" w:color="000000"/>
        </w:rPr>
        <w:t>за изградњу станова за социјално становање </w:t>
      </w:r>
      <w:r>
        <w:rPr>
          <w:rFonts w:ascii="Times New Roman" w:hAnsi="Times New Roman"/>
          <w:sz w:val="24"/>
        </w:rPr>
      </w:r>
      <w:r>
        <w:rPr>
          <w:rFonts w:ascii="Times New Roman" w:hAnsi="Times New Roman"/>
          <w:sz w:val="24"/>
        </w:rPr>
      </w:r>
      <w:r>
        <w:rPr>
          <w:rFonts w:ascii="Times New Roman" w:hAnsi="Times New Roman"/>
          <w:sz w:val="24"/>
        </w:rPr>
      </w:r>
      <w:r>
        <w:rPr>
          <w:rFonts w:ascii="Times New Roman" w:hAnsi="Times New Roman"/>
          <w:sz w:val="24"/>
          <w:u w:val="single" w:color="000000"/>
        </w:rPr>
        <w:t>(</w:t>
      </w:r>
      <w:r>
        <w:rPr>
          <w:rFonts w:ascii="Times New Roman" w:hAnsi="Times New Roman"/>
          <w:sz w:val="24"/>
          <w:u w:val="single" w:color="000000"/>
        </w:rPr>
        <w:t>подрачун број</w:t>
      </w:r>
      <w:r>
        <w:rPr>
          <w:rFonts w:ascii="Times New Roman" w:hAnsi="Times New Roman"/>
          <w:spacing w:val="-5"/>
          <w:sz w:val="24"/>
          <w:u w:val="single" w:color="000000"/>
        </w:rPr>
        <w:t> </w:t>
      </w:r>
      <w:r>
        <w:rPr>
          <w:rFonts w:ascii="Times New Roman" w:hAnsi="Times New Roman"/>
          <w:sz w:val="24"/>
          <w:u w:val="single" w:color="000000"/>
        </w:rPr>
        <w:t>840-2820741-88)</w:t>
      </w:r>
      <w:r>
        <w:rPr>
          <w:rFonts w:ascii="Times New Roman" w:hAnsi="Times New Roman"/>
          <w:sz w:val="24"/>
        </w:rPr>
      </w:r>
    </w:p>
    <w:p>
      <w:pPr>
        <w:pStyle w:val="BodyText"/>
        <w:spacing w:line="240" w:lineRule="auto"/>
        <w:ind w:right="172" w:firstLine="566"/>
        <w:jc w:val="both"/>
      </w:pPr>
      <w:r>
        <w:rPr/>
        <w:t>На овом подрачуну ЈП „Градска стамбена агенција“ је на почетку 2014. године имала средства у износу од 77.274 хиљаде динара. Средства у износу од 46.000 хиљада динара су примљена од Републичке Агенције за становање, по основу Уговора о реализацији програма изградње станова за социјално становање број 4439/2012</w:t>
      </w:r>
      <w:r>
        <w:rPr>
          <w:rFonts w:ascii="Times New Roman" w:hAnsi="Times New Roman" w:cs="Times New Roman" w:eastAsia="Times New Roman" w:hint="default"/>
        </w:rPr>
        <w:t>-</w:t>
      </w:r>
      <w:r>
        <w:rPr/>
        <w:t>01 од 25.12.2012. године, за реализацију Програма – изградње станова у граду Нишу на локацији улице Мајаковског Л5 и Л6 у Нишу. Средства у износу од 31.000 хиљаде  динара наплаћена од продаје станова, пренета су на подрачун са редовног рачуна ЈП Градска стамбена агенција. Средства у укупном износу од </w:t>
      </w:r>
      <w:r>
        <w:rPr>
          <w:rFonts w:ascii="Times New Roman" w:hAnsi="Times New Roman" w:cs="Times New Roman" w:eastAsia="Times New Roman" w:hint="default"/>
        </w:rPr>
        <w:t>58.972 </w:t>
      </w:r>
      <w:r>
        <w:rPr/>
        <w:t>хиљаде динара утрошена су за изградњу станова на локацији Мајаковског Л5 у</w:t>
      </w:r>
      <w:r>
        <w:rPr>
          <w:spacing w:val="-26"/>
        </w:rPr>
        <w:t> </w:t>
      </w:r>
      <w:r>
        <w:rPr/>
        <w:t>Нишу.</w:t>
      </w:r>
    </w:p>
    <w:p>
      <w:pPr>
        <w:pStyle w:val="Heading1"/>
        <w:spacing w:line="275" w:lineRule="exact"/>
        <w:ind w:right="141"/>
        <w:jc w:val="left"/>
        <w:rPr>
          <w:b w:val="0"/>
          <w:bCs w:val="0"/>
        </w:rPr>
      </w:pPr>
      <w:r>
        <w:rPr/>
        <w:t>На основу извршене ревизије узоркованих докумената утврђено је</w:t>
      </w:r>
      <w:r>
        <w:rPr>
          <w:spacing w:val="-20"/>
        </w:rPr>
        <w:t> </w:t>
      </w:r>
      <w:r>
        <w:rPr/>
        <w:t>следеће:</w:t>
      </w:r>
      <w:r>
        <w:rPr>
          <w:b w:val="0"/>
        </w:rPr>
      </w:r>
    </w:p>
    <w:p>
      <w:pPr>
        <w:pStyle w:val="ListParagraph"/>
        <w:numPr>
          <w:ilvl w:val="0"/>
          <w:numId w:val="9"/>
        </w:numPr>
        <w:tabs>
          <w:tab w:pos="303" w:val="left" w:leader="none"/>
        </w:tabs>
        <w:spacing w:line="240" w:lineRule="auto" w:before="0" w:after="0"/>
        <w:ind w:left="160" w:right="172" w:firstLine="0"/>
        <w:jc w:val="both"/>
        <w:rPr>
          <w:rFonts w:ascii="Times New Roman" w:hAnsi="Times New Roman" w:cs="Times New Roman" w:eastAsia="Times New Roman" w:hint="default"/>
          <w:sz w:val="24"/>
          <w:szCs w:val="24"/>
        </w:rPr>
      </w:pPr>
      <w:r>
        <w:rPr>
          <w:rFonts w:ascii="Times New Roman" w:hAnsi="Times New Roman" w:cs="Times New Roman" w:eastAsia="Times New Roman" w:hint="default"/>
          <w:sz w:val="24"/>
          <w:szCs w:val="24"/>
        </w:rPr>
        <w:t>Са овог подрачуна извршено је плаћање по основу испостављених ситуација за изградњу станова за социјално становање у Л5 и Л6 на локацији улице Мајаковског у Нишу у износу </w:t>
      </w:r>
      <w:r>
        <w:rPr>
          <w:rFonts w:ascii="Times New Roman" w:hAnsi="Times New Roman" w:cs="Times New Roman" w:eastAsia="Times New Roman" w:hint="default"/>
          <w:sz w:val="24"/>
          <w:szCs w:val="24"/>
        </w:rPr>
        <w:t>19.568 </w:t>
      </w:r>
      <w:r>
        <w:rPr>
          <w:rFonts w:ascii="Times New Roman" w:hAnsi="Times New Roman" w:cs="Times New Roman" w:eastAsia="Times New Roman" w:hint="default"/>
          <w:sz w:val="24"/>
          <w:szCs w:val="24"/>
        </w:rPr>
        <w:t>хиљада динара, а да притом није извршено евидентирање и самим тим мање је исказан издатак на групи конта </w:t>
      </w:r>
      <w:r>
        <w:rPr>
          <w:rFonts w:ascii="Times New Roman" w:hAnsi="Times New Roman" w:cs="Times New Roman" w:eastAsia="Times New Roman" w:hint="default"/>
          <w:sz w:val="24"/>
          <w:szCs w:val="24"/>
        </w:rPr>
        <w:t>523000 </w:t>
      </w:r>
      <w:r>
        <w:rPr>
          <w:rFonts w:ascii="Times New Roman" w:hAnsi="Times New Roman" w:cs="Times New Roman" w:eastAsia="Times New Roman" w:hint="default"/>
          <w:sz w:val="24"/>
          <w:szCs w:val="24"/>
        </w:rPr>
        <w:t>– залихе робе за даљу продају у  истом  износу,  што  је  супротно  члану  </w:t>
      </w:r>
      <w:r>
        <w:rPr>
          <w:rFonts w:ascii="Times New Roman" w:hAnsi="Times New Roman" w:cs="Times New Roman" w:eastAsia="Times New Roman" w:hint="default"/>
          <w:sz w:val="24"/>
          <w:szCs w:val="24"/>
        </w:rPr>
        <w:t>9.  </w:t>
      </w:r>
      <w:r>
        <w:rPr>
          <w:rFonts w:ascii="Times New Roman" w:hAnsi="Times New Roman" w:cs="Times New Roman" w:eastAsia="Times New Roman" w:hint="default"/>
          <w:sz w:val="24"/>
          <w:szCs w:val="24"/>
        </w:rPr>
        <w:t>и  </w:t>
      </w:r>
      <w:r>
        <w:rPr>
          <w:rFonts w:ascii="Times New Roman" w:hAnsi="Times New Roman" w:cs="Times New Roman" w:eastAsia="Times New Roman" w:hint="default"/>
          <w:sz w:val="24"/>
          <w:szCs w:val="24"/>
        </w:rPr>
        <w:t>16.  </w:t>
      </w:r>
      <w:r>
        <w:rPr>
          <w:rFonts w:ascii="Times New Roman" w:hAnsi="Times New Roman" w:cs="Times New Roman" w:eastAsia="Times New Roman" w:hint="default"/>
          <w:sz w:val="24"/>
          <w:szCs w:val="24"/>
        </w:rPr>
        <w:t>Уредбе  о  буџетском  рачуноводству</w:t>
      </w:r>
      <w:r>
        <w:rPr>
          <w:rFonts w:ascii="Times New Roman" w:hAnsi="Times New Roman" w:cs="Times New Roman" w:eastAsia="Times New Roman" w:hint="default"/>
          <w:spacing w:val="24"/>
          <w:sz w:val="24"/>
          <w:szCs w:val="24"/>
        </w:rPr>
        <w:t> </w:t>
      </w:r>
      <w:r>
        <w:rPr>
          <w:rFonts w:ascii="Times New Roman" w:hAnsi="Times New Roman" w:cs="Times New Roman" w:eastAsia="Times New Roman" w:hint="default"/>
          <w:sz w:val="24"/>
          <w:szCs w:val="24"/>
        </w:rPr>
        <w:t>и</w:t>
      </w:r>
    </w:p>
    <w:p>
      <w:pPr>
        <w:spacing w:after="0" w:line="240" w:lineRule="auto"/>
        <w:jc w:val="both"/>
        <w:rPr>
          <w:rFonts w:ascii="Times New Roman" w:hAnsi="Times New Roman" w:cs="Times New Roman" w:eastAsia="Times New Roman" w:hint="default"/>
          <w:sz w:val="24"/>
          <w:szCs w:val="24"/>
        </w:rPr>
        <w:sectPr>
          <w:pgSz w:w="12240" w:h="15840"/>
          <w:pgMar w:header="740" w:footer="1504" w:top="120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BodyText"/>
        <w:spacing w:line="240" w:lineRule="auto" w:before="6"/>
        <w:ind w:right="187"/>
        <w:jc w:val="both"/>
      </w:pPr>
      <w:r>
        <w:rPr/>
        <w:t>Правилника о стандардном класификационом оквиру и контном плану за буџетски систем.</w:t>
      </w:r>
    </w:p>
    <w:p>
      <w:pPr>
        <w:pStyle w:val="Heading2"/>
        <w:spacing w:line="240" w:lineRule="auto"/>
        <w:ind w:right="173"/>
        <w:jc w:val="both"/>
        <w:rPr>
          <w:rFonts w:ascii="Times New Roman" w:hAnsi="Times New Roman" w:cs="Times New Roman" w:eastAsia="Times New Roman" w:hint="default"/>
          <w:b w:val="0"/>
          <w:bCs w:val="0"/>
          <w:i w:val="0"/>
        </w:rPr>
      </w:pPr>
      <w:r>
        <w:rPr>
          <w:i/>
        </w:rPr>
        <w:t>Препоручује се одговорним лицима да приходе и примања и расходе и издатке по пројектима евидентирају у својим пословним књигама и да обезбеде правилну примену одредби Уредбе о буџетском рачуноводству и Правилника о стандардном класификационом оквиру и контном плану за буџетски</w:t>
      </w:r>
      <w:r>
        <w:rPr>
          <w:i/>
          <w:spacing w:val="-11"/>
        </w:rPr>
        <w:t> </w:t>
      </w:r>
      <w:r>
        <w:rPr>
          <w:i/>
        </w:rPr>
        <w:t>систем</w:t>
      </w:r>
      <w:r>
        <w:rPr>
          <w:rFonts w:ascii="Times New Roman" w:hAnsi="Times New Roman"/>
          <w:i/>
        </w:rPr>
        <w:t>.</w:t>
      </w:r>
      <w:r>
        <w:rPr>
          <w:rFonts w:ascii="Times New Roman" w:hAnsi="Times New Roman"/>
          <w:b w:val="0"/>
          <w:i w:val="0"/>
        </w:rPr>
      </w:r>
    </w:p>
    <w:p>
      <w:pPr>
        <w:spacing w:line="240" w:lineRule="auto" w:before="0"/>
        <w:rPr>
          <w:rFonts w:ascii="Times New Roman" w:hAnsi="Times New Roman" w:cs="Times New Roman" w:eastAsia="Times New Roman" w:hint="default"/>
          <w:b/>
          <w:bCs/>
          <w:i/>
          <w:sz w:val="24"/>
          <w:szCs w:val="24"/>
        </w:rPr>
      </w:pPr>
    </w:p>
    <w:p>
      <w:pPr>
        <w:pStyle w:val="Heading1"/>
        <w:spacing w:line="274" w:lineRule="exact" w:before="0"/>
        <w:ind w:left="160" w:right="0"/>
        <w:jc w:val="both"/>
        <w:rPr>
          <w:b w:val="0"/>
          <w:bCs w:val="0"/>
        </w:rPr>
      </w:pPr>
      <w:bookmarkStart w:name="_bookmark57" w:id="98"/>
      <w:bookmarkEnd w:id="98"/>
      <w:r>
        <w:rPr>
          <w:b w:val="0"/>
        </w:rPr>
      </w:r>
      <w:r>
        <w:rPr>
          <w:rFonts w:ascii="Times New Roman" w:hAnsi="Times New Roman"/>
        </w:rPr>
        <w:t>4.5    </w:t>
      </w:r>
      <w:r>
        <w:rPr/>
        <w:t>Потенцијалне</w:t>
      </w:r>
      <w:r>
        <w:rPr>
          <w:spacing w:val="21"/>
        </w:rPr>
        <w:t> </w:t>
      </w:r>
      <w:r>
        <w:rPr/>
        <w:t>обавезе</w:t>
      </w:r>
      <w:r>
        <w:rPr>
          <w:b w:val="0"/>
        </w:rPr>
      </w:r>
    </w:p>
    <w:p>
      <w:pPr>
        <w:pStyle w:val="BodyText"/>
        <w:spacing w:line="240" w:lineRule="auto"/>
        <w:ind w:right="183" w:firstLine="566"/>
        <w:jc w:val="both"/>
      </w:pPr>
      <w:r>
        <w:rPr/>
        <w:t>Град Ниш је у 2014. години водио укупно 4272 парничних, ванпарничних и извршних спорова пред надлежним судовима, од којих</w:t>
      </w:r>
      <w:r>
        <w:rPr>
          <w:spacing w:val="-11"/>
        </w:rPr>
        <w:t> </w:t>
      </w:r>
      <w:r>
        <w:rPr/>
        <w:t>је:</w:t>
      </w:r>
    </w:p>
    <w:p>
      <w:pPr>
        <w:pStyle w:val="ListParagraph"/>
        <w:numPr>
          <w:ilvl w:val="0"/>
          <w:numId w:val="116"/>
        </w:numPr>
        <w:tabs>
          <w:tab w:pos="341" w:val="left" w:leader="none"/>
        </w:tabs>
        <w:spacing w:line="240" w:lineRule="auto" w:before="0" w:after="0"/>
        <w:ind w:left="340" w:right="0" w:hanging="180"/>
        <w:jc w:val="both"/>
        <w:rPr>
          <w:rFonts w:ascii="Times New Roman" w:hAnsi="Times New Roman" w:cs="Times New Roman" w:eastAsia="Times New Roman" w:hint="default"/>
          <w:sz w:val="24"/>
          <w:szCs w:val="24"/>
        </w:rPr>
      </w:pPr>
      <w:r>
        <w:rPr>
          <w:rFonts w:ascii="Times New Roman" w:hAnsi="Times New Roman"/>
          <w:sz w:val="24"/>
        </w:rPr>
        <w:t>331 предмета у парничном поступку у којима је град Ниш</w:t>
      </w:r>
      <w:r>
        <w:rPr>
          <w:rFonts w:ascii="Times New Roman" w:hAnsi="Times New Roman"/>
          <w:spacing w:val="-19"/>
          <w:sz w:val="24"/>
        </w:rPr>
        <w:t> </w:t>
      </w:r>
      <w:r>
        <w:rPr>
          <w:rFonts w:ascii="Times New Roman" w:hAnsi="Times New Roman"/>
          <w:sz w:val="24"/>
        </w:rPr>
        <w:t>тужилац;</w:t>
      </w:r>
    </w:p>
    <w:p>
      <w:pPr>
        <w:pStyle w:val="ListParagraph"/>
        <w:numPr>
          <w:ilvl w:val="0"/>
          <w:numId w:val="116"/>
        </w:numPr>
        <w:tabs>
          <w:tab w:pos="341" w:val="left" w:leader="none"/>
        </w:tabs>
        <w:spacing w:line="240" w:lineRule="auto" w:before="0" w:after="0"/>
        <w:ind w:left="340" w:right="0" w:hanging="180"/>
        <w:jc w:val="both"/>
        <w:rPr>
          <w:rFonts w:ascii="Times New Roman" w:hAnsi="Times New Roman" w:cs="Times New Roman" w:eastAsia="Times New Roman" w:hint="default"/>
          <w:sz w:val="24"/>
          <w:szCs w:val="24"/>
        </w:rPr>
      </w:pPr>
      <w:r>
        <w:rPr>
          <w:rFonts w:ascii="Times New Roman" w:hAnsi="Times New Roman"/>
          <w:sz w:val="24"/>
        </w:rPr>
        <w:t>1752 предмета у парничном поступку у којима је град Ниш</w:t>
      </w:r>
      <w:r>
        <w:rPr>
          <w:rFonts w:ascii="Times New Roman" w:hAnsi="Times New Roman"/>
          <w:spacing w:val="-20"/>
          <w:sz w:val="24"/>
        </w:rPr>
        <w:t> </w:t>
      </w:r>
      <w:r>
        <w:rPr>
          <w:rFonts w:ascii="Times New Roman" w:hAnsi="Times New Roman"/>
          <w:sz w:val="24"/>
        </w:rPr>
        <w:t>туженик;</w:t>
      </w:r>
    </w:p>
    <w:p>
      <w:pPr>
        <w:pStyle w:val="ListParagraph"/>
        <w:numPr>
          <w:ilvl w:val="0"/>
          <w:numId w:val="116"/>
        </w:numPr>
        <w:tabs>
          <w:tab w:pos="341"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28 предмета у парничном поступку у којима је Правобранилаштво града Ниша заступа по овлашћењу градске општине и</w:t>
      </w:r>
      <w:r>
        <w:rPr>
          <w:rFonts w:ascii="Times New Roman" w:hAnsi="Times New Roman"/>
          <w:spacing w:val="-10"/>
          <w:sz w:val="24"/>
        </w:rPr>
        <w:t> </w:t>
      </w:r>
      <w:r>
        <w:rPr>
          <w:rFonts w:ascii="Times New Roman" w:hAnsi="Times New Roman"/>
          <w:sz w:val="24"/>
        </w:rPr>
        <w:t>слично;</w:t>
      </w:r>
    </w:p>
    <w:p>
      <w:pPr>
        <w:pStyle w:val="ListParagraph"/>
        <w:numPr>
          <w:ilvl w:val="0"/>
          <w:numId w:val="116"/>
        </w:numPr>
        <w:tabs>
          <w:tab w:pos="341" w:val="left" w:leader="none"/>
        </w:tabs>
        <w:spacing w:line="240" w:lineRule="auto" w:before="0" w:after="0"/>
        <w:ind w:left="160" w:right="174" w:firstLine="0"/>
        <w:jc w:val="both"/>
        <w:rPr>
          <w:rFonts w:ascii="Times New Roman" w:hAnsi="Times New Roman" w:cs="Times New Roman" w:eastAsia="Times New Roman" w:hint="default"/>
          <w:sz w:val="24"/>
          <w:szCs w:val="24"/>
        </w:rPr>
      </w:pPr>
      <w:r>
        <w:rPr>
          <w:rFonts w:ascii="Times New Roman" w:hAnsi="Times New Roman"/>
          <w:sz w:val="24"/>
        </w:rPr>
        <w:t>341 ванпарничних предмета, с тим што је у 111 ванпарничних предмета град Ниш противник предлагача самостално или солидарно са другим субјектима, а 8 предмета у којима је предлагач град Ниш. Остали поступци се односе на поступак пред РГЗ, оставинске поступке пред Основним судом у Нишу, заступања других јединица локалне самоуправе у поступцима пред судом у Нишу по замолници и</w:t>
      </w:r>
      <w:r>
        <w:rPr>
          <w:rFonts w:ascii="Times New Roman" w:hAnsi="Times New Roman"/>
          <w:spacing w:val="-21"/>
          <w:sz w:val="24"/>
        </w:rPr>
        <w:t> </w:t>
      </w:r>
      <w:r>
        <w:rPr>
          <w:rFonts w:ascii="Times New Roman" w:hAnsi="Times New Roman"/>
          <w:sz w:val="24"/>
        </w:rPr>
        <w:t>слично;</w:t>
      </w:r>
    </w:p>
    <w:p>
      <w:pPr>
        <w:pStyle w:val="ListParagraph"/>
        <w:numPr>
          <w:ilvl w:val="0"/>
          <w:numId w:val="116"/>
        </w:numPr>
        <w:tabs>
          <w:tab w:pos="341" w:val="left" w:leader="none"/>
        </w:tabs>
        <w:spacing w:line="240" w:lineRule="auto" w:before="0" w:after="0"/>
        <w:ind w:left="160" w:right="175" w:firstLine="0"/>
        <w:jc w:val="both"/>
        <w:rPr>
          <w:rFonts w:ascii="Times New Roman" w:hAnsi="Times New Roman" w:cs="Times New Roman" w:eastAsia="Times New Roman" w:hint="default"/>
          <w:sz w:val="24"/>
          <w:szCs w:val="24"/>
        </w:rPr>
      </w:pPr>
      <w:r>
        <w:rPr>
          <w:rFonts w:ascii="Times New Roman" w:hAnsi="Times New Roman"/>
          <w:sz w:val="24"/>
        </w:rPr>
        <w:t>1820 предмета у извршном поступку, од којих је Град Ниш поверилац у 1167 предмета, а дужник у 638 предмета, док се осталих 15 предмета односи на заступања градских општина по овлашћењу и</w:t>
      </w:r>
      <w:r>
        <w:rPr>
          <w:rFonts w:ascii="Times New Roman" w:hAnsi="Times New Roman"/>
          <w:spacing w:val="-10"/>
          <w:sz w:val="24"/>
        </w:rPr>
        <w:t> </w:t>
      </w:r>
      <w:r>
        <w:rPr>
          <w:rFonts w:ascii="Times New Roman" w:hAnsi="Times New Roman"/>
          <w:sz w:val="24"/>
        </w:rPr>
        <w:t>слично.</w:t>
      </w:r>
    </w:p>
    <w:p>
      <w:pPr>
        <w:pStyle w:val="BodyText"/>
        <w:spacing w:line="240" w:lineRule="auto"/>
        <w:ind w:right="184" w:firstLine="599"/>
        <w:jc w:val="both"/>
      </w:pPr>
      <w:r>
        <w:rPr/>
        <w:t>Укупна потраживања града Ниша у парничним предметима за 2014. годину износе 224.609 хиљада</w:t>
      </w:r>
      <w:r>
        <w:rPr>
          <w:spacing w:val="-3"/>
        </w:rPr>
        <w:t> </w:t>
      </w:r>
      <w:r>
        <w:rPr/>
        <w:t>динара.</w:t>
      </w:r>
    </w:p>
    <w:p>
      <w:pPr>
        <w:pStyle w:val="BodyText"/>
        <w:spacing w:line="240" w:lineRule="auto"/>
        <w:ind w:right="174" w:firstLine="566"/>
        <w:jc w:val="both"/>
      </w:pPr>
      <w:r>
        <w:rPr/>
        <w:t>Потенцијалне обавезе града Ниша у парничним предметима где је Град самостално тужен износе 1.094.127 хиљада динара. Напомињемо да је део наведених обавеза  измирен према тужиоцима средствима из буџета града Ниша, и то у свим парничним предметима који су преведени у поступак извршења, у коме је поверилац своје потраживање принудним путем намирио према граду</w:t>
      </w:r>
      <w:r>
        <w:rPr>
          <w:spacing w:val="-23"/>
        </w:rPr>
        <w:t> </w:t>
      </w:r>
      <w:r>
        <w:rPr/>
        <w:t>Нишу.</w:t>
      </w:r>
    </w:p>
    <w:p>
      <w:pPr>
        <w:pStyle w:val="BodyText"/>
        <w:spacing w:line="240" w:lineRule="auto"/>
        <w:ind w:right="180" w:firstLine="566"/>
        <w:jc w:val="both"/>
      </w:pPr>
      <w:r>
        <w:rPr/>
        <w:t>Потенцијалне обавезе града Ниша у ванпарничним предметима који су још увек у току износе 57.710 хиљада</w:t>
      </w:r>
      <w:r>
        <w:rPr>
          <w:spacing w:val="-10"/>
        </w:rPr>
        <w:t> </w:t>
      </w:r>
      <w:r>
        <w:rPr/>
        <w:t>динара.</w:t>
      </w:r>
    </w:p>
    <w:p>
      <w:pPr>
        <w:pStyle w:val="BodyText"/>
        <w:spacing w:line="240" w:lineRule="auto"/>
        <w:ind w:right="176" w:firstLine="566"/>
        <w:jc w:val="both"/>
      </w:pPr>
      <w:r>
        <w:rPr/>
        <w:t>У извршном поступку потраживања Града, као повериоца, износе укупно 352.714 хиљада</w:t>
      </w:r>
      <w:r>
        <w:rPr>
          <w:spacing w:val="-3"/>
        </w:rPr>
        <w:t> </w:t>
      </w:r>
      <w:r>
        <w:rPr/>
        <w:t>динара.</w:t>
      </w:r>
    </w:p>
    <w:p>
      <w:pPr>
        <w:pStyle w:val="BodyText"/>
        <w:spacing w:line="240" w:lineRule="auto"/>
        <w:ind w:right="182" w:firstLine="566"/>
        <w:jc w:val="both"/>
      </w:pPr>
      <w:r>
        <w:rPr/>
        <w:t>У извршном поступку, потраживања поверилаца према граду Нишу, као дужнику износе укупно 627.115 хиљада динара, при чему напомињемо да је преко 90% наведеног потраживања већ наплаћено из буџета</w:t>
      </w:r>
      <w:r>
        <w:rPr>
          <w:spacing w:val="-18"/>
        </w:rPr>
        <w:t> </w:t>
      </w:r>
      <w:r>
        <w:rPr/>
        <w:t>Града.</w:t>
      </w:r>
    </w:p>
    <w:p>
      <w:pPr>
        <w:pStyle w:val="BodyText"/>
        <w:spacing w:line="240" w:lineRule="auto"/>
        <w:ind w:right="184" w:firstLine="566"/>
        <w:jc w:val="both"/>
      </w:pPr>
      <w:r>
        <w:rPr/>
        <w:t>Горе наведени износи су оквирни и неизвесни су временски оквири дужине трајања спорова и коначни исход</w:t>
      </w:r>
      <w:r>
        <w:rPr>
          <w:spacing w:val="-10"/>
        </w:rPr>
        <w:t> </w:t>
      </w:r>
      <w:r>
        <w:rPr/>
        <w:t>истих.</w:t>
      </w:r>
    </w:p>
    <w:p>
      <w:pPr>
        <w:pStyle w:val="BodyText"/>
        <w:spacing w:line="240" w:lineRule="auto"/>
        <w:ind w:right="178" w:firstLine="566"/>
        <w:jc w:val="both"/>
      </w:pPr>
      <w:r>
        <w:rPr/>
        <w:t>Највећи број парничних поступака се води по тужбама физичких и правних лица против туженог града Ниша ради накнаде штете за фактичко одизимање земљишта, настало изградњом улица и других јавних површина, без претходно вођеног управног поступка. Број наведених парница у 2014. године оквирно износи 460, а потражена штета у наведеним поступцима се мери стотинама милиона</w:t>
      </w:r>
      <w:r>
        <w:rPr>
          <w:spacing w:val="-22"/>
        </w:rPr>
        <w:t> </w:t>
      </w:r>
      <w:r>
        <w:rPr/>
        <w:t>динара.</w:t>
      </w:r>
    </w:p>
    <w:p>
      <w:pPr>
        <w:pStyle w:val="BodyText"/>
        <w:spacing w:line="240" w:lineRule="auto"/>
        <w:ind w:right="176" w:firstLine="566"/>
        <w:jc w:val="both"/>
      </w:pPr>
      <w:r>
        <w:rPr/>
        <w:t>У 2014. години је вођено укупно 593 парнична поступка по тужбама физичких лица за накнаду штете настале услед уједа паса и мачака луталица, при чему су оквирна потраживања била око 40.000 хиљада</w:t>
      </w:r>
      <w:r>
        <w:rPr>
          <w:spacing w:val="-8"/>
        </w:rPr>
        <w:t> </w:t>
      </w:r>
      <w:r>
        <w:rPr/>
        <w:t>динара.</w:t>
      </w:r>
    </w:p>
    <w:p>
      <w:pPr>
        <w:spacing w:after="0" w:line="240" w:lineRule="auto"/>
        <w:jc w:val="both"/>
        <w:sectPr>
          <w:pgSz w:w="12240" w:h="15840"/>
          <w:pgMar w:header="740" w:footer="1504" w:top="120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BodyText"/>
        <w:spacing w:line="240" w:lineRule="auto" w:before="6"/>
        <w:ind w:right="179" w:firstLine="566"/>
        <w:jc w:val="both"/>
      </w:pPr>
      <w:r>
        <w:rPr/>
        <w:t>У 2014. години било је 703 остала парнична поступка у којима је град Ниш туженик.</w:t>
      </w:r>
    </w:p>
    <w:p>
      <w:pPr>
        <w:pStyle w:val="BodyText"/>
        <w:spacing w:line="240" w:lineRule="auto"/>
        <w:ind w:right="180" w:firstLine="566"/>
        <w:jc w:val="both"/>
      </w:pPr>
      <w:r>
        <w:rPr/>
        <w:t>У 2014. години било је 331 остали парнични поступак у којима је град Ниш тужилац.</w:t>
      </w:r>
    </w:p>
    <w:p>
      <w:pPr>
        <w:pStyle w:val="BodyText"/>
        <w:spacing w:line="240" w:lineRule="auto"/>
        <w:ind w:right="174" w:firstLine="566"/>
        <w:jc w:val="both"/>
      </w:pPr>
      <w:r>
        <w:rPr/>
        <w:t>Најозбиљнија парница коју Град тренутно води је поступак по тужби града Ниша против правног лица „Т</w:t>
      </w:r>
      <w:r>
        <w:rPr>
          <w:rFonts w:ascii="Times New Roman" w:hAnsi="Times New Roman" w:cs="Times New Roman" w:eastAsia="Times New Roman" w:hint="default"/>
        </w:rPr>
        <w:t>-</w:t>
      </w:r>
      <w:r>
        <w:rPr/>
        <w:t>проперти“, којом град Ниш предлаже раскид уговора о давању градског грађевинског земљишта у закуп, при чему је туженик поднео противтужбу против града Ниша ради враћања уплаћене накнаде у износу од 62.926 хиљада динара. У наведеном поступку је Привредни </w:t>
      </w:r>
      <w:r>
        <w:rPr>
          <w:spacing w:val="-3"/>
        </w:rPr>
        <w:t>суд </w:t>
      </w:r>
      <w:r>
        <w:rPr/>
        <w:t>у Нишу донео пресуду којом је усвојио тужбени </w:t>
      </w:r>
      <w:r>
        <w:rPr/>
        <w:t>захтев Града и раскинуо уговор о давању у закуп градског грађевинског земљишта, а по противтужби туженика је усвојио противтужбени захтев и обавезао град Ниш на плаћање новчаног износа од 62.926 хиљада динара. У току је поступак пред Привредним апелационим судом  у Београду по жалби града  Ниша и жалби  </w:t>
      </w:r>
      <w:r>
        <w:rPr>
          <w:spacing w:val="31"/>
        </w:rPr>
        <w:t> </w:t>
      </w:r>
      <w:r>
        <w:rPr/>
        <w:t>туженог</w:t>
      </w:r>
      <w:r>
        <w:rPr>
          <w:rFonts w:ascii="Times New Roman" w:hAnsi="Times New Roman" w:cs="Times New Roman" w:eastAsia="Times New Roman" w:hint="default"/>
        </w:rPr>
        <w:t>-</w:t>
      </w:r>
      <w:r>
        <w:rPr/>
        <w:t>противтужиоца</w:t>
      </w:r>
    </w:p>
    <w:p>
      <w:pPr>
        <w:pStyle w:val="BodyText"/>
        <w:spacing w:line="240" w:lineRule="auto"/>
        <w:ind w:right="0"/>
        <w:jc w:val="both"/>
      </w:pPr>
      <w:r>
        <w:rPr/>
        <w:t>„Т</w:t>
      </w:r>
      <w:r>
        <w:rPr>
          <w:rFonts w:ascii="Times New Roman" w:hAnsi="Times New Roman" w:cs="Times New Roman" w:eastAsia="Times New Roman" w:hint="default"/>
        </w:rPr>
        <w:t>-</w:t>
      </w:r>
      <w:r>
        <w:rPr/>
        <w:t>проперти“.</w:t>
      </w:r>
    </w:p>
    <w:p>
      <w:pPr>
        <w:pStyle w:val="BodyText"/>
        <w:spacing w:line="240" w:lineRule="auto" w:before="139"/>
        <w:ind w:right="182" w:firstLine="566"/>
        <w:jc w:val="both"/>
      </w:pPr>
      <w:r>
        <w:rPr>
          <w:rFonts w:ascii="Times New Roman" w:hAnsi="Times New Roman"/>
          <w:b/>
        </w:rPr>
        <w:t>ЈП Дирекција </w:t>
      </w:r>
      <w:r>
        <w:rPr/>
        <w:t>је водила парничне, ванпарничне и извршне спорове пред надлежним судовима, од којих</w:t>
      </w:r>
      <w:r>
        <w:rPr>
          <w:spacing w:val="-6"/>
        </w:rPr>
        <w:t> </w:t>
      </w:r>
      <w:r>
        <w:rPr/>
        <w:t>је:</w:t>
      </w:r>
    </w:p>
    <w:p>
      <w:pPr>
        <w:pStyle w:val="ListParagraph"/>
        <w:numPr>
          <w:ilvl w:val="0"/>
          <w:numId w:val="120"/>
        </w:numPr>
        <w:tabs>
          <w:tab w:pos="341" w:val="left" w:leader="none"/>
        </w:tabs>
        <w:spacing w:line="240" w:lineRule="auto" w:before="0" w:after="0"/>
        <w:ind w:left="160" w:right="0" w:firstLine="0"/>
        <w:jc w:val="both"/>
        <w:rPr>
          <w:rFonts w:ascii="Times New Roman" w:hAnsi="Times New Roman" w:cs="Times New Roman" w:eastAsia="Times New Roman" w:hint="default"/>
          <w:sz w:val="24"/>
          <w:szCs w:val="24"/>
        </w:rPr>
      </w:pPr>
      <w:r>
        <w:rPr>
          <w:rFonts w:ascii="Times New Roman" w:hAnsi="Times New Roman"/>
          <w:sz w:val="24"/>
        </w:rPr>
        <w:t>15 предмета у парничном поступку у којима је ЈП Дирекција</w:t>
      </w:r>
      <w:r>
        <w:rPr>
          <w:rFonts w:ascii="Times New Roman" w:hAnsi="Times New Roman"/>
          <w:spacing w:val="-27"/>
          <w:sz w:val="24"/>
        </w:rPr>
        <w:t> </w:t>
      </w:r>
      <w:r>
        <w:rPr>
          <w:rFonts w:ascii="Times New Roman" w:hAnsi="Times New Roman"/>
          <w:sz w:val="24"/>
        </w:rPr>
        <w:t>тужилац,</w:t>
      </w:r>
    </w:p>
    <w:p>
      <w:pPr>
        <w:pStyle w:val="ListParagraph"/>
        <w:numPr>
          <w:ilvl w:val="0"/>
          <w:numId w:val="120"/>
        </w:numPr>
        <w:tabs>
          <w:tab w:pos="341" w:val="left" w:leader="none"/>
        </w:tabs>
        <w:spacing w:line="240" w:lineRule="auto" w:before="0" w:after="0"/>
        <w:ind w:left="340" w:right="0" w:hanging="180"/>
        <w:jc w:val="both"/>
        <w:rPr>
          <w:rFonts w:ascii="Times New Roman" w:hAnsi="Times New Roman" w:cs="Times New Roman" w:eastAsia="Times New Roman" w:hint="default"/>
          <w:sz w:val="24"/>
          <w:szCs w:val="24"/>
        </w:rPr>
      </w:pPr>
      <w:r>
        <w:rPr>
          <w:rFonts w:ascii="Times New Roman" w:hAnsi="Times New Roman"/>
          <w:sz w:val="24"/>
        </w:rPr>
        <w:t>370 предмета у парничном поступку у којима је ЈП Дирекција</w:t>
      </w:r>
      <w:r>
        <w:rPr>
          <w:rFonts w:ascii="Times New Roman" w:hAnsi="Times New Roman"/>
          <w:spacing w:val="-28"/>
          <w:sz w:val="24"/>
        </w:rPr>
        <w:t> </w:t>
      </w:r>
      <w:r>
        <w:rPr>
          <w:rFonts w:ascii="Times New Roman" w:hAnsi="Times New Roman"/>
          <w:sz w:val="24"/>
        </w:rPr>
        <w:t>туженик,</w:t>
      </w:r>
    </w:p>
    <w:p>
      <w:pPr>
        <w:pStyle w:val="ListParagraph"/>
        <w:numPr>
          <w:ilvl w:val="0"/>
          <w:numId w:val="120"/>
        </w:numPr>
        <w:tabs>
          <w:tab w:pos="341" w:val="left" w:leader="none"/>
        </w:tabs>
        <w:spacing w:line="240" w:lineRule="auto" w:before="0" w:after="0"/>
        <w:ind w:left="160" w:right="183" w:firstLine="0"/>
        <w:jc w:val="both"/>
        <w:rPr>
          <w:rFonts w:ascii="Times New Roman" w:hAnsi="Times New Roman" w:cs="Times New Roman" w:eastAsia="Times New Roman" w:hint="default"/>
          <w:sz w:val="24"/>
          <w:szCs w:val="24"/>
        </w:rPr>
      </w:pPr>
      <w:r>
        <w:rPr>
          <w:rFonts w:ascii="Times New Roman" w:hAnsi="Times New Roman"/>
          <w:sz w:val="24"/>
        </w:rPr>
        <w:t>259 предмета у парничном поступку у којима је ЈП Дирекција један од тужених солидарно са другим правним лицима, с тим што је у 26 предмета одређен прекид поступка, а у 8 предмета одбијен тужбени захтев према ЈП</w:t>
      </w:r>
      <w:r>
        <w:rPr>
          <w:rFonts w:ascii="Times New Roman" w:hAnsi="Times New Roman"/>
          <w:spacing w:val="-18"/>
          <w:sz w:val="24"/>
        </w:rPr>
        <w:t> </w:t>
      </w:r>
      <w:r>
        <w:rPr>
          <w:rFonts w:ascii="Times New Roman" w:hAnsi="Times New Roman"/>
          <w:sz w:val="24"/>
        </w:rPr>
        <w:t>Дирекција,</w:t>
      </w:r>
    </w:p>
    <w:p>
      <w:pPr>
        <w:pStyle w:val="ListParagraph"/>
        <w:numPr>
          <w:ilvl w:val="0"/>
          <w:numId w:val="120"/>
        </w:numPr>
        <w:tabs>
          <w:tab w:pos="341" w:val="left" w:leader="none"/>
        </w:tabs>
        <w:spacing w:line="240" w:lineRule="auto" w:before="0" w:after="0"/>
        <w:ind w:left="160" w:right="183" w:firstLine="0"/>
        <w:jc w:val="left"/>
        <w:rPr>
          <w:rFonts w:ascii="Times New Roman" w:hAnsi="Times New Roman" w:cs="Times New Roman" w:eastAsia="Times New Roman" w:hint="default"/>
          <w:sz w:val="24"/>
          <w:szCs w:val="24"/>
        </w:rPr>
      </w:pPr>
      <w:r>
        <w:rPr>
          <w:rFonts w:ascii="Times New Roman" w:hAnsi="Times New Roman"/>
          <w:sz w:val="24"/>
        </w:rPr>
        <w:t>три ванпарнична предмета, где је ЈП Дирекција противник предлагача самостално или солидарно са другим</w:t>
      </w:r>
      <w:r>
        <w:rPr>
          <w:rFonts w:ascii="Times New Roman" w:hAnsi="Times New Roman"/>
          <w:spacing w:val="-7"/>
          <w:sz w:val="24"/>
        </w:rPr>
        <w:t> </w:t>
      </w:r>
      <w:r>
        <w:rPr>
          <w:rFonts w:ascii="Times New Roman" w:hAnsi="Times New Roman"/>
          <w:sz w:val="24"/>
        </w:rPr>
        <w:t>субјектима.</w:t>
      </w:r>
    </w:p>
    <w:p>
      <w:pPr>
        <w:pStyle w:val="BodyText"/>
        <w:spacing w:line="240" w:lineRule="auto"/>
        <w:ind w:right="179" w:firstLine="566"/>
        <w:jc w:val="both"/>
      </w:pPr>
      <w:r>
        <w:rPr/>
        <w:t>У 2014. години покренуто је у извршном поступку 104 извршења и то у 79 предмета на основу извршних исправа и 25 предмета на основу веродостојних исправа, од којих је ЈП Дирекција поверилац у једном предмету, а дужник у 103</w:t>
      </w:r>
      <w:r>
        <w:rPr>
          <w:spacing w:val="-23"/>
        </w:rPr>
        <w:t> </w:t>
      </w:r>
      <w:r>
        <w:rPr/>
        <w:t>предмета.</w:t>
      </w:r>
    </w:p>
    <w:p>
      <w:pPr>
        <w:pStyle w:val="BodyText"/>
        <w:spacing w:line="240" w:lineRule="auto"/>
        <w:ind w:right="180" w:firstLine="566"/>
        <w:jc w:val="both"/>
      </w:pPr>
      <w:r>
        <w:rPr/>
        <w:t>Укупна потенцијална потраживања ЈП Дирекција у парничним  предметима вођеним у 2014. години износе 684.684 хиљаде</w:t>
      </w:r>
      <w:r>
        <w:rPr>
          <w:spacing w:val="-15"/>
        </w:rPr>
        <w:t> </w:t>
      </w:r>
      <w:r>
        <w:rPr/>
        <w:t>динара.</w:t>
      </w:r>
    </w:p>
    <w:p>
      <w:pPr>
        <w:pStyle w:val="BodyText"/>
        <w:spacing w:line="240" w:lineRule="auto"/>
        <w:ind w:right="179" w:firstLine="566"/>
        <w:jc w:val="both"/>
      </w:pPr>
      <w:r>
        <w:rPr/>
        <w:t>Потенцијалне обавезе ЈП Дирекција у парничним предметима где је ЈП Дирекција самостално тужена износе укупно 104.570 хиљада динара. Потенцијалне обавезе у предметима где је ЈП Дирекција тужена солидарно са другим туженицима износе укупно 79.797 хиљада динара (1/2 од укупне потенцијалне обавезе од 159.594 хиљаде</w:t>
      </w:r>
      <w:r>
        <w:rPr>
          <w:spacing w:val="-18"/>
        </w:rPr>
        <w:t> </w:t>
      </w:r>
      <w:r>
        <w:rPr/>
        <w:t>динара).</w:t>
      </w:r>
    </w:p>
    <w:p>
      <w:pPr>
        <w:pStyle w:val="BodyText"/>
        <w:spacing w:line="240" w:lineRule="auto"/>
        <w:ind w:right="183" w:firstLine="566"/>
        <w:jc w:val="both"/>
      </w:pPr>
      <w:r>
        <w:rPr/>
        <w:t>Обавезе ЈП Дирекција у ванпарничним предметима који су правноснажно окончани износе 5.132 хиљаде динара и то у предмету који је вођен за исплату накнаде за експроприсану непокретност и исти износ, увећан за износ камате и судске трошкове, принудно је наплаћен у фебруару 2015. године, док у остала два ванпарнична предмета ЈП Дирекција нема</w:t>
      </w:r>
      <w:r>
        <w:rPr>
          <w:spacing w:val="-9"/>
        </w:rPr>
        <w:t> </w:t>
      </w:r>
      <w:r>
        <w:rPr/>
        <w:t>обавезе.</w:t>
      </w:r>
    </w:p>
    <w:p>
      <w:pPr>
        <w:pStyle w:val="BodyText"/>
        <w:spacing w:line="240" w:lineRule="auto"/>
        <w:ind w:right="174" w:firstLine="566"/>
        <w:jc w:val="both"/>
      </w:pPr>
      <w:r>
        <w:rPr/>
        <w:t>ЈП Дирекција је у 2014. години пријавила потраживања у 11 стечајних поступака према стечајним дужницима по основу накнаде за коришћење грађевинског земљишта као локалног јавног прихода у укупном износу од 5.387 хиљада динара. Највећи износи потраживања пријављени су према стечајним дужницима </w:t>
      </w:r>
      <w:r>
        <w:rPr>
          <w:rFonts w:ascii="Times New Roman" w:hAnsi="Times New Roman" w:cs="Times New Roman" w:eastAsia="Times New Roman" w:hint="default"/>
        </w:rPr>
        <w:t>EI IRIN - 1.184 </w:t>
      </w:r>
      <w:r>
        <w:rPr/>
        <w:t>хиљаде динара, </w:t>
      </w:r>
      <w:r>
        <w:rPr>
          <w:rFonts w:ascii="Times New Roman" w:hAnsi="Times New Roman" w:cs="Times New Roman" w:eastAsia="Times New Roman" w:hint="default"/>
        </w:rPr>
        <w:t>EI METAL </w:t>
      </w:r>
      <w:r>
        <w:rPr/>
        <w:t>– </w:t>
      </w:r>
      <w:r>
        <w:rPr>
          <w:rFonts w:ascii="Times New Roman" w:hAnsi="Times New Roman" w:cs="Times New Roman" w:eastAsia="Times New Roman" w:hint="default"/>
        </w:rPr>
        <w:t>910 </w:t>
      </w:r>
      <w:r>
        <w:rPr/>
        <w:t>хиљада динара, </w:t>
      </w:r>
      <w:r>
        <w:rPr>
          <w:rFonts w:ascii="Times New Roman" w:hAnsi="Times New Roman" w:cs="Times New Roman" w:eastAsia="Times New Roman" w:hint="default"/>
        </w:rPr>
        <w:t>SWEETLAND </w:t>
      </w:r>
      <w:r>
        <w:rPr/>
        <w:t>– 837 хиљада динара, ВЕЕ</w:t>
      </w:r>
      <w:r>
        <w:rPr>
          <w:rFonts w:ascii="Times New Roman" w:hAnsi="Times New Roman" w:cs="Times New Roman" w:eastAsia="Times New Roman" w:hint="default"/>
        </w:rPr>
        <w:t>R  </w:t>
      </w:r>
      <w:r>
        <w:rPr/>
        <w:t>СОММЕ</w:t>
      </w:r>
      <w:r>
        <w:rPr>
          <w:rFonts w:ascii="Times New Roman" w:hAnsi="Times New Roman" w:cs="Times New Roman" w:eastAsia="Times New Roman" w:hint="default"/>
        </w:rPr>
        <w:t>R</w:t>
      </w:r>
      <w:r>
        <w:rPr/>
        <w:t>СЕ – 625 хиљада динара и наведена потраживања призната су 100%. Међутим, имајући у виду досадашњу праксу не може се очекивати да се из стечајне масе иста и намире у</w:t>
      </w:r>
      <w:r>
        <w:rPr>
          <w:spacing w:val="-8"/>
        </w:rPr>
        <w:t> </w:t>
      </w:r>
      <w:r>
        <w:rPr/>
        <w:t>целости.</w:t>
      </w:r>
    </w:p>
    <w:p>
      <w:pPr>
        <w:spacing w:after="0" w:line="240" w:lineRule="auto"/>
        <w:jc w:val="both"/>
        <w:sectPr>
          <w:pgSz w:w="12240" w:h="15840"/>
          <w:pgMar w:header="740" w:footer="1504" w:top="120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BodyText"/>
        <w:spacing w:line="240" w:lineRule="auto" w:before="6"/>
        <w:ind w:right="178" w:firstLine="566"/>
        <w:jc w:val="both"/>
      </w:pPr>
      <w:r>
        <w:rPr/>
        <w:t>У 2014. години ЈП Дирекција, као поверилац, покренула је извршни поступак на основу веродостојне исправе ради наплате потраживања по основу накнаде за уређивање грађевинског</w:t>
      </w:r>
      <w:r>
        <w:rPr>
          <w:spacing w:val="-9"/>
        </w:rPr>
        <w:t> </w:t>
      </w:r>
      <w:r>
        <w:rPr/>
        <w:t>земљишта.</w:t>
      </w:r>
    </w:p>
    <w:p>
      <w:pPr>
        <w:pStyle w:val="BodyText"/>
        <w:spacing w:line="240" w:lineRule="auto"/>
        <w:ind w:right="175" w:firstLine="566"/>
        <w:jc w:val="both"/>
      </w:pPr>
      <w:r>
        <w:rPr/>
        <w:t>У извршном поступку, а на основу извршних пресуда на име фактичког заузећа земљишта плаћена су потраживања поверилаца према ЈП Дирекцији, као солидарном дужнику, на 1/2 досуђених износа, увећаних за камату и судске трошкове. Такође, спроведена су и извршења по извршним пресудама за исплату јубиларних награда, отпремнина, накнада за привремене и повремене послове и накнаде члановима Управног одбора.</w:t>
      </w:r>
    </w:p>
    <w:p>
      <w:pPr>
        <w:pStyle w:val="BodyText"/>
        <w:spacing w:line="240" w:lineRule="auto"/>
        <w:ind w:right="184" w:firstLine="566"/>
        <w:jc w:val="both"/>
      </w:pPr>
      <w:r>
        <w:rPr/>
        <w:t>Наведени износи из прегледа су оквирни (без обрачунате камате и трошкова парничних, ванпарничних и извршних трошкова) и неизвесни су временски оквири дужине трајања спорова и коначни исход</w:t>
      </w:r>
      <w:r>
        <w:rPr>
          <w:spacing w:val="-14"/>
        </w:rPr>
        <w:t> </w:t>
      </w:r>
      <w:r>
        <w:rPr/>
        <w:t>истих.</w:t>
      </w:r>
    </w:p>
    <w:p>
      <w:pPr>
        <w:pStyle w:val="BodyText"/>
        <w:spacing w:line="240" w:lineRule="auto"/>
        <w:ind w:right="175" w:firstLine="566"/>
        <w:jc w:val="both"/>
      </w:pPr>
      <w:r>
        <w:rPr/>
        <w:t>Парнични поступци у којима је ЈП Дирекција туженик, а који су још увек у току, већином се односе на исплату накнаде за фактичко заузеће и у овим предметима ЈП Дирекција солидарно је тужена са Градом. У овим предметима </w:t>
      </w:r>
      <w:r>
        <w:rPr>
          <w:spacing w:val="-3"/>
        </w:rPr>
        <w:t>суд </w:t>
      </w:r>
      <w:r>
        <w:rPr/>
        <w:t>углавном досуђује </w:t>
      </w:r>
      <w:r>
        <w:rPr/>
        <w:t>накнаду, односно усваја тужбене захтеве, које тужиоци прецизирају према налазу вештака из области геодезије, на основу површине заузећа, а по тржишној цени коју одређује Пореска</w:t>
      </w:r>
      <w:r>
        <w:rPr>
          <w:spacing w:val="-10"/>
        </w:rPr>
        <w:t> </w:t>
      </w:r>
      <w:r>
        <w:rPr/>
        <w:t>управа.</w:t>
      </w:r>
    </w:p>
    <w:p>
      <w:pPr>
        <w:pStyle w:val="BodyText"/>
        <w:spacing w:line="240" w:lineRule="auto"/>
        <w:ind w:right="178" w:firstLine="566"/>
        <w:jc w:val="both"/>
      </w:pPr>
      <w:r>
        <w:rPr/>
        <w:t>Остали парнични предмети у којима је ЈП Дирекција туженик односе се на накнаду нематеријане штете настале услед повређивања и накнаду материјалне штете настале на возилима, а због оштећења коловоза и неисправних шахти. У овим предметима суд досуђује накнаду тужиоцима уколико докажу да постоји одговорност ЈП Дирекција за насталу</w:t>
      </w:r>
      <w:r>
        <w:rPr>
          <w:spacing w:val="-7"/>
        </w:rPr>
        <w:t> </w:t>
      </w:r>
      <w:r>
        <w:rPr/>
        <w:t>штету.</w:t>
      </w:r>
    </w:p>
    <w:p>
      <w:pPr>
        <w:pStyle w:val="BodyText"/>
        <w:spacing w:line="240" w:lineRule="auto"/>
        <w:ind w:right="180" w:firstLine="566"/>
        <w:jc w:val="both"/>
      </w:pPr>
      <w:r>
        <w:rPr/>
        <w:t>У 2014. години ЈП Дирекција је водила и спорове по тужбама запослених и бивших запослених за исплату накнада за јубиларне награде, отпремнина, за исплату накнада ангажованих радника по уговорима о привременим и повременим пословима, као и за исплату накнада члановима Управног одбора и у овим предметима суд усваја тужбене захтеве.</w:t>
      </w:r>
    </w:p>
    <w:p>
      <w:pPr>
        <w:pStyle w:val="BodyText"/>
        <w:spacing w:line="240" w:lineRule="auto"/>
        <w:ind w:right="179" w:firstLine="566"/>
        <w:jc w:val="both"/>
      </w:pPr>
      <w:r>
        <w:rPr/>
        <w:t>Парнични предмети у којима је ЈП Дирекција тужилац, а који су још увек у току, односе се углавном на дуговање по основу неплаћене накнаде за уређивање грађевинског земљишта. </w:t>
      </w:r>
      <w:r>
        <w:rPr>
          <w:spacing w:val="-2"/>
        </w:rPr>
        <w:t>Суд </w:t>
      </w:r>
      <w:r>
        <w:rPr/>
        <w:t>усваја ове тужбене захтеве, а исти се прецизирају по налазу вештака </w:t>
      </w:r>
      <w:r>
        <w:rPr/>
        <w:t>економске</w:t>
      </w:r>
      <w:r>
        <w:rPr>
          <w:spacing w:val="-9"/>
        </w:rPr>
        <w:t> </w:t>
      </w:r>
      <w:r>
        <w:rPr/>
        <w:t>струке.</w:t>
      </w:r>
    </w:p>
    <w:p>
      <w:pPr>
        <w:pStyle w:val="BodyText"/>
        <w:tabs>
          <w:tab w:pos="2347" w:val="left" w:leader="none"/>
          <w:tab w:pos="3398" w:val="left" w:leader="none"/>
          <w:tab w:pos="3815" w:val="left" w:leader="none"/>
          <w:tab w:pos="4506" w:val="left" w:leader="none"/>
          <w:tab w:pos="5070" w:val="left" w:leader="none"/>
          <w:tab w:pos="6504" w:val="left" w:leader="none"/>
          <w:tab w:pos="7166" w:val="left" w:leader="none"/>
          <w:tab w:pos="7488" w:val="left" w:leader="none"/>
          <w:tab w:pos="8298" w:val="left" w:leader="none"/>
          <w:tab w:pos="8754" w:val="left" w:leader="none"/>
        </w:tabs>
        <w:spacing w:line="240" w:lineRule="auto"/>
        <w:ind w:left="726" w:right="141"/>
        <w:jc w:val="left"/>
      </w:pPr>
      <w:r>
        <w:rPr/>
        <w:t>Најозбиљнија</w:t>
        <w:tab/>
        <w:t>парница</w:t>
        <w:tab/>
        <w:t>се</w:t>
        <w:tab/>
        <w:t>води</w:t>
        <w:tab/>
        <w:t>код</w:t>
        <w:tab/>
        <w:t>Привредног</w:t>
        <w:tab/>
        <w:t>суда</w:t>
        <w:tab/>
        <w:t>у</w:t>
        <w:tab/>
        <w:t>Нишу</w:t>
        <w:tab/>
        <w:t>по</w:t>
        <w:tab/>
        <w:t>тужби</w:t>
      </w:r>
    </w:p>
    <w:p>
      <w:pPr>
        <w:pStyle w:val="BodyText"/>
        <w:spacing w:line="240" w:lineRule="auto"/>
        <w:ind w:right="172"/>
        <w:jc w:val="both"/>
      </w:pPr>
      <w:r>
        <w:rPr/>
        <w:t>„Нишпројект“ ад у стечају, а ради исплате дуга по основу неплаћене накнаде за уређивање грађевинског земљишта на више локација у Граду, а коју је тужилац остварио по основу набавке гранита и изведених радова на поплочавању градског трга и  подземног пролаза, а по уговорима из 1992. године. Са овом парницом је спојена и парница по тужби ЈП Дирекција ради утврђења потраживања које је оспорено </w:t>
      </w:r>
      <w:r>
        <w:rPr>
          <w:spacing w:val="4"/>
        </w:rPr>
        <w:t>од </w:t>
      </w:r>
      <w:r>
        <w:rPr/>
        <w:t>стране </w:t>
      </w:r>
      <w:r>
        <w:rPr/>
        <w:t>стечајног управника у стечајном поступку, а по више основа за неиспуњене обавезе по истим уговорима. Висина тужбеног захтева ЈП Дирекција је 462.444 хиљаде динара, а висина тужбеног захтева „Нишпројект“ а.д. у стечају је 80.810 хиљада</w:t>
      </w:r>
      <w:r>
        <w:rPr>
          <w:spacing w:val="-20"/>
        </w:rPr>
        <w:t> </w:t>
      </w:r>
      <w:r>
        <w:rPr/>
        <w:t>динара.</w:t>
      </w:r>
    </w:p>
    <w:p>
      <w:pPr>
        <w:pStyle w:val="BodyText"/>
        <w:spacing w:line="240" w:lineRule="auto"/>
        <w:ind w:left="726" w:right="141"/>
        <w:jc w:val="left"/>
      </w:pPr>
      <w:r>
        <w:rPr>
          <w:rFonts w:ascii="Times New Roman" w:hAnsi="Times New Roman"/>
          <w:b/>
        </w:rPr>
        <w:t>ПУ  Пчелица  </w:t>
      </w:r>
      <w:r>
        <w:rPr/>
        <w:t>има  потенцијалне  обавезе  по  парничним  предметима  у</w:t>
      </w:r>
      <w:r>
        <w:rPr>
          <w:spacing w:val="30"/>
        </w:rPr>
        <w:t> </w:t>
      </w:r>
      <w:r>
        <w:rPr/>
        <w:t>износу од</w:t>
      </w:r>
    </w:p>
    <w:p>
      <w:pPr>
        <w:pStyle w:val="BodyText"/>
        <w:spacing w:line="240" w:lineRule="auto"/>
        <w:ind w:right="185"/>
        <w:jc w:val="both"/>
      </w:pPr>
      <w:r>
        <w:rPr/>
        <w:t>7.283 хиљаде динара по основу тужби запослених ради исплате неисплаћених</w:t>
      </w:r>
      <w:r>
        <w:rPr>
          <w:spacing w:val="-25"/>
        </w:rPr>
        <w:t> </w:t>
      </w:r>
      <w:r>
        <w:rPr/>
        <w:t>јубиларних </w:t>
      </w:r>
      <w:r>
        <w:rPr/>
        <w:t>награда и</w:t>
      </w:r>
      <w:r>
        <w:rPr>
          <w:spacing w:val="-6"/>
        </w:rPr>
        <w:t> </w:t>
      </w:r>
      <w:r>
        <w:rPr/>
        <w:t>отпремнина.</w:t>
      </w:r>
    </w:p>
    <w:p>
      <w:pPr>
        <w:pStyle w:val="BodyText"/>
        <w:spacing w:line="240" w:lineRule="auto"/>
        <w:ind w:right="202" w:firstLine="566"/>
        <w:jc w:val="both"/>
      </w:pPr>
      <w:r>
        <w:rPr>
          <w:rFonts w:ascii="Times New Roman" w:hAnsi="Times New Roman"/>
          <w:b/>
        </w:rPr>
        <w:t>ЈП Градска стамбена агенција </w:t>
      </w:r>
      <w:r>
        <w:rPr/>
        <w:t>има потенцијалне обавезе по неправноснажној пресуди  Основног  суда  у  Нишу,  Судске  јединице  у  Алексинцу  I.28.П.бр.1518/11 </w:t>
      </w:r>
      <w:r>
        <w:rPr>
          <w:spacing w:val="27"/>
        </w:rPr>
        <w:t> </w:t>
      </w:r>
      <w:r>
        <w:rPr/>
        <w:t>од</w:t>
      </w:r>
    </w:p>
    <w:p>
      <w:pPr>
        <w:spacing w:after="0" w:line="240" w:lineRule="auto"/>
        <w:jc w:val="both"/>
        <w:sectPr>
          <w:pgSz w:w="12240" w:h="15840"/>
          <w:pgMar w:header="740" w:footer="1504" w:top="1200" w:bottom="1700" w:left="1400" w:right="1260"/>
        </w:sectPr>
      </w:pPr>
    </w:p>
    <w:p>
      <w:pPr>
        <w:spacing w:line="60" w:lineRule="exact"/>
        <w:ind w:left="101" w:right="0" w:firstLine="0"/>
        <w:rPr>
          <w:rFonts w:ascii="Times New Roman" w:hAnsi="Times New Roman" w:cs="Times New Roman" w:eastAsia="Times New Roman" w:hint="default"/>
          <w:sz w:val="6"/>
          <w:szCs w:val="6"/>
        </w:rPr>
      </w:pPr>
      <w:r>
        <w:rPr>
          <w:rFonts w:ascii="Times New Roman" w:hAnsi="Times New Roman" w:cs="Times New Roman" w:eastAsia="Times New Roman" w:hint="default"/>
          <w:position w:val="0"/>
          <w:sz w:val="6"/>
          <w:szCs w:val="6"/>
        </w:rPr>
        <w:pict>
          <v:group style="width:468pt;height:3pt;mso-position-horizontal-relative:char;mso-position-vertical-relative:line" coordorigin="0,0" coordsize="9360,60">
            <v:group style="position:absolute;left:30;top:30;width:9300;height:2" coordorigin="30,30" coordsize="9300,2">
              <v:shape style="position:absolute;left:30;top:30;width:9300;height:2" coordorigin="30,30" coordsize="9300,0" path="m30,30l9330,30e" filled="false" stroked="true" strokeweight="3pt" strokecolor="#612322">
                <v:path arrowok="t"/>
              </v:shape>
            </v:group>
          </v:group>
        </w:pict>
      </w:r>
      <w:r>
        <w:rPr>
          <w:rFonts w:ascii="Times New Roman" w:hAnsi="Times New Roman" w:cs="Times New Roman" w:eastAsia="Times New Roman" w:hint="default"/>
          <w:position w:val="0"/>
          <w:sz w:val="6"/>
          <w:szCs w:val="6"/>
        </w:rPr>
      </w:r>
    </w:p>
    <w:p>
      <w:pPr>
        <w:pStyle w:val="BodyText"/>
        <w:spacing w:line="240" w:lineRule="auto" w:before="6"/>
        <w:ind w:right="200"/>
        <w:jc w:val="both"/>
      </w:pPr>
      <w:r>
        <w:rPr/>
        <w:t>28.01.2013. године у износу од 33.181 хиљаде динара и то у износу од 28.611 хиљада динара на име главног дуга (без камате) и у износу од 4.570 хиљада динара на име трошкова</w:t>
      </w:r>
      <w:r>
        <w:rPr>
          <w:spacing w:val="-10"/>
        </w:rPr>
        <w:t> </w:t>
      </w:r>
      <w:r>
        <w:rPr/>
        <w:t>поступка.</w:t>
      </w:r>
    </w:p>
    <w:p>
      <w:pPr>
        <w:pStyle w:val="BodyText"/>
        <w:spacing w:line="240" w:lineRule="auto"/>
        <w:ind w:right="204" w:firstLine="566"/>
        <w:jc w:val="both"/>
      </w:pPr>
      <w:r>
        <w:rPr>
          <w:rFonts w:ascii="Times New Roman" w:hAnsi="Times New Roman" w:cs="Times New Roman" w:eastAsia="Times New Roman" w:hint="default"/>
          <w:b/>
          <w:bCs/>
        </w:rPr>
        <w:t>Туристичка организација </w:t>
      </w:r>
      <w:r>
        <w:rPr/>
        <w:t>води парнични поступак пред Привредним судом, по тужби ЈКП „Паркинг сервис“ Ниш у укупном износу од 145 хиљада динара и то на име дуга у износу од 89 хиљада динара са законском затезном каматом и на име трошкова поступка у висини од 56 хиљада</w:t>
      </w:r>
      <w:r>
        <w:rPr>
          <w:spacing w:val="-13"/>
        </w:rPr>
        <w:t> </w:t>
      </w:r>
      <w:r>
        <w:rPr/>
        <w:t>динара.</w:t>
      </w:r>
    </w:p>
    <w:p>
      <w:pPr>
        <w:pStyle w:val="BodyText"/>
        <w:spacing w:line="240" w:lineRule="auto"/>
        <w:ind w:right="205" w:firstLine="566"/>
        <w:jc w:val="both"/>
      </w:pPr>
      <w:r>
        <w:rPr>
          <w:rFonts w:ascii="Times New Roman" w:hAnsi="Times New Roman"/>
          <w:b/>
        </w:rPr>
        <w:t>Народна библиотека </w:t>
      </w:r>
      <w:r>
        <w:rPr/>
        <w:t>има потенцијалне обавезе по парничним предметима у износу од 156 хиљада динара на име накнаде члану управног одбора за 12 месеци и по извршним предметима у износу од 50 хиљада динара на име трошкова поступка по пресуди за исплату</w:t>
      </w:r>
      <w:r>
        <w:rPr>
          <w:spacing w:val="-13"/>
        </w:rPr>
        <w:t> </w:t>
      </w:r>
      <w:r>
        <w:rPr/>
        <w:t>отпремнине.</w:t>
      </w:r>
    </w:p>
    <w:p>
      <w:pPr>
        <w:pStyle w:val="BodyText"/>
        <w:spacing w:line="240" w:lineRule="auto"/>
        <w:ind w:right="211" w:firstLine="566"/>
        <w:jc w:val="both"/>
      </w:pPr>
      <w:r>
        <w:rPr>
          <w:rFonts w:ascii="Times New Roman" w:hAnsi="Times New Roman"/>
          <w:b/>
        </w:rPr>
        <w:t>Народно позориште </w:t>
      </w:r>
      <w:r>
        <w:rPr/>
        <w:t>има потенцијалне обавезе по парничном предмету 2П бр. 5893/10, а по тужби за накнаду штете у коме су солидарно одговорни град Ниш и Народно позориште Ниш у укупном износу од 1.017 хиљада</w:t>
      </w:r>
      <w:r>
        <w:rPr>
          <w:spacing w:val="-17"/>
        </w:rPr>
        <w:t> </w:t>
      </w:r>
      <w:r>
        <w:rPr/>
        <w:t>динара.</w:t>
      </w:r>
    </w:p>
    <w:p>
      <w:pPr>
        <w:pStyle w:val="BodyText"/>
        <w:spacing w:line="240" w:lineRule="auto"/>
        <w:ind w:right="203" w:firstLine="566"/>
        <w:jc w:val="both"/>
      </w:pPr>
      <w:r>
        <w:rPr>
          <w:rFonts w:ascii="Times New Roman" w:hAnsi="Times New Roman"/>
          <w:b/>
        </w:rPr>
        <w:t>Нишки културни центар </w:t>
      </w:r>
      <w:r>
        <w:rPr/>
        <w:t>има потенцијалне обавезе по парничним предметима у износу од 35 хиљада динара за јубиларне</w:t>
      </w:r>
      <w:r>
        <w:rPr>
          <w:spacing w:val="-16"/>
        </w:rPr>
        <w:t> </w:t>
      </w:r>
      <w:r>
        <w:rPr/>
        <w:t>награде.</w:t>
      </w:r>
    </w:p>
    <w:p>
      <w:pPr>
        <w:pStyle w:val="BodyText"/>
        <w:spacing w:line="240" w:lineRule="auto"/>
        <w:ind w:left="174" w:right="175" w:firstLine="566"/>
        <w:jc w:val="both"/>
      </w:pPr>
      <w:r>
        <w:rPr>
          <w:rFonts w:ascii="Times New Roman" w:hAnsi="Times New Roman"/>
          <w:b/>
        </w:rPr>
        <w:t>СЦ Чаир </w:t>
      </w:r>
      <w:r>
        <w:rPr/>
        <w:t>има потенцијалне обавезе у својству туженог у парничном поступку, по основу тужби ради накнаде штете у износу од 1.440 хиљада динара и то по тужби ради наплате нематеријалне штете због повреде на раду у износу од 1.100 хиљада динара, по тужби ради наплате нематеријалне штете од опасне ствари у износу од 140 хиљада динара и по основу тужбе ради накнаде штете због разлике у заради у износу од 200 хиљада</w:t>
      </w:r>
      <w:r>
        <w:rPr>
          <w:spacing w:val="-3"/>
        </w:rPr>
        <w:t> </w:t>
      </w:r>
      <w:r>
        <w:rPr/>
        <w:t>динара.</w:t>
      </w:r>
    </w:p>
    <w:p>
      <w:pPr>
        <w:pStyle w:val="BodyText"/>
        <w:spacing w:line="240" w:lineRule="auto"/>
        <w:ind w:left="179" w:right="195" w:firstLine="547"/>
        <w:jc w:val="both"/>
      </w:pPr>
      <w:r>
        <w:rPr/>
        <w:t>Пред Основним судом у Нишу води се поступак између СЦ „Чаир“ и Специјалне болнице за интерне болети „Нироши“ по тужби Специјалне болнице за интерне </w:t>
      </w:r>
      <w:r>
        <w:rPr>
          <w:spacing w:val="33"/>
        </w:rPr>
        <w:t> </w:t>
      </w:r>
      <w:r>
        <w:rPr/>
        <w:t>болести</w:t>
      </w:r>
    </w:p>
    <w:p>
      <w:pPr>
        <w:pStyle w:val="BodyText"/>
        <w:spacing w:line="240" w:lineRule="auto"/>
        <w:ind w:left="179" w:right="194"/>
        <w:jc w:val="both"/>
      </w:pPr>
      <w:r>
        <w:rPr/>
        <w:t>„Нироши“ и противтужби Спортског центра „Чаир“. Између странака је споран износ дуговања који „Нироши“ има према Спортском центру „Чаир“, тако да је у </w:t>
      </w:r>
      <w:r>
        <w:rPr>
          <w:spacing w:val="3"/>
        </w:rPr>
        <w:t>току </w:t>
      </w:r>
      <w:r>
        <w:rPr/>
        <w:t>судског </w:t>
      </w:r>
      <w:r>
        <w:rPr/>
        <w:t>поступка извршено вештачење од стране два судска вештака финансијске струке који су дали потпуно супротне налазе о износу дуга и субјекту обавезе, па је у овом моменту немогуће дати прогнозу износа потраживања/дуговања, а тиме и потенцијалне обавезе Спортског центра „Чаир“, пре коначног исхода спора односно правоснажне судске пресуде.</w:t>
      </w:r>
    </w:p>
    <w:p>
      <w:pPr>
        <w:pStyle w:val="BodyText"/>
        <w:spacing w:line="240" w:lineRule="auto"/>
        <w:ind w:left="179" w:right="183" w:firstLine="547"/>
        <w:jc w:val="both"/>
      </w:pPr>
      <w:r>
        <w:rPr>
          <w:rFonts w:ascii="Times New Roman" w:hAnsi="Times New Roman"/>
          <w:b/>
        </w:rPr>
        <w:t>Дечији центар </w:t>
      </w:r>
      <w:r>
        <w:rPr/>
        <w:t>има потенцијалне обавезе по парничним предметима у износу од 420 хиљада динара и по извршним предметима у износу од 4.631 хиљаде</w:t>
      </w:r>
      <w:r>
        <w:rPr>
          <w:spacing w:val="-25"/>
        </w:rPr>
        <w:t> </w:t>
      </w:r>
      <w:r>
        <w:rPr/>
        <w:t>динара.</w:t>
      </w:r>
    </w:p>
    <w:p>
      <w:pPr>
        <w:pStyle w:val="BodyText"/>
        <w:spacing w:line="240" w:lineRule="auto"/>
        <w:ind w:right="205" w:firstLine="566"/>
        <w:jc w:val="both"/>
        <w:rPr>
          <w:rFonts w:ascii="Times New Roman" w:hAnsi="Times New Roman" w:cs="Times New Roman" w:eastAsia="Times New Roman" w:hint="default"/>
        </w:rPr>
      </w:pPr>
      <w:r>
        <w:rPr/>
        <w:t>По парничним, ванпарничним и извршним предметима немају потенцијалне обавезе следећи корисници буџетских средстава, сходно њиховом писаном</w:t>
      </w:r>
      <w:r>
        <w:rPr>
          <w:spacing w:val="-25"/>
        </w:rPr>
        <w:t> </w:t>
      </w:r>
      <w:r>
        <w:rPr/>
        <w:t>објашњењу</w:t>
      </w:r>
      <w:r>
        <w:rPr>
          <w:rFonts w:ascii="Times New Roman" w:hAnsi="Times New Roman"/>
        </w:rPr>
        <w:t>:</w:t>
      </w:r>
    </w:p>
    <w:p>
      <w:pPr>
        <w:pStyle w:val="BodyText"/>
        <w:spacing w:line="240" w:lineRule="auto"/>
        <w:ind w:left="880" w:right="141"/>
        <w:jc w:val="left"/>
      </w:pPr>
      <w:r>
        <w:rPr>
          <w:rFonts w:ascii="Times New Roman" w:hAnsi="Times New Roman"/>
        </w:rPr>
        <w:t>-</w:t>
      </w:r>
      <w:r>
        <w:rPr/>
        <w:t>Фонд за развој и самофинансирање заједничких потреба</w:t>
      </w:r>
      <w:r>
        <w:rPr>
          <w:spacing w:val="-19"/>
        </w:rPr>
        <w:t> </w:t>
      </w:r>
      <w:r>
        <w:rPr/>
        <w:t>грађана</w:t>
      </w:r>
    </w:p>
    <w:p>
      <w:pPr>
        <w:pStyle w:val="BodyText"/>
        <w:spacing w:line="240" w:lineRule="auto"/>
        <w:ind w:left="880" w:right="141"/>
        <w:jc w:val="left"/>
      </w:pPr>
      <w:r>
        <w:rPr>
          <w:rFonts w:ascii="Times New Roman" w:hAnsi="Times New Roman"/>
        </w:rPr>
        <w:t>-</w:t>
      </w:r>
      <w:r>
        <w:rPr/>
        <w:t>Народни</w:t>
      </w:r>
      <w:r>
        <w:rPr>
          <w:spacing w:val="-7"/>
        </w:rPr>
        <w:t> </w:t>
      </w:r>
      <w:r>
        <w:rPr/>
        <w:t>музеј</w:t>
      </w:r>
    </w:p>
    <w:p>
      <w:pPr>
        <w:pStyle w:val="BodyText"/>
        <w:spacing w:line="240" w:lineRule="auto"/>
        <w:ind w:left="880" w:right="141"/>
        <w:jc w:val="left"/>
      </w:pPr>
      <w:r>
        <w:rPr>
          <w:rFonts w:ascii="Times New Roman" w:hAnsi="Times New Roman"/>
        </w:rPr>
        <w:t>-</w:t>
      </w:r>
      <w:r>
        <w:rPr/>
        <w:t>Позориште</w:t>
      </w:r>
      <w:r>
        <w:rPr>
          <w:spacing w:val="-7"/>
        </w:rPr>
        <w:t> </w:t>
      </w:r>
      <w:r>
        <w:rPr/>
        <w:t>лутака</w:t>
      </w:r>
    </w:p>
    <w:p>
      <w:pPr>
        <w:pStyle w:val="BodyText"/>
        <w:spacing w:line="240" w:lineRule="auto"/>
        <w:ind w:left="880" w:right="141"/>
        <w:jc w:val="left"/>
      </w:pPr>
      <w:r>
        <w:rPr>
          <w:rFonts w:ascii="Times New Roman" w:hAnsi="Times New Roman"/>
        </w:rPr>
        <w:t>-</w:t>
      </w:r>
      <w:r>
        <w:rPr/>
        <w:t>Нишки симфонијски</w:t>
      </w:r>
      <w:r>
        <w:rPr>
          <w:spacing w:val="-10"/>
        </w:rPr>
        <w:t> </w:t>
      </w:r>
      <w:r>
        <w:rPr/>
        <w:t>оркестар</w:t>
      </w:r>
    </w:p>
    <w:p>
      <w:pPr>
        <w:pStyle w:val="BodyText"/>
        <w:spacing w:line="240" w:lineRule="auto"/>
        <w:ind w:left="880" w:right="141"/>
        <w:jc w:val="left"/>
      </w:pPr>
      <w:r>
        <w:rPr>
          <w:rFonts w:ascii="Times New Roman" w:hAnsi="Times New Roman"/>
        </w:rPr>
        <w:t>-</w:t>
      </w:r>
      <w:r>
        <w:rPr/>
        <w:t>Галерија савремене ликовне</w:t>
      </w:r>
      <w:r>
        <w:rPr>
          <w:spacing w:val="-13"/>
        </w:rPr>
        <w:t> </w:t>
      </w:r>
      <w:r>
        <w:rPr/>
        <w:t>уметности</w:t>
      </w:r>
    </w:p>
    <w:p>
      <w:pPr>
        <w:pStyle w:val="BodyText"/>
        <w:spacing w:line="240" w:lineRule="auto"/>
        <w:ind w:left="880" w:right="141"/>
        <w:jc w:val="left"/>
      </w:pPr>
      <w:r>
        <w:rPr>
          <w:rFonts w:ascii="Times New Roman" w:hAnsi="Times New Roman"/>
        </w:rPr>
        <w:t>-</w:t>
      </w:r>
      <w:r>
        <w:rPr/>
        <w:t>Историјски</w:t>
      </w:r>
      <w:r>
        <w:rPr>
          <w:spacing w:val="-3"/>
        </w:rPr>
        <w:t> </w:t>
      </w:r>
      <w:r>
        <w:rPr/>
        <w:t>архив</w:t>
      </w:r>
    </w:p>
    <w:p>
      <w:pPr>
        <w:pStyle w:val="BodyText"/>
        <w:spacing w:line="240" w:lineRule="auto"/>
        <w:ind w:left="880" w:right="141"/>
        <w:jc w:val="left"/>
      </w:pPr>
      <w:r>
        <w:rPr>
          <w:rFonts w:ascii="Times New Roman" w:hAnsi="Times New Roman"/>
        </w:rPr>
        <w:t>-</w:t>
      </w:r>
      <w:r>
        <w:rPr/>
        <w:t>Завод за заштиту споменика</w:t>
      </w:r>
      <w:r>
        <w:rPr>
          <w:spacing w:val="-15"/>
        </w:rPr>
        <w:t> </w:t>
      </w:r>
      <w:r>
        <w:rPr/>
        <w:t>културе</w:t>
      </w:r>
    </w:p>
    <w:p>
      <w:pPr>
        <w:pStyle w:val="BodyText"/>
        <w:spacing w:line="240" w:lineRule="auto"/>
        <w:ind w:left="880" w:right="141"/>
        <w:jc w:val="left"/>
      </w:pPr>
      <w:r>
        <w:rPr>
          <w:rFonts w:ascii="Times New Roman" w:hAnsi="Times New Roman"/>
        </w:rPr>
        <w:t>-</w:t>
      </w:r>
      <w:r>
        <w:rPr/>
        <w:t>Регионални центар за професионални развој запослених у</w:t>
      </w:r>
      <w:r>
        <w:rPr>
          <w:spacing w:val="-32"/>
        </w:rPr>
        <w:t> </w:t>
      </w:r>
      <w:r>
        <w:rPr/>
        <w:t>образовању.</w:t>
      </w:r>
    </w:p>
    <w:p>
      <w:pPr>
        <w:spacing w:after="0" w:line="240" w:lineRule="auto"/>
        <w:jc w:val="left"/>
        <w:sectPr>
          <w:pgSz w:w="12240" w:h="15840"/>
          <w:pgMar w:header="740" w:footer="1504" w:top="1200" w:bottom="1700" w:left="1400" w:right="1260"/>
        </w:sectPr>
      </w:pPr>
    </w:p>
    <w:p>
      <w:pPr>
        <w:spacing w:line="240" w:lineRule="auto" w:before="7"/>
        <w:rPr>
          <w:rFonts w:ascii="Times New Roman" w:hAnsi="Times New Roman" w:cs="Times New Roman" w:eastAsia="Times New Roman" w:hint="default"/>
          <w:sz w:val="10"/>
          <w:szCs w:val="10"/>
        </w:rPr>
      </w:pPr>
    </w:p>
    <w:p>
      <w:pPr>
        <w:pStyle w:val="Heading1"/>
        <w:spacing w:line="240" w:lineRule="auto" w:before="69"/>
        <w:ind w:left="7704" w:right="0"/>
        <w:jc w:val="left"/>
        <w:rPr>
          <w:rFonts w:ascii="Times New Roman" w:hAnsi="Times New Roman" w:cs="Times New Roman" w:eastAsia="Times New Roman" w:hint="default"/>
          <w:b w:val="0"/>
          <w:bCs w:val="0"/>
        </w:rPr>
      </w:pPr>
      <w:r>
        <w:rPr>
          <w:rFonts w:ascii="Times New Roman" w:hAnsi="Times New Roman"/>
        </w:rPr>
        <w:t>ПРИЛОГ </w:t>
      </w:r>
      <w:r>
        <w:rPr>
          <w:rFonts w:ascii="Times New Roman" w:hAnsi="Times New Roman"/>
        </w:rPr>
        <w:t>III</w:t>
      </w:r>
      <w:r>
        <w:rPr>
          <w:rFonts w:ascii="Times New Roman" w:hAnsi="Times New Roman"/>
          <w:b w:val="0"/>
        </w:rPr>
      </w: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0"/>
        <w:rPr>
          <w:rFonts w:ascii="Times New Roman" w:hAnsi="Times New Roman" w:cs="Times New Roman" w:eastAsia="Times New Roman" w:hint="default"/>
          <w:b/>
          <w:bCs/>
          <w:sz w:val="24"/>
          <w:szCs w:val="24"/>
        </w:rPr>
      </w:pPr>
    </w:p>
    <w:p>
      <w:pPr>
        <w:spacing w:line="240" w:lineRule="auto" w:before="1"/>
        <w:rPr>
          <w:rFonts w:ascii="Times New Roman" w:hAnsi="Times New Roman" w:cs="Times New Roman" w:eastAsia="Times New Roman" w:hint="default"/>
          <w:b/>
          <w:bCs/>
          <w:sz w:val="24"/>
          <w:szCs w:val="24"/>
        </w:rPr>
      </w:pPr>
    </w:p>
    <w:p>
      <w:pPr>
        <w:spacing w:before="0"/>
        <w:ind w:left="2358" w:right="271" w:hanging="1739"/>
        <w:jc w:val="left"/>
        <w:rPr>
          <w:rFonts w:ascii="Times New Roman" w:hAnsi="Times New Roman" w:cs="Times New Roman" w:eastAsia="Times New Roman" w:hint="default"/>
          <w:sz w:val="24"/>
          <w:szCs w:val="24"/>
        </w:rPr>
      </w:pPr>
      <w:r>
        <w:rPr>
          <w:rFonts w:ascii="Times New Roman" w:hAnsi="Times New Roman"/>
          <w:b/>
          <w:sz w:val="24"/>
        </w:rPr>
        <w:t>КОНСОЛИДОВАНИ ФИНАНСИЈСКИ ИЗВЕШТАЈ ЗАВРШНОГ</w:t>
      </w:r>
      <w:r>
        <w:rPr>
          <w:rFonts w:ascii="Times New Roman" w:hAnsi="Times New Roman"/>
          <w:b/>
          <w:spacing w:val="-14"/>
          <w:sz w:val="24"/>
        </w:rPr>
        <w:t> </w:t>
      </w:r>
      <w:r>
        <w:rPr>
          <w:rFonts w:ascii="Times New Roman" w:hAnsi="Times New Roman"/>
          <w:b/>
          <w:sz w:val="24"/>
        </w:rPr>
        <w:t>РАЧУНА </w:t>
      </w:r>
      <w:r>
        <w:rPr>
          <w:rFonts w:ascii="Times New Roman" w:hAnsi="Times New Roman"/>
          <w:b/>
          <w:sz w:val="24"/>
        </w:rPr>
        <w:t>БУЏЕТА ГРАДА НИША ЗА 2014.</w:t>
      </w:r>
      <w:r>
        <w:rPr>
          <w:rFonts w:ascii="Times New Roman" w:hAnsi="Times New Roman"/>
          <w:b/>
          <w:spacing w:val="-7"/>
          <w:sz w:val="24"/>
        </w:rPr>
        <w:t> </w:t>
      </w:r>
      <w:r>
        <w:rPr>
          <w:rFonts w:ascii="Times New Roman" w:hAnsi="Times New Roman"/>
          <w:b/>
          <w:sz w:val="24"/>
        </w:rPr>
        <w:t>ГОДИНУ</w:t>
      </w:r>
      <w:r>
        <w:rPr>
          <w:rFonts w:ascii="Times New Roman" w:hAnsi="Times New Roman"/>
          <w:sz w:val="24"/>
        </w:rPr>
      </w:r>
    </w:p>
    <w:p>
      <w:pPr>
        <w:spacing w:after="0"/>
        <w:jc w:val="left"/>
        <w:rPr>
          <w:rFonts w:ascii="Times New Roman" w:hAnsi="Times New Roman" w:cs="Times New Roman" w:eastAsia="Times New Roman" w:hint="default"/>
          <w:sz w:val="24"/>
          <w:szCs w:val="24"/>
        </w:rPr>
        <w:sectPr>
          <w:headerReference w:type="default" r:id="rId106"/>
          <w:footerReference w:type="default" r:id="rId107"/>
          <w:pgSz w:w="12240" w:h="15840"/>
          <w:pgMar w:header="0" w:footer="0" w:top="1500" w:bottom="280" w:left="1720" w:right="1320"/>
        </w:sectPr>
      </w:pPr>
    </w:p>
    <w:p>
      <w:pPr>
        <w:spacing w:line="240" w:lineRule="auto" w:before="0"/>
        <w:rPr>
          <w:rFonts w:ascii="Times New Roman" w:hAnsi="Times New Roman" w:cs="Times New Roman" w:eastAsia="Times New Roman" w:hint="default"/>
          <w:sz w:val="20"/>
          <w:szCs w:val="20"/>
        </w:rPr>
      </w:pPr>
    </w:p>
    <w:p>
      <w:pPr>
        <w:spacing w:line="240" w:lineRule="auto" w:before="1"/>
        <w:rPr>
          <w:rFonts w:ascii="Times New Roman" w:hAnsi="Times New Roman" w:cs="Times New Roman" w:eastAsia="Times New Roman" w:hint="default"/>
          <w:sz w:val="11"/>
          <w:szCs w:val="11"/>
        </w:rPr>
      </w:pPr>
    </w:p>
    <w:p>
      <w:pPr>
        <w:spacing w:line="240" w:lineRule="auto"/>
        <w:ind w:left="727"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689532" cy="8039100"/>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110" cstate="print"/>
                    <a:stretch>
                      <a:fillRect/>
                    </a:stretch>
                  </pic:blipFill>
                  <pic:spPr>
                    <a:xfrm>
                      <a:off x="0" y="0"/>
                      <a:ext cx="5689532" cy="8039100"/>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headerReference w:type="default" r:id="rId108"/>
          <w:footerReference w:type="default" r:id="rId109"/>
          <w:pgSz w:w="12240" w:h="15840"/>
          <w:pgMar w:header="742" w:footer="1047" w:top="1060" w:bottom="1240" w:left="1460" w:right="980"/>
          <w:pgNumType w:start="368"/>
        </w:sectPr>
      </w:pPr>
    </w:p>
    <w:p>
      <w:pPr>
        <w:spacing w:line="240" w:lineRule="auto" w:before="0"/>
        <w:rPr>
          <w:rFonts w:ascii="Times New Roman" w:hAnsi="Times New Roman" w:cs="Times New Roman" w:eastAsia="Times New Roman" w:hint="default"/>
          <w:sz w:val="20"/>
          <w:szCs w:val="20"/>
        </w:rPr>
      </w:pPr>
    </w:p>
    <w:p>
      <w:pPr>
        <w:spacing w:line="240" w:lineRule="auto" w:before="1"/>
        <w:rPr>
          <w:rFonts w:ascii="Times New Roman" w:hAnsi="Times New Roman" w:cs="Times New Roman" w:eastAsia="Times New Roman" w:hint="default"/>
          <w:sz w:val="11"/>
          <w:szCs w:val="11"/>
        </w:rPr>
      </w:pPr>
    </w:p>
    <w:p>
      <w:pPr>
        <w:spacing w:line="240" w:lineRule="auto"/>
        <w:ind w:left="727"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813564" cy="8239125"/>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11" cstate="print"/>
                    <a:stretch>
                      <a:fillRect/>
                    </a:stretch>
                  </pic:blipFill>
                  <pic:spPr>
                    <a:xfrm>
                      <a:off x="0" y="0"/>
                      <a:ext cx="5813564" cy="8239125"/>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2240" w:h="15840"/>
          <w:pgMar w:header="742" w:footer="1047" w:top="1060" w:bottom="1240" w:left="1460" w:right="780"/>
        </w:sectPr>
      </w:pPr>
    </w:p>
    <w:p>
      <w:pPr>
        <w:spacing w:line="240" w:lineRule="auto" w:before="0"/>
        <w:rPr>
          <w:rFonts w:ascii="Times New Roman" w:hAnsi="Times New Roman" w:cs="Times New Roman" w:eastAsia="Times New Roman" w:hint="default"/>
          <w:sz w:val="20"/>
          <w:szCs w:val="20"/>
        </w:rPr>
      </w:pPr>
    </w:p>
    <w:p>
      <w:pPr>
        <w:spacing w:line="240" w:lineRule="auto" w:before="1"/>
        <w:rPr>
          <w:rFonts w:ascii="Times New Roman" w:hAnsi="Times New Roman" w:cs="Times New Roman" w:eastAsia="Times New Roman" w:hint="default"/>
          <w:sz w:val="11"/>
          <w:szCs w:val="11"/>
        </w:rPr>
      </w:pPr>
    </w:p>
    <w:p>
      <w:pPr>
        <w:spacing w:line="240" w:lineRule="auto"/>
        <w:ind w:left="727"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823182" cy="8239125"/>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12" cstate="print"/>
                    <a:stretch>
                      <a:fillRect/>
                    </a:stretch>
                  </pic:blipFill>
                  <pic:spPr>
                    <a:xfrm>
                      <a:off x="0" y="0"/>
                      <a:ext cx="5823182" cy="8239125"/>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2240" w:h="15840"/>
          <w:pgMar w:header="742" w:footer="1047" w:top="1060" w:bottom="1240" w:left="1460" w:right="760"/>
        </w:sectPr>
      </w:pPr>
    </w:p>
    <w:p>
      <w:pPr>
        <w:spacing w:line="240" w:lineRule="auto" w:before="0"/>
        <w:rPr>
          <w:rFonts w:ascii="Times New Roman" w:hAnsi="Times New Roman" w:cs="Times New Roman" w:eastAsia="Times New Roman" w:hint="default"/>
          <w:sz w:val="20"/>
          <w:szCs w:val="20"/>
        </w:rPr>
      </w:pPr>
    </w:p>
    <w:p>
      <w:pPr>
        <w:spacing w:line="240" w:lineRule="auto" w:before="1"/>
        <w:rPr>
          <w:rFonts w:ascii="Times New Roman" w:hAnsi="Times New Roman" w:cs="Times New Roman" w:eastAsia="Times New Roman" w:hint="default"/>
          <w:sz w:val="11"/>
          <w:szCs w:val="11"/>
        </w:rPr>
      </w:pPr>
    </w:p>
    <w:p>
      <w:pPr>
        <w:spacing w:line="240" w:lineRule="auto"/>
        <w:ind w:left="727"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821378" cy="8220075"/>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13" cstate="print"/>
                    <a:stretch>
                      <a:fillRect/>
                    </a:stretch>
                  </pic:blipFill>
                  <pic:spPr>
                    <a:xfrm>
                      <a:off x="0" y="0"/>
                      <a:ext cx="5821378" cy="8220075"/>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2240" w:h="15840"/>
          <w:pgMar w:header="742" w:footer="1047" w:top="1060" w:bottom="1240" w:left="1460" w:right="760"/>
        </w:sectPr>
      </w:pPr>
    </w:p>
    <w:p>
      <w:pPr>
        <w:spacing w:line="240" w:lineRule="auto" w:before="0"/>
        <w:rPr>
          <w:rFonts w:ascii="Times New Roman" w:hAnsi="Times New Roman" w:cs="Times New Roman" w:eastAsia="Times New Roman" w:hint="default"/>
          <w:sz w:val="20"/>
          <w:szCs w:val="20"/>
        </w:rPr>
      </w:pPr>
    </w:p>
    <w:p>
      <w:pPr>
        <w:spacing w:line="240" w:lineRule="auto" w:before="1"/>
        <w:rPr>
          <w:rFonts w:ascii="Times New Roman" w:hAnsi="Times New Roman" w:cs="Times New Roman" w:eastAsia="Times New Roman" w:hint="default"/>
          <w:sz w:val="11"/>
          <w:szCs w:val="11"/>
        </w:rPr>
      </w:pPr>
    </w:p>
    <w:p>
      <w:pPr>
        <w:spacing w:line="240" w:lineRule="auto"/>
        <w:ind w:left="727"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824617" cy="8229600"/>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14" cstate="print"/>
                    <a:stretch>
                      <a:fillRect/>
                    </a:stretch>
                  </pic:blipFill>
                  <pic:spPr>
                    <a:xfrm>
                      <a:off x="0" y="0"/>
                      <a:ext cx="5824617" cy="8229600"/>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2240" w:h="15840"/>
          <w:pgMar w:header="742" w:footer="1047" w:top="1060" w:bottom="1240" w:left="1460" w:right="760"/>
        </w:sectPr>
      </w:pPr>
    </w:p>
    <w:p>
      <w:pPr>
        <w:spacing w:line="240" w:lineRule="auto" w:before="0"/>
        <w:rPr>
          <w:rFonts w:ascii="Times New Roman" w:hAnsi="Times New Roman" w:cs="Times New Roman" w:eastAsia="Times New Roman" w:hint="default"/>
          <w:sz w:val="20"/>
          <w:szCs w:val="20"/>
        </w:rPr>
      </w:pPr>
    </w:p>
    <w:p>
      <w:pPr>
        <w:spacing w:line="240" w:lineRule="auto" w:before="1"/>
        <w:rPr>
          <w:rFonts w:ascii="Times New Roman" w:hAnsi="Times New Roman" w:cs="Times New Roman" w:eastAsia="Times New Roman" w:hint="default"/>
          <w:sz w:val="11"/>
          <w:szCs w:val="11"/>
        </w:rPr>
      </w:pPr>
    </w:p>
    <w:p>
      <w:pPr>
        <w:spacing w:line="240" w:lineRule="auto"/>
        <w:ind w:left="727"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818142" cy="8220075"/>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15" cstate="print"/>
                    <a:stretch>
                      <a:fillRect/>
                    </a:stretch>
                  </pic:blipFill>
                  <pic:spPr>
                    <a:xfrm>
                      <a:off x="0" y="0"/>
                      <a:ext cx="5818142" cy="8220075"/>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2240" w:h="15840"/>
          <w:pgMar w:header="742" w:footer="1047" w:top="1060" w:bottom="1240" w:left="1460" w:right="780"/>
        </w:sectPr>
      </w:pPr>
    </w:p>
    <w:p>
      <w:pPr>
        <w:spacing w:line="240" w:lineRule="auto" w:before="0"/>
        <w:rPr>
          <w:rFonts w:ascii="Times New Roman" w:hAnsi="Times New Roman" w:cs="Times New Roman" w:eastAsia="Times New Roman" w:hint="default"/>
          <w:sz w:val="20"/>
          <w:szCs w:val="20"/>
        </w:rPr>
      </w:pPr>
    </w:p>
    <w:p>
      <w:pPr>
        <w:spacing w:line="240" w:lineRule="auto" w:before="1"/>
        <w:rPr>
          <w:rFonts w:ascii="Times New Roman" w:hAnsi="Times New Roman" w:cs="Times New Roman" w:eastAsia="Times New Roman" w:hint="default"/>
          <w:sz w:val="11"/>
          <w:szCs w:val="11"/>
        </w:rPr>
      </w:pPr>
    </w:p>
    <w:p>
      <w:pPr>
        <w:spacing w:line="240" w:lineRule="auto"/>
        <w:ind w:left="727"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820492" cy="8229600"/>
            <wp:effectExtent l="0" t="0" r="0" b="0"/>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16" cstate="print"/>
                    <a:stretch>
                      <a:fillRect/>
                    </a:stretch>
                  </pic:blipFill>
                  <pic:spPr>
                    <a:xfrm>
                      <a:off x="0" y="0"/>
                      <a:ext cx="5820492" cy="8229600"/>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2240" w:h="15840"/>
          <w:pgMar w:header="742" w:footer="1047" w:top="1060" w:bottom="1240" w:left="1460" w:right="760"/>
        </w:sectPr>
      </w:pPr>
    </w:p>
    <w:p>
      <w:pPr>
        <w:spacing w:line="240" w:lineRule="auto" w:before="0"/>
        <w:rPr>
          <w:rFonts w:ascii="Times New Roman" w:hAnsi="Times New Roman" w:cs="Times New Roman" w:eastAsia="Times New Roman" w:hint="default"/>
          <w:sz w:val="20"/>
          <w:szCs w:val="20"/>
        </w:rPr>
      </w:pPr>
    </w:p>
    <w:p>
      <w:pPr>
        <w:spacing w:line="240" w:lineRule="auto" w:before="1"/>
        <w:rPr>
          <w:rFonts w:ascii="Times New Roman" w:hAnsi="Times New Roman" w:cs="Times New Roman" w:eastAsia="Times New Roman" w:hint="default"/>
          <w:sz w:val="11"/>
          <w:szCs w:val="11"/>
        </w:rPr>
      </w:pPr>
    </w:p>
    <w:p>
      <w:pPr>
        <w:spacing w:line="240" w:lineRule="auto"/>
        <w:ind w:left="727"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818158" cy="8220075"/>
            <wp:effectExtent l="0" t="0" r="0" b="0"/>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17" cstate="print"/>
                    <a:stretch>
                      <a:fillRect/>
                    </a:stretch>
                  </pic:blipFill>
                  <pic:spPr>
                    <a:xfrm>
                      <a:off x="0" y="0"/>
                      <a:ext cx="5818158" cy="8220075"/>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2240" w:h="15840"/>
          <w:pgMar w:header="742" w:footer="1047" w:top="1060" w:bottom="1240" w:left="1460" w:right="780"/>
        </w:sectPr>
      </w:pPr>
    </w:p>
    <w:p>
      <w:pPr>
        <w:spacing w:line="240" w:lineRule="auto" w:before="0"/>
        <w:rPr>
          <w:rFonts w:ascii="Times New Roman" w:hAnsi="Times New Roman" w:cs="Times New Roman" w:eastAsia="Times New Roman" w:hint="default"/>
          <w:sz w:val="20"/>
          <w:szCs w:val="20"/>
        </w:rPr>
      </w:pPr>
    </w:p>
    <w:p>
      <w:pPr>
        <w:spacing w:line="240" w:lineRule="auto" w:before="1"/>
        <w:rPr>
          <w:rFonts w:ascii="Times New Roman" w:hAnsi="Times New Roman" w:cs="Times New Roman" w:eastAsia="Times New Roman" w:hint="default"/>
          <w:sz w:val="11"/>
          <w:szCs w:val="11"/>
        </w:rPr>
      </w:pPr>
    </w:p>
    <w:p>
      <w:pPr>
        <w:spacing w:line="240" w:lineRule="auto"/>
        <w:ind w:left="727"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819979" cy="8239125"/>
            <wp:effectExtent l="0" t="0" r="0" b="0"/>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118" cstate="print"/>
                    <a:stretch>
                      <a:fillRect/>
                    </a:stretch>
                  </pic:blipFill>
                  <pic:spPr>
                    <a:xfrm>
                      <a:off x="0" y="0"/>
                      <a:ext cx="5819979" cy="8239125"/>
                    </a:xfrm>
                    <a:prstGeom prst="rect">
                      <a:avLst/>
                    </a:prstGeom>
                  </pic:spPr>
                </pic:pic>
              </a:graphicData>
            </a:graphic>
          </wp:inline>
        </w:drawing>
      </w:r>
      <w:r>
        <w:rPr>
          <w:rFonts w:ascii="Times New Roman" w:hAnsi="Times New Roman" w:cs="Times New Roman" w:eastAsia="Times New Roman" w:hint="default"/>
          <w:sz w:val="20"/>
          <w:szCs w:val="20"/>
        </w:rPr>
      </w:r>
    </w:p>
    <w:sectPr>
      <w:pgSz w:w="12240" w:h="15840"/>
      <w:pgMar w:header="742" w:footer="1047" w:top="1060" w:bottom="1240" w:left="1460" w:right="7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32.599976pt;margin-top:737.960022pt;width:9.6pt;height:13.05pt;mso-position-horizontal-relative:page;mso-position-vertical-relative:page;z-index:-773584"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6.960022pt;margin-top:717.320007pt;width:14.3pt;height:13.05pt;mso-position-horizontal-relative:page;mso-position-vertical-relative:page;z-index:-773296"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2</w:t>
                </w:r>
                <w:r>
                  <w:rPr/>
                  <w:fldChar w:fldCharType="end"/>
                </w:r>
                <w:r>
                  <w:rPr>
                    <w:rFonts w:ascii="Calibri"/>
                    <w:sz w:val="22"/>
                  </w:rPr>
                  <w:t>9</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6.960022pt;margin-top:717.320007pt;width:15.3pt;height:13.05pt;mso-position-horizontal-relative:page;mso-position-vertical-relative:page;z-index:-773272"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8.024002pt;margin-top:701.820007pt;width:144.050pt;height:.1pt;mso-position-horizontal-relative:page;mso-position-vertical-relative:page;z-index:-773248" coordorigin="1560,14036" coordsize="2881,2">
          <v:shape style="position:absolute;left:1560;top:14036;width:2881;height:2" coordorigin="1560,14036" coordsize="2881,0" path="m1560,14036l4441,14036e" filled="false" stroked="true" strokeweight=".599980pt" strokecolor="#000000">
            <v:path arrowok="t"/>
          </v:shape>
          <w10:wrap type="none"/>
        </v:group>
      </w:pict>
    </w:r>
    <w:r>
      <w:rPr/>
      <w:pict>
        <v:shape style="position:absolute;margin-left:77.024002pt;margin-top:705.824463pt;width:245.9pt;height:11.15pt;mso-position-horizontal-relative:page;mso-position-vertical-relative:page;z-index:-773224" type="#_x0000_t202" filled="false" stroked="false">
          <v:textbox inset="0,0,0,0">
            <w:txbxContent>
              <w:p>
                <w:pPr>
                  <w:spacing w:before="7"/>
                  <w:ind w:left="20" w:right="0"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10 </w:t>
                </w:r>
                <w:r>
                  <w:rPr>
                    <w:rFonts w:ascii="Times New Roman" w:hAnsi="Times New Roman" w:cs="Times New Roman" w:eastAsia="Times New Roman" w:hint="default"/>
                    <w:sz w:val="16"/>
                    <w:szCs w:val="16"/>
                  </w:rPr>
                  <w:t>„Службени лист града Ниша“ број 4/2010, 25/2010, 67/2012,</w:t>
                </w:r>
                <w:r>
                  <w:rPr>
                    <w:rFonts w:ascii="Times New Roman" w:hAnsi="Times New Roman" w:cs="Times New Roman" w:eastAsia="Times New Roman" w:hint="default"/>
                    <w:spacing w:val="-24"/>
                    <w:sz w:val="16"/>
                    <w:szCs w:val="16"/>
                  </w:rPr>
                  <w:t> </w:t>
                </w:r>
                <w:r>
                  <w:rPr>
                    <w:rFonts w:ascii="Times New Roman" w:hAnsi="Times New Roman" w:cs="Times New Roman" w:eastAsia="Times New Roman" w:hint="default"/>
                    <w:sz w:val="16"/>
                    <w:szCs w:val="16"/>
                  </w:rPr>
                  <w:t>100/2013</w:t>
                </w:r>
              </w:p>
            </w:txbxContent>
          </v:textbox>
          <w10:wrap type="none"/>
        </v:shape>
      </w:pict>
    </w:r>
    <w:r>
      <w:rPr/>
      <w:pict>
        <v:shape style="position:absolute;margin-left:526.960022pt;margin-top:717.320007pt;width:15.3pt;height:13.05pt;mso-position-horizontal-relative:page;mso-position-vertical-relative:page;z-index:-773200"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34</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8.024002pt;margin-top:701.820007pt;width:144.050pt;height:.1pt;mso-position-horizontal-relative:page;mso-position-vertical-relative:page;z-index:-773176" coordorigin="1560,14036" coordsize="2881,2">
          <v:shape style="position:absolute;left:1560;top:14036;width:2881;height:2" coordorigin="1560,14036" coordsize="2881,0" path="m1560,14036l4441,14036e" filled="false" stroked="true" strokeweight=".599980pt" strokecolor="#000000">
            <v:path arrowok="t"/>
          </v:shape>
          <w10:wrap type="none"/>
        </v:group>
      </w:pict>
    </w:r>
    <w:r>
      <w:rPr/>
      <w:pict>
        <v:shape style="position:absolute;margin-left:77.024002pt;margin-top:705.824463pt;width:188.1pt;height:11.15pt;mso-position-horizontal-relative:page;mso-position-vertical-relative:page;z-index:-773152" type="#_x0000_t202" filled="false" stroked="false">
          <v:textbox inset="0,0,0,0">
            <w:txbxContent>
              <w:p>
                <w:pPr>
                  <w:spacing w:before="7"/>
                  <w:ind w:left="20" w:right="0"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11 </w:t>
                </w:r>
                <w:r>
                  <w:rPr>
                    <w:rFonts w:ascii="Times New Roman" w:hAnsi="Times New Roman" w:cs="Times New Roman" w:eastAsia="Times New Roman" w:hint="default"/>
                    <w:sz w:val="16"/>
                    <w:szCs w:val="16"/>
                  </w:rPr>
                  <w:t>„Службени гласник Републике Србије“ број</w:t>
                </w:r>
                <w:r>
                  <w:rPr>
                    <w:rFonts w:ascii="Times New Roman" w:hAnsi="Times New Roman" w:cs="Times New Roman" w:eastAsia="Times New Roman" w:hint="default"/>
                    <w:spacing w:val="-4"/>
                    <w:sz w:val="16"/>
                    <w:szCs w:val="16"/>
                  </w:rPr>
                  <w:t> </w:t>
                </w:r>
                <w:r>
                  <w:rPr>
                    <w:rFonts w:ascii="Times New Roman" w:hAnsi="Times New Roman" w:cs="Times New Roman" w:eastAsia="Times New Roman" w:hint="default"/>
                    <w:sz w:val="16"/>
                    <w:szCs w:val="16"/>
                  </w:rPr>
                  <w:t>72/2009</w:t>
                </w:r>
              </w:p>
            </w:txbxContent>
          </v:textbox>
          <w10:wrap type="none"/>
        </v:shape>
      </w:pict>
    </w:r>
    <w:r>
      <w:rPr/>
      <w:pict>
        <v:shape style="position:absolute;margin-left:527.960022pt;margin-top:717.320007pt;width:13.3pt;height:13.05pt;mso-position-horizontal-relative:page;mso-position-vertical-relative:page;z-index:-773128" type="#_x0000_t202" filled="false" stroked="false">
          <v:textbox inset="0,0,0,0">
            <w:txbxContent>
              <w:p>
                <w:pPr>
                  <w:spacing w:line="245" w:lineRule="exact" w:before="0"/>
                  <w:ind w:left="20" w:right="0" w:firstLine="0"/>
                  <w:jc w:val="left"/>
                  <w:rPr>
                    <w:rFonts w:ascii="Calibri" w:hAnsi="Calibri" w:cs="Calibri" w:eastAsia="Calibri" w:hint="default"/>
                    <w:sz w:val="22"/>
                    <w:szCs w:val="22"/>
                  </w:rPr>
                </w:pPr>
                <w:r>
                  <w:rPr>
                    <w:rFonts w:ascii="Calibri"/>
                    <w:sz w:val="22"/>
                  </w:rPr>
                  <w:t>35</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8.024002pt;margin-top:701.820007pt;width:144.050pt;height:.1pt;mso-position-horizontal-relative:page;mso-position-vertical-relative:page;z-index:-773104" coordorigin="1560,14036" coordsize="2881,2">
          <v:shape style="position:absolute;left:1560;top:14036;width:2881;height:2" coordorigin="1560,14036" coordsize="2881,0" path="m1560,14036l4441,14036e" filled="false" stroked="true" strokeweight=".599980pt" strokecolor="#000000">
            <v:path arrowok="t"/>
          </v:shape>
          <w10:wrap type="none"/>
        </v:group>
      </w:pict>
    </w:r>
    <w:r>
      <w:rPr/>
      <w:pict>
        <v:shape style="position:absolute;margin-left:77.024002pt;margin-top:705.824463pt;width:151.3pt;height:11.15pt;mso-position-horizontal-relative:page;mso-position-vertical-relative:page;z-index:-773080" type="#_x0000_t202" filled="false" stroked="false">
          <v:textbox inset="0,0,0,0">
            <w:txbxContent>
              <w:p>
                <w:pPr>
                  <w:spacing w:before="7"/>
                  <w:ind w:left="20" w:right="0"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12  </w:t>
                </w:r>
                <w:r>
                  <w:rPr>
                    <w:rFonts w:ascii="Times New Roman" w:hAnsi="Times New Roman" w:cs="Times New Roman" w:eastAsia="Times New Roman" w:hint="default"/>
                    <w:sz w:val="16"/>
                    <w:szCs w:val="16"/>
                  </w:rPr>
                  <w:t>„Службени лист града Ниша“ број</w:t>
                </w:r>
                <w:r>
                  <w:rPr>
                    <w:rFonts w:ascii="Times New Roman" w:hAnsi="Times New Roman" w:cs="Times New Roman" w:eastAsia="Times New Roman" w:hint="default"/>
                    <w:spacing w:val="-26"/>
                    <w:sz w:val="16"/>
                    <w:szCs w:val="16"/>
                  </w:rPr>
                  <w:t> </w:t>
                </w:r>
                <w:r>
                  <w:rPr>
                    <w:rFonts w:ascii="Times New Roman" w:hAnsi="Times New Roman" w:cs="Times New Roman" w:eastAsia="Times New Roman" w:hint="default"/>
                    <w:sz w:val="16"/>
                    <w:szCs w:val="16"/>
                  </w:rPr>
                  <w:t>5/2014</w:t>
                </w:r>
              </w:p>
            </w:txbxContent>
          </v:textbox>
          <w10:wrap type="none"/>
        </v:shape>
      </w:pict>
    </w:r>
    <w:r>
      <w:rPr/>
      <w:pict>
        <v:shape style="position:absolute;margin-left:527.960022pt;margin-top:717.320007pt;width:13.3pt;height:13.05pt;mso-position-horizontal-relative:page;mso-position-vertical-relative:page;z-index:-773056" type="#_x0000_t202" filled="false" stroked="false">
          <v:textbox inset="0,0,0,0">
            <w:txbxContent>
              <w:p>
                <w:pPr>
                  <w:spacing w:line="245" w:lineRule="exact" w:before="0"/>
                  <w:ind w:left="20" w:right="0" w:firstLine="0"/>
                  <w:jc w:val="left"/>
                  <w:rPr>
                    <w:rFonts w:ascii="Calibri" w:hAnsi="Calibri" w:cs="Calibri" w:eastAsia="Calibri" w:hint="default"/>
                    <w:sz w:val="22"/>
                    <w:szCs w:val="22"/>
                  </w:rPr>
                </w:pPr>
                <w:r>
                  <w:rPr>
                    <w:rFonts w:ascii="Calibri"/>
                    <w:sz w:val="22"/>
                  </w:rPr>
                  <w:t>36</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6.960022pt;margin-top:717.320007pt;width:15.3pt;height:13.05pt;mso-position-horizontal-relative:page;mso-position-vertical-relative:page;z-index:-773032"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37</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7.960022pt;margin-top:717.320007pt;width:13.3pt;height:13.05pt;mso-position-horizontal-relative:page;mso-position-vertical-relative:page;z-index:-773008" type="#_x0000_t202" filled="false" stroked="false">
          <v:textbox inset="0,0,0,0">
            <w:txbxContent>
              <w:p>
                <w:pPr>
                  <w:spacing w:line="245" w:lineRule="exact" w:before="0"/>
                  <w:ind w:left="20" w:right="0" w:firstLine="0"/>
                  <w:jc w:val="left"/>
                  <w:rPr>
                    <w:rFonts w:ascii="Calibri" w:hAnsi="Calibri" w:cs="Calibri" w:eastAsia="Calibri" w:hint="default"/>
                    <w:sz w:val="22"/>
                    <w:szCs w:val="22"/>
                  </w:rPr>
                </w:pPr>
                <w:r>
                  <w:rPr>
                    <w:rFonts w:ascii="Calibri"/>
                    <w:sz w:val="22"/>
                  </w:rPr>
                  <w:t>40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6.960022pt;margin-top:717.320007pt;width:15.3pt;height:13.05pt;mso-position-horizontal-relative:page;mso-position-vertical-relative:page;z-index:-772984"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6.024002pt;margin-top:705.824463pt;width:152.3pt;height:11.15pt;mso-position-horizontal-relative:page;mso-position-vertical-relative:page;z-index:-772960" type="#_x0000_t202" filled="false" stroked="false">
          <v:textbox inset="0,0,0,0">
            <w:txbxContent>
              <w:p>
                <w:pPr>
                  <w:spacing w:before="7"/>
                  <w:ind w:left="40" w:right="0"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w w:val="100"/>
                    <w:position w:val="7"/>
                    <w:sz w:val="10"/>
                    <w:szCs w:val="10"/>
                  </w:rPr>
                </w:r>
                <w:r>
                  <w:rPr/>
                  <w:fldChar w:fldCharType="begin"/>
                </w:r>
                <w:r>
                  <w:rPr>
                    <w:rFonts w:ascii="Times New Roman" w:hAnsi="Times New Roman" w:cs="Times New Roman" w:eastAsia="Times New Roman" w:hint="default"/>
                    <w:position w:val="7"/>
                    <w:sz w:val="10"/>
                    <w:szCs w:val="10"/>
                  </w:rPr>
                  <w:instrText> PAGE </w:instrText>
                </w:r>
                <w:r>
                  <w:rPr/>
                  <w:fldChar w:fldCharType="separate"/>
                </w:r>
                <w:r>
                  <w:rPr/>
                  <w:t>30</w:t>
                </w:r>
                <w:r>
                  <w:rPr/>
                  <w:fldChar w:fldCharType="end"/>
                </w:r>
                <w:r>
                  <w:rPr>
                    <w:rFonts w:ascii="Times New Roman" w:hAnsi="Times New Roman" w:cs="Times New Roman" w:eastAsia="Times New Roman" w:hint="default"/>
                    <w:position w:val="7"/>
                    <w:sz w:val="10"/>
                    <w:szCs w:val="10"/>
                  </w:rPr>
                  <w:t>  </w:t>
                </w:r>
                <w:r>
                  <w:rPr>
                    <w:rFonts w:ascii="Times New Roman" w:hAnsi="Times New Roman" w:cs="Times New Roman" w:eastAsia="Times New Roman" w:hint="default"/>
                    <w:sz w:val="16"/>
                    <w:szCs w:val="16"/>
                  </w:rPr>
                  <w:t>„Службени лист града Ниша“ број</w:t>
                </w:r>
                <w:r>
                  <w:rPr>
                    <w:rFonts w:ascii="Times New Roman" w:hAnsi="Times New Roman" w:cs="Times New Roman" w:eastAsia="Times New Roman" w:hint="default"/>
                    <w:spacing w:val="-26"/>
                    <w:sz w:val="16"/>
                    <w:szCs w:val="16"/>
                  </w:rPr>
                  <w:t> </w:t>
                </w:r>
                <w:r>
                  <w:rPr>
                    <w:rFonts w:ascii="Times New Roman" w:hAnsi="Times New Roman" w:cs="Times New Roman" w:eastAsia="Times New Roman" w:hint="default"/>
                    <w:sz w:val="16"/>
                    <w:szCs w:val="16"/>
                  </w:rPr>
                  <w:t>5/2014</w:t>
                </w:r>
              </w:p>
            </w:txbxContent>
          </v:textbox>
          <w10:wrap type="none"/>
        </v:shape>
      </w:pict>
    </w:r>
    <w:r>
      <w:rPr/>
      <w:pict>
        <v:shape style="position:absolute;margin-left:527.960022pt;margin-top:717.320007pt;width:13.3pt;height:13.05pt;mso-position-horizontal-relative:page;mso-position-vertical-relative:page;z-index:-772936" type="#_x0000_t202" filled="false" stroked="false">
          <v:textbox inset="0,0,0,0">
            <w:txbxContent>
              <w:p>
                <w:pPr>
                  <w:spacing w:line="245" w:lineRule="exact" w:before="0"/>
                  <w:ind w:left="20" w:right="0" w:firstLine="0"/>
                  <w:jc w:val="left"/>
                  <w:rPr>
                    <w:rFonts w:ascii="Calibri" w:hAnsi="Calibri" w:cs="Calibri" w:eastAsia="Calibri" w:hint="default"/>
                    <w:sz w:val="22"/>
                    <w:szCs w:val="22"/>
                  </w:rPr>
                </w:pPr>
                <w:r>
                  <w:rPr>
                    <w:rFonts w:ascii="Calibri"/>
                    <w:sz w:val="22"/>
                  </w:rPr>
                  <w:t>49</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6.024002pt;margin-top:705.824463pt;width:156.4pt;height:11.15pt;mso-position-horizontal-relative:page;mso-position-vertical-relative:page;z-index:-772912" type="#_x0000_t202" filled="false" stroked="false">
          <v:textbox inset="0,0,0,0">
            <w:txbxContent>
              <w:p>
                <w:pPr>
                  <w:spacing w:before="7"/>
                  <w:ind w:left="40" w:right="0"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w w:val="100"/>
                    <w:position w:val="7"/>
                    <w:sz w:val="10"/>
                    <w:szCs w:val="10"/>
                  </w:rPr>
                </w:r>
                <w:r>
                  <w:rPr/>
                  <w:fldChar w:fldCharType="begin"/>
                </w:r>
                <w:r>
                  <w:rPr>
                    <w:rFonts w:ascii="Times New Roman" w:hAnsi="Times New Roman" w:cs="Times New Roman" w:eastAsia="Times New Roman" w:hint="default"/>
                    <w:position w:val="7"/>
                    <w:sz w:val="10"/>
                    <w:szCs w:val="10"/>
                  </w:rPr>
                  <w:instrText> PAGE </w:instrText>
                </w:r>
                <w:r>
                  <w:rPr/>
                  <w:fldChar w:fldCharType="separate"/>
                </w:r>
                <w:r>
                  <w:rPr/>
                  <w:t>31</w:t>
                </w:r>
                <w:r>
                  <w:rPr/>
                  <w:fldChar w:fldCharType="end"/>
                </w:r>
                <w:r>
                  <w:rPr>
                    <w:rFonts w:ascii="Times New Roman" w:hAnsi="Times New Roman" w:cs="Times New Roman" w:eastAsia="Times New Roman" w:hint="default"/>
                    <w:position w:val="7"/>
                    <w:sz w:val="10"/>
                    <w:szCs w:val="10"/>
                  </w:rPr>
                  <w:t>  </w:t>
                </w:r>
                <w:r>
                  <w:rPr>
                    <w:rFonts w:ascii="Times New Roman" w:hAnsi="Times New Roman" w:cs="Times New Roman" w:eastAsia="Times New Roman" w:hint="default"/>
                    <w:sz w:val="16"/>
                    <w:szCs w:val="16"/>
                  </w:rPr>
                  <w:t>„Службени лист града Ниша“ број</w:t>
                </w:r>
                <w:r>
                  <w:rPr>
                    <w:rFonts w:ascii="Times New Roman" w:hAnsi="Times New Roman" w:cs="Times New Roman" w:eastAsia="Times New Roman" w:hint="default"/>
                    <w:spacing w:val="-26"/>
                    <w:sz w:val="16"/>
                    <w:szCs w:val="16"/>
                  </w:rPr>
                  <w:t> </w:t>
                </w:r>
                <w:r>
                  <w:rPr>
                    <w:rFonts w:ascii="Times New Roman" w:hAnsi="Times New Roman" w:cs="Times New Roman" w:eastAsia="Times New Roman" w:hint="default"/>
                    <w:sz w:val="16"/>
                    <w:szCs w:val="16"/>
                  </w:rPr>
                  <w:t>51/2013</w:t>
                </w:r>
              </w:p>
            </w:txbxContent>
          </v:textbox>
          <w10:wrap type="none"/>
        </v:shape>
      </w:pict>
    </w:r>
    <w:r>
      <w:rPr/>
      <w:pict>
        <v:shape style="position:absolute;margin-left:527.960022pt;margin-top:717.320007pt;width:13.3pt;height:13.05pt;mso-position-horizontal-relative:page;mso-position-vertical-relative:page;z-index:-772888" type="#_x0000_t202" filled="false" stroked="false">
          <v:textbox inset="0,0,0,0">
            <w:txbxContent>
              <w:p>
                <w:pPr>
                  <w:spacing w:line="245" w:lineRule="exact" w:before="0"/>
                  <w:ind w:left="20" w:right="0" w:firstLine="0"/>
                  <w:jc w:val="left"/>
                  <w:rPr>
                    <w:rFonts w:ascii="Calibri" w:hAnsi="Calibri" w:cs="Calibri" w:eastAsia="Calibri" w:hint="default"/>
                    <w:sz w:val="22"/>
                    <w:szCs w:val="22"/>
                  </w:rPr>
                </w:pPr>
                <w:r>
                  <w:rPr>
                    <w:rFonts w:ascii="Calibri"/>
                    <w:sz w:val="22"/>
                  </w:rPr>
                  <w:t>50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6.960022pt;margin-top:717.320007pt;width:15.3pt;height:13.05pt;mso-position-horizontal-relative:page;mso-position-vertical-relative:page;z-index:-772864"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6.024002pt;margin-top:705.824463pt;width:156.35pt;height:11.15pt;mso-position-horizontal-relative:page;mso-position-vertical-relative:page;z-index:-772840" type="#_x0000_t202" filled="false" stroked="false">
          <v:textbox inset="0,0,0,0">
            <w:txbxContent>
              <w:p>
                <w:pPr>
                  <w:spacing w:before="7"/>
                  <w:ind w:left="40" w:right="0"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w w:val="100"/>
                    <w:position w:val="7"/>
                    <w:sz w:val="10"/>
                    <w:szCs w:val="10"/>
                  </w:rPr>
                </w:r>
                <w:r>
                  <w:rPr/>
                  <w:fldChar w:fldCharType="begin"/>
                </w:r>
                <w:r>
                  <w:rPr>
                    <w:rFonts w:ascii="Times New Roman" w:hAnsi="Times New Roman" w:cs="Times New Roman" w:eastAsia="Times New Roman" w:hint="default"/>
                    <w:position w:val="7"/>
                    <w:sz w:val="10"/>
                    <w:szCs w:val="10"/>
                  </w:rPr>
                  <w:instrText> PAGE </w:instrText>
                </w:r>
                <w:r>
                  <w:rPr/>
                  <w:fldChar w:fldCharType="separate"/>
                </w:r>
                <w:r>
                  <w:rPr/>
                  <w:t>37</w:t>
                </w:r>
                <w:r>
                  <w:rPr/>
                  <w:fldChar w:fldCharType="end"/>
                </w:r>
                <w:r>
                  <w:rPr>
                    <w:rFonts w:ascii="Times New Roman" w:hAnsi="Times New Roman" w:cs="Times New Roman" w:eastAsia="Times New Roman" w:hint="default"/>
                    <w:position w:val="7"/>
                    <w:sz w:val="10"/>
                    <w:szCs w:val="10"/>
                  </w:rPr>
                  <w:t>  </w:t>
                </w:r>
                <w:r>
                  <w:rPr>
                    <w:rFonts w:ascii="Times New Roman" w:hAnsi="Times New Roman" w:cs="Times New Roman" w:eastAsia="Times New Roman" w:hint="default"/>
                    <w:sz w:val="16"/>
                    <w:szCs w:val="16"/>
                  </w:rPr>
                  <w:t>„Службени лист града Ниша“ број</w:t>
                </w:r>
                <w:r>
                  <w:rPr>
                    <w:rFonts w:ascii="Times New Roman" w:hAnsi="Times New Roman" w:cs="Times New Roman" w:eastAsia="Times New Roman" w:hint="default"/>
                    <w:spacing w:val="-26"/>
                    <w:sz w:val="16"/>
                    <w:szCs w:val="16"/>
                  </w:rPr>
                  <w:t> </w:t>
                </w:r>
                <w:r>
                  <w:rPr>
                    <w:rFonts w:ascii="Times New Roman" w:hAnsi="Times New Roman" w:cs="Times New Roman" w:eastAsia="Times New Roman" w:hint="default"/>
                    <w:sz w:val="16"/>
                    <w:szCs w:val="16"/>
                  </w:rPr>
                  <w:t>26/2014</w:t>
                </w:r>
              </w:p>
            </w:txbxContent>
          </v:textbox>
          <w10:wrap type="none"/>
        </v:shape>
      </w:pict>
    </w:r>
    <w:r>
      <w:rPr/>
      <w:pict>
        <v:shape style="position:absolute;margin-left:527.960022pt;margin-top:717.320007pt;width:13.3pt;height:13.05pt;mso-position-horizontal-relative:page;mso-position-vertical-relative:page;z-index:-772816" type="#_x0000_t202" filled="false" stroked="false">
          <v:textbox inset="0,0,0,0">
            <w:txbxContent>
              <w:p>
                <w:pPr>
                  <w:spacing w:line="245" w:lineRule="exact" w:before="0"/>
                  <w:ind w:left="20" w:right="0" w:firstLine="0"/>
                  <w:jc w:val="left"/>
                  <w:rPr>
                    <w:rFonts w:ascii="Calibri" w:hAnsi="Calibri" w:cs="Calibri" w:eastAsia="Calibri" w:hint="default"/>
                    <w:sz w:val="22"/>
                    <w:szCs w:val="22"/>
                  </w:rPr>
                </w:pPr>
                <w:r>
                  <w:rPr>
                    <w:rFonts w:ascii="Calibri"/>
                    <w:sz w:val="22"/>
                  </w:rPr>
                  <w:t>52</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6.024002pt;margin-top:705.824463pt;width:156.35pt;height:11.15pt;mso-position-horizontal-relative:page;mso-position-vertical-relative:page;z-index:-772792" type="#_x0000_t202" filled="false" stroked="false">
          <v:textbox inset="0,0,0,0">
            <w:txbxContent>
              <w:p>
                <w:pPr>
                  <w:spacing w:before="7"/>
                  <w:ind w:left="40" w:right="0"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w w:val="100"/>
                    <w:position w:val="7"/>
                    <w:sz w:val="10"/>
                    <w:szCs w:val="10"/>
                  </w:rPr>
                </w:r>
                <w:r>
                  <w:rPr/>
                  <w:fldChar w:fldCharType="begin"/>
                </w:r>
                <w:r>
                  <w:rPr>
                    <w:rFonts w:ascii="Times New Roman" w:hAnsi="Times New Roman" w:cs="Times New Roman" w:eastAsia="Times New Roman" w:hint="default"/>
                    <w:position w:val="7"/>
                    <w:sz w:val="10"/>
                    <w:szCs w:val="10"/>
                  </w:rPr>
                  <w:instrText> PAGE </w:instrText>
                </w:r>
                <w:r>
                  <w:rPr/>
                  <w:fldChar w:fldCharType="separate"/>
                </w:r>
                <w:r>
                  <w:rPr/>
                  <w:t>38</w:t>
                </w:r>
                <w:r>
                  <w:rPr/>
                  <w:fldChar w:fldCharType="end"/>
                </w:r>
                <w:r>
                  <w:rPr>
                    <w:rFonts w:ascii="Times New Roman" w:hAnsi="Times New Roman" w:cs="Times New Roman" w:eastAsia="Times New Roman" w:hint="default"/>
                    <w:position w:val="7"/>
                    <w:sz w:val="10"/>
                    <w:szCs w:val="10"/>
                  </w:rPr>
                  <w:t>  </w:t>
                </w:r>
                <w:r>
                  <w:rPr>
                    <w:rFonts w:ascii="Times New Roman" w:hAnsi="Times New Roman" w:cs="Times New Roman" w:eastAsia="Times New Roman" w:hint="default"/>
                    <w:sz w:val="16"/>
                    <w:szCs w:val="16"/>
                  </w:rPr>
                  <w:t>„Службени лист града Ниша“ број</w:t>
                </w:r>
                <w:r>
                  <w:rPr>
                    <w:rFonts w:ascii="Times New Roman" w:hAnsi="Times New Roman" w:cs="Times New Roman" w:eastAsia="Times New Roman" w:hint="default"/>
                    <w:spacing w:val="-26"/>
                    <w:sz w:val="16"/>
                    <w:szCs w:val="16"/>
                  </w:rPr>
                  <w:t> </w:t>
                </w:r>
                <w:r>
                  <w:rPr>
                    <w:rFonts w:ascii="Times New Roman" w:hAnsi="Times New Roman" w:cs="Times New Roman" w:eastAsia="Times New Roman" w:hint="default"/>
                    <w:sz w:val="16"/>
                    <w:szCs w:val="16"/>
                  </w:rPr>
                  <w:t>53/2009</w:t>
                </w:r>
              </w:p>
            </w:txbxContent>
          </v:textbox>
          <w10:wrap type="none"/>
        </v:shape>
      </w:pict>
    </w:r>
    <w:r>
      <w:rPr/>
      <w:pict>
        <v:shape style="position:absolute;margin-left:527.960022pt;margin-top:717.320007pt;width:13.3pt;height:13.05pt;mso-position-horizontal-relative:page;mso-position-vertical-relative:page;z-index:-772768" type="#_x0000_t202" filled="false" stroked="false">
          <v:textbox inset="0,0,0,0">
            <w:txbxContent>
              <w:p>
                <w:pPr>
                  <w:spacing w:line="245" w:lineRule="exact" w:before="0"/>
                  <w:ind w:left="20" w:right="0" w:firstLine="0"/>
                  <w:jc w:val="left"/>
                  <w:rPr>
                    <w:rFonts w:ascii="Calibri" w:hAnsi="Calibri" w:cs="Calibri" w:eastAsia="Calibri" w:hint="default"/>
                    <w:sz w:val="22"/>
                    <w:szCs w:val="22"/>
                  </w:rPr>
                </w:pPr>
                <w:r>
                  <w:rPr>
                    <w:rFonts w:ascii="Calibri"/>
                    <w:sz w:val="22"/>
                  </w:rPr>
                  <w:t>53</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6.960022pt;margin-top:717.320007pt;width:15.3pt;height:13.05pt;mso-position-horizontal-relative:page;mso-position-vertical-relative:page;z-index:-772744"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54</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7.960022pt;margin-top:717.320007pt;width:13.3pt;height:13.05pt;mso-position-horizontal-relative:page;mso-position-vertical-relative:page;z-index:-772720" type="#_x0000_t202" filled="false" stroked="false">
          <v:textbox inset="0,0,0,0">
            <w:txbxContent>
              <w:p>
                <w:pPr>
                  <w:spacing w:line="245" w:lineRule="exact" w:before="0"/>
                  <w:ind w:left="20" w:right="0" w:firstLine="0"/>
                  <w:jc w:val="left"/>
                  <w:rPr>
                    <w:rFonts w:ascii="Calibri" w:hAnsi="Calibri" w:cs="Calibri" w:eastAsia="Calibri" w:hint="default"/>
                    <w:sz w:val="22"/>
                    <w:szCs w:val="22"/>
                  </w:rPr>
                </w:pPr>
                <w:r>
                  <w:rPr>
                    <w:rFonts w:ascii="Calibri"/>
                    <w:sz w:val="22"/>
                  </w:rPr>
                  <w:t>60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6.960022pt;margin-top:717.320007pt;width:15.3pt;height:13.05pt;mso-position-horizontal-relative:page;mso-position-vertical-relative:page;z-index:-772696"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7.960022pt;margin-top:717.320007pt;width:13.3pt;height:13.05pt;mso-position-horizontal-relative:page;mso-position-vertical-relative:page;z-index:-772672" type="#_x0000_t202" filled="false" stroked="false">
          <v:textbox inset="0,0,0,0">
            <w:txbxContent>
              <w:p>
                <w:pPr>
                  <w:spacing w:line="245" w:lineRule="exact" w:before="0"/>
                  <w:ind w:left="20" w:right="0" w:firstLine="0"/>
                  <w:jc w:val="left"/>
                  <w:rPr>
                    <w:rFonts w:ascii="Calibri" w:hAnsi="Calibri" w:cs="Calibri" w:eastAsia="Calibri" w:hint="default"/>
                    <w:sz w:val="22"/>
                    <w:szCs w:val="22"/>
                  </w:rPr>
                </w:pPr>
                <w:r>
                  <w:rPr>
                    <w:rFonts w:ascii="Calibri"/>
                    <w:sz w:val="22"/>
                  </w:rPr>
                  <w:t>70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6.960022pt;margin-top:717.320007pt;width:15.3pt;height:13.05pt;mso-position-horizontal-relative:page;mso-position-vertical-relative:page;z-index:-772648"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7.960022pt;margin-top:717.320007pt;width:13.3pt;height:13.05pt;mso-position-horizontal-relative:page;mso-position-vertical-relative:page;z-index:-772624" type="#_x0000_t202" filled="false" stroked="false">
          <v:textbox inset="0,0,0,0">
            <w:txbxContent>
              <w:p>
                <w:pPr>
                  <w:spacing w:line="245" w:lineRule="exact" w:before="0"/>
                  <w:ind w:left="20" w:right="0" w:firstLine="0"/>
                  <w:jc w:val="left"/>
                  <w:rPr>
                    <w:rFonts w:ascii="Calibri" w:hAnsi="Calibri" w:cs="Calibri" w:eastAsia="Calibri" w:hint="default"/>
                    <w:sz w:val="22"/>
                    <w:szCs w:val="22"/>
                  </w:rPr>
                </w:pPr>
                <w:r>
                  <w:rPr>
                    <w:rFonts w:ascii="Calibri"/>
                    <w:sz w:val="22"/>
                  </w:rPr>
                  <w:t>80</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6.960022pt;margin-top:717.320007pt;width:15.3pt;height:13.05pt;mso-position-horizontal-relative:page;mso-position-vertical-relative:page;z-index:-772600"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32.599976pt;margin-top:707.719971pt;width:9.6pt;height:13.05pt;mso-position-horizontal-relative:page;mso-position-vertical-relative:page;z-index:-773488"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w w:val="100"/>
                    <w:sz w:val="22"/>
                  </w:rPr>
                  <w:instrText> PAGE </w:instrText>
                </w:r>
                <w:r>
                  <w:rPr/>
                  <w:fldChar w:fldCharType="separate"/>
                </w:r>
                <w:r>
                  <w:rPr/>
                  <w:t>7</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05.339996pt;margin-top:700.943909pt;width:323pt;height:14pt;mso-position-horizontal-relative:page;mso-position-vertical-relative:page;z-index:-772576" type="#_x0000_t202" filled="false" stroked="false">
          <v:textbox inset="0,0,0,0">
            <w:txbxContent>
              <w:p>
                <w:pPr>
                  <w:spacing w:line="265" w:lineRule="exact" w:before="0"/>
                  <w:ind w:left="20" w:right="0" w:firstLine="0"/>
                  <w:jc w:val="left"/>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w:t>
                </w:r>
                <w:r>
                  <w:rPr>
                    <w:rFonts w:ascii="Times New Roman" w:hAnsi="Times New Roman"/>
                    <w:b/>
                    <w:spacing w:val="-16"/>
                    <w:sz w:val="24"/>
                  </w:rPr>
                  <w:t> </w:t>
                </w:r>
                <w:r>
                  <w:rPr>
                    <w:rFonts w:ascii="Times New Roman" w:hAnsi="Times New Roman"/>
                    <w:b/>
                    <w:sz w:val="24"/>
                  </w:rPr>
                  <w:t>је:</w:t>
                </w:r>
                <w:r>
                  <w:rPr>
                    <w:rFonts w:ascii="Times New Roman" w:hAnsi="Times New Roman"/>
                    <w:sz w:val="24"/>
                  </w:rPr>
                </w:r>
              </w:p>
            </w:txbxContent>
          </v:textbox>
          <w10:wrap type="none"/>
        </v:shape>
      </w:pict>
    </w:r>
    <w:r>
      <w:rPr/>
      <w:pict>
        <v:shape style="position:absolute;margin-left:527.960022pt;margin-top:717.320007pt;width:13.3pt;height:13.05pt;mso-position-horizontal-relative:page;mso-position-vertical-relative:page;z-index:-772552" type="#_x0000_t202" filled="false" stroked="false">
          <v:textbox inset="0,0,0,0">
            <w:txbxContent>
              <w:p>
                <w:pPr>
                  <w:spacing w:line="245" w:lineRule="exact" w:before="0"/>
                  <w:ind w:left="20" w:right="0" w:firstLine="0"/>
                  <w:jc w:val="left"/>
                  <w:rPr>
                    <w:rFonts w:ascii="Calibri" w:hAnsi="Calibri" w:cs="Calibri" w:eastAsia="Calibri" w:hint="default"/>
                    <w:sz w:val="22"/>
                    <w:szCs w:val="22"/>
                  </w:rPr>
                </w:pPr>
                <w:r>
                  <w:rPr>
                    <w:rFonts w:ascii="Calibri"/>
                    <w:sz w:val="22"/>
                  </w:rPr>
                  <w:t>83</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05.339996pt;margin-top:691.463928pt;width:323pt;height:14pt;mso-position-horizontal-relative:page;mso-position-vertical-relative:page;z-index:-772528" type="#_x0000_t202" filled="false" stroked="false">
          <v:textbox inset="0,0,0,0">
            <w:txbxContent>
              <w:p>
                <w:pPr>
                  <w:spacing w:line="265" w:lineRule="exact" w:before="0"/>
                  <w:ind w:left="20" w:right="0" w:firstLine="0"/>
                  <w:jc w:val="left"/>
                  <w:rPr>
                    <w:rFonts w:ascii="Times New Roman" w:hAnsi="Times New Roman" w:cs="Times New Roman" w:eastAsia="Times New Roman" w:hint="default"/>
                    <w:sz w:val="24"/>
                    <w:szCs w:val="24"/>
                  </w:rPr>
                </w:pPr>
                <w:r>
                  <w:rPr>
                    <w:rFonts w:ascii="Times New Roman" w:hAnsi="Times New Roman"/>
                    <w:b/>
                    <w:sz w:val="24"/>
                  </w:rPr>
                  <w:t>На основу ревизије узорковане документације утврђено</w:t>
                </w:r>
                <w:r>
                  <w:rPr>
                    <w:rFonts w:ascii="Times New Roman" w:hAnsi="Times New Roman"/>
                    <w:b/>
                    <w:spacing w:val="-16"/>
                    <w:sz w:val="24"/>
                  </w:rPr>
                  <w:t> </w:t>
                </w:r>
                <w:r>
                  <w:rPr>
                    <w:rFonts w:ascii="Times New Roman" w:hAnsi="Times New Roman"/>
                    <w:b/>
                    <w:sz w:val="24"/>
                  </w:rPr>
                  <w:t>је:</w:t>
                </w:r>
                <w:r>
                  <w:rPr>
                    <w:rFonts w:ascii="Times New Roman" w:hAnsi="Times New Roman"/>
                    <w:sz w:val="24"/>
                  </w:rPr>
                </w:r>
              </w:p>
            </w:txbxContent>
          </v:textbox>
          <w10:wrap type="none"/>
        </v:shape>
      </w:pict>
    </w:r>
    <w:r>
      <w:rPr/>
      <w:pict>
        <v:shape style="position:absolute;margin-left:527.960022pt;margin-top:717.320007pt;width:13.3pt;height:13.05pt;mso-position-horizontal-relative:page;mso-position-vertical-relative:page;z-index:-772504" type="#_x0000_t202" filled="false" stroked="false">
          <v:textbox inset="0,0,0,0">
            <w:txbxContent>
              <w:p>
                <w:pPr>
                  <w:spacing w:line="245" w:lineRule="exact" w:before="0"/>
                  <w:ind w:left="20" w:right="0" w:firstLine="0"/>
                  <w:jc w:val="left"/>
                  <w:rPr>
                    <w:rFonts w:ascii="Calibri" w:hAnsi="Calibri" w:cs="Calibri" w:eastAsia="Calibri" w:hint="default"/>
                    <w:sz w:val="22"/>
                    <w:szCs w:val="22"/>
                  </w:rPr>
                </w:pPr>
                <w:r>
                  <w:rPr>
                    <w:rFonts w:ascii="Calibri"/>
                    <w:sz w:val="22"/>
                  </w:rPr>
                  <w:t>84</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6.960022pt;margin-top:717.320007pt;width:15.3pt;height:13.05pt;mso-position-horizontal-relative:page;mso-position-vertical-relative:page;z-index:-772480"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85</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7.960022pt;margin-top:717.320007pt;width:13.3pt;height:13.05pt;mso-position-horizontal-relative:page;mso-position-vertical-relative:page;z-index:-772456" type="#_x0000_t202" filled="false" stroked="false">
          <v:textbox inset="0,0,0,0">
            <w:txbxContent>
              <w:p>
                <w:pPr>
                  <w:spacing w:line="245" w:lineRule="exact" w:before="0"/>
                  <w:ind w:left="20" w:right="0" w:firstLine="0"/>
                  <w:jc w:val="left"/>
                  <w:rPr>
                    <w:rFonts w:ascii="Calibri" w:hAnsi="Calibri" w:cs="Calibri" w:eastAsia="Calibri" w:hint="default"/>
                    <w:sz w:val="22"/>
                    <w:szCs w:val="22"/>
                  </w:rPr>
                </w:pPr>
                <w:r>
                  <w:rPr>
                    <w:rFonts w:ascii="Calibri"/>
                    <w:sz w:val="22"/>
                  </w:rPr>
                  <w:t>90</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6.960022pt;margin-top:717.320007pt;width:15.3pt;height:13.05pt;mso-position-horizontal-relative:page;mso-position-vertical-relative:page;z-index:-772432"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1.440002pt;margin-top:717.320007pt;width:20.75pt;height:13.05pt;mso-position-horizontal-relative:page;mso-position-vertical-relative:page;z-index:-772408"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100</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1.440002pt;margin-top:717.320007pt;width:20.75pt;height:13.05pt;mso-position-horizontal-relative:page;mso-position-vertical-relative:page;z-index:-772384"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110</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1.440002pt;margin-top:717.320007pt;width:20.75pt;height:13.05pt;mso-position-horizontal-relative:page;mso-position-vertical-relative:page;z-index:-772360"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120</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1.440002pt;margin-top:717.320007pt;width:20.75pt;height:13.05pt;mso-position-horizontal-relative:page;mso-position-vertical-relative:page;z-index:-772336"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130</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1.440002pt;margin-top:717.320007pt;width:20.75pt;height:13.05pt;mso-position-horizontal-relative:page;mso-position-vertical-relative:page;z-index:-772312"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140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7.960022pt;margin-top:707.719971pt;width:13.3pt;height:13.05pt;mso-position-horizontal-relative:page;mso-position-vertical-relative:page;z-index:-773464" type="#_x0000_t202" filled="false" stroked="false">
          <v:textbox inset="0,0,0,0">
            <w:txbxContent>
              <w:p>
                <w:pPr>
                  <w:spacing w:line="245" w:lineRule="exact" w:before="0"/>
                  <w:ind w:left="20" w:right="0" w:firstLine="0"/>
                  <w:jc w:val="left"/>
                  <w:rPr>
                    <w:rFonts w:ascii="Calibri" w:hAnsi="Calibri" w:cs="Calibri" w:eastAsia="Calibri" w:hint="default"/>
                    <w:sz w:val="22"/>
                    <w:szCs w:val="22"/>
                  </w:rPr>
                </w:pPr>
                <w:r>
                  <w:rPr>
                    <w:rFonts w:ascii="Calibri"/>
                    <w:sz w:val="22"/>
                  </w:rPr>
                  <w:t>10</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1.440002pt;margin-top:717.320007pt;width:20.75pt;height:13.05pt;mso-position-horizontal-relative:page;mso-position-vertical-relative:page;z-index:-772288"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150</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7.024002pt;margin-top:699.023926pt;width:102.6pt;height:14pt;mso-position-horizontal-relative:page;mso-position-vertical-relative:page;z-index:-772264" type="#_x0000_t202" filled="false" stroked="false">
          <v:textbox inset="0,0,0,0">
            <w:txbxContent>
              <w:p>
                <w:pPr>
                  <w:pStyle w:val="BodyText"/>
                  <w:spacing w:line="265" w:lineRule="exact"/>
                  <w:ind w:left="20" w:right="0"/>
                  <w:jc w:val="left"/>
                  <w:rPr>
                    <w:rFonts w:ascii="Times New Roman" w:hAnsi="Times New Roman" w:cs="Times New Roman" w:eastAsia="Times New Roman" w:hint="default"/>
                  </w:rPr>
                </w:pPr>
                <w:r>
                  <w:rPr>
                    <w:rFonts w:ascii="Times New Roman" w:hAnsi="Times New Roman"/>
                  </w:rPr>
                  <w:t>769 </w:t>
                </w:r>
                <w:r>
                  <w:rPr/>
                  <w:t>хиљада</w:t>
                </w:r>
                <w:r>
                  <w:rPr>
                    <w:spacing w:val="-2"/>
                  </w:rPr>
                  <w:t> </w:t>
                </w:r>
                <w:r>
                  <w:rPr/>
                  <w:t>динара</w:t>
                </w:r>
                <w:r>
                  <w:rPr>
                    <w:rFonts w:ascii="Times New Roman" w:hAnsi="Times New Roman"/>
                  </w:rPr>
                  <w:t>.</w:t>
                </w:r>
              </w:p>
            </w:txbxContent>
          </v:textbox>
          <w10:wrap type="none"/>
        </v:shape>
      </w:pict>
    </w:r>
    <w:r>
      <w:rPr/>
      <w:pict>
        <v:shape style="position:absolute;margin-left:522.440002pt;margin-top:717.320007pt;width:18.75pt;height:13.05pt;mso-position-horizontal-relative:page;mso-position-vertical-relative:page;z-index:-772240" type="#_x0000_t202" filled="false" stroked="false">
          <v:textbox inset="0,0,0,0">
            <w:txbxContent>
              <w:p>
                <w:pPr>
                  <w:spacing w:line="245" w:lineRule="exact" w:before="0"/>
                  <w:ind w:left="20" w:right="0" w:firstLine="0"/>
                  <w:jc w:val="left"/>
                  <w:rPr>
                    <w:rFonts w:ascii="Calibri" w:hAnsi="Calibri" w:cs="Calibri" w:eastAsia="Calibri" w:hint="default"/>
                    <w:sz w:val="22"/>
                    <w:szCs w:val="22"/>
                  </w:rPr>
                </w:pPr>
                <w:r>
                  <w:rPr>
                    <w:rFonts w:ascii="Calibri"/>
                    <w:sz w:val="22"/>
                  </w:rPr>
                  <w:t>151</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1.440002pt;margin-top:717.320007pt;width:20.75pt;height:13.05pt;mso-position-horizontal-relative:page;mso-position-vertical-relative:page;z-index:-772216"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152</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1.440002pt;margin-top:717.320007pt;width:20.75pt;height:13.05pt;mso-position-horizontal-relative:page;mso-position-vertical-relative:page;z-index:-772192"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160</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1.440002pt;margin-top:717.320007pt;width:20.75pt;height:13.05pt;mso-position-horizontal-relative:page;mso-position-vertical-relative:page;z-index:-772168"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170</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1.440002pt;margin-top:717.320007pt;width:20.75pt;height:13.05pt;mso-position-horizontal-relative:page;mso-position-vertical-relative:page;z-index:-772144"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176</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1.440002pt;margin-top:717.320007pt;width:20.75pt;height:13.05pt;mso-position-horizontal-relative:page;mso-position-vertical-relative:page;z-index:-772120"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180</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1.440002pt;margin-top:717.320007pt;width:20.75pt;height:13.05pt;mso-position-horizontal-relative:page;mso-position-vertical-relative:page;z-index:-772096"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190</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1.440002pt;margin-top:717.320007pt;width:20.75pt;height:13.05pt;mso-position-horizontal-relative:page;mso-position-vertical-relative:page;z-index:-772072"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200</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1.440002pt;margin-top:717.320007pt;width:20.8pt;height:13.05pt;mso-position-horizontal-relative:page;mso-position-vertical-relative:page;z-index:-772048"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218</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6.960022pt;margin-top:707.719971pt;width:15.3pt;height:13.05pt;mso-position-horizontal-relative:page;mso-position-vertical-relative:page;z-index:-773440"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1.440002pt;margin-top:717.320007pt;width:20.75pt;height:13.05pt;mso-position-horizontal-relative:page;mso-position-vertical-relative:page;z-index:-772024"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220</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8.024002pt;margin-top:701.820007pt;width:144.050pt;height:.1pt;mso-position-horizontal-relative:page;mso-position-vertical-relative:page;z-index:-772000" coordorigin="1560,14036" coordsize="2881,2">
          <v:shape style="position:absolute;left:1560;top:14036;width:2881;height:2" coordorigin="1560,14036" coordsize="2881,0" path="m1560,14036l4441,14036e" filled="false" stroked="true" strokeweight=".599980pt" strokecolor="#000000">
            <v:path arrowok="t"/>
          </v:shape>
          <w10:wrap type="none"/>
        </v:group>
      </w:pict>
    </w:r>
    <w:r>
      <w:rPr/>
      <w:pict>
        <v:shape style="position:absolute;margin-left:77.024002pt;margin-top:705.824463pt;width:155.35pt;height:11.15pt;mso-position-horizontal-relative:page;mso-position-vertical-relative:page;z-index:-771976" type="#_x0000_t202" filled="false" stroked="false">
          <v:textbox inset="0,0,0,0">
            <w:txbxContent>
              <w:p>
                <w:pPr>
                  <w:spacing w:before="7"/>
                  <w:ind w:left="20" w:right="0" w:firstLine="0"/>
                  <w:jc w:val="left"/>
                  <w:rPr>
                    <w:rFonts w:ascii="Times New Roman" w:hAnsi="Times New Roman" w:cs="Times New Roman" w:eastAsia="Times New Roman" w:hint="default"/>
                    <w:sz w:val="16"/>
                    <w:szCs w:val="16"/>
                  </w:rPr>
                </w:pPr>
                <w:r>
                  <w:rPr>
                    <w:rFonts w:ascii="Times New Roman" w:hAnsi="Times New Roman" w:cs="Times New Roman" w:eastAsia="Times New Roman" w:hint="default"/>
                    <w:position w:val="7"/>
                    <w:sz w:val="10"/>
                    <w:szCs w:val="10"/>
                  </w:rPr>
                  <w:t>74  </w:t>
                </w:r>
                <w:r>
                  <w:rPr>
                    <w:rFonts w:ascii="Times New Roman" w:hAnsi="Times New Roman" w:cs="Times New Roman" w:eastAsia="Times New Roman" w:hint="default"/>
                    <w:sz w:val="16"/>
                    <w:szCs w:val="16"/>
                  </w:rPr>
                  <w:t>„Службени лист града Ниша“ број</w:t>
                </w:r>
                <w:r>
                  <w:rPr>
                    <w:rFonts w:ascii="Times New Roman" w:hAnsi="Times New Roman" w:cs="Times New Roman" w:eastAsia="Times New Roman" w:hint="default"/>
                    <w:spacing w:val="-26"/>
                    <w:sz w:val="16"/>
                    <w:szCs w:val="16"/>
                  </w:rPr>
                  <w:t> </w:t>
                </w:r>
                <w:r>
                  <w:rPr>
                    <w:rFonts w:ascii="Times New Roman" w:hAnsi="Times New Roman" w:cs="Times New Roman" w:eastAsia="Times New Roman" w:hint="default"/>
                    <w:sz w:val="16"/>
                    <w:szCs w:val="16"/>
                  </w:rPr>
                  <w:t>67/2013</w:t>
                </w:r>
              </w:p>
            </w:txbxContent>
          </v:textbox>
          <w10:wrap type="none"/>
        </v:shape>
      </w:pict>
    </w:r>
    <w:r>
      <w:rPr/>
      <w:pict>
        <v:shape style="position:absolute;margin-left:521.440002pt;margin-top:717.320007pt;width:20.75pt;height:13.05pt;mso-position-horizontal-relative:page;mso-position-vertical-relative:page;z-index:-771952"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227</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1.440002pt;margin-top:717.320007pt;width:20.75pt;height:13.05pt;mso-position-horizontal-relative:page;mso-position-vertical-relative:page;z-index:-771928"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228</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1.440002pt;margin-top:717.320007pt;width:20.75pt;height:13.05pt;mso-position-horizontal-relative:page;mso-position-vertical-relative:page;z-index:-771904"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230</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1.440002pt;margin-top:717.320007pt;width:20.75pt;height:13.05pt;mso-position-horizontal-relative:page;mso-position-vertical-relative:page;z-index:-771880"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240</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1.440002pt;margin-top:717.320007pt;width:20.75pt;height:13.05pt;mso-position-horizontal-relative:page;mso-position-vertical-relative:page;z-index:-771856"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250</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1.440002pt;margin-top:717.320007pt;width:20.75pt;height:13.05pt;mso-position-horizontal-relative:page;mso-position-vertical-relative:page;z-index:-771712"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260</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1.440002pt;margin-top:717.320007pt;width:20.75pt;height:13.05pt;mso-position-horizontal-relative:page;mso-position-vertical-relative:page;z-index:-771688"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270</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1.440002pt;margin-top:717.320007pt;width:20.75pt;height:13.05pt;mso-position-horizontal-relative:page;mso-position-vertical-relative:page;z-index:-771664"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280</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1.440002pt;margin-top:717.320007pt;width:20.75pt;height:13.05pt;mso-position-horizontal-relative:page;mso-position-vertical-relative:page;z-index:-771640"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290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7.960022pt;margin-top:707.719971pt;width:13.3pt;height:13.05pt;mso-position-horizontal-relative:page;mso-position-vertical-relative:page;z-index:-773416" type="#_x0000_t202" filled="false" stroked="false">
          <v:textbox inset="0,0,0,0">
            <w:txbxContent>
              <w:p>
                <w:pPr>
                  <w:spacing w:line="245" w:lineRule="exact" w:before="0"/>
                  <w:ind w:left="20" w:right="0" w:firstLine="0"/>
                  <w:jc w:val="left"/>
                  <w:rPr>
                    <w:rFonts w:ascii="Calibri" w:hAnsi="Calibri" w:cs="Calibri" w:eastAsia="Calibri" w:hint="default"/>
                    <w:sz w:val="22"/>
                    <w:szCs w:val="22"/>
                  </w:rPr>
                </w:pPr>
                <w:r>
                  <w:rPr>
                    <w:rFonts w:ascii="Calibri"/>
                    <w:sz w:val="22"/>
                  </w:rPr>
                  <w:t>20</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1.440002pt;margin-top:717.320007pt;width:20.75pt;height:13.05pt;mso-position-horizontal-relative:page;mso-position-vertical-relative:page;z-index:-771616"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300</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1.440002pt;margin-top:717.320007pt;width:20.75pt;height:13.05pt;mso-position-horizontal-relative:page;mso-position-vertical-relative:page;z-index:-771592"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310</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7.799988pt;margin-top:550.280029pt;width:18.75pt;height:13.05pt;mso-position-horizontal-relative:page;mso-position-vertical-relative:page;z-index:-771496" type="#_x0000_t202" filled="false" stroked="false">
          <v:textbox inset="0,0,0,0">
            <w:txbxContent>
              <w:p>
                <w:pPr>
                  <w:spacing w:line="245" w:lineRule="exact" w:before="0"/>
                  <w:ind w:left="20" w:right="0" w:firstLine="0"/>
                  <w:jc w:val="left"/>
                  <w:rPr>
                    <w:rFonts w:ascii="Calibri" w:hAnsi="Calibri" w:cs="Calibri" w:eastAsia="Calibri" w:hint="default"/>
                    <w:sz w:val="22"/>
                    <w:szCs w:val="22"/>
                  </w:rPr>
                </w:pPr>
                <w:r>
                  <w:rPr>
                    <w:rFonts w:ascii="Calibri"/>
                    <w:sz w:val="22"/>
                  </w:rPr>
                  <w:t>319</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6.799988pt;margin-top:525.799988pt;width:20.75pt;height:13.05pt;mso-position-horizontal-relative:page;mso-position-vertical-relative:page;z-index:-771472"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320</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1.440002pt;margin-top:705.799988pt;width:20.75pt;height:13.05pt;mso-position-horizontal-relative:page;mso-position-vertical-relative:page;z-index:-771400"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324</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1.440002pt;margin-top:705.799988pt;width:20.75pt;height:13.05pt;mso-position-horizontal-relative:page;mso-position-vertical-relative:page;z-index:-771376"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330</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1.440002pt;margin-top:705.799988pt;width:20.75pt;height:13.05pt;mso-position-horizontal-relative:page;mso-position-vertical-relative:page;z-index:-771256"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340</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1.440002pt;margin-top:705.799988pt;width:20.75pt;height:13.05pt;mso-position-horizontal-relative:page;mso-position-vertical-relative:page;z-index:-771232"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350</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1.440002pt;margin-top:705.799988pt;width:20.75pt;height:13.05pt;mso-position-horizontal-relative:page;mso-position-vertical-relative:page;z-index:-771208"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360</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6.960022pt;margin-top:707.719971pt;width:15.3pt;height:13.05pt;mso-position-horizontal-relative:page;mso-position-vertical-relative:page;z-index:-773392" type="#_x0000_t202" filled="false" stroked="false">
          <v:textbox inset="0,0,0,0">
            <w:txbxContent>
              <w:p>
                <w:pPr>
                  <w:spacing w:line="245" w:lineRule="exact" w:before="0"/>
                  <w:ind w:left="40" w:right="0" w:firstLine="0"/>
                  <w:jc w:val="left"/>
                  <w:rPr>
                    <w:rFonts w:ascii="Calibri" w:hAnsi="Calibri" w:cs="Calibri" w:eastAsia="Calibri" w:hint="default"/>
                    <w:sz w:val="22"/>
                    <w:szCs w:val="22"/>
                  </w:rPr>
                </w:pPr>
                <w:r>
                  <w:rPr>
                    <w:rFonts w:ascii="Calibri"/>
                    <w:w w:val="100"/>
                    <w:sz w:val="22"/>
                  </w:rPr>
                </w: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20.119995pt;margin-top:728.66394pt;width:22pt;height:14pt;mso-position-horizontal-relative:page;mso-position-vertical-relative:page;z-index:-771112" type="#_x0000_t202" filled="false" stroked="false">
          <v:textbox inset="0,0,0,0">
            <w:txbxContent>
              <w:p>
                <w:pPr>
                  <w:pStyle w:val="BodyText"/>
                  <w:spacing w:line="265" w:lineRule="exact"/>
                  <w:ind w:left="40" w:right="0"/>
                  <w:jc w:val="left"/>
                  <w:rPr>
                    <w:rFonts w:ascii="Times New Roman" w:hAnsi="Times New Roman" w:cs="Times New Roman" w:eastAsia="Times New Roman" w:hint="default"/>
                  </w:rPr>
                </w:pPr>
                <w:r>
                  <w:rPr>
                    <w:rFonts w:ascii="Times New Roman"/>
                  </w:rPr>
                </w:r>
                <w:r>
                  <w:rPr/>
                  <w:fldChar w:fldCharType="begin"/>
                </w:r>
                <w:r>
                  <w:rPr>
                    <w:rFonts w:ascii="Times New Roman"/>
                  </w:rPr>
                  <w:instrText> PAGE </w:instrText>
                </w:r>
                <w:r>
                  <w:rPr/>
                  <w:fldChar w:fldCharType="separate"/>
                </w:r>
                <w:r>
                  <w:rPr/>
                  <w:t>368</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0.584pt;margin-top:57.720001pt;width:471pt;height:.1pt;mso-position-horizontal-relative:page;mso-position-vertical-relative:page;z-index:-773656" coordorigin="1412,1154" coordsize="9420,2">
          <v:shape style="position:absolute;left:1412;top:1154;width:9420;height:2" coordorigin="1412,1154" coordsize="9420,0" path="m1412,1154l10831,1154e" filled="false" stroked="true" strokeweight=".72pt" strokecolor="#612322">
            <v:path arrowok="t"/>
          </v:shape>
          <w10:wrap type="none"/>
        </v:group>
      </w:pict>
    </w:r>
    <w:r>
      <w:rPr/>
      <w:pict>
        <v:group style="position:absolute;margin-left:70.584pt;margin-top:60.299999pt;width:471pt;height:.1pt;mso-position-horizontal-relative:page;mso-position-vertical-relative:page;z-index:-773632" coordorigin="1412,1206" coordsize="9420,2">
          <v:shape style="position:absolute;left:1412;top:1206;width:9420;height:2" coordorigin="1412,1206" coordsize="9420,0" path="m1412,1206l10831,1206e" filled="false" stroked="true" strokeweight="3pt" strokecolor="#612322">
            <v:path arrowok="t"/>
          </v:shape>
          <w10:wrap type="none"/>
        </v:group>
      </w:pict>
    </w:r>
    <w:r>
      <w:rPr/>
      <w:pict>
        <v:shapetype id="_x0000_t202" o:spt="202" coordsize="21600,21600" path="m,l,21600r21600,l21600,xe">
          <v:stroke joinstyle="miter"/>
          <v:path gradientshapeok="t" o:connecttype="rect"/>
        </v:shapetype>
        <v:shape style="position:absolute;margin-left:85.783997pt;margin-top:33.345451pt;width:440.05pt;height:23.6pt;mso-position-horizontal-relative:page;mso-position-vertical-relative:page;z-index:-773608" type="#_x0000_t202" filled="false" stroked="false">
          <v:textbox inset="0,0,0,0">
            <w:txbxContent>
              <w:p>
                <w:pPr>
                  <w:spacing w:line="242" w:lineRule="auto" w:before="0"/>
                  <w:ind w:left="2742" w:right="12" w:hanging="2723"/>
                  <w:jc w:val="left"/>
                  <w:rPr>
                    <w:rFonts w:ascii="Times New Roman" w:hAnsi="Times New Roman" w:cs="Times New Roman" w:eastAsia="Times New Roman" w:hint="default"/>
                    <w:sz w:val="20"/>
                    <w:szCs w:val="20"/>
                  </w:rPr>
                </w:pPr>
                <w:r>
                  <w:rPr>
                    <w:rFonts w:ascii="Times New Roman" w:hAnsi="Times New Roman"/>
                    <w:i/>
                    <w:sz w:val="20"/>
                  </w:rPr>
                  <w:t>Извештај о ревизији консолидованих финансијских извештаја завршног рачуна буџета и</w:t>
                </w:r>
                <w:r>
                  <w:rPr>
                    <w:rFonts w:ascii="Times New Roman" w:hAnsi="Times New Roman"/>
                    <w:i/>
                    <w:spacing w:val="-19"/>
                    <w:sz w:val="20"/>
                  </w:rPr>
                  <w:t> </w:t>
                </w:r>
                <w:r>
                  <w:rPr>
                    <w:rFonts w:ascii="Times New Roman" w:hAnsi="Times New Roman"/>
                    <w:i/>
                    <w:sz w:val="20"/>
                  </w:rPr>
                  <w:t>правилности </w:t>
                </w:r>
                <w:r>
                  <w:rPr>
                    <w:rFonts w:ascii="Times New Roman" w:hAnsi="Times New Roman"/>
                    <w:i/>
                    <w:sz w:val="20"/>
                  </w:rPr>
                  <w:t>пословања града Ниша за 2014.</w:t>
                </w:r>
                <w:r>
                  <w:rPr>
                    <w:rFonts w:ascii="Times New Roman" w:hAnsi="Times New Roman"/>
                    <w:i/>
                    <w:spacing w:val="-7"/>
                    <w:sz w:val="20"/>
                  </w:rPr>
                  <w:t> </w:t>
                </w:r>
                <w:r>
                  <w:rPr>
                    <w:rFonts w:ascii="Times New Roman" w:hAnsi="Times New Roman"/>
                    <w:i/>
                    <w:sz w:val="20"/>
                  </w:rPr>
                  <w:t>годину</w:t>
                </w:r>
                <w:r>
                  <w:rPr>
                    <w:rFonts w:ascii="Times New Roman" w:hAnsi="Times New Roman"/>
                    <w:sz w:val="20"/>
                  </w:rPr>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6.584pt;margin-top:60.360001pt;width:465pt;height:.1pt;mso-position-horizontal-relative:page;mso-position-vertical-relative:page;z-index:-771352" coordorigin="1532,1207" coordsize="9300,2">
          <v:shape style="position:absolute;left:1532;top:1207;width:9300;height:2" coordorigin="1532,1207" coordsize="9300,0" path="m1532,1207l10831,1207e" filled="false" stroked="true" strokeweight=".72pt" strokecolor="#612322">
            <v:path arrowok="t"/>
          </v:shape>
          <w10:wrap type="none"/>
        </v:group>
      </w:pict>
    </w:r>
    <w:r>
      <w:rPr/>
      <w:pict>
        <v:shape style="position:absolute;margin-left:89.624001pt;margin-top:35.985451pt;width:451.35pt;height:42.65pt;mso-position-horizontal-relative:page;mso-position-vertical-relative:page;z-index:-771328" type="#_x0000_t202" filled="false" stroked="false">
          <v:textbox inset="0,0,0,0">
            <w:txbxContent>
              <w:p>
                <w:pPr>
                  <w:spacing w:line="242" w:lineRule="auto" w:before="0"/>
                  <w:ind w:left="2146" w:right="275" w:hanging="2127"/>
                  <w:jc w:val="left"/>
                  <w:rPr>
                    <w:rFonts w:ascii="Times New Roman" w:hAnsi="Times New Roman" w:cs="Times New Roman" w:eastAsia="Times New Roman" w:hint="default"/>
                    <w:sz w:val="20"/>
                    <w:szCs w:val="20"/>
                  </w:rPr>
                </w:pPr>
                <w:r>
                  <w:rPr>
                    <w:rFonts w:ascii="Times New Roman" w:hAnsi="Times New Roman"/>
                    <w:i/>
                    <w:sz w:val="20"/>
                  </w:rPr>
                  <w:t>Напомене уз Извештај о ревизији консолидованих финансијских извештаја завршног рачуна буџета</w:t>
                </w:r>
                <w:r>
                  <w:rPr>
                    <w:rFonts w:ascii="Times New Roman" w:hAnsi="Times New Roman"/>
                    <w:i/>
                    <w:spacing w:val="-16"/>
                    <w:sz w:val="20"/>
                  </w:rPr>
                  <w:t> </w:t>
                </w:r>
                <w:r>
                  <w:rPr>
                    <w:rFonts w:ascii="Times New Roman" w:hAnsi="Times New Roman"/>
                    <w:i/>
                    <w:sz w:val="20"/>
                  </w:rPr>
                  <w:t>и </w:t>
                </w:r>
                <w:r>
                  <w:rPr>
                    <w:rFonts w:ascii="Times New Roman" w:hAnsi="Times New Roman"/>
                    <w:i/>
                    <w:sz w:val="20"/>
                  </w:rPr>
                  <w:t>правилности пословања града Ниша за 2014.</w:t>
                </w:r>
                <w:r>
                  <w:rPr>
                    <w:rFonts w:ascii="Times New Roman" w:hAnsi="Times New Roman"/>
                    <w:i/>
                    <w:spacing w:val="-5"/>
                    <w:sz w:val="20"/>
                  </w:rPr>
                  <w:t> </w:t>
                </w:r>
                <w:r>
                  <w:rPr>
                    <w:rFonts w:ascii="Times New Roman" w:hAnsi="Times New Roman"/>
                    <w:i/>
                    <w:sz w:val="20"/>
                  </w:rPr>
                  <w:t>годину</w:t>
                </w:r>
                <w:r>
                  <w:rPr>
                    <w:rFonts w:ascii="Times New Roman" w:hAnsi="Times New Roman"/>
                    <w:sz w:val="20"/>
                  </w:rPr>
                </w:r>
              </w:p>
              <w:p>
                <w:pPr>
                  <w:pStyle w:val="BodyText"/>
                  <w:spacing w:line="240" w:lineRule="auto" w:before="103"/>
                  <w:ind w:left="334" w:right="0"/>
                  <w:jc w:val="left"/>
                </w:pPr>
                <w:r>
                  <w:rPr>
                    <w:rFonts w:ascii="Times New Roman" w:hAnsi="Times New Roman" w:cs="Times New Roman" w:eastAsia="Times New Roman" w:hint="default"/>
                  </w:rPr>
                  <w:t>-</w:t>
                </w:r>
                <w:r>
                  <w:rPr>
                    <w:rFonts w:ascii="Times New Roman" w:hAnsi="Times New Roman" w:cs="Times New Roman" w:eastAsia="Times New Roman" w:hint="default"/>
                    <w:spacing w:val="22"/>
                  </w:rPr>
                  <w:t> </w:t>
                </w:r>
                <w:r>
                  <w:rPr/>
                  <w:t>за</w:t>
                </w:r>
                <w:r>
                  <w:rPr>
                    <w:spacing w:val="22"/>
                  </w:rPr>
                  <w:t> </w:t>
                </w:r>
                <w:r>
                  <w:rPr/>
                  <w:t>апропријацију</w:t>
                </w:r>
                <w:r>
                  <w:rPr>
                    <w:spacing w:val="15"/>
                  </w:rPr>
                  <w:t> </w:t>
                </w:r>
                <w:r>
                  <w:rPr/>
                  <w:t>412000</w:t>
                </w:r>
                <w:r>
                  <w:rPr>
                    <w:spacing w:val="26"/>
                  </w:rPr>
                  <w:t> </w:t>
                </w:r>
                <w:r>
                  <w:rPr/>
                  <w:t>–</w:t>
                </w:r>
                <w:r>
                  <w:rPr>
                    <w:spacing w:val="23"/>
                  </w:rPr>
                  <w:t> </w:t>
                </w:r>
                <w:r>
                  <w:rPr/>
                  <w:t>социјални</w:t>
                </w:r>
                <w:r>
                  <w:rPr>
                    <w:spacing w:val="21"/>
                  </w:rPr>
                  <w:t> </w:t>
                </w:r>
                <w:r>
                  <w:rPr/>
                  <w:t>доприноси</w:t>
                </w:r>
                <w:r>
                  <w:rPr>
                    <w:spacing w:val="21"/>
                  </w:rPr>
                  <w:t> </w:t>
                </w:r>
                <w:r>
                  <w:rPr/>
                  <w:t>на</w:t>
                </w:r>
                <w:r>
                  <w:rPr>
                    <w:spacing w:val="22"/>
                  </w:rPr>
                  <w:t> </w:t>
                </w:r>
                <w:r>
                  <w:rPr/>
                  <w:t>терет</w:t>
                </w:r>
                <w:r>
                  <w:rPr>
                    <w:spacing w:val="23"/>
                  </w:rPr>
                  <w:t> </w:t>
                </w:r>
                <w:r>
                  <w:rPr/>
                  <w:t>послодавца</w:t>
                </w:r>
                <w:r>
                  <w:rPr>
                    <w:spacing w:val="26"/>
                  </w:rPr>
                  <w:t> </w:t>
                </w:r>
                <w:r>
                  <w:rPr/>
                  <w:t>преузета</w:t>
                </w:r>
                <w:r>
                  <w:rPr>
                    <w:spacing w:val="22"/>
                  </w:rPr>
                  <w:t> </w:t>
                </w:r>
                <w:r>
                  <w:rPr/>
                  <w:t>је</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6.584pt;margin-top:60.360001pt;width:465pt;height:.1pt;mso-position-horizontal-relative:page;mso-position-vertical-relative:page;z-index:-771304" coordorigin="1532,1207" coordsize="9300,2">
          <v:shape style="position:absolute;left:1532;top:1207;width:9300;height:2" coordorigin="1532,1207" coordsize="9300,0" path="m1532,1207l10831,1207e" filled="false" stroked="true" strokeweight=".72pt" strokecolor="#612322">
            <v:path arrowok="t"/>
          </v:shape>
          <w10:wrap type="none"/>
        </v:group>
      </w:pict>
    </w:r>
    <w:r>
      <w:rPr/>
      <w:pict>
        <v:shape style="position:absolute;margin-left:89.624001pt;margin-top:35.985451pt;width:438.3pt;height:23.6pt;mso-position-horizontal-relative:page;mso-position-vertical-relative:page;z-index:-771280" type="#_x0000_t202" filled="false" stroked="false">
          <v:textbox inset="0,0,0,0">
            <w:txbxContent>
              <w:p>
                <w:pPr>
                  <w:spacing w:line="242" w:lineRule="auto" w:before="0"/>
                  <w:ind w:left="2146" w:right="14" w:hanging="2127"/>
                  <w:jc w:val="left"/>
                  <w:rPr>
                    <w:rFonts w:ascii="Times New Roman" w:hAnsi="Times New Roman" w:cs="Times New Roman" w:eastAsia="Times New Roman" w:hint="default"/>
                    <w:sz w:val="20"/>
                    <w:szCs w:val="20"/>
                  </w:rPr>
                </w:pPr>
                <w:r>
                  <w:rPr>
                    <w:rFonts w:ascii="Times New Roman" w:hAnsi="Times New Roman"/>
                    <w:i/>
                    <w:sz w:val="20"/>
                  </w:rPr>
                  <w:t>Напомене уз Извештај о ревизији консолидованих финансијских извештаја завршног рачуна буџета</w:t>
                </w:r>
                <w:r>
                  <w:rPr>
                    <w:rFonts w:ascii="Times New Roman" w:hAnsi="Times New Roman"/>
                    <w:i/>
                    <w:spacing w:val="-16"/>
                    <w:sz w:val="20"/>
                  </w:rPr>
                  <w:t> </w:t>
                </w:r>
                <w:r>
                  <w:rPr>
                    <w:rFonts w:ascii="Times New Roman" w:hAnsi="Times New Roman"/>
                    <w:i/>
                    <w:sz w:val="20"/>
                  </w:rPr>
                  <w:t>и </w:t>
                </w:r>
                <w:r>
                  <w:rPr>
                    <w:rFonts w:ascii="Times New Roman" w:hAnsi="Times New Roman"/>
                    <w:i/>
                    <w:sz w:val="20"/>
                  </w:rPr>
                  <w:t>правилности пословања града Ниша за 2014.</w:t>
                </w:r>
                <w:r>
                  <w:rPr>
                    <w:rFonts w:ascii="Times New Roman" w:hAnsi="Times New Roman"/>
                    <w:i/>
                    <w:spacing w:val="-5"/>
                    <w:sz w:val="20"/>
                  </w:rPr>
                  <w:t> </w:t>
                </w:r>
                <w:r>
                  <w:rPr>
                    <w:rFonts w:ascii="Times New Roman" w:hAnsi="Times New Roman"/>
                    <w:i/>
                    <w:sz w:val="20"/>
                  </w:rPr>
                  <w:t>годину</w:t>
                </w:r>
                <w:r>
                  <w:rPr>
                    <w:rFonts w:ascii="Times New Roman" w:hAnsi="Times New Roman"/>
                    <w:sz w:val="20"/>
                  </w:rPr>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9.584pt;margin-top:48.959999pt;width:462pt;height:.1pt;mso-position-horizontal-relative:page;mso-position-vertical-relative:page;z-index:-771184" coordorigin="1592,979" coordsize="9240,2">
          <v:shape style="position:absolute;left:1592;top:979;width:9240;height:2" coordorigin="1592,979" coordsize="9240,0" path="m1592,979l10831,979e" filled="false" stroked="true" strokeweight=".72pt" strokecolor="#612322">
            <v:path arrowok="t"/>
          </v:shape>
          <w10:wrap type="none"/>
        </v:group>
      </w:pict>
    </w:r>
    <w:r>
      <w:rPr/>
      <w:pict>
        <v:group style="position:absolute;margin-left:79.584pt;margin-top:51.540001pt;width:462pt;height:.1pt;mso-position-horizontal-relative:page;mso-position-vertical-relative:page;z-index:-771160" coordorigin="1592,1031" coordsize="9240,2">
          <v:shape style="position:absolute;left:1592;top:1031;width:9240;height:2" coordorigin="1592,1031" coordsize="9240,0" path="m1592,1031l10831,1031e" filled="false" stroked="true" strokeweight="3pt" strokecolor="#612322">
            <v:path arrowok="t"/>
          </v:shape>
          <w10:wrap type="none"/>
        </v:group>
      </w:pict>
    </w:r>
    <w:r>
      <w:rPr/>
      <w:pict>
        <v:shape style="position:absolute;margin-left:125.260002pt;margin-top:36.105450pt;width:398.8pt;height:12pt;mso-position-horizontal-relative:page;mso-position-vertical-relative:page;z-index:-771136" type="#_x0000_t202" filled="false" stroked="false">
          <v:textbox inset="0,0,0,0">
            <w:txbxContent>
              <w:p>
                <w:pPr>
                  <w:spacing w:line="224" w:lineRule="exact" w:before="0"/>
                  <w:ind w:left="20" w:right="0" w:firstLine="0"/>
                  <w:jc w:val="left"/>
                  <w:rPr>
                    <w:rFonts w:ascii="Times New Roman" w:hAnsi="Times New Roman" w:cs="Times New Roman" w:eastAsia="Times New Roman" w:hint="default"/>
                    <w:sz w:val="20"/>
                    <w:szCs w:val="20"/>
                  </w:rPr>
                </w:pPr>
                <w:r>
                  <w:rPr>
                    <w:rFonts w:ascii="Times New Roman" w:hAnsi="Times New Roman"/>
                    <w:i/>
                    <w:sz w:val="20"/>
                  </w:rPr>
                  <w:t>Консолидовани финансијски извештаји завршног рачуна буџета града Ниша за 2014.</w:t>
                </w:r>
                <w:r>
                  <w:rPr>
                    <w:rFonts w:ascii="Times New Roman" w:hAnsi="Times New Roman"/>
                    <w:i/>
                    <w:spacing w:val="-13"/>
                    <w:sz w:val="20"/>
                  </w:rPr>
                  <w:t> </w:t>
                </w:r>
                <w:r>
                  <w:rPr>
                    <w:rFonts w:ascii="Times New Roman" w:hAnsi="Times New Roman"/>
                    <w:i/>
                    <w:sz w:val="20"/>
                  </w:rPr>
                  <w:t>годину</w:t>
                </w:r>
                <w:r>
                  <w:rPr>
                    <w:rFonts w:ascii="Times New Roman" w:hAnsi="Times New Roman"/>
                    <w:sz w:val="20"/>
                  </w:rPr>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6.584pt;margin-top:60.360001pt;width:465pt;height:.1pt;mso-position-horizontal-relative:page;mso-position-vertical-relative:page;z-index:-773560" coordorigin="1532,1207" coordsize="9300,2">
          <v:shape style="position:absolute;left:1532;top:1207;width:9300;height:2" coordorigin="1532,1207" coordsize="9300,0" path="m1532,1207l10831,1207e" filled="false" stroked="true" strokeweight=".72pt" strokecolor="#612322">
            <v:path arrowok="t"/>
          </v:shape>
          <w10:wrap type="none"/>
        </v:group>
      </w:pict>
    </w:r>
    <w:r>
      <w:rPr/>
      <w:pict>
        <v:group style="position:absolute;margin-left:76.584pt;margin-top:62.939999pt;width:465pt;height:.1pt;mso-position-horizontal-relative:page;mso-position-vertical-relative:page;z-index:-773536" coordorigin="1532,1259" coordsize="9300,2">
          <v:shape style="position:absolute;left:1532;top:1259;width:9300;height:2" coordorigin="1532,1259" coordsize="9300,0" path="m1532,1259l10831,1259e" filled="false" stroked="true" strokeweight="3pt" strokecolor="#612322">
            <v:path arrowok="t"/>
          </v:shape>
          <w10:wrap type="none"/>
        </v:group>
      </w:pict>
    </w:r>
    <w:r>
      <w:rPr/>
      <w:pict>
        <v:shape style="position:absolute;margin-left:88.783997pt;margin-top:35.985451pt;width:440pt;height:23.6pt;mso-position-horizontal-relative:page;mso-position-vertical-relative:page;z-index:-773512" type="#_x0000_t202" filled="false" stroked="false">
          <v:textbox inset="0,0,0,0">
            <w:txbxContent>
              <w:p>
                <w:pPr>
                  <w:spacing w:line="242" w:lineRule="auto" w:before="0"/>
                  <w:ind w:left="2742" w:right="12" w:hanging="2723"/>
                  <w:jc w:val="left"/>
                  <w:rPr>
                    <w:rFonts w:ascii="Times New Roman" w:hAnsi="Times New Roman" w:cs="Times New Roman" w:eastAsia="Times New Roman" w:hint="default"/>
                    <w:sz w:val="20"/>
                    <w:szCs w:val="20"/>
                  </w:rPr>
                </w:pPr>
                <w:r>
                  <w:rPr>
                    <w:rFonts w:ascii="Times New Roman" w:hAnsi="Times New Roman"/>
                    <w:i/>
                    <w:sz w:val="20"/>
                  </w:rPr>
                  <w:t>Извештај о ревизији консолидованих финансијских извештаја завршног рачуна буџета и</w:t>
                </w:r>
                <w:r>
                  <w:rPr>
                    <w:rFonts w:ascii="Times New Roman" w:hAnsi="Times New Roman"/>
                    <w:i/>
                    <w:spacing w:val="-20"/>
                    <w:sz w:val="20"/>
                  </w:rPr>
                  <w:t> </w:t>
                </w:r>
                <w:r>
                  <w:rPr>
                    <w:rFonts w:ascii="Times New Roman" w:hAnsi="Times New Roman"/>
                    <w:i/>
                    <w:sz w:val="20"/>
                  </w:rPr>
                  <w:t>правилности </w:t>
                </w:r>
                <w:r>
                  <w:rPr>
                    <w:rFonts w:ascii="Times New Roman" w:hAnsi="Times New Roman"/>
                    <w:i/>
                    <w:sz w:val="20"/>
                  </w:rPr>
                  <w:t>пословања града Ниша за 2014.</w:t>
                </w:r>
                <w:r>
                  <w:rPr>
                    <w:rFonts w:ascii="Times New Roman" w:hAnsi="Times New Roman"/>
                    <w:i/>
                    <w:spacing w:val="-7"/>
                    <w:sz w:val="20"/>
                  </w:rPr>
                  <w:t> </w:t>
                </w:r>
                <w:r>
                  <w:rPr>
                    <w:rFonts w:ascii="Times New Roman" w:hAnsi="Times New Roman"/>
                    <w:i/>
                    <w:sz w:val="20"/>
                  </w:rPr>
                  <w:t>годину</w:t>
                </w:r>
                <w:r>
                  <w:rPr>
                    <w:rFonts w:ascii="Times New Roman" w:hAnsi="Times New Roman"/>
                    <w:sz w:val="20"/>
                  </w:rPr>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6.584pt;margin-top:60.360001pt;width:465pt;height:.1pt;mso-position-horizontal-relative:page;mso-position-vertical-relative:page;z-index:-773368" coordorigin="1532,1207" coordsize="9300,2">
          <v:shape style="position:absolute;left:1532;top:1207;width:9300;height:2" coordorigin="1532,1207" coordsize="9300,0" path="m1532,1207l10831,1207e" filled="false" stroked="true" strokeweight=".72pt" strokecolor="#612322">
            <v:path arrowok="t"/>
          </v:shape>
          <w10:wrap type="none"/>
        </v:group>
      </w:pict>
    </w:r>
    <w:r>
      <w:rPr/>
      <w:pict>
        <v:group style="position:absolute;margin-left:76.584pt;margin-top:62.939999pt;width:465pt;height:.1pt;mso-position-horizontal-relative:page;mso-position-vertical-relative:page;z-index:-773344" coordorigin="1532,1259" coordsize="9300,2">
          <v:shape style="position:absolute;left:1532;top:1259;width:9300;height:2" coordorigin="1532,1259" coordsize="9300,0" path="m1532,1259l10831,1259e" filled="false" stroked="true" strokeweight="3pt" strokecolor="#612322">
            <v:path arrowok="t"/>
          </v:shape>
          <w10:wrap type="none"/>
        </v:group>
      </w:pict>
    </w:r>
    <w:r>
      <w:rPr/>
      <w:pict>
        <v:shape style="position:absolute;margin-left:89.624001pt;margin-top:35.985451pt;width:438.3pt;height:23.6pt;mso-position-horizontal-relative:page;mso-position-vertical-relative:page;z-index:-773320" type="#_x0000_t202" filled="false" stroked="false">
          <v:textbox inset="0,0,0,0">
            <w:txbxContent>
              <w:p>
                <w:pPr>
                  <w:spacing w:line="242" w:lineRule="auto" w:before="0"/>
                  <w:ind w:left="2146" w:right="14" w:hanging="2127"/>
                  <w:jc w:val="left"/>
                  <w:rPr>
                    <w:rFonts w:ascii="Times New Roman" w:hAnsi="Times New Roman" w:cs="Times New Roman" w:eastAsia="Times New Roman" w:hint="default"/>
                    <w:sz w:val="20"/>
                    <w:szCs w:val="20"/>
                  </w:rPr>
                </w:pPr>
                <w:r>
                  <w:rPr>
                    <w:rFonts w:ascii="Times New Roman" w:hAnsi="Times New Roman"/>
                    <w:i/>
                    <w:sz w:val="20"/>
                  </w:rPr>
                  <w:t>Напомене уз Извештај о ревизији консолидованих финансијских извештаја завршног рачуна буџета</w:t>
                </w:r>
                <w:r>
                  <w:rPr>
                    <w:rFonts w:ascii="Times New Roman" w:hAnsi="Times New Roman"/>
                    <w:i/>
                    <w:spacing w:val="-16"/>
                    <w:sz w:val="20"/>
                  </w:rPr>
                  <w:t> </w:t>
                </w:r>
                <w:r>
                  <w:rPr>
                    <w:rFonts w:ascii="Times New Roman" w:hAnsi="Times New Roman"/>
                    <w:i/>
                    <w:sz w:val="20"/>
                  </w:rPr>
                  <w:t>и </w:t>
                </w:r>
                <w:r>
                  <w:rPr>
                    <w:rFonts w:ascii="Times New Roman" w:hAnsi="Times New Roman"/>
                    <w:i/>
                    <w:sz w:val="20"/>
                  </w:rPr>
                  <w:t>правилности пословања града Ниша за 2014.</w:t>
                </w:r>
                <w:r>
                  <w:rPr>
                    <w:rFonts w:ascii="Times New Roman" w:hAnsi="Times New Roman"/>
                    <w:i/>
                    <w:spacing w:val="-10"/>
                    <w:sz w:val="20"/>
                  </w:rPr>
                  <w:t> </w:t>
                </w:r>
                <w:r>
                  <w:rPr>
                    <w:rFonts w:ascii="Times New Roman" w:hAnsi="Times New Roman"/>
                    <w:i/>
                    <w:sz w:val="20"/>
                  </w:rPr>
                  <w:t>годину</w:t>
                </w:r>
                <w:r>
                  <w:rPr>
                    <w:rFonts w:ascii="Times New Roman" w:hAnsi="Times New Roman"/>
                    <w:sz w:val="20"/>
                  </w:rPr>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6.584pt;margin-top:60.360001pt;width:465pt;height:.1pt;mso-position-horizontal-relative:page;mso-position-vertical-relative:page;z-index:-771832" coordorigin="1532,1207" coordsize="9300,2">
          <v:shape style="position:absolute;left:1532;top:1207;width:9300;height:2" coordorigin="1532,1207" coordsize="9300,0" path="m1532,1207l10831,1207e" filled="false" stroked="true" strokeweight=".72pt" strokecolor="#612322">
            <v:path arrowok="t"/>
          </v:shape>
          <w10:wrap type="none"/>
        </v:group>
      </w:pict>
    </w:r>
    <w:r>
      <w:rPr/>
      <w:pict>
        <v:shape style="position:absolute;margin-left:89.624001pt;margin-top:35.985451pt;width:438.3pt;height:23.6pt;mso-position-horizontal-relative:page;mso-position-vertical-relative:page;z-index:-771808" type="#_x0000_t202" filled="false" stroked="false">
          <v:textbox inset="0,0,0,0">
            <w:txbxContent>
              <w:p>
                <w:pPr>
                  <w:spacing w:line="242" w:lineRule="auto" w:before="0"/>
                  <w:ind w:left="2146" w:right="14" w:hanging="2127"/>
                  <w:jc w:val="left"/>
                  <w:rPr>
                    <w:rFonts w:ascii="Times New Roman" w:hAnsi="Times New Roman" w:cs="Times New Roman" w:eastAsia="Times New Roman" w:hint="default"/>
                    <w:sz w:val="20"/>
                    <w:szCs w:val="20"/>
                  </w:rPr>
                </w:pPr>
                <w:r>
                  <w:rPr>
                    <w:rFonts w:ascii="Times New Roman" w:hAnsi="Times New Roman"/>
                    <w:i/>
                    <w:sz w:val="20"/>
                  </w:rPr>
                  <w:t>Напомене уз Извештај о ревизији консолидованих финансијских извештаја завршног рачуна буџета</w:t>
                </w:r>
                <w:r>
                  <w:rPr>
                    <w:rFonts w:ascii="Times New Roman" w:hAnsi="Times New Roman"/>
                    <w:i/>
                    <w:spacing w:val="-16"/>
                    <w:sz w:val="20"/>
                  </w:rPr>
                  <w:t> </w:t>
                </w:r>
                <w:r>
                  <w:rPr>
                    <w:rFonts w:ascii="Times New Roman" w:hAnsi="Times New Roman"/>
                    <w:i/>
                    <w:sz w:val="20"/>
                  </w:rPr>
                  <w:t>и </w:t>
                </w:r>
                <w:r>
                  <w:rPr>
                    <w:rFonts w:ascii="Times New Roman" w:hAnsi="Times New Roman"/>
                    <w:i/>
                    <w:sz w:val="20"/>
                  </w:rPr>
                  <w:t>правилности пословања града Ниша за 2014.</w:t>
                </w:r>
                <w:r>
                  <w:rPr>
                    <w:rFonts w:ascii="Times New Roman" w:hAnsi="Times New Roman"/>
                    <w:i/>
                    <w:spacing w:val="-5"/>
                    <w:sz w:val="20"/>
                  </w:rPr>
                  <w:t> </w:t>
                </w:r>
                <w:r>
                  <w:rPr>
                    <w:rFonts w:ascii="Times New Roman" w:hAnsi="Times New Roman"/>
                    <w:i/>
                    <w:sz w:val="20"/>
                  </w:rPr>
                  <w:t>годину</w:t>
                </w:r>
                <w:r>
                  <w:rPr>
                    <w:rFonts w:ascii="Times New Roman" w:hAnsi="Times New Roman"/>
                    <w:sz w:val="20"/>
                  </w:rPr>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6.584pt;margin-top:60.360001pt;width:465pt;height:.1pt;mso-position-horizontal-relative:page;mso-position-vertical-relative:page;z-index:-771784" coordorigin="1532,1207" coordsize="9300,2">
          <v:shape style="position:absolute;left:1532;top:1207;width:9300;height:2" coordorigin="1532,1207" coordsize="9300,0" path="m1532,1207l10831,1207e" filled="false" stroked="true" strokeweight=".72pt" strokecolor="#612322">
            <v:path arrowok="t"/>
          </v:shape>
          <w10:wrap type="none"/>
        </v:group>
      </w:pict>
    </w:r>
    <w:r>
      <w:rPr/>
      <w:pict>
        <v:group style="position:absolute;margin-left:76.584pt;margin-top:62.939999pt;width:465pt;height:.1pt;mso-position-horizontal-relative:page;mso-position-vertical-relative:page;z-index:-771760" coordorigin="1532,1259" coordsize="9300,2">
          <v:shape style="position:absolute;left:1532;top:1259;width:9300;height:2" coordorigin="1532,1259" coordsize="9300,0" path="m1532,1259l10831,1259e" filled="false" stroked="true" strokeweight="3pt" strokecolor="#612322">
            <v:path arrowok="t"/>
          </v:shape>
          <w10:wrap type="none"/>
        </v:group>
      </w:pict>
    </w:r>
    <w:r>
      <w:rPr/>
      <w:pict>
        <v:shape style="position:absolute;margin-left:89.624001pt;margin-top:35.985451pt;width:438.3pt;height:23.6pt;mso-position-horizontal-relative:page;mso-position-vertical-relative:page;z-index:-771736" type="#_x0000_t202" filled="false" stroked="false">
          <v:textbox inset="0,0,0,0">
            <w:txbxContent>
              <w:p>
                <w:pPr>
                  <w:spacing w:line="242" w:lineRule="auto" w:before="0"/>
                  <w:ind w:left="2146" w:right="14" w:hanging="2127"/>
                  <w:jc w:val="left"/>
                  <w:rPr>
                    <w:rFonts w:ascii="Times New Roman" w:hAnsi="Times New Roman" w:cs="Times New Roman" w:eastAsia="Times New Roman" w:hint="default"/>
                    <w:sz w:val="20"/>
                    <w:szCs w:val="20"/>
                  </w:rPr>
                </w:pPr>
                <w:r>
                  <w:rPr>
                    <w:rFonts w:ascii="Times New Roman" w:hAnsi="Times New Roman"/>
                    <w:i/>
                    <w:sz w:val="20"/>
                  </w:rPr>
                  <w:t>Напомене уз Извештај о ревизији консолидованих финансијских извештаја завршног рачуна буџета</w:t>
                </w:r>
                <w:r>
                  <w:rPr>
                    <w:rFonts w:ascii="Times New Roman" w:hAnsi="Times New Roman"/>
                    <w:i/>
                    <w:spacing w:val="-16"/>
                    <w:sz w:val="20"/>
                  </w:rPr>
                  <w:t> </w:t>
                </w:r>
                <w:r>
                  <w:rPr>
                    <w:rFonts w:ascii="Times New Roman" w:hAnsi="Times New Roman"/>
                    <w:i/>
                    <w:sz w:val="20"/>
                  </w:rPr>
                  <w:t>и </w:t>
                </w:r>
                <w:r>
                  <w:rPr>
                    <w:rFonts w:ascii="Times New Roman" w:hAnsi="Times New Roman"/>
                    <w:i/>
                    <w:sz w:val="20"/>
                  </w:rPr>
                  <w:t>правилности пословања града Ниша за 2014.</w:t>
                </w:r>
                <w:r>
                  <w:rPr>
                    <w:rFonts w:ascii="Times New Roman" w:hAnsi="Times New Roman"/>
                    <w:i/>
                    <w:spacing w:val="-5"/>
                    <w:sz w:val="20"/>
                  </w:rPr>
                  <w:t> </w:t>
                </w:r>
                <w:r>
                  <w:rPr>
                    <w:rFonts w:ascii="Times New Roman" w:hAnsi="Times New Roman"/>
                    <w:i/>
                    <w:sz w:val="20"/>
                  </w:rPr>
                  <w:t>годину</w:t>
                </w:r>
                <w:r>
                  <w:rPr>
                    <w:rFonts w:ascii="Times New Roman" w:hAnsi="Times New Roman"/>
                    <w:sz w:val="20"/>
                  </w:rPr>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6.584pt;margin-top:60.380001pt;width:660.35pt;height:.1pt;mso-position-horizontal-relative:page;mso-position-vertical-relative:page;z-index:-771568" coordorigin="1532,1208" coordsize="13207,2">
          <v:shape style="position:absolute;left:1532;top:1208;width:13207;height:2" coordorigin="1532,1208" coordsize="13207,0" path="m1532,1208l14738,1208e" filled="false" stroked="true" strokeweight=".72pt" strokecolor="#612322">
            <v:path arrowok="t"/>
          </v:shape>
          <w10:wrap type="none"/>
        </v:group>
      </w:pict>
    </w:r>
    <w:r>
      <w:rPr/>
      <w:pict>
        <v:group style="position:absolute;margin-left:76.584pt;margin-top:62.959999pt;width:660.35pt;height:.1pt;mso-position-horizontal-relative:page;mso-position-vertical-relative:page;z-index:-771544" coordorigin="1532,1259" coordsize="13207,2">
          <v:shape style="position:absolute;left:1532;top:1259;width:13207;height:2" coordorigin="1532,1259" coordsize="13207,0" path="m1532,1259l14738,1259e" filled="false" stroked="true" strokeweight="3pt" strokecolor="#612322">
            <v:path arrowok="t"/>
          </v:shape>
          <w10:wrap type="none"/>
        </v:group>
      </w:pict>
    </w:r>
    <w:r>
      <w:rPr/>
      <w:pict>
        <v:shape style="position:absolute;margin-left:89.503998pt;margin-top:35.985451pt;width:633.8pt;height:23.65pt;mso-position-horizontal-relative:page;mso-position-vertical-relative:page;z-index:-771520" type="#_x0000_t202" filled="false" stroked="false">
          <v:textbox inset="0,0,0,0">
            <w:txbxContent>
              <w:p>
                <w:pPr>
                  <w:spacing w:line="242" w:lineRule="auto" w:before="0"/>
                  <w:ind w:left="6061" w:right="0" w:hanging="6042"/>
                  <w:jc w:val="left"/>
                  <w:rPr>
                    <w:rFonts w:ascii="Times New Roman" w:hAnsi="Times New Roman" w:cs="Times New Roman" w:eastAsia="Times New Roman" w:hint="default"/>
                    <w:sz w:val="20"/>
                    <w:szCs w:val="20"/>
                  </w:rPr>
                </w:pPr>
                <w:r>
                  <w:rPr>
                    <w:rFonts w:ascii="Times New Roman" w:hAnsi="Times New Roman"/>
                    <w:i/>
                    <w:sz w:val="20"/>
                  </w:rPr>
                  <w:t>Напомене уз Извештај о ревизији консолидованих финансијских извештаја завршног рачуна буџета и правилности пословања града Ниша за</w:t>
                </w:r>
                <w:r>
                  <w:rPr>
                    <w:rFonts w:ascii="Times New Roman" w:hAnsi="Times New Roman"/>
                    <w:i/>
                    <w:spacing w:val="-25"/>
                    <w:sz w:val="20"/>
                  </w:rPr>
                  <w:t> </w:t>
                </w:r>
                <w:r>
                  <w:rPr>
                    <w:rFonts w:ascii="Times New Roman" w:hAnsi="Times New Roman"/>
                    <w:i/>
                    <w:sz w:val="20"/>
                  </w:rPr>
                  <w:t>2014. </w:t>
                </w:r>
                <w:r>
                  <w:rPr>
                    <w:rFonts w:ascii="Times New Roman" w:hAnsi="Times New Roman"/>
                    <w:i/>
                    <w:sz w:val="20"/>
                  </w:rPr>
                  <w:t>годину</w:t>
                </w:r>
                <w:r>
                  <w:rPr>
                    <w:rFonts w:ascii="Times New Roman" w:hAnsi="Times New Roman"/>
                    <w:sz w:val="20"/>
                  </w:rPr>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6.584pt;margin-top:60.360001pt;width:465pt;height:.1pt;mso-position-horizontal-relative:page;mso-position-vertical-relative:page;z-index:-771448" coordorigin="1532,1207" coordsize="9300,2">
          <v:shape style="position:absolute;left:1532;top:1207;width:9300;height:2" coordorigin="1532,1207" coordsize="9300,0" path="m1532,1207l10831,1207e" filled="false" stroked="true" strokeweight=".72pt" strokecolor="#612322">
            <v:path arrowok="t"/>
          </v:shape>
          <w10:wrap type="none"/>
        </v:group>
      </w:pict>
    </w:r>
    <w:r>
      <w:rPr/>
      <w:pict>
        <v:shape style="position:absolute;margin-left:89.624001pt;margin-top:35.985451pt;width:438.65pt;height:23.6pt;mso-position-horizontal-relative:page;mso-position-vertical-relative:page;z-index:-771424" type="#_x0000_t202" filled="false" stroked="false">
          <v:textbox inset="0,0,0,0">
            <w:txbxContent>
              <w:p>
                <w:pPr>
                  <w:spacing w:line="242" w:lineRule="auto" w:before="0"/>
                  <w:ind w:left="2146" w:right="5" w:hanging="2127"/>
                  <w:jc w:val="left"/>
                  <w:rPr>
                    <w:rFonts w:ascii="Times New Roman" w:hAnsi="Times New Roman" w:cs="Times New Roman" w:eastAsia="Times New Roman" w:hint="default"/>
                    <w:sz w:val="20"/>
                    <w:szCs w:val="20"/>
                  </w:rPr>
                </w:pPr>
                <w:r>
                  <w:rPr>
                    <w:rFonts w:ascii="Times New Roman" w:hAnsi="Times New Roman"/>
                    <w:i/>
                    <w:sz w:val="20"/>
                  </w:rPr>
                  <w:t>Напомене уз Извештај о ревизији консолидованих финансијских извештаја завршног рачуна буџета и правилности пословања града Ниша за 2014.</w:t>
                </w:r>
                <w:r>
                  <w:rPr>
                    <w:rFonts w:ascii="Times New Roman" w:hAnsi="Times New Roman"/>
                    <w:i/>
                    <w:spacing w:val="-10"/>
                    <w:sz w:val="20"/>
                  </w:rPr>
                  <w:t> </w:t>
                </w:r>
                <w:r>
                  <w:rPr>
                    <w:rFonts w:ascii="Times New Roman" w:hAnsi="Times New Roman"/>
                    <w:i/>
                    <w:sz w:val="20"/>
                  </w:rPr>
                  <w:t>годину</w:t>
                </w:r>
                <w:r>
                  <w:rPr>
                    <w:rFonts w:ascii="Times New Roman" w:hAnsi="Times New Roman"/>
                    <w:sz w:val="20"/>
                  </w:rPr>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7">
    <w:multiLevelType w:val="hybridMultilevel"/>
    <w:lvl w:ilvl="0">
      <w:start w:val="1"/>
      <w:numFmt w:val="bullet"/>
      <w:lvlText w:val="-"/>
      <w:lvlJc w:val="left"/>
      <w:pPr>
        <w:ind w:left="160" w:hanging="166"/>
      </w:pPr>
      <w:rPr>
        <w:rFonts w:hint="default" w:ascii="Times New Roman" w:hAnsi="Times New Roman" w:eastAsia="Times New Roman"/>
        <w:w w:val="99"/>
        <w:sz w:val="24"/>
        <w:szCs w:val="24"/>
      </w:rPr>
    </w:lvl>
    <w:lvl w:ilvl="1">
      <w:start w:val="1"/>
      <w:numFmt w:val="bullet"/>
      <w:lvlText w:val="•"/>
      <w:lvlJc w:val="left"/>
      <w:pPr>
        <w:ind w:left="1102" w:hanging="166"/>
      </w:pPr>
      <w:rPr>
        <w:rFonts w:hint="default"/>
      </w:rPr>
    </w:lvl>
    <w:lvl w:ilvl="2">
      <w:start w:val="1"/>
      <w:numFmt w:val="bullet"/>
      <w:lvlText w:val="•"/>
      <w:lvlJc w:val="left"/>
      <w:pPr>
        <w:ind w:left="2044" w:hanging="166"/>
      </w:pPr>
      <w:rPr>
        <w:rFonts w:hint="default"/>
      </w:rPr>
    </w:lvl>
    <w:lvl w:ilvl="3">
      <w:start w:val="1"/>
      <w:numFmt w:val="bullet"/>
      <w:lvlText w:val="•"/>
      <w:lvlJc w:val="left"/>
      <w:pPr>
        <w:ind w:left="2986" w:hanging="166"/>
      </w:pPr>
      <w:rPr>
        <w:rFonts w:hint="default"/>
      </w:rPr>
    </w:lvl>
    <w:lvl w:ilvl="4">
      <w:start w:val="1"/>
      <w:numFmt w:val="bullet"/>
      <w:lvlText w:val="•"/>
      <w:lvlJc w:val="left"/>
      <w:pPr>
        <w:ind w:left="3928" w:hanging="166"/>
      </w:pPr>
      <w:rPr>
        <w:rFonts w:hint="default"/>
      </w:rPr>
    </w:lvl>
    <w:lvl w:ilvl="5">
      <w:start w:val="1"/>
      <w:numFmt w:val="bullet"/>
      <w:lvlText w:val="•"/>
      <w:lvlJc w:val="left"/>
      <w:pPr>
        <w:ind w:left="4870" w:hanging="166"/>
      </w:pPr>
      <w:rPr>
        <w:rFonts w:hint="default"/>
      </w:rPr>
    </w:lvl>
    <w:lvl w:ilvl="6">
      <w:start w:val="1"/>
      <w:numFmt w:val="bullet"/>
      <w:lvlText w:val="•"/>
      <w:lvlJc w:val="left"/>
      <w:pPr>
        <w:ind w:left="5812" w:hanging="166"/>
      </w:pPr>
      <w:rPr>
        <w:rFonts w:hint="default"/>
      </w:rPr>
    </w:lvl>
    <w:lvl w:ilvl="7">
      <w:start w:val="1"/>
      <w:numFmt w:val="bullet"/>
      <w:lvlText w:val="•"/>
      <w:lvlJc w:val="left"/>
      <w:pPr>
        <w:ind w:left="6754" w:hanging="166"/>
      </w:pPr>
      <w:rPr>
        <w:rFonts w:hint="default"/>
      </w:rPr>
    </w:lvl>
    <w:lvl w:ilvl="8">
      <w:start w:val="1"/>
      <w:numFmt w:val="bullet"/>
      <w:lvlText w:val="•"/>
      <w:lvlJc w:val="left"/>
      <w:pPr>
        <w:ind w:left="7696" w:hanging="166"/>
      </w:pPr>
      <w:rPr>
        <w:rFonts w:hint="default"/>
      </w:rPr>
    </w:lvl>
  </w:abstractNum>
  <w:abstractNum w:abstractNumId="56">
    <w:multiLevelType w:val="hybridMultilevel"/>
    <w:lvl w:ilvl="0">
      <w:start w:val="1"/>
      <w:numFmt w:val="decimal"/>
      <w:lvlText w:val="%1)"/>
      <w:lvlJc w:val="left"/>
      <w:pPr>
        <w:ind w:left="160" w:hanging="286"/>
        <w:jc w:val="left"/>
      </w:pPr>
      <w:rPr>
        <w:rFonts w:hint="default" w:ascii="Times New Roman" w:hAnsi="Times New Roman" w:eastAsia="Times New Roman"/>
        <w:w w:val="99"/>
        <w:sz w:val="24"/>
        <w:szCs w:val="24"/>
      </w:rPr>
    </w:lvl>
    <w:lvl w:ilvl="1">
      <w:start w:val="1"/>
      <w:numFmt w:val="bullet"/>
      <w:lvlText w:val="•"/>
      <w:lvlJc w:val="left"/>
      <w:pPr>
        <w:ind w:left="1102" w:hanging="286"/>
      </w:pPr>
      <w:rPr>
        <w:rFonts w:hint="default"/>
      </w:rPr>
    </w:lvl>
    <w:lvl w:ilvl="2">
      <w:start w:val="1"/>
      <w:numFmt w:val="bullet"/>
      <w:lvlText w:val="•"/>
      <w:lvlJc w:val="left"/>
      <w:pPr>
        <w:ind w:left="2044" w:hanging="286"/>
      </w:pPr>
      <w:rPr>
        <w:rFonts w:hint="default"/>
      </w:rPr>
    </w:lvl>
    <w:lvl w:ilvl="3">
      <w:start w:val="1"/>
      <w:numFmt w:val="bullet"/>
      <w:lvlText w:val="•"/>
      <w:lvlJc w:val="left"/>
      <w:pPr>
        <w:ind w:left="2986" w:hanging="286"/>
      </w:pPr>
      <w:rPr>
        <w:rFonts w:hint="default"/>
      </w:rPr>
    </w:lvl>
    <w:lvl w:ilvl="4">
      <w:start w:val="1"/>
      <w:numFmt w:val="bullet"/>
      <w:lvlText w:val="•"/>
      <w:lvlJc w:val="left"/>
      <w:pPr>
        <w:ind w:left="3928" w:hanging="286"/>
      </w:pPr>
      <w:rPr>
        <w:rFonts w:hint="default"/>
      </w:rPr>
    </w:lvl>
    <w:lvl w:ilvl="5">
      <w:start w:val="1"/>
      <w:numFmt w:val="bullet"/>
      <w:lvlText w:val="•"/>
      <w:lvlJc w:val="left"/>
      <w:pPr>
        <w:ind w:left="4870" w:hanging="286"/>
      </w:pPr>
      <w:rPr>
        <w:rFonts w:hint="default"/>
      </w:rPr>
    </w:lvl>
    <w:lvl w:ilvl="6">
      <w:start w:val="1"/>
      <w:numFmt w:val="bullet"/>
      <w:lvlText w:val="•"/>
      <w:lvlJc w:val="left"/>
      <w:pPr>
        <w:ind w:left="5812" w:hanging="286"/>
      </w:pPr>
      <w:rPr>
        <w:rFonts w:hint="default"/>
      </w:rPr>
    </w:lvl>
    <w:lvl w:ilvl="7">
      <w:start w:val="1"/>
      <w:numFmt w:val="bullet"/>
      <w:lvlText w:val="•"/>
      <w:lvlJc w:val="left"/>
      <w:pPr>
        <w:ind w:left="6754" w:hanging="286"/>
      </w:pPr>
      <w:rPr>
        <w:rFonts w:hint="default"/>
      </w:rPr>
    </w:lvl>
    <w:lvl w:ilvl="8">
      <w:start w:val="1"/>
      <w:numFmt w:val="bullet"/>
      <w:lvlText w:val="•"/>
      <w:lvlJc w:val="left"/>
      <w:pPr>
        <w:ind w:left="7696" w:hanging="286"/>
      </w:pPr>
      <w:rPr>
        <w:rFonts w:hint="default"/>
      </w:rPr>
    </w:lvl>
  </w:abstractNum>
  <w:abstractNum w:abstractNumId="36">
    <w:multiLevelType w:val="hybridMultilevel"/>
    <w:lvl w:ilvl="0">
      <w:start w:val="1"/>
      <w:numFmt w:val="decimal"/>
      <w:lvlText w:val="%1)"/>
      <w:lvlJc w:val="left"/>
      <w:pPr>
        <w:ind w:left="160" w:hanging="286"/>
        <w:jc w:val="left"/>
      </w:pPr>
      <w:rPr>
        <w:rFonts w:hint="default" w:ascii="Times New Roman" w:hAnsi="Times New Roman" w:eastAsia="Times New Roman"/>
        <w:b/>
        <w:bCs/>
        <w:w w:val="99"/>
        <w:sz w:val="24"/>
        <w:szCs w:val="24"/>
      </w:rPr>
    </w:lvl>
    <w:lvl w:ilvl="1">
      <w:start w:val="1"/>
      <w:numFmt w:val="bullet"/>
      <w:lvlText w:val="•"/>
      <w:lvlJc w:val="left"/>
      <w:pPr>
        <w:ind w:left="1110" w:hanging="286"/>
      </w:pPr>
      <w:rPr>
        <w:rFonts w:hint="default"/>
      </w:rPr>
    </w:lvl>
    <w:lvl w:ilvl="2">
      <w:start w:val="1"/>
      <w:numFmt w:val="bullet"/>
      <w:lvlText w:val="•"/>
      <w:lvlJc w:val="left"/>
      <w:pPr>
        <w:ind w:left="2060" w:hanging="286"/>
      </w:pPr>
      <w:rPr>
        <w:rFonts w:hint="default"/>
      </w:rPr>
    </w:lvl>
    <w:lvl w:ilvl="3">
      <w:start w:val="1"/>
      <w:numFmt w:val="bullet"/>
      <w:lvlText w:val="•"/>
      <w:lvlJc w:val="left"/>
      <w:pPr>
        <w:ind w:left="3010" w:hanging="286"/>
      </w:pPr>
      <w:rPr>
        <w:rFonts w:hint="default"/>
      </w:rPr>
    </w:lvl>
    <w:lvl w:ilvl="4">
      <w:start w:val="1"/>
      <w:numFmt w:val="bullet"/>
      <w:lvlText w:val="•"/>
      <w:lvlJc w:val="left"/>
      <w:pPr>
        <w:ind w:left="3960" w:hanging="286"/>
      </w:pPr>
      <w:rPr>
        <w:rFonts w:hint="default"/>
      </w:rPr>
    </w:lvl>
    <w:lvl w:ilvl="5">
      <w:start w:val="1"/>
      <w:numFmt w:val="bullet"/>
      <w:lvlText w:val="•"/>
      <w:lvlJc w:val="left"/>
      <w:pPr>
        <w:ind w:left="4910" w:hanging="286"/>
      </w:pPr>
      <w:rPr>
        <w:rFonts w:hint="default"/>
      </w:rPr>
    </w:lvl>
    <w:lvl w:ilvl="6">
      <w:start w:val="1"/>
      <w:numFmt w:val="bullet"/>
      <w:lvlText w:val="•"/>
      <w:lvlJc w:val="left"/>
      <w:pPr>
        <w:ind w:left="5860" w:hanging="286"/>
      </w:pPr>
      <w:rPr>
        <w:rFonts w:hint="default"/>
      </w:rPr>
    </w:lvl>
    <w:lvl w:ilvl="7">
      <w:start w:val="1"/>
      <w:numFmt w:val="bullet"/>
      <w:lvlText w:val="•"/>
      <w:lvlJc w:val="left"/>
      <w:pPr>
        <w:ind w:left="6810" w:hanging="286"/>
      </w:pPr>
      <w:rPr>
        <w:rFonts w:hint="default"/>
      </w:rPr>
    </w:lvl>
    <w:lvl w:ilvl="8">
      <w:start w:val="1"/>
      <w:numFmt w:val="bullet"/>
      <w:lvlText w:val="•"/>
      <w:lvlJc w:val="left"/>
      <w:pPr>
        <w:ind w:left="7760" w:hanging="286"/>
      </w:pPr>
      <w:rPr>
        <w:rFonts w:hint="default"/>
      </w:rPr>
    </w:lvl>
  </w:abstractNum>
  <w:abstractNum w:abstractNumId="34">
    <w:multiLevelType w:val="hybridMultilevel"/>
    <w:lvl w:ilvl="0">
      <w:start w:val="1"/>
      <w:numFmt w:val="decimal"/>
      <w:lvlText w:val="%1)"/>
      <w:lvlJc w:val="left"/>
      <w:pPr>
        <w:ind w:left="160" w:hanging="286"/>
        <w:jc w:val="left"/>
      </w:pPr>
      <w:rPr>
        <w:rFonts w:hint="default" w:ascii="Times New Roman" w:hAnsi="Times New Roman" w:eastAsia="Times New Roman"/>
        <w:b/>
        <w:bCs/>
        <w:w w:val="99"/>
        <w:sz w:val="24"/>
        <w:szCs w:val="24"/>
      </w:rPr>
    </w:lvl>
    <w:lvl w:ilvl="1">
      <w:start w:val="1"/>
      <w:numFmt w:val="bullet"/>
      <w:lvlText w:val="•"/>
      <w:lvlJc w:val="left"/>
      <w:pPr>
        <w:ind w:left="1110" w:hanging="286"/>
      </w:pPr>
      <w:rPr>
        <w:rFonts w:hint="default"/>
      </w:rPr>
    </w:lvl>
    <w:lvl w:ilvl="2">
      <w:start w:val="1"/>
      <w:numFmt w:val="bullet"/>
      <w:lvlText w:val="•"/>
      <w:lvlJc w:val="left"/>
      <w:pPr>
        <w:ind w:left="2060" w:hanging="286"/>
      </w:pPr>
      <w:rPr>
        <w:rFonts w:hint="default"/>
      </w:rPr>
    </w:lvl>
    <w:lvl w:ilvl="3">
      <w:start w:val="1"/>
      <w:numFmt w:val="bullet"/>
      <w:lvlText w:val="•"/>
      <w:lvlJc w:val="left"/>
      <w:pPr>
        <w:ind w:left="3010" w:hanging="286"/>
      </w:pPr>
      <w:rPr>
        <w:rFonts w:hint="default"/>
      </w:rPr>
    </w:lvl>
    <w:lvl w:ilvl="4">
      <w:start w:val="1"/>
      <w:numFmt w:val="bullet"/>
      <w:lvlText w:val="•"/>
      <w:lvlJc w:val="left"/>
      <w:pPr>
        <w:ind w:left="3960" w:hanging="286"/>
      </w:pPr>
      <w:rPr>
        <w:rFonts w:hint="default"/>
      </w:rPr>
    </w:lvl>
    <w:lvl w:ilvl="5">
      <w:start w:val="1"/>
      <w:numFmt w:val="bullet"/>
      <w:lvlText w:val="•"/>
      <w:lvlJc w:val="left"/>
      <w:pPr>
        <w:ind w:left="4910" w:hanging="286"/>
      </w:pPr>
      <w:rPr>
        <w:rFonts w:hint="default"/>
      </w:rPr>
    </w:lvl>
    <w:lvl w:ilvl="6">
      <w:start w:val="1"/>
      <w:numFmt w:val="bullet"/>
      <w:lvlText w:val="•"/>
      <w:lvlJc w:val="left"/>
      <w:pPr>
        <w:ind w:left="5860" w:hanging="286"/>
      </w:pPr>
      <w:rPr>
        <w:rFonts w:hint="default"/>
      </w:rPr>
    </w:lvl>
    <w:lvl w:ilvl="7">
      <w:start w:val="1"/>
      <w:numFmt w:val="bullet"/>
      <w:lvlText w:val="•"/>
      <w:lvlJc w:val="left"/>
      <w:pPr>
        <w:ind w:left="6810" w:hanging="286"/>
      </w:pPr>
      <w:rPr>
        <w:rFonts w:hint="default"/>
      </w:rPr>
    </w:lvl>
    <w:lvl w:ilvl="8">
      <w:start w:val="1"/>
      <w:numFmt w:val="bullet"/>
      <w:lvlText w:val="•"/>
      <w:lvlJc w:val="left"/>
      <w:pPr>
        <w:ind w:left="7760" w:hanging="286"/>
      </w:pPr>
      <w:rPr>
        <w:rFonts w:hint="default"/>
      </w:rPr>
    </w:lvl>
  </w:abstractNum>
  <w:abstractNum w:abstractNumId="32">
    <w:multiLevelType w:val="hybridMultilevel"/>
    <w:lvl w:ilvl="0">
      <w:start w:val="1"/>
      <w:numFmt w:val="decimal"/>
      <w:lvlText w:val="%1)"/>
      <w:lvlJc w:val="left"/>
      <w:pPr>
        <w:ind w:left="160" w:hanging="286"/>
        <w:jc w:val="left"/>
      </w:pPr>
      <w:rPr>
        <w:rFonts w:hint="default" w:ascii="Times New Roman" w:hAnsi="Times New Roman" w:eastAsia="Times New Roman"/>
        <w:b/>
        <w:bCs/>
        <w:w w:val="99"/>
        <w:sz w:val="24"/>
        <w:szCs w:val="24"/>
      </w:rPr>
    </w:lvl>
    <w:lvl w:ilvl="1">
      <w:start w:val="1"/>
      <w:numFmt w:val="bullet"/>
      <w:lvlText w:val="•"/>
      <w:lvlJc w:val="left"/>
      <w:pPr>
        <w:ind w:left="1110" w:hanging="286"/>
      </w:pPr>
      <w:rPr>
        <w:rFonts w:hint="default"/>
      </w:rPr>
    </w:lvl>
    <w:lvl w:ilvl="2">
      <w:start w:val="1"/>
      <w:numFmt w:val="bullet"/>
      <w:lvlText w:val="•"/>
      <w:lvlJc w:val="left"/>
      <w:pPr>
        <w:ind w:left="2060" w:hanging="286"/>
      </w:pPr>
      <w:rPr>
        <w:rFonts w:hint="default"/>
      </w:rPr>
    </w:lvl>
    <w:lvl w:ilvl="3">
      <w:start w:val="1"/>
      <w:numFmt w:val="bullet"/>
      <w:lvlText w:val="•"/>
      <w:lvlJc w:val="left"/>
      <w:pPr>
        <w:ind w:left="3010" w:hanging="286"/>
      </w:pPr>
      <w:rPr>
        <w:rFonts w:hint="default"/>
      </w:rPr>
    </w:lvl>
    <w:lvl w:ilvl="4">
      <w:start w:val="1"/>
      <w:numFmt w:val="bullet"/>
      <w:lvlText w:val="•"/>
      <w:lvlJc w:val="left"/>
      <w:pPr>
        <w:ind w:left="3960" w:hanging="286"/>
      </w:pPr>
      <w:rPr>
        <w:rFonts w:hint="default"/>
      </w:rPr>
    </w:lvl>
    <w:lvl w:ilvl="5">
      <w:start w:val="1"/>
      <w:numFmt w:val="bullet"/>
      <w:lvlText w:val="•"/>
      <w:lvlJc w:val="left"/>
      <w:pPr>
        <w:ind w:left="4910" w:hanging="286"/>
      </w:pPr>
      <w:rPr>
        <w:rFonts w:hint="default"/>
      </w:rPr>
    </w:lvl>
    <w:lvl w:ilvl="6">
      <w:start w:val="1"/>
      <w:numFmt w:val="bullet"/>
      <w:lvlText w:val="•"/>
      <w:lvlJc w:val="left"/>
      <w:pPr>
        <w:ind w:left="5860" w:hanging="286"/>
      </w:pPr>
      <w:rPr>
        <w:rFonts w:hint="default"/>
      </w:rPr>
    </w:lvl>
    <w:lvl w:ilvl="7">
      <w:start w:val="1"/>
      <w:numFmt w:val="bullet"/>
      <w:lvlText w:val="•"/>
      <w:lvlJc w:val="left"/>
      <w:pPr>
        <w:ind w:left="6810" w:hanging="286"/>
      </w:pPr>
      <w:rPr>
        <w:rFonts w:hint="default"/>
      </w:rPr>
    </w:lvl>
    <w:lvl w:ilvl="8">
      <w:start w:val="1"/>
      <w:numFmt w:val="bullet"/>
      <w:lvlText w:val="•"/>
      <w:lvlJc w:val="left"/>
      <w:pPr>
        <w:ind w:left="7760" w:hanging="286"/>
      </w:pPr>
      <w:rPr>
        <w:rFonts w:hint="default"/>
      </w:rPr>
    </w:lvl>
  </w:abstractNum>
  <w:abstractNum w:abstractNumId="119">
    <w:multiLevelType w:val="hybridMultilevel"/>
    <w:lvl w:ilvl="0">
      <w:start w:val="1"/>
      <w:numFmt w:val="bullet"/>
      <w:lvlText w:val="-"/>
      <w:lvlJc w:val="left"/>
      <w:pPr>
        <w:ind w:left="160" w:hanging="180"/>
      </w:pPr>
      <w:rPr>
        <w:rFonts w:hint="default" w:ascii="Times New Roman" w:hAnsi="Times New Roman" w:eastAsia="Times New Roman"/>
        <w:w w:val="100"/>
        <w:sz w:val="22"/>
        <w:szCs w:val="22"/>
      </w:rPr>
    </w:lvl>
    <w:lvl w:ilvl="1">
      <w:start w:val="1"/>
      <w:numFmt w:val="bullet"/>
      <w:lvlText w:val="•"/>
      <w:lvlJc w:val="left"/>
      <w:pPr>
        <w:ind w:left="1102" w:hanging="180"/>
      </w:pPr>
      <w:rPr>
        <w:rFonts w:hint="default"/>
      </w:rPr>
    </w:lvl>
    <w:lvl w:ilvl="2">
      <w:start w:val="1"/>
      <w:numFmt w:val="bullet"/>
      <w:lvlText w:val="•"/>
      <w:lvlJc w:val="left"/>
      <w:pPr>
        <w:ind w:left="2044" w:hanging="180"/>
      </w:pPr>
      <w:rPr>
        <w:rFonts w:hint="default"/>
      </w:rPr>
    </w:lvl>
    <w:lvl w:ilvl="3">
      <w:start w:val="1"/>
      <w:numFmt w:val="bullet"/>
      <w:lvlText w:val="•"/>
      <w:lvlJc w:val="left"/>
      <w:pPr>
        <w:ind w:left="2986" w:hanging="180"/>
      </w:pPr>
      <w:rPr>
        <w:rFonts w:hint="default"/>
      </w:rPr>
    </w:lvl>
    <w:lvl w:ilvl="4">
      <w:start w:val="1"/>
      <w:numFmt w:val="bullet"/>
      <w:lvlText w:val="•"/>
      <w:lvlJc w:val="left"/>
      <w:pPr>
        <w:ind w:left="3928" w:hanging="180"/>
      </w:pPr>
      <w:rPr>
        <w:rFonts w:hint="default"/>
      </w:rPr>
    </w:lvl>
    <w:lvl w:ilvl="5">
      <w:start w:val="1"/>
      <w:numFmt w:val="bullet"/>
      <w:lvlText w:val="•"/>
      <w:lvlJc w:val="left"/>
      <w:pPr>
        <w:ind w:left="4870" w:hanging="180"/>
      </w:pPr>
      <w:rPr>
        <w:rFonts w:hint="default"/>
      </w:rPr>
    </w:lvl>
    <w:lvl w:ilvl="6">
      <w:start w:val="1"/>
      <w:numFmt w:val="bullet"/>
      <w:lvlText w:val="•"/>
      <w:lvlJc w:val="left"/>
      <w:pPr>
        <w:ind w:left="5812" w:hanging="180"/>
      </w:pPr>
      <w:rPr>
        <w:rFonts w:hint="default"/>
      </w:rPr>
    </w:lvl>
    <w:lvl w:ilvl="7">
      <w:start w:val="1"/>
      <w:numFmt w:val="bullet"/>
      <w:lvlText w:val="•"/>
      <w:lvlJc w:val="left"/>
      <w:pPr>
        <w:ind w:left="6754" w:hanging="180"/>
      </w:pPr>
      <w:rPr>
        <w:rFonts w:hint="default"/>
      </w:rPr>
    </w:lvl>
    <w:lvl w:ilvl="8">
      <w:start w:val="1"/>
      <w:numFmt w:val="bullet"/>
      <w:lvlText w:val="•"/>
      <w:lvlJc w:val="left"/>
      <w:pPr>
        <w:ind w:left="7696" w:hanging="180"/>
      </w:pPr>
      <w:rPr>
        <w:rFonts w:hint="default"/>
      </w:rPr>
    </w:lvl>
  </w:abstractNum>
  <w:abstractNum w:abstractNumId="118">
    <w:multiLevelType w:val="hybridMultilevel"/>
    <w:lvl w:ilvl="0">
      <w:start w:val="1"/>
      <w:numFmt w:val="decimal"/>
      <w:lvlText w:val="%1)"/>
      <w:lvlJc w:val="left"/>
      <w:pPr>
        <w:ind w:left="160" w:hanging="284"/>
        <w:jc w:val="left"/>
      </w:pPr>
      <w:rPr>
        <w:rFonts w:hint="default" w:ascii="Times New Roman" w:hAnsi="Times New Roman" w:eastAsia="Times New Roman"/>
        <w:b/>
        <w:bCs/>
        <w:w w:val="99"/>
        <w:sz w:val="24"/>
        <w:szCs w:val="24"/>
      </w:rPr>
    </w:lvl>
    <w:lvl w:ilvl="1">
      <w:start w:val="1"/>
      <w:numFmt w:val="bullet"/>
      <w:lvlText w:val="-"/>
      <w:lvlJc w:val="left"/>
      <w:pPr>
        <w:ind w:left="160" w:hanging="214"/>
      </w:pPr>
      <w:rPr>
        <w:rFonts w:hint="default" w:ascii="Times New Roman" w:hAnsi="Times New Roman" w:eastAsia="Times New Roman"/>
        <w:spacing w:val="-26"/>
        <w:w w:val="99"/>
        <w:sz w:val="24"/>
        <w:szCs w:val="24"/>
      </w:rPr>
    </w:lvl>
    <w:lvl w:ilvl="2">
      <w:start w:val="1"/>
      <w:numFmt w:val="bullet"/>
      <w:lvlText w:val="•"/>
      <w:lvlJc w:val="left"/>
      <w:pPr>
        <w:ind w:left="2044" w:hanging="214"/>
      </w:pPr>
      <w:rPr>
        <w:rFonts w:hint="default"/>
      </w:rPr>
    </w:lvl>
    <w:lvl w:ilvl="3">
      <w:start w:val="1"/>
      <w:numFmt w:val="bullet"/>
      <w:lvlText w:val="•"/>
      <w:lvlJc w:val="left"/>
      <w:pPr>
        <w:ind w:left="2986" w:hanging="214"/>
      </w:pPr>
      <w:rPr>
        <w:rFonts w:hint="default"/>
      </w:rPr>
    </w:lvl>
    <w:lvl w:ilvl="4">
      <w:start w:val="1"/>
      <w:numFmt w:val="bullet"/>
      <w:lvlText w:val="•"/>
      <w:lvlJc w:val="left"/>
      <w:pPr>
        <w:ind w:left="3928" w:hanging="214"/>
      </w:pPr>
      <w:rPr>
        <w:rFonts w:hint="default"/>
      </w:rPr>
    </w:lvl>
    <w:lvl w:ilvl="5">
      <w:start w:val="1"/>
      <w:numFmt w:val="bullet"/>
      <w:lvlText w:val="•"/>
      <w:lvlJc w:val="left"/>
      <w:pPr>
        <w:ind w:left="4870" w:hanging="214"/>
      </w:pPr>
      <w:rPr>
        <w:rFonts w:hint="default"/>
      </w:rPr>
    </w:lvl>
    <w:lvl w:ilvl="6">
      <w:start w:val="1"/>
      <w:numFmt w:val="bullet"/>
      <w:lvlText w:val="•"/>
      <w:lvlJc w:val="left"/>
      <w:pPr>
        <w:ind w:left="5812" w:hanging="214"/>
      </w:pPr>
      <w:rPr>
        <w:rFonts w:hint="default"/>
      </w:rPr>
    </w:lvl>
    <w:lvl w:ilvl="7">
      <w:start w:val="1"/>
      <w:numFmt w:val="bullet"/>
      <w:lvlText w:val="•"/>
      <w:lvlJc w:val="left"/>
      <w:pPr>
        <w:ind w:left="6754" w:hanging="214"/>
      </w:pPr>
      <w:rPr>
        <w:rFonts w:hint="default"/>
      </w:rPr>
    </w:lvl>
    <w:lvl w:ilvl="8">
      <w:start w:val="1"/>
      <w:numFmt w:val="bullet"/>
      <w:lvlText w:val="•"/>
      <w:lvlJc w:val="left"/>
      <w:pPr>
        <w:ind w:left="7696" w:hanging="214"/>
      </w:pPr>
      <w:rPr>
        <w:rFonts w:hint="default"/>
      </w:rPr>
    </w:lvl>
  </w:abstractNum>
  <w:abstractNum w:abstractNumId="117">
    <w:multiLevelType w:val="hybridMultilevel"/>
    <w:lvl w:ilvl="0">
      <w:start w:val="1"/>
      <w:numFmt w:val="decimal"/>
      <w:lvlText w:val="%1)"/>
      <w:lvlJc w:val="left"/>
      <w:pPr>
        <w:ind w:left="160" w:hanging="284"/>
        <w:jc w:val="left"/>
      </w:pPr>
      <w:rPr>
        <w:rFonts w:hint="default" w:ascii="Times New Roman" w:hAnsi="Times New Roman" w:eastAsia="Times New Roman"/>
        <w:w w:val="99"/>
        <w:sz w:val="24"/>
        <w:szCs w:val="24"/>
      </w:rPr>
    </w:lvl>
    <w:lvl w:ilvl="1">
      <w:start w:val="1"/>
      <w:numFmt w:val="bullet"/>
      <w:lvlText w:val="•"/>
      <w:lvlJc w:val="left"/>
      <w:pPr>
        <w:ind w:left="1102" w:hanging="284"/>
      </w:pPr>
      <w:rPr>
        <w:rFonts w:hint="default"/>
      </w:rPr>
    </w:lvl>
    <w:lvl w:ilvl="2">
      <w:start w:val="1"/>
      <w:numFmt w:val="bullet"/>
      <w:lvlText w:val="•"/>
      <w:lvlJc w:val="left"/>
      <w:pPr>
        <w:ind w:left="2044" w:hanging="284"/>
      </w:pPr>
      <w:rPr>
        <w:rFonts w:hint="default"/>
      </w:rPr>
    </w:lvl>
    <w:lvl w:ilvl="3">
      <w:start w:val="1"/>
      <w:numFmt w:val="bullet"/>
      <w:lvlText w:val="•"/>
      <w:lvlJc w:val="left"/>
      <w:pPr>
        <w:ind w:left="2986" w:hanging="284"/>
      </w:pPr>
      <w:rPr>
        <w:rFonts w:hint="default"/>
      </w:rPr>
    </w:lvl>
    <w:lvl w:ilvl="4">
      <w:start w:val="1"/>
      <w:numFmt w:val="bullet"/>
      <w:lvlText w:val="•"/>
      <w:lvlJc w:val="left"/>
      <w:pPr>
        <w:ind w:left="3928" w:hanging="284"/>
      </w:pPr>
      <w:rPr>
        <w:rFonts w:hint="default"/>
      </w:rPr>
    </w:lvl>
    <w:lvl w:ilvl="5">
      <w:start w:val="1"/>
      <w:numFmt w:val="bullet"/>
      <w:lvlText w:val="•"/>
      <w:lvlJc w:val="left"/>
      <w:pPr>
        <w:ind w:left="4870" w:hanging="284"/>
      </w:pPr>
      <w:rPr>
        <w:rFonts w:hint="default"/>
      </w:rPr>
    </w:lvl>
    <w:lvl w:ilvl="6">
      <w:start w:val="1"/>
      <w:numFmt w:val="bullet"/>
      <w:lvlText w:val="•"/>
      <w:lvlJc w:val="left"/>
      <w:pPr>
        <w:ind w:left="5812" w:hanging="284"/>
      </w:pPr>
      <w:rPr>
        <w:rFonts w:hint="default"/>
      </w:rPr>
    </w:lvl>
    <w:lvl w:ilvl="7">
      <w:start w:val="1"/>
      <w:numFmt w:val="bullet"/>
      <w:lvlText w:val="•"/>
      <w:lvlJc w:val="left"/>
      <w:pPr>
        <w:ind w:left="6754" w:hanging="284"/>
      </w:pPr>
      <w:rPr>
        <w:rFonts w:hint="default"/>
      </w:rPr>
    </w:lvl>
    <w:lvl w:ilvl="8">
      <w:start w:val="1"/>
      <w:numFmt w:val="bullet"/>
      <w:lvlText w:val="•"/>
      <w:lvlJc w:val="left"/>
      <w:pPr>
        <w:ind w:left="7696" w:hanging="284"/>
      </w:pPr>
      <w:rPr>
        <w:rFonts w:hint="default"/>
      </w:rPr>
    </w:lvl>
  </w:abstractNum>
  <w:abstractNum w:abstractNumId="116">
    <w:multiLevelType w:val="hybridMultilevel"/>
    <w:lvl w:ilvl="0">
      <w:start w:val="1"/>
      <w:numFmt w:val="decimal"/>
      <w:lvlText w:val="%1."/>
      <w:lvlJc w:val="left"/>
      <w:pPr>
        <w:ind w:left="443" w:hanging="284"/>
        <w:jc w:val="left"/>
      </w:pPr>
      <w:rPr>
        <w:rFonts w:hint="default" w:ascii="Times New Roman" w:hAnsi="Times New Roman" w:eastAsia="Times New Roman"/>
        <w:spacing w:val="-17"/>
        <w:w w:val="99"/>
        <w:sz w:val="24"/>
        <w:szCs w:val="24"/>
      </w:rPr>
    </w:lvl>
    <w:lvl w:ilvl="1">
      <w:start w:val="1"/>
      <w:numFmt w:val="bullet"/>
      <w:lvlText w:val="•"/>
      <w:lvlJc w:val="left"/>
      <w:pPr>
        <w:ind w:left="1354" w:hanging="284"/>
      </w:pPr>
      <w:rPr>
        <w:rFonts w:hint="default"/>
      </w:rPr>
    </w:lvl>
    <w:lvl w:ilvl="2">
      <w:start w:val="1"/>
      <w:numFmt w:val="bullet"/>
      <w:lvlText w:val="•"/>
      <w:lvlJc w:val="left"/>
      <w:pPr>
        <w:ind w:left="2268" w:hanging="284"/>
      </w:pPr>
      <w:rPr>
        <w:rFonts w:hint="default"/>
      </w:rPr>
    </w:lvl>
    <w:lvl w:ilvl="3">
      <w:start w:val="1"/>
      <w:numFmt w:val="bullet"/>
      <w:lvlText w:val="•"/>
      <w:lvlJc w:val="left"/>
      <w:pPr>
        <w:ind w:left="3182" w:hanging="284"/>
      </w:pPr>
      <w:rPr>
        <w:rFonts w:hint="default"/>
      </w:rPr>
    </w:lvl>
    <w:lvl w:ilvl="4">
      <w:start w:val="1"/>
      <w:numFmt w:val="bullet"/>
      <w:lvlText w:val="•"/>
      <w:lvlJc w:val="left"/>
      <w:pPr>
        <w:ind w:left="4096" w:hanging="284"/>
      </w:pPr>
      <w:rPr>
        <w:rFonts w:hint="default"/>
      </w:rPr>
    </w:lvl>
    <w:lvl w:ilvl="5">
      <w:start w:val="1"/>
      <w:numFmt w:val="bullet"/>
      <w:lvlText w:val="•"/>
      <w:lvlJc w:val="left"/>
      <w:pPr>
        <w:ind w:left="5010" w:hanging="284"/>
      </w:pPr>
      <w:rPr>
        <w:rFonts w:hint="default"/>
      </w:rPr>
    </w:lvl>
    <w:lvl w:ilvl="6">
      <w:start w:val="1"/>
      <w:numFmt w:val="bullet"/>
      <w:lvlText w:val="•"/>
      <w:lvlJc w:val="left"/>
      <w:pPr>
        <w:ind w:left="5924" w:hanging="284"/>
      </w:pPr>
      <w:rPr>
        <w:rFonts w:hint="default"/>
      </w:rPr>
    </w:lvl>
    <w:lvl w:ilvl="7">
      <w:start w:val="1"/>
      <w:numFmt w:val="bullet"/>
      <w:lvlText w:val="•"/>
      <w:lvlJc w:val="left"/>
      <w:pPr>
        <w:ind w:left="6838" w:hanging="284"/>
      </w:pPr>
      <w:rPr>
        <w:rFonts w:hint="default"/>
      </w:rPr>
    </w:lvl>
    <w:lvl w:ilvl="8">
      <w:start w:val="1"/>
      <w:numFmt w:val="bullet"/>
      <w:lvlText w:val="•"/>
      <w:lvlJc w:val="left"/>
      <w:pPr>
        <w:ind w:left="7752" w:hanging="284"/>
      </w:pPr>
      <w:rPr>
        <w:rFonts w:hint="default"/>
      </w:rPr>
    </w:lvl>
  </w:abstractNum>
  <w:abstractNum w:abstractNumId="115">
    <w:multiLevelType w:val="hybridMultilevel"/>
    <w:lvl w:ilvl="0">
      <w:start w:val="1"/>
      <w:numFmt w:val="bullet"/>
      <w:lvlText w:val="-"/>
      <w:lvlJc w:val="left"/>
      <w:pPr>
        <w:ind w:left="160" w:hanging="178"/>
      </w:pPr>
      <w:rPr>
        <w:rFonts w:hint="default" w:ascii="Times New Roman" w:hAnsi="Times New Roman" w:eastAsia="Times New Roman"/>
        <w:spacing w:val="-60"/>
        <w:w w:val="99"/>
        <w:sz w:val="24"/>
        <w:szCs w:val="24"/>
      </w:rPr>
    </w:lvl>
    <w:lvl w:ilvl="1">
      <w:start w:val="1"/>
      <w:numFmt w:val="bullet"/>
      <w:lvlText w:val="•"/>
      <w:lvlJc w:val="left"/>
      <w:pPr>
        <w:ind w:left="1102" w:hanging="178"/>
      </w:pPr>
      <w:rPr>
        <w:rFonts w:hint="default"/>
      </w:rPr>
    </w:lvl>
    <w:lvl w:ilvl="2">
      <w:start w:val="1"/>
      <w:numFmt w:val="bullet"/>
      <w:lvlText w:val="•"/>
      <w:lvlJc w:val="left"/>
      <w:pPr>
        <w:ind w:left="2044" w:hanging="178"/>
      </w:pPr>
      <w:rPr>
        <w:rFonts w:hint="default"/>
      </w:rPr>
    </w:lvl>
    <w:lvl w:ilvl="3">
      <w:start w:val="1"/>
      <w:numFmt w:val="bullet"/>
      <w:lvlText w:val="•"/>
      <w:lvlJc w:val="left"/>
      <w:pPr>
        <w:ind w:left="2986" w:hanging="178"/>
      </w:pPr>
      <w:rPr>
        <w:rFonts w:hint="default"/>
      </w:rPr>
    </w:lvl>
    <w:lvl w:ilvl="4">
      <w:start w:val="1"/>
      <w:numFmt w:val="bullet"/>
      <w:lvlText w:val="•"/>
      <w:lvlJc w:val="left"/>
      <w:pPr>
        <w:ind w:left="3928" w:hanging="178"/>
      </w:pPr>
      <w:rPr>
        <w:rFonts w:hint="default"/>
      </w:rPr>
    </w:lvl>
    <w:lvl w:ilvl="5">
      <w:start w:val="1"/>
      <w:numFmt w:val="bullet"/>
      <w:lvlText w:val="•"/>
      <w:lvlJc w:val="left"/>
      <w:pPr>
        <w:ind w:left="4870" w:hanging="178"/>
      </w:pPr>
      <w:rPr>
        <w:rFonts w:hint="default"/>
      </w:rPr>
    </w:lvl>
    <w:lvl w:ilvl="6">
      <w:start w:val="1"/>
      <w:numFmt w:val="bullet"/>
      <w:lvlText w:val="•"/>
      <w:lvlJc w:val="left"/>
      <w:pPr>
        <w:ind w:left="5812" w:hanging="178"/>
      </w:pPr>
      <w:rPr>
        <w:rFonts w:hint="default"/>
      </w:rPr>
    </w:lvl>
    <w:lvl w:ilvl="7">
      <w:start w:val="1"/>
      <w:numFmt w:val="bullet"/>
      <w:lvlText w:val="•"/>
      <w:lvlJc w:val="left"/>
      <w:pPr>
        <w:ind w:left="6754" w:hanging="178"/>
      </w:pPr>
      <w:rPr>
        <w:rFonts w:hint="default"/>
      </w:rPr>
    </w:lvl>
    <w:lvl w:ilvl="8">
      <w:start w:val="1"/>
      <w:numFmt w:val="bullet"/>
      <w:lvlText w:val="•"/>
      <w:lvlJc w:val="left"/>
      <w:pPr>
        <w:ind w:left="7696" w:hanging="178"/>
      </w:pPr>
      <w:rPr>
        <w:rFonts w:hint="default"/>
      </w:rPr>
    </w:lvl>
  </w:abstractNum>
  <w:abstractNum w:abstractNumId="114">
    <w:multiLevelType w:val="hybridMultilevel"/>
    <w:lvl w:ilvl="0">
      <w:start w:val="1"/>
      <w:numFmt w:val="bullet"/>
      <w:lvlText w:val="-"/>
      <w:lvlJc w:val="left"/>
      <w:pPr>
        <w:ind w:left="299" w:hanging="140"/>
      </w:pPr>
      <w:rPr>
        <w:rFonts w:hint="default" w:ascii="Times New Roman" w:hAnsi="Times New Roman" w:eastAsia="Times New Roman"/>
        <w:w w:val="99"/>
        <w:sz w:val="24"/>
        <w:szCs w:val="24"/>
      </w:rPr>
    </w:lvl>
    <w:lvl w:ilvl="1">
      <w:start w:val="1"/>
      <w:numFmt w:val="bullet"/>
      <w:lvlText w:val="•"/>
      <w:lvlJc w:val="left"/>
      <w:pPr>
        <w:ind w:left="1228" w:hanging="140"/>
      </w:pPr>
      <w:rPr>
        <w:rFonts w:hint="default"/>
      </w:rPr>
    </w:lvl>
    <w:lvl w:ilvl="2">
      <w:start w:val="1"/>
      <w:numFmt w:val="bullet"/>
      <w:lvlText w:val="•"/>
      <w:lvlJc w:val="left"/>
      <w:pPr>
        <w:ind w:left="2156" w:hanging="140"/>
      </w:pPr>
      <w:rPr>
        <w:rFonts w:hint="default"/>
      </w:rPr>
    </w:lvl>
    <w:lvl w:ilvl="3">
      <w:start w:val="1"/>
      <w:numFmt w:val="bullet"/>
      <w:lvlText w:val="•"/>
      <w:lvlJc w:val="left"/>
      <w:pPr>
        <w:ind w:left="3084" w:hanging="140"/>
      </w:pPr>
      <w:rPr>
        <w:rFonts w:hint="default"/>
      </w:rPr>
    </w:lvl>
    <w:lvl w:ilvl="4">
      <w:start w:val="1"/>
      <w:numFmt w:val="bullet"/>
      <w:lvlText w:val="•"/>
      <w:lvlJc w:val="left"/>
      <w:pPr>
        <w:ind w:left="4012" w:hanging="140"/>
      </w:pPr>
      <w:rPr>
        <w:rFonts w:hint="default"/>
      </w:rPr>
    </w:lvl>
    <w:lvl w:ilvl="5">
      <w:start w:val="1"/>
      <w:numFmt w:val="bullet"/>
      <w:lvlText w:val="•"/>
      <w:lvlJc w:val="left"/>
      <w:pPr>
        <w:ind w:left="4940" w:hanging="140"/>
      </w:pPr>
      <w:rPr>
        <w:rFonts w:hint="default"/>
      </w:rPr>
    </w:lvl>
    <w:lvl w:ilvl="6">
      <w:start w:val="1"/>
      <w:numFmt w:val="bullet"/>
      <w:lvlText w:val="•"/>
      <w:lvlJc w:val="left"/>
      <w:pPr>
        <w:ind w:left="5868" w:hanging="140"/>
      </w:pPr>
      <w:rPr>
        <w:rFonts w:hint="default"/>
      </w:rPr>
    </w:lvl>
    <w:lvl w:ilvl="7">
      <w:start w:val="1"/>
      <w:numFmt w:val="bullet"/>
      <w:lvlText w:val="•"/>
      <w:lvlJc w:val="left"/>
      <w:pPr>
        <w:ind w:left="6796" w:hanging="140"/>
      </w:pPr>
      <w:rPr>
        <w:rFonts w:hint="default"/>
      </w:rPr>
    </w:lvl>
    <w:lvl w:ilvl="8">
      <w:start w:val="1"/>
      <w:numFmt w:val="bullet"/>
      <w:lvlText w:val="•"/>
      <w:lvlJc w:val="left"/>
      <w:pPr>
        <w:ind w:left="7724" w:hanging="140"/>
      </w:pPr>
      <w:rPr>
        <w:rFonts w:hint="default"/>
      </w:rPr>
    </w:lvl>
  </w:abstractNum>
  <w:abstractNum w:abstractNumId="113">
    <w:multiLevelType w:val="hybridMultilevel"/>
    <w:lvl w:ilvl="0">
      <w:start w:val="1"/>
      <w:numFmt w:val="bullet"/>
      <w:lvlText w:val="-"/>
      <w:lvlJc w:val="left"/>
      <w:pPr>
        <w:ind w:left="160" w:hanging="142"/>
      </w:pPr>
      <w:rPr>
        <w:rFonts w:hint="default" w:ascii="Times New Roman" w:hAnsi="Times New Roman" w:eastAsia="Times New Roman"/>
        <w:b/>
        <w:bCs/>
        <w:w w:val="99"/>
        <w:sz w:val="24"/>
        <w:szCs w:val="24"/>
      </w:rPr>
    </w:lvl>
    <w:lvl w:ilvl="1">
      <w:start w:val="1"/>
      <w:numFmt w:val="bullet"/>
      <w:lvlText w:val="•"/>
      <w:lvlJc w:val="left"/>
      <w:pPr>
        <w:ind w:left="1102" w:hanging="142"/>
      </w:pPr>
      <w:rPr>
        <w:rFonts w:hint="default"/>
      </w:rPr>
    </w:lvl>
    <w:lvl w:ilvl="2">
      <w:start w:val="1"/>
      <w:numFmt w:val="bullet"/>
      <w:lvlText w:val="•"/>
      <w:lvlJc w:val="left"/>
      <w:pPr>
        <w:ind w:left="2044" w:hanging="142"/>
      </w:pPr>
      <w:rPr>
        <w:rFonts w:hint="default"/>
      </w:rPr>
    </w:lvl>
    <w:lvl w:ilvl="3">
      <w:start w:val="1"/>
      <w:numFmt w:val="bullet"/>
      <w:lvlText w:val="•"/>
      <w:lvlJc w:val="left"/>
      <w:pPr>
        <w:ind w:left="2986" w:hanging="142"/>
      </w:pPr>
      <w:rPr>
        <w:rFonts w:hint="default"/>
      </w:rPr>
    </w:lvl>
    <w:lvl w:ilvl="4">
      <w:start w:val="1"/>
      <w:numFmt w:val="bullet"/>
      <w:lvlText w:val="•"/>
      <w:lvlJc w:val="left"/>
      <w:pPr>
        <w:ind w:left="3928" w:hanging="142"/>
      </w:pPr>
      <w:rPr>
        <w:rFonts w:hint="default"/>
      </w:rPr>
    </w:lvl>
    <w:lvl w:ilvl="5">
      <w:start w:val="1"/>
      <w:numFmt w:val="bullet"/>
      <w:lvlText w:val="•"/>
      <w:lvlJc w:val="left"/>
      <w:pPr>
        <w:ind w:left="4870" w:hanging="142"/>
      </w:pPr>
      <w:rPr>
        <w:rFonts w:hint="default"/>
      </w:rPr>
    </w:lvl>
    <w:lvl w:ilvl="6">
      <w:start w:val="1"/>
      <w:numFmt w:val="bullet"/>
      <w:lvlText w:val="•"/>
      <w:lvlJc w:val="left"/>
      <w:pPr>
        <w:ind w:left="5812" w:hanging="142"/>
      </w:pPr>
      <w:rPr>
        <w:rFonts w:hint="default"/>
      </w:rPr>
    </w:lvl>
    <w:lvl w:ilvl="7">
      <w:start w:val="1"/>
      <w:numFmt w:val="bullet"/>
      <w:lvlText w:val="•"/>
      <w:lvlJc w:val="left"/>
      <w:pPr>
        <w:ind w:left="6754" w:hanging="142"/>
      </w:pPr>
      <w:rPr>
        <w:rFonts w:hint="default"/>
      </w:rPr>
    </w:lvl>
    <w:lvl w:ilvl="8">
      <w:start w:val="1"/>
      <w:numFmt w:val="bullet"/>
      <w:lvlText w:val="•"/>
      <w:lvlJc w:val="left"/>
      <w:pPr>
        <w:ind w:left="7696" w:hanging="142"/>
      </w:pPr>
      <w:rPr>
        <w:rFonts w:hint="default"/>
      </w:rPr>
    </w:lvl>
  </w:abstractNum>
  <w:abstractNum w:abstractNumId="112">
    <w:multiLevelType w:val="hybridMultilevel"/>
    <w:lvl w:ilvl="0">
      <w:start w:val="1"/>
      <w:numFmt w:val="bullet"/>
      <w:lvlText w:val="-"/>
      <w:lvlJc w:val="left"/>
      <w:pPr>
        <w:ind w:left="160" w:hanging="142"/>
      </w:pPr>
      <w:rPr>
        <w:rFonts w:hint="default" w:ascii="Times New Roman" w:hAnsi="Times New Roman" w:eastAsia="Times New Roman"/>
        <w:w w:val="99"/>
        <w:sz w:val="24"/>
        <w:szCs w:val="24"/>
      </w:rPr>
    </w:lvl>
    <w:lvl w:ilvl="1">
      <w:start w:val="1"/>
      <w:numFmt w:val="bullet"/>
      <w:lvlText w:val="•"/>
      <w:lvlJc w:val="left"/>
      <w:pPr>
        <w:ind w:left="1102" w:hanging="142"/>
      </w:pPr>
      <w:rPr>
        <w:rFonts w:hint="default"/>
      </w:rPr>
    </w:lvl>
    <w:lvl w:ilvl="2">
      <w:start w:val="1"/>
      <w:numFmt w:val="bullet"/>
      <w:lvlText w:val="•"/>
      <w:lvlJc w:val="left"/>
      <w:pPr>
        <w:ind w:left="2044" w:hanging="142"/>
      </w:pPr>
      <w:rPr>
        <w:rFonts w:hint="default"/>
      </w:rPr>
    </w:lvl>
    <w:lvl w:ilvl="3">
      <w:start w:val="1"/>
      <w:numFmt w:val="bullet"/>
      <w:lvlText w:val="•"/>
      <w:lvlJc w:val="left"/>
      <w:pPr>
        <w:ind w:left="2986" w:hanging="142"/>
      </w:pPr>
      <w:rPr>
        <w:rFonts w:hint="default"/>
      </w:rPr>
    </w:lvl>
    <w:lvl w:ilvl="4">
      <w:start w:val="1"/>
      <w:numFmt w:val="bullet"/>
      <w:lvlText w:val="•"/>
      <w:lvlJc w:val="left"/>
      <w:pPr>
        <w:ind w:left="3928" w:hanging="142"/>
      </w:pPr>
      <w:rPr>
        <w:rFonts w:hint="default"/>
      </w:rPr>
    </w:lvl>
    <w:lvl w:ilvl="5">
      <w:start w:val="1"/>
      <w:numFmt w:val="bullet"/>
      <w:lvlText w:val="•"/>
      <w:lvlJc w:val="left"/>
      <w:pPr>
        <w:ind w:left="4870" w:hanging="142"/>
      </w:pPr>
      <w:rPr>
        <w:rFonts w:hint="default"/>
      </w:rPr>
    </w:lvl>
    <w:lvl w:ilvl="6">
      <w:start w:val="1"/>
      <w:numFmt w:val="bullet"/>
      <w:lvlText w:val="•"/>
      <w:lvlJc w:val="left"/>
      <w:pPr>
        <w:ind w:left="5812" w:hanging="142"/>
      </w:pPr>
      <w:rPr>
        <w:rFonts w:hint="default"/>
      </w:rPr>
    </w:lvl>
    <w:lvl w:ilvl="7">
      <w:start w:val="1"/>
      <w:numFmt w:val="bullet"/>
      <w:lvlText w:val="•"/>
      <w:lvlJc w:val="left"/>
      <w:pPr>
        <w:ind w:left="6754" w:hanging="142"/>
      </w:pPr>
      <w:rPr>
        <w:rFonts w:hint="default"/>
      </w:rPr>
    </w:lvl>
    <w:lvl w:ilvl="8">
      <w:start w:val="1"/>
      <w:numFmt w:val="bullet"/>
      <w:lvlText w:val="•"/>
      <w:lvlJc w:val="left"/>
      <w:pPr>
        <w:ind w:left="7696" w:hanging="142"/>
      </w:pPr>
      <w:rPr>
        <w:rFonts w:hint="default"/>
      </w:rPr>
    </w:lvl>
  </w:abstractNum>
  <w:abstractNum w:abstractNumId="111">
    <w:multiLevelType w:val="hybridMultilevel"/>
    <w:lvl w:ilvl="0">
      <w:start w:val="1"/>
      <w:numFmt w:val="bullet"/>
      <w:lvlText w:val="-"/>
      <w:lvlJc w:val="left"/>
      <w:pPr>
        <w:ind w:left="302" w:hanging="142"/>
      </w:pPr>
      <w:rPr>
        <w:rFonts w:hint="default" w:ascii="Times New Roman" w:hAnsi="Times New Roman" w:eastAsia="Times New Roman"/>
        <w:w w:val="99"/>
        <w:sz w:val="24"/>
        <w:szCs w:val="24"/>
      </w:rPr>
    </w:lvl>
    <w:lvl w:ilvl="1">
      <w:start w:val="1"/>
      <w:numFmt w:val="bullet"/>
      <w:lvlText w:val="•"/>
      <w:lvlJc w:val="left"/>
      <w:pPr>
        <w:ind w:left="1228" w:hanging="142"/>
      </w:pPr>
      <w:rPr>
        <w:rFonts w:hint="default"/>
      </w:rPr>
    </w:lvl>
    <w:lvl w:ilvl="2">
      <w:start w:val="1"/>
      <w:numFmt w:val="bullet"/>
      <w:lvlText w:val="•"/>
      <w:lvlJc w:val="left"/>
      <w:pPr>
        <w:ind w:left="2156" w:hanging="142"/>
      </w:pPr>
      <w:rPr>
        <w:rFonts w:hint="default"/>
      </w:rPr>
    </w:lvl>
    <w:lvl w:ilvl="3">
      <w:start w:val="1"/>
      <w:numFmt w:val="bullet"/>
      <w:lvlText w:val="•"/>
      <w:lvlJc w:val="left"/>
      <w:pPr>
        <w:ind w:left="3084" w:hanging="142"/>
      </w:pPr>
      <w:rPr>
        <w:rFonts w:hint="default"/>
      </w:rPr>
    </w:lvl>
    <w:lvl w:ilvl="4">
      <w:start w:val="1"/>
      <w:numFmt w:val="bullet"/>
      <w:lvlText w:val="•"/>
      <w:lvlJc w:val="left"/>
      <w:pPr>
        <w:ind w:left="4012" w:hanging="142"/>
      </w:pPr>
      <w:rPr>
        <w:rFonts w:hint="default"/>
      </w:rPr>
    </w:lvl>
    <w:lvl w:ilvl="5">
      <w:start w:val="1"/>
      <w:numFmt w:val="bullet"/>
      <w:lvlText w:val="•"/>
      <w:lvlJc w:val="left"/>
      <w:pPr>
        <w:ind w:left="4940" w:hanging="142"/>
      </w:pPr>
      <w:rPr>
        <w:rFonts w:hint="default"/>
      </w:rPr>
    </w:lvl>
    <w:lvl w:ilvl="6">
      <w:start w:val="1"/>
      <w:numFmt w:val="bullet"/>
      <w:lvlText w:val="•"/>
      <w:lvlJc w:val="left"/>
      <w:pPr>
        <w:ind w:left="5868" w:hanging="142"/>
      </w:pPr>
      <w:rPr>
        <w:rFonts w:hint="default"/>
      </w:rPr>
    </w:lvl>
    <w:lvl w:ilvl="7">
      <w:start w:val="1"/>
      <w:numFmt w:val="bullet"/>
      <w:lvlText w:val="•"/>
      <w:lvlJc w:val="left"/>
      <w:pPr>
        <w:ind w:left="6796" w:hanging="142"/>
      </w:pPr>
      <w:rPr>
        <w:rFonts w:hint="default"/>
      </w:rPr>
    </w:lvl>
    <w:lvl w:ilvl="8">
      <w:start w:val="1"/>
      <w:numFmt w:val="bullet"/>
      <w:lvlText w:val="•"/>
      <w:lvlJc w:val="left"/>
      <w:pPr>
        <w:ind w:left="7724" w:hanging="142"/>
      </w:pPr>
      <w:rPr>
        <w:rFonts w:hint="default"/>
      </w:rPr>
    </w:lvl>
  </w:abstractNum>
  <w:abstractNum w:abstractNumId="110">
    <w:multiLevelType w:val="hybridMultilevel"/>
    <w:lvl w:ilvl="0">
      <w:start w:val="1"/>
      <w:numFmt w:val="bullet"/>
      <w:lvlText w:val="-"/>
      <w:lvlJc w:val="left"/>
      <w:pPr>
        <w:ind w:left="160" w:hanging="142"/>
      </w:pPr>
      <w:rPr>
        <w:rFonts w:hint="default" w:ascii="Times New Roman" w:hAnsi="Times New Roman" w:eastAsia="Times New Roman"/>
        <w:w w:val="99"/>
        <w:sz w:val="24"/>
        <w:szCs w:val="24"/>
      </w:rPr>
    </w:lvl>
    <w:lvl w:ilvl="1">
      <w:start w:val="1"/>
      <w:numFmt w:val="bullet"/>
      <w:lvlText w:val="•"/>
      <w:lvlJc w:val="left"/>
      <w:pPr>
        <w:ind w:left="1102" w:hanging="142"/>
      </w:pPr>
      <w:rPr>
        <w:rFonts w:hint="default"/>
      </w:rPr>
    </w:lvl>
    <w:lvl w:ilvl="2">
      <w:start w:val="1"/>
      <w:numFmt w:val="bullet"/>
      <w:lvlText w:val="•"/>
      <w:lvlJc w:val="left"/>
      <w:pPr>
        <w:ind w:left="2044" w:hanging="142"/>
      </w:pPr>
      <w:rPr>
        <w:rFonts w:hint="default"/>
      </w:rPr>
    </w:lvl>
    <w:lvl w:ilvl="3">
      <w:start w:val="1"/>
      <w:numFmt w:val="bullet"/>
      <w:lvlText w:val="•"/>
      <w:lvlJc w:val="left"/>
      <w:pPr>
        <w:ind w:left="2986" w:hanging="142"/>
      </w:pPr>
      <w:rPr>
        <w:rFonts w:hint="default"/>
      </w:rPr>
    </w:lvl>
    <w:lvl w:ilvl="4">
      <w:start w:val="1"/>
      <w:numFmt w:val="bullet"/>
      <w:lvlText w:val="•"/>
      <w:lvlJc w:val="left"/>
      <w:pPr>
        <w:ind w:left="3928" w:hanging="142"/>
      </w:pPr>
      <w:rPr>
        <w:rFonts w:hint="default"/>
      </w:rPr>
    </w:lvl>
    <w:lvl w:ilvl="5">
      <w:start w:val="1"/>
      <w:numFmt w:val="bullet"/>
      <w:lvlText w:val="•"/>
      <w:lvlJc w:val="left"/>
      <w:pPr>
        <w:ind w:left="4870" w:hanging="142"/>
      </w:pPr>
      <w:rPr>
        <w:rFonts w:hint="default"/>
      </w:rPr>
    </w:lvl>
    <w:lvl w:ilvl="6">
      <w:start w:val="1"/>
      <w:numFmt w:val="bullet"/>
      <w:lvlText w:val="•"/>
      <w:lvlJc w:val="left"/>
      <w:pPr>
        <w:ind w:left="5812" w:hanging="142"/>
      </w:pPr>
      <w:rPr>
        <w:rFonts w:hint="default"/>
      </w:rPr>
    </w:lvl>
    <w:lvl w:ilvl="7">
      <w:start w:val="1"/>
      <w:numFmt w:val="bullet"/>
      <w:lvlText w:val="•"/>
      <w:lvlJc w:val="left"/>
      <w:pPr>
        <w:ind w:left="6754" w:hanging="142"/>
      </w:pPr>
      <w:rPr>
        <w:rFonts w:hint="default"/>
      </w:rPr>
    </w:lvl>
    <w:lvl w:ilvl="8">
      <w:start w:val="1"/>
      <w:numFmt w:val="bullet"/>
      <w:lvlText w:val="•"/>
      <w:lvlJc w:val="left"/>
      <w:pPr>
        <w:ind w:left="7696" w:hanging="142"/>
      </w:pPr>
      <w:rPr>
        <w:rFonts w:hint="default"/>
      </w:rPr>
    </w:lvl>
  </w:abstractNum>
  <w:abstractNum w:abstractNumId="109">
    <w:multiLevelType w:val="hybridMultilevel"/>
    <w:lvl w:ilvl="0">
      <w:start w:val="1"/>
      <w:numFmt w:val="bullet"/>
      <w:lvlText w:val="-"/>
      <w:lvlJc w:val="left"/>
      <w:pPr>
        <w:ind w:left="160" w:hanging="142"/>
      </w:pPr>
      <w:rPr>
        <w:rFonts w:hint="default" w:ascii="Times New Roman" w:hAnsi="Times New Roman" w:eastAsia="Times New Roman"/>
        <w:w w:val="99"/>
        <w:sz w:val="24"/>
        <w:szCs w:val="24"/>
      </w:rPr>
    </w:lvl>
    <w:lvl w:ilvl="1">
      <w:start w:val="1"/>
      <w:numFmt w:val="bullet"/>
      <w:lvlText w:val="•"/>
      <w:lvlJc w:val="left"/>
      <w:pPr>
        <w:ind w:left="1102" w:hanging="142"/>
      </w:pPr>
      <w:rPr>
        <w:rFonts w:hint="default"/>
      </w:rPr>
    </w:lvl>
    <w:lvl w:ilvl="2">
      <w:start w:val="1"/>
      <w:numFmt w:val="bullet"/>
      <w:lvlText w:val="•"/>
      <w:lvlJc w:val="left"/>
      <w:pPr>
        <w:ind w:left="2044" w:hanging="142"/>
      </w:pPr>
      <w:rPr>
        <w:rFonts w:hint="default"/>
      </w:rPr>
    </w:lvl>
    <w:lvl w:ilvl="3">
      <w:start w:val="1"/>
      <w:numFmt w:val="bullet"/>
      <w:lvlText w:val="•"/>
      <w:lvlJc w:val="left"/>
      <w:pPr>
        <w:ind w:left="2986" w:hanging="142"/>
      </w:pPr>
      <w:rPr>
        <w:rFonts w:hint="default"/>
      </w:rPr>
    </w:lvl>
    <w:lvl w:ilvl="4">
      <w:start w:val="1"/>
      <w:numFmt w:val="bullet"/>
      <w:lvlText w:val="•"/>
      <w:lvlJc w:val="left"/>
      <w:pPr>
        <w:ind w:left="3928" w:hanging="142"/>
      </w:pPr>
      <w:rPr>
        <w:rFonts w:hint="default"/>
      </w:rPr>
    </w:lvl>
    <w:lvl w:ilvl="5">
      <w:start w:val="1"/>
      <w:numFmt w:val="bullet"/>
      <w:lvlText w:val="•"/>
      <w:lvlJc w:val="left"/>
      <w:pPr>
        <w:ind w:left="4870" w:hanging="142"/>
      </w:pPr>
      <w:rPr>
        <w:rFonts w:hint="default"/>
      </w:rPr>
    </w:lvl>
    <w:lvl w:ilvl="6">
      <w:start w:val="1"/>
      <w:numFmt w:val="bullet"/>
      <w:lvlText w:val="•"/>
      <w:lvlJc w:val="left"/>
      <w:pPr>
        <w:ind w:left="5812" w:hanging="142"/>
      </w:pPr>
      <w:rPr>
        <w:rFonts w:hint="default"/>
      </w:rPr>
    </w:lvl>
    <w:lvl w:ilvl="7">
      <w:start w:val="1"/>
      <w:numFmt w:val="bullet"/>
      <w:lvlText w:val="•"/>
      <w:lvlJc w:val="left"/>
      <w:pPr>
        <w:ind w:left="6754" w:hanging="142"/>
      </w:pPr>
      <w:rPr>
        <w:rFonts w:hint="default"/>
      </w:rPr>
    </w:lvl>
    <w:lvl w:ilvl="8">
      <w:start w:val="1"/>
      <w:numFmt w:val="bullet"/>
      <w:lvlText w:val="•"/>
      <w:lvlJc w:val="left"/>
      <w:pPr>
        <w:ind w:left="7696" w:hanging="142"/>
      </w:pPr>
      <w:rPr>
        <w:rFonts w:hint="default"/>
      </w:rPr>
    </w:lvl>
  </w:abstractNum>
  <w:abstractNum w:abstractNumId="108">
    <w:multiLevelType w:val="hybridMultilevel"/>
    <w:lvl w:ilvl="0">
      <w:start w:val="1"/>
      <w:numFmt w:val="bullet"/>
      <w:lvlText w:val="-"/>
      <w:lvlJc w:val="left"/>
      <w:pPr>
        <w:ind w:left="160" w:hanging="202"/>
      </w:pPr>
      <w:rPr>
        <w:rFonts w:hint="default" w:ascii="Times New Roman" w:hAnsi="Times New Roman" w:eastAsia="Times New Roman"/>
        <w:spacing w:val="-60"/>
        <w:w w:val="99"/>
        <w:sz w:val="24"/>
        <w:szCs w:val="24"/>
      </w:rPr>
    </w:lvl>
    <w:lvl w:ilvl="1">
      <w:start w:val="1"/>
      <w:numFmt w:val="bullet"/>
      <w:lvlText w:val="•"/>
      <w:lvlJc w:val="left"/>
      <w:pPr>
        <w:ind w:left="1102" w:hanging="202"/>
      </w:pPr>
      <w:rPr>
        <w:rFonts w:hint="default"/>
      </w:rPr>
    </w:lvl>
    <w:lvl w:ilvl="2">
      <w:start w:val="1"/>
      <w:numFmt w:val="bullet"/>
      <w:lvlText w:val="•"/>
      <w:lvlJc w:val="left"/>
      <w:pPr>
        <w:ind w:left="2044" w:hanging="202"/>
      </w:pPr>
      <w:rPr>
        <w:rFonts w:hint="default"/>
      </w:rPr>
    </w:lvl>
    <w:lvl w:ilvl="3">
      <w:start w:val="1"/>
      <w:numFmt w:val="bullet"/>
      <w:lvlText w:val="•"/>
      <w:lvlJc w:val="left"/>
      <w:pPr>
        <w:ind w:left="2986" w:hanging="202"/>
      </w:pPr>
      <w:rPr>
        <w:rFonts w:hint="default"/>
      </w:rPr>
    </w:lvl>
    <w:lvl w:ilvl="4">
      <w:start w:val="1"/>
      <w:numFmt w:val="bullet"/>
      <w:lvlText w:val="•"/>
      <w:lvlJc w:val="left"/>
      <w:pPr>
        <w:ind w:left="3928" w:hanging="202"/>
      </w:pPr>
      <w:rPr>
        <w:rFonts w:hint="default"/>
      </w:rPr>
    </w:lvl>
    <w:lvl w:ilvl="5">
      <w:start w:val="1"/>
      <w:numFmt w:val="bullet"/>
      <w:lvlText w:val="•"/>
      <w:lvlJc w:val="left"/>
      <w:pPr>
        <w:ind w:left="4870" w:hanging="202"/>
      </w:pPr>
      <w:rPr>
        <w:rFonts w:hint="default"/>
      </w:rPr>
    </w:lvl>
    <w:lvl w:ilvl="6">
      <w:start w:val="1"/>
      <w:numFmt w:val="bullet"/>
      <w:lvlText w:val="•"/>
      <w:lvlJc w:val="left"/>
      <w:pPr>
        <w:ind w:left="5812" w:hanging="202"/>
      </w:pPr>
      <w:rPr>
        <w:rFonts w:hint="default"/>
      </w:rPr>
    </w:lvl>
    <w:lvl w:ilvl="7">
      <w:start w:val="1"/>
      <w:numFmt w:val="bullet"/>
      <w:lvlText w:val="•"/>
      <w:lvlJc w:val="left"/>
      <w:pPr>
        <w:ind w:left="6754" w:hanging="202"/>
      </w:pPr>
      <w:rPr>
        <w:rFonts w:hint="default"/>
      </w:rPr>
    </w:lvl>
    <w:lvl w:ilvl="8">
      <w:start w:val="1"/>
      <w:numFmt w:val="bullet"/>
      <w:lvlText w:val="•"/>
      <w:lvlJc w:val="left"/>
      <w:pPr>
        <w:ind w:left="7696" w:hanging="202"/>
      </w:pPr>
      <w:rPr>
        <w:rFonts w:hint="default"/>
      </w:rPr>
    </w:lvl>
  </w:abstractNum>
  <w:abstractNum w:abstractNumId="107">
    <w:multiLevelType w:val="hybridMultilevel"/>
    <w:lvl w:ilvl="0">
      <w:start w:val="1"/>
      <w:numFmt w:val="bullet"/>
      <w:lvlText w:val="-"/>
      <w:lvlJc w:val="left"/>
      <w:pPr>
        <w:ind w:left="160" w:hanging="142"/>
      </w:pPr>
      <w:rPr>
        <w:rFonts w:hint="default" w:ascii="Times New Roman" w:hAnsi="Times New Roman" w:eastAsia="Times New Roman"/>
        <w:w w:val="99"/>
        <w:sz w:val="24"/>
        <w:szCs w:val="24"/>
      </w:rPr>
    </w:lvl>
    <w:lvl w:ilvl="1">
      <w:start w:val="1"/>
      <w:numFmt w:val="bullet"/>
      <w:lvlText w:val="•"/>
      <w:lvlJc w:val="left"/>
      <w:pPr>
        <w:ind w:left="1102" w:hanging="142"/>
      </w:pPr>
      <w:rPr>
        <w:rFonts w:hint="default"/>
      </w:rPr>
    </w:lvl>
    <w:lvl w:ilvl="2">
      <w:start w:val="1"/>
      <w:numFmt w:val="bullet"/>
      <w:lvlText w:val="•"/>
      <w:lvlJc w:val="left"/>
      <w:pPr>
        <w:ind w:left="2044" w:hanging="142"/>
      </w:pPr>
      <w:rPr>
        <w:rFonts w:hint="default"/>
      </w:rPr>
    </w:lvl>
    <w:lvl w:ilvl="3">
      <w:start w:val="1"/>
      <w:numFmt w:val="bullet"/>
      <w:lvlText w:val="•"/>
      <w:lvlJc w:val="left"/>
      <w:pPr>
        <w:ind w:left="2986" w:hanging="142"/>
      </w:pPr>
      <w:rPr>
        <w:rFonts w:hint="default"/>
      </w:rPr>
    </w:lvl>
    <w:lvl w:ilvl="4">
      <w:start w:val="1"/>
      <w:numFmt w:val="bullet"/>
      <w:lvlText w:val="•"/>
      <w:lvlJc w:val="left"/>
      <w:pPr>
        <w:ind w:left="3928" w:hanging="142"/>
      </w:pPr>
      <w:rPr>
        <w:rFonts w:hint="default"/>
      </w:rPr>
    </w:lvl>
    <w:lvl w:ilvl="5">
      <w:start w:val="1"/>
      <w:numFmt w:val="bullet"/>
      <w:lvlText w:val="•"/>
      <w:lvlJc w:val="left"/>
      <w:pPr>
        <w:ind w:left="4870" w:hanging="142"/>
      </w:pPr>
      <w:rPr>
        <w:rFonts w:hint="default"/>
      </w:rPr>
    </w:lvl>
    <w:lvl w:ilvl="6">
      <w:start w:val="1"/>
      <w:numFmt w:val="bullet"/>
      <w:lvlText w:val="•"/>
      <w:lvlJc w:val="left"/>
      <w:pPr>
        <w:ind w:left="5812" w:hanging="142"/>
      </w:pPr>
      <w:rPr>
        <w:rFonts w:hint="default"/>
      </w:rPr>
    </w:lvl>
    <w:lvl w:ilvl="7">
      <w:start w:val="1"/>
      <w:numFmt w:val="bullet"/>
      <w:lvlText w:val="•"/>
      <w:lvlJc w:val="left"/>
      <w:pPr>
        <w:ind w:left="6754" w:hanging="142"/>
      </w:pPr>
      <w:rPr>
        <w:rFonts w:hint="default"/>
      </w:rPr>
    </w:lvl>
    <w:lvl w:ilvl="8">
      <w:start w:val="1"/>
      <w:numFmt w:val="bullet"/>
      <w:lvlText w:val="•"/>
      <w:lvlJc w:val="left"/>
      <w:pPr>
        <w:ind w:left="7696" w:hanging="142"/>
      </w:pPr>
      <w:rPr>
        <w:rFonts w:hint="default"/>
      </w:rPr>
    </w:lvl>
  </w:abstractNum>
  <w:abstractNum w:abstractNumId="106">
    <w:multiLevelType w:val="hybridMultilevel"/>
    <w:lvl w:ilvl="0">
      <w:start w:val="1"/>
      <w:numFmt w:val="bullet"/>
      <w:lvlText w:val="-"/>
      <w:lvlJc w:val="left"/>
      <w:pPr>
        <w:ind w:left="160" w:hanging="142"/>
      </w:pPr>
      <w:rPr>
        <w:rFonts w:hint="default" w:ascii="Times New Roman" w:hAnsi="Times New Roman" w:eastAsia="Times New Roman"/>
        <w:w w:val="99"/>
        <w:sz w:val="24"/>
        <w:szCs w:val="24"/>
      </w:rPr>
    </w:lvl>
    <w:lvl w:ilvl="1">
      <w:start w:val="1"/>
      <w:numFmt w:val="bullet"/>
      <w:lvlText w:val="•"/>
      <w:lvlJc w:val="left"/>
      <w:pPr>
        <w:ind w:left="1102" w:hanging="142"/>
      </w:pPr>
      <w:rPr>
        <w:rFonts w:hint="default"/>
      </w:rPr>
    </w:lvl>
    <w:lvl w:ilvl="2">
      <w:start w:val="1"/>
      <w:numFmt w:val="bullet"/>
      <w:lvlText w:val="•"/>
      <w:lvlJc w:val="left"/>
      <w:pPr>
        <w:ind w:left="2044" w:hanging="142"/>
      </w:pPr>
      <w:rPr>
        <w:rFonts w:hint="default"/>
      </w:rPr>
    </w:lvl>
    <w:lvl w:ilvl="3">
      <w:start w:val="1"/>
      <w:numFmt w:val="bullet"/>
      <w:lvlText w:val="•"/>
      <w:lvlJc w:val="left"/>
      <w:pPr>
        <w:ind w:left="2986" w:hanging="142"/>
      </w:pPr>
      <w:rPr>
        <w:rFonts w:hint="default"/>
      </w:rPr>
    </w:lvl>
    <w:lvl w:ilvl="4">
      <w:start w:val="1"/>
      <w:numFmt w:val="bullet"/>
      <w:lvlText w:val="•"/>
      <w:lvlJc w:val="left"/>
      <w:pPr>
        <w:ind w:left="3928" w:hanging="142"/>
      </w:pPr>
      <w:rPr>
        <w:rFonts w:hint="default"/>
      </w:rPr>
    </w:lvl>
    <w:lvl w:ilvl="5">
      <w:start w:val="1"/>
      <w:numFmt w:val="bullet"/>
      <w:lvlText w:val="•"/>
      <w:lvlJc w:val="left"/>
      <w:pPr>
        <w:ind w:left="4870" w:hanging="142"/>
      </w:pPr>
      <w:rPr>
        <w:rFonts w:hint="default"/>
      </w:rPr>
    </w:lvl>
    <w:lvl w:ilvl="6">
      <w:start w:val="1"/>
      <w:numFmt w:val="bullet"/>
      <w:lvlText w:val="•"/>
      <w:lvlJc w:val="left"/>
      <w:pPr>
        <w:ind w:left="5812" w:hanging="142"/>
      </w:pPr>
      <w:rPr>
        <w:rFonts w:hint="default"/>
      </w:rPr>
    </w:lvl>
    <w:lvl w:ilvl="7">
      <w:start w:val="1"/>
      <w:numFmt w:val="bullet"/>
      <w:lvlText w:val="•"/>
      <w:lvlJc w:val="left"/>
      <w:pPr>
        <w:ind w:left="6754" w:hanging="142"/>
      </w:pPr>
      <w:rPr>
        <w:rFonts w:hint="default"/>
      </w:rPr>
    </w:lvl>
    <w:lvl w:ilvl="8">
      <w:start w:val="1"/>
      <w:numFmt w:val="bullet"/>
      <w:lvlText w:val="•"/>
      <w:lvlJc w:val="left"/>
      <w:pPr>
        <w:ind w:left="7696" w:hanging="142"/>
      </w:pPr>
      <w:rPr>
        <w:rFonts w:hint="default"/>
      </w:rPr>
    </w:lvl>
  </w:abstractNum>
  <w:abstractNum w:abstractNumId="105">
    <w:multiLevelType w:val="hybridMultilevel"/>
    <w:lvl w:ilvl="0">
      <w:start w:val="1"/>
      <w:numFmt w:val="bullet"/>
      <w:lvlText w:val="-"/>
      <w:lvlJc w:val="left"/>
      <w:pPr>
        <w:ind w:left="160" w:hanging="142"/>
      </w:pPr>
      <w:rPr>
        <w:rFonts w:hint="default" w:ascii="Times New Roman" w:hAnsi="Times New Roman" w:eastAsia="Times New Roman"/>
        <w:w w:val="99"/>
        <w:sz w:val="24"/>
        <w:szCs w:val="24"/>
      </w:rPr>
    </w:lvl>
    <w:lvl w:ilvl="1">
      <w:start w:val="1"/>
      <w:numFmt w:val="bullet"/>
      <w:lvlText w:val="•"/>
      <w:lvlJc w:val="left"/>
      <w:pPr>
        <w:ind w:left="1102" w:hanging="142"/>
      </w:pPr>
      <w:rPr>
        <w:rFonts w:hint="default"/>
      </w:rPr>
    </w:lvl>
    <w:lvl w:ilvl="2">
      <w:start w:val="1"/>
      <w:numFmt w:val="bullet"/>
      <w:lvlText w:val="•"/>
      <w:lvlJc w:val="left"/>
      <w:pPr>
        <w:ind w:left="2044" w:hanging="142"/>
      </w:pPr>
      <w:rPr>
        <w:rFonts w:hint="default"/>
      </w:rPr>
    </w:lvl>
    <w:lvl w:ilvl="3">
      <w:start w:val="1"/>
      <w:numFmt w:val="bullet"/>
      <w:lvlText w:val="•"/>
      <w:lvlJc w:val="left"/>
      <w:pPr>
        <w:ind w:left="2986" w:hanging="142"/>
      </w:pPr>
      <w:rPr>
        <w:rFonts w:hint="default"/>
      </w:rPr>
    </w:lvl>
    <w:lvl w:ilvl="4">
      <w:start w:val="1"/>
      <w:numFmt w:val="bullet"/>
      <w:lvlText w:val="•"/>
      <w:lvlJc w:val="left"/>
      <w:pPr>
        <w:ind w:left="3928" w:hanging="142"/>
      </w:pPr>
      <w:rPr>
        <w:rFonts w:hint="default"/>
      </w:rPr>
    </w:lvl>
    <w:lvl w:ilvl="5">
      <w:start w:val="1"/>
      <w:numFmt w:val="bullet"/>
      <w:lvlText w:val="•"/>
      <w:lvlJc w:val="left"/>
      <w:pPr>
        <w:ind w:left="4870" w:hanging="142"/>
      </w:pPr>
      <w:rPr>
        <w:rFonts w:hint="default"/>
      </w:rPr>
    </w:lvl>
    <w:lvl w:ilvl="6">
      <w:start w:val="1"/>
      <w:numFmt w:val="bullet"/>
      <w:lvlText w:val="•"/>
      <w:lvlJc w:val="left"/>
      <w:pPr>
        <w:ind w:left="5812" w:hanging="142"/>
      </w:pPr>
      <w:rPr>
        <w:rFonts w:hint="default"/>
      </w:rPr>
    </w:lvl>
    <w:lvl w:ilvl="7">
      <w:start w:val="1"/>
      <w:numFmt w:val="bullet"/>
      <w:lvlText w:val="•"/>
      <w:lvlJc w:val="left"/>
      <w:pPr>
        <w:ind w:left="6754" w:hanging="142"/>
      </w:pPr>
      <w:rPr>
        <w:rFonts w:hint="default"/>
      </w:rPr>
    </w:lvl>
    <w:lvl w:ilvl="8">
      <w:start w:val="1"/>
      <w:numFmt w:val="bullet"/>
      <w:lvlText w:val="•"/>
      <w:lvlJc w:val="left"/>
      <w:pPr>
        <w:ind w:left="7696" w:hanging="142"/>
      </w:pPr>
      <w:rPr>
        <w:rFonts w:hint="default"/>
      </w:rPr>
    </w:lvl>
  </w:abstractNum>
  <w:abstractNum w:abstractNumId="104">
    <w:multiLevelType w:val="hybridMultilevel"/>
    <w:lvl w:ilvl="0">
      <w:start w:val="3"/>
      <w:numFmt w:val="decimal"/>
      <w:lvlText w:val="%1"/>
      <w:lvlJc w:val="left"/>
      <w:pPr>
        <w:ind w:left="760" w:hanging="600"/>
        <w:jc w:val="left"/>
      </w:pPr>
      <w:rPr>
        <w:rFonts w:hint="default"/>
      </w:rPr>
    </w:lvl>
    <w:lvl w:ilvl="1">
      <w:start w:val="333"/>
      <w:numFmt w:val="decimal"/>
      <w:lvlText w:val="%1.%2"/>
      <w:lvlJc w:val="left"/>
      <w:pPr>
        <w:ind w:left="760" w:hanging="600"/>
        <w:jc w:val="left"/>
      </w:pPr>
      <w:rPr>
        <w:rFonts w:hint="default" w:ascii="Times New Roman" w:hAnsi="Times New Roman" w:eastAsia="Times New Roman"/>
        <w:w w:val="100"/>
        <w:sz w:val="24"/>
        <w:szCs w:val="24"/>
      </w:rPr>
    </w:lvl>
    <w:lvl w:ilvl="2">
      <w:start w:val="1"/>
      <w:numFmt w:val="bullet"/>
      <w:lvlText w:val="-"/>
      <w:lvlJc w:val="left"/>
      <w:pPr>
        <w:ind w:left="160" w:hanging="216"/>
      </w:pPr>
      <w:rPr>
        <w:rFonts w:hint="default" w:ascii="Times New Roman" w:hAnsi="Times New Roman" w:eastAsia="Times New Roman"/>
        <w:spacing w:val="-30"/>
        <w:w w:val="99"/>
        <w:sz w:val="24"/>
        <w:szCs w:val="24"/>
      </w:rPr>
    </w:lvl>
    <w:lvl w:ilvl="3">
      <w:start w:val="1"/>
      <w:numFmt w:val="bullet"/>
      <w:lvlText w:val="•"/>
      <w:lvlJc w:val="left"/>
      <w:pPr>
        <w:ind w:left="2720" w:hanging="216"/>
      </w:pPr>
      <w:rPr>
        <w:rFonts w:hint="default"/>
      </w:rPr>
    </w:lvl>
    <w:lvl w:ilvl="4">
      <w:start w:val="1"/>
      <w:numFmt w:val="bullet"/>
      <w:lvlText w:val="•"/>
      <w:lvlJc w:val="left"/>
      <w:pPr>
        <w:ind w:left="3700" w:hanging="216"/>
      </w:pPr>
      <w:rPr>
        <w:rFonts w:hint="default"/>
      </w:rPr>
    </w:lvl>
    <w:lvl w:ilvl="5">
      <w:start w:val="1"/>
      <w:numFmt w:val="bullet"/>
      <w:lvlText w:val="•"/>
      <w:lvlJc w:val="left"/>
      <w:pPr>
        <w:ind w:left="4680" w:hanging="216"/>
      </w:pPr>
      <w:rPr>
        <w:rFonts w:hint="default"/>
      </w:rPr>
    </w:lvl>
    <w:lvl w:ilvl="6">
      <w:start w:val="1"/>
      <w:numFmt w:val="bullet"/>
      <w:lvlText w:val="•"/>
      <w:lvlJc w:val="left"/>
      <w:pPr>
        <w:ind w:left="5660" w:hanging="216"/>
      </w:pPr>
      <w:rPr>
        <w:rFonts w:hint="default"/>
      </w:rPr>
    </w:lvl>
    <w:lvl w:ilvl="7">
      <w:start w:val="1"/>
      <w:numFmt w:val="bullet"/>
      <w:lvlText w:val="•"/>
      <w:lvlJc w:val="left"/>
      <w:pPr>
        <w:ind w:left="6640" w:hanging="216"/>
      </w:pPr>
      <w:rPr>
        <w:rFonts w:hint="default"/>
      </w:rPr>
    </w:lvl>
    <w:lvl w:ilvl="8">
      <w:start w:val="1"/>
      <w:numFmt w:val="bullet"/>
      <w:lvlText w:val="•"/>
      <w:lvlJc w:val="left"/>
      <w:pPr>
        <w:ind w:left="7620" w:hanging="216"/>
      </w:pPr>
      <w:rPr>
        <w:rFonts w:hint="default"/>
      </w:rPr>
    </w:lvl>
  </w:abstractNum>
  <w:abstractNum w:abstractNumId="103">
    <w:multiLevelType w:val="hybridMultilevel"/>
    <w:lvl w:ilvl="0">
      <w:start w:val="1"/>
      <w:numFmt w:val="bullet"/>
      <w:lvlText w:val="-"/>
      <w:lvlJc w:val="left"/>
      <w:pPr>
        <w:ind w:left="160" w:hanging="197"/>
      </w:pPr>
      <w:rPr>
        <w:rFonts w:hint="default" w:ascii="Times New Roman" w:hAnsi="Times New Roman" w:eastAsia="Times New Roman"/>
        <w:spacing w:val="-10"/>
        <w:w w:val="99"/>
        <w:sz w:val="24"/>
        <w:szCs w:val="24"/>
      </w:rPr>
    </w:lvl>
    <w:lvl w:ilvl="1">
      <w:start w:val="1"/>
      <w:numFmt w:val="bullet"/>
      <w:lvlText w:val="•"/>
      <w:lvlJc w:val="left"/>
      <w:pPr>
        <w:ind w:left="1102" w:hanging="197"/>
      </w:pPr>
      <w:rPr>
        <w:rFonts w:hint="default"/>
      </w:rPr>
    </w:lvl>
    <w:lvl w:ilvl="2">
      <w:start w:val="1"/>
      <w:numFmt w:val="bullet"/>
      <w:lvlText w:val="•"/>
      <w:lvlJc w:val="left"/>
      <w:pPr>
        <w:ind w:left="2044" w:hanging="197"/>
      </w:pPr>
      <w:rPr>
        <w:rFonts w:hint="default"/>
      </w:rPr>
    </w:lvl>
    <w:lvl w:ilvl="3">
      <w:start w:val="1"/>
      <w:numFmt w:val="bullet"/>
      <w:lvlText w:val="•"/>
      <w:lvlJc w:val="left"/>
      <w:pPr>
        <w:ind w:left="2986" w:hanging="197"/>
      </w:pPr>
      <w:rPr>
        <w:rFonts w:hint="default"/>
      </w:rPr>
    </w:lvl>
    <w:lvl w:ilvl="4">
      <w:start w:val="1"/>
      <w:numFmt w:val="bullet"/>
      <w:lvlText w:val="•"/>
      <w:lvlJc w:val="left"/>
      <w:pPr>
        <w:ind w:left="3928" w:hanging="197"/>
      </w:pPr>
      <w:rPr>
        <w:rFonts w:hint="default"/>
      </w:rPr>
    </w:lvl>
    <w:lvl w:ilvl="5">
      <w:start w:val="1"/>
      <w:numFmt w:val="bullet"/>
      <w:lvlText w:val="•"/>
      <w:lvlJc w:val="left"/>
      <w:pPr>
        <w:ind w:left="4870" w:hanging="197"/>
      </w:pPr>
      <w:rPr>
        <w:rFonts w:hint="default"/>
      </w:rPr>
    </w:lvl>
    <w:lvl w:ilvl="6">
      <w:start w:val="1"/>
      <w:numFmt w:val="bullet"/>
      <w:lvlText w:val="•"/>
      <w:lvlJc w:val="left"/>
      <w:pPr>
        <w:ind w:left="5812" w:hanging="197"/>
      </w:pPr>
      <w:rPr>
        <w:rFonts w:hint="default"/>
      </w:rPr>
    </w:lvl>
    <w:lvl w:ilvl="7">
      <w:start w:val="1"/>
      <w:numFmt w:val="bullet"/>
      <w:lvlText w:val="•"/>
      <w:lvlJc w:val="left"/>
      <w:pPr>
        <w:ind w:left="6754" w:hanging="197"/>
      </w:pPr>
      <w:rPr>
        <w:rFonts w:hint="default"/>
      </w:rPr>
    </w:lvl>
    <w:lvl w:ilvl="8">
      <w:start w:val="1"/>
      <w:numFmt w:val="bullet"/>
      <w:lvlText w:val="•"/>
      <w:lvlJc w:val="left"/>
      <w:pPr>
        <w:ind w:left="7696" w:hanging="197"/>
      </w:pPr>
      <w:rPr>
        <w:rFonts w:hint="default"/>
      </w:rPr>
    </w:lvl>
  </w:abstractNum>
  <w:abstractNum w:abstractNumId="102">
    <w:multiLevelType w:val="hybridMultilevel"/>
    <w:lvl w:ilvl="0">
      <w:start w:val="1"/>
      <w:numFmt w:val="bullet"/>
      <w:lvlText w:val="-"/>
      <w:lvlJc w:val="left"/>
      <w:pPr>
        <w:ind w:left="160" w:hanging="142"/>
      </w:pPr>
      <w:rPr>
        <w:rFonts w:hint="default" w:ascii="Times New Roman" w:hAnsi="Times New Roman" w:eastAsia="Times New Roman"/>
        <w:b/>
        <w:bCs/>
        <w:w w:val="99"/>
        <w:sz w:val="24"/>
        <w:szCs w:val="24"/>
      </w:rPr>
    </w:lvl>
    <w:lvl w:ilvl="1">
      <w:start w:val="1"/>
      <w:numFmt w:val="bullet"/>
      <w:lvlText w:val="•"/>
      <w:lvlJc w:val="left"/>
      <w:pPr>
        <w:ind w:left="1102" w:hanging="142"/>
      </w:pPr>
      <w:rPr>
        <w:rFonts w:hint="default"/>
      </w:rPr>
    </w:lvl>
    <w:lvl w:ilvl="2">
      <w:start w:val="1"/>
      <w:numFmt w:val="bullet"/>
      <w:lvlText w:val="•"/>
      <w:lvlJc w:val="left"/>
      <w:pPr>
        <w:ind w:left="2044" w:hanging="142"/>
      </w:pPr>
      <w:rPr>
        <w:rFonts w:hint="default"/>
      </w:rPr>
    </w:lvl>
    <w:lvl w:ilvl="3">
      <w:start w:val="1"/>
      <w:numFmt w:val="bullet"/>
      <w:lvlText w:val="•"/>
      <w:lvlJc w:val="left"/>
      <w:pPr>
        <w:ind w:left="2986" w:hanging="142"/>
      </w:pPr>
      <w:rPr>
        <w:rFonts w:hint="default"/>
      </w:rPr>
    </w:lvl>
    <w:lvl w:ilvl="4">
      <w:start w:val="1"/>
      <w:numFmt w:val="bullet"/>
      <w:lvlText w:val="•"/>
      <w:lvlJc w:val="left"/>
      <w:pPr>
        <w:ind w:left="3928" w:hanging="142"/>
      </w:pPr>
      <w:rPr>
        <w:rFonts w:hint="default"/>
      </w:rPr>
    </w:lvl>
    <w:lvl w:ilvl="5">
      <w:start w:val="1"/>
      <w:numFmt w:val="bullet"/>
      <w:lvlText w:val="•"/>
      <w:lvlJc w:val="left"/>
      <w:pPr>
        <w:ind w:left="4870" w:hanging="142"/>
      </w:pPr>
      <w:rPr>
        <w:rFonts w:hint="default"/>
      </w:rPr>
    </w:lvl>
    <w:lvl w:ilvl="6">
      <w:start w:val="1"/>
      <w:numFmt w:val="bullet"/>
      <w:lvlText w:val="•"/>
      <w:lvlJc w:val="left"/>
      <w:pPr>
        <w:ind w:left="5812" w:hanging="142"/>
      </w:pPr>
      <w:rPr>
        <w:rFonts w:hint="default"/>
      </w:rPr>
    </w:lvl>
    <w:lvl w:ilvl="7">
      <w:start w:val="1"/>
      <w:numFmt w:val="bullet"/>
      <w:lvlText w:val="•"/>
      <w:lvlJc w:val="left"/>
      <w:pPr>
        <w:ind w:left="6754" w:hanging="142"/>
      </w:pPr>
      <w:rPr>
        <w:rFonts w:hint="default"/>
      </w:rPr>
    </w:lvl>
    <w:lvl w:ilvl="8">
      <w:start w:val="1"/>
      <w:numFmt w:val="bullet"/>
      <w:lvlText w:val="•"/>
      <w:lvlJc w:val="left"/>
      <w:pPr>
        <w:ind w:left="7696" w:hanging="142"/>
      </w:pPr>
      <w:rPr>
        <w:rFonts w:hint="default"/>
      </w:rPr>
    </w:lvl>
  </w:abstractNum>
  <w:abstractNum w:abstractNumId="101">
    <w:multiLevelType w:val="hybridMultilevel"/>
    <w:lvl w:ilvl="0">
      <w:start w:val="1"/>
      <w:numFmt w:val="bullet"/>
      <w:lvlText w:val="-"/>
      <w:lvlJc w:val="left"/>
      <w:pPr>
        <w:ind w:left="160" w:hanging="183"/>
      </w:pPr>
      <w:rPr>
        <w:rFonts w:hint="default" w:ascii="Times New Roman" w:hAnsi="Times New Roman" w:eastAsia="Times New Roman"/>
        <w:spacing w:val="-24"/>
        <w:w w:val="99"/>
        <w:sz w:val="24"/>
        <w:szCs w:val="24"/>
      </w:rPr>
    </w:lvl>
    <w:lvl w:ilvl="1">
      <w:start w:val="1"/>
      <w:numFmt w:val="bullet"/>
      <w:lvlText w:val="•"/>
      <w:lvlJc w:val="left"/>
      <w:pPr>
        <w:ind w:left="1102" w:hanging="183"/>
      </w:pPr>
      <w:rPr>
        <w:rFonts w:hint="default"/>
      </w:rPr>
    </w:lvl>
    <w:lvl w:ilvl="2">
      <w:start w:val="1"/>
      <w:numFmt w:val="bullet"/>
      <w:lvlText w:val="•"/>
      <w:lvlJc w:val="left"/>
      <w:pPr>
        <w:ind w:left="2044" w:hanging="183"/>
      </w:pPr>
      <w:rPr>
        <w:rFonts w:hint="default"/>
      </w:rPr>
    </w:lvl>
    <w:lvl w:ilvl="3">
      <w:start w:val="1"/>
      <w:numFmt w:val="bullet"/>
      <w:lvlText w:val="•"/>
      <w:lvlJc w:val="left"/>
      <w:pPr>
        <w:ind w:left="2986" w:hanging="183"/>
      </w:pPr>
      <w:rPr>
        <w:rFonts w:hint="default"/>
      </w:rPr>
    </w:lvl>
    <w:lvl w:ilvl="4">
      <w:start w:val="1"/>
      <w:numFmt w:val="bullet"/>
      <w:lvlText w:val="•"/>
      <w:lvlJc w:val="left"/>
      <w:pPr>
        <w:ind w:left="3928" w:hanging="183"/>
      </w:pPr>
      <w:rPr>
        <w:rFonts w:hint="default"/>
      </w:rPr>
    </w:lvl>
    <w:lvl w:ilvl="5">
      <w:start w:val="1"/>
      <w:numFmt w:val="bullet"/>
      <w:lvlText w:val="•"/>
      <w:lvlJc w:val="left"/>
      <w:pPr>
        <w:ind w:left="4870" w:hanging="183"/>
      </w:pPr>
      <w:rPr>
        <w:rFonts w:hint="default"/>
      </w:rPr>
    </w:lvl>
    <w:lvl w:ilvl="6">
      <w:start w:val="1"/>
      <w:numFmt w:val="bullet"/>
      <w:lvlText w:val="•"/>
      <w:lvlJc w:val="left"/>
      <w:pPr>
        <w:ind w:left="5812" w:hanging="183"/>
      </w:pPr>
      <w:rPr>
        <w:rFonts w:hint="default"/>
      </w:rPr>
    </w:lvl>
    <w:lvl w:ilvl="7">
      <w:start w:val="1"/>
      <w:numFmt w:val="bullet"/>
      <w:lvlText w:val="•"/>
      <w:lvlJc w:val="left"/>
      <w:pPr>
        <w:ind w:left="6754" w:hanging="183"/>
      </w:pPr>
      <w:rPr>
        <w:rFonts w:hint="default"/>
      </w:rPr>
    </w:lvl>
    <w:lvl w:ilvl="8">
      <w:start w:val="1"/>
      <w:numFmt w:val="bullet"/>
      <w:lvlText w:val="•"/>
      <w:lvlJc w:val="left"/>
      <w:pPr>
        <w:ind w:left="7696" w:hanging="183"/>
      </w:pPr>
      <w:rPr>
        <w:rFonts w:hint="default"/>
      </w:rPr>
    </w:lvl>
  </w:abstractNum>
  <w:abstractNum w:abstractNumId="100">
    <w:multiLevelType w:val="hybridMultilevel"/>
    <w:lvl w:ilvl="0">
      <w:start w:val="1"/>
      <w:numFmt w:val="bullet"/>
      <w:lvlText w:val="-"/>
      <w:lvlJc w:val="left"/>
      <w:pPr>
        <w:ind w:left="160" w:hanging="144"/>
      </w:pPr>
      <w:rPr>
        <w:rFonts w:hint="default" w:ascii="Times New Roman" w:hAnsi="Times New Roman" w:eastAsia="Times New Roman"/>
        <w:b/>
        <w:bCs/>
        <w:w w:val="99"/>
        <w:sz w:val="24"/>
        <w:szCs w:val="24"/>
      </w:rPr>
    </w:lvl>
    <w:lvl w:ilvl="1">
      <w:start w:val="1"/>
      <w:numFmt w:val="bullet"/>
      <w:lvlText w:val="•"/>
      <w:lvlJc w:val="left"/>
      <w:pPr>
        <w:ind w:left="1102" w:hanging="144"/>
      </w:pPr>
      <w:rPr>
        <w:rFonts w:hint="default"/>
      </w:rPr>
    </w:lvl>
    <w:lvl w:ilvl="2">
      <w:start w:val="1"/>
      <w:numFmt w:val="bullet"/>
      <w:lvlText w:val="•"/>
      <w:lvlJc w:val="left"/>
      <w:pPr>
        <w:ind w:left="2044" w:hanging="144"/>
      </w:pPr>
      <w:rPr>
        <w:rFonts w:hint="default"/>
      </w:rPr>
    </w:lvl>
    <w:lvl w:ilvl="3">
      <w:start w:val="1"/>
      <w:numFmt w:val="bullet"/>
      <w:lvlText w:val="•"/>
      <w:lvlJc w:val="left"/>
      <w:pPr>
        <w:ind w:left="2986" w:hanging="144"/>
      </w:pPr>
      <w:rPr>
        <w:rFonts w:hint="default"/>
      </w:rPr>
    </w:lvl>
    <w:lvl w:ilvl="4">
      <w:start w:val="1"/>
      <w:numFmt w:val="bullet"/>
      <w:lvlText w:val="•"/>
      <w:lvlJc w:val="left"/>
      <w:pPr>
        <w:ind w:left="3928" w:hanging="144"/>
      </w:pPr>
      <w:rPr>
        <w:rFonts w:hint="default"/>
      </w:rPr>
    </w:lvl>
    <w:lvl w:ilvl="5">
      <w:start w:val="1"/>
      <w:numFmt w:val="bullet"/>
      <w:lvlText w:val="•"/>
      <w:lvlJc w:val="left"/>
      <w:pPr>
        <w:ind w:left="4870" w:hanging="144"/>
      </w:pPr>
      <w:rPr>
        <w:rFonts w:hint="default"/>
      </w:rPr>
    </w:lvl>
    <w:lvl w:ilvl="6">
      <w:start w:val="1"/>
      <w:numFmt w:val="bullet"/>
      <w:lvlText w:val="•"/>
      <w:lvlJc w:val="left"/>
      <w:pPr>
        <w:ind w:left="5812" w:hanging="144"/>
      </w:pPr>
      <w:rPr>
        <w:rFonts w:hint="default"/>
      </w:rPr>
    </w:lvl>
    <w:lvl w:ilvl="7">
      <w:start w:val="1"/>
      <w:numFmt w:val="bullet"/>
      <w:lvlText w:val="•"/>
      <w:lvlJc w:val="left"/>
      <w:pPr>
        <w:ind w:left="6754" w:hanging="144"/>
      </w:pPr>
      <w:rPr>
        <w:rFonts w:hint="default"/>
      </w:rPr>
    </w:lvl>
    <w:lvl w:ilvl="8">
      <w:start w:val="1"/>
      <w:numFmt w:val="bullet"/>
      <w:lvlText w:val="•"/>
      <w:lvlJc w:val="left"/>
      <w:pPr>
        <w:ind w:left="7696" w:hanging="144"/>
      </w:pPr>
      <w:rPr>
        <w:rFonts w:hint="default"/>
      </w:rPr>
    </w:lvl>
  </w:abstractNum>
  <w:abstractNum w:abstractNumId="99">
    <w:multiLevelType w:val="hybridMultilevel"/>
    <w:lvl w:ilvl="0">
      <w:start w:val="1"/>
      <w:numFmt w:val="bullet"/>
      <w:lvlText w:val="-"/>
      <w:lvlJc w:val="left"/>
      <w:pPr>
        <w:ind w:left="206" w:hanging="166"/>
      </w:pPr>
      <w:rPr>
        <w:rFonts w:hint="default" w:ascii="Times New Roman" w:hAnsi="Times New Roman" w:eastAsia="Times New Roman"/>
        <w:w w:val="99"/>
        <w:sz w:val="24"/>
        <w:szCs w:val="24"/>
      </w:rPr>
    </w:lvl>
    <w:lvl w:ilvl="1">
      <w:start w:val="1"/>
      <w:numFmt w:val="bullet"/>
      <w:lvlText w:val="•"/>
      <w:lvlJc w:val="left"/>
      <w:pPr>
        <w:ind w:left="1138" w:hanging="166"/>
      </w:pPr>
      <w:rPr>
        <w:rFonts w:hint="default"/>
      </w:rPr>
    </w:lvl>
    <w:lvl w:ilvl="2">
      <w:start w:val="1"/>
      <w:numFmt w:val="bullet"/>
      <w:lvlText w:val="•"/>
      <w:lvlJc w:val="left"/>
      <w:pPr>
        <w:ind w:left="2076" w:hanging="166"/>
      </w:pPr>
      <w:rPr>
        <w:rFonts w:hint="default"/>
      </w:rPr>
    </w:lvl>
    <w:lvl w:ilvl="3">
      <w:start w:val="1"/>
      <w:numFmt w:val="bullet"/>
      <w:lvlText w:val="•"/>
      <w:lvlJc w:val="left"/>
      <w:pPr>
        <w:ind w:left="3014" w:hanging="166"/>
      </w:pPr>
      <w:rPr>
        <w:rFonts w:hint="default"/>
      </w:rPr>
    </w:lvl>
    <w:lvl w:ilvl="4">
      <w:start w:val="1"/>
      <w:numFmt w:val="bullet"/>
      <w:lvlText w:val="•"/>
      <w:lvlJc w:val="left"/>
      <w:pPr>
        <w:ind w:left="3952" w:hanging="166"/>
      </w:pPr>
      <w:rPr>
        <w:rFonts w:hint="default"/>
      </w:rPr>
    </w:lvl>
    <w:lvl w:ilvl="5">
      <w:start w:val="1"/>
      <w:numFmt w:val="bullet"/>
      <w:lvlText w:val="•"/>
      <w:lvlJc w:val="left"/>
      <w:pPr>
        <w:ind w:left="4890" w:hanging="166"/>
      </w:pPr>
      <w:rPr>
        <w:rFonts w:hint="default"/>
      </w:rPr>
    </w:lvl>
    <w:lvl w:ilvl="6">
      <w:start w:val="1"/>
      <w:numFmt w:val="bullet"/>
      <w:lvlText w:val="•"/>
      <w:lvlJc w:val="left"/>
      <w:pPr>
        <w:ind w:left="5828" w:hanging="166"/>
      </w:pPr>
      <w:rPr>
        <w:rFonts w:hint="default"/>
      </w:rPr>
    </w:lvl>
    <w:lvl w:ilvl="7">
      <w:start w:val="1"/>
      <w:numFmt w:val="bullet"/>
      <w:lvlText w:val="•"/>
      <w:lvlJc w:val="left"/>
      <w:pPr>
        <w:ind w:left="6766" w:hanging="166"/>
      </w:pPr>
      <w:rPr>
        <w:rFonts w:hint="default"/>
      </w:rPr>
    </w:lvl>
    <w:lvl w:ilvl="8">
      <w:start w:val="1"/>
      <w:numFmt w:val="bullet"/>
      <w:lvlText w:val="•"/>
      <w:lvlJc w:val="left"/>
      <w:pPr>
        <w:ind w:left="7704" w:hanging="166"/>
      </w:pPr>
      <w:rPr>
        <w:rFonts w:hint="default"/>
      </w:rPr>
    </w:lvl>
  </w:abstractNum>
  <w:abstractNum w:abstractNumId="98">
    <w:multiLevelType w:val="hybridMultilevel"/>
    <w:lvl w:ilvl="0">
      <w:start w:val="3"/>
      <w:numFmt w:val="decimal"/>
      <w:lvlText w:val="%1"/>
      <w:lvlJc w:val="left"/>
      <w:pPr>
        <w:ind w:left="206" w:hanging="646"/>
        <w:jc w:val="left"/>
      </w:pPr>
      <w:rPr>
        <w:rFonts w:hint="default"/>
      </w:rPr>
    </w:lvl>
    <w:lvl w:ilvl="1">
      <w:start w:val="275"/>
      <w:numFmt w:val="decimal"/>
      <w:lvlText w:val="%1.%2"/>
      <w:lvlJc w:val="left"/>
      <w:pPr>
        <w:ind w:left="206" w:hanging="646"/>
        <w:jc w:val="left"/>
      </w:pPr>
      <w:rPr>
        <w:rFonts w:hint="default" w:ascii="Times New Roman" w:hAnsi="Times New Roman" w:eastAsia="Times New Roman"/>
        <w:spacing w:val="-30"/>
        <w:w w:val="99"/>
        <w:sz w:val="24"/>
        <w:szCs w:val="24"/>
      </w:rPr>
    </w:lvl>
    <w:lvl w:ilvl="2">
      <w:start w:val="1"/>
      <w:numFmt w:val="bullet"/>
      <w:lvlText w:val="-"/>
      <w:lvlJc w:val="left"/>
      <w:pPr>
        <w:ind w:left="160" w:hanging="149"/>
      </w:pPr>
      <w:rPr>
        <w:rFonts w:hint="default" w:ascii="Times New Roman" w:hAnsi="Times New Roman" w:eastAsia="Times New Roman"/>
        <w:w w:val="99"/>
        <w:sz w:val="24"/>
        <w:szCs w:val="24"/>
      </w:rPr>
    </w:lvl>
    <w:lvl w:ilvl="3">
      <w:start w:val="1"/>
      <w:numFmt w:val="bullet"/>
      <w:lvlText w:val="-"/>
      <w:lvlJc w:val="left"/>
      <w:pPr>
        <w:ind w:left="160" w:hanging="200"/>
      </w:pPr>
      <w:rPr>
        <w:rFonts w:hint="default" w:ascii="Times New Roman" w:hAnsi="Times New Roman" w:eastAsia="Times New Roman"/>
        <w:spacing w:val="-22"/>
        <w:w w:val="99"/>
        <w:sz w:val="24"/>
        <w:szCs w:val="24"/>
      </w:rPr>
    </w:lvl>
    <w:lvl w:ilvl="4">
      <w:start w:val="1"/>
      <w:numFmt w:val="bullet"/>
      <w:lvlText w:val="•"/>
      <w:lvlJc w:val="left"/>
      <w:pPr>
        <w:ind w:left="3326" w:hanging="200"/>
      </w:pPr>
      <w:rPr>
        <w:rFonts w:hint="default"/>
      </w:rPr>
    </w:lvl>
    <w:lvl w:ilvl="5">
      <w:start w:val="1"/>
      <w:numFmt w:val="bullet"/>
      <w:lvlText w:val="•"/>
      <w:lvlJc w:val="left"/>
      <w:pPr>
        <w:ind w:left="4368" w:hanging="200"/>
      </w:pPr>
      <w:rPr>
        <w:rFonts w:hint="default"/>
      </w:rPr>
    </w:lvl>
    <w:lvl w:ilvl="6">
      <w:start w:val="1"/>
      <w:numFmt w:val="bullet"/>
      <w:lvlText w:val="•"/>
      <w:lvlJc w:val="left"/>
      <w:pPr>
        <w:ind w:left="5411" w:hanging="200"/>
      </w:pPr>
      <w:rPr>
        <w:rFonts w:hint="default"/>
      </w:rPr>
    </w:lvl>
    <w:lvl w:ilvl="7">
      <w:start w:val="1"/>
      <w:numFmt w:val="bullet"/>
      <w:lvlText w:val="•"/>
      <w:lvlJc w:val="left"/>
      <w:pPr>
        <w:ind w:left="6453" w:hanging="200"/>
      </w:pPr>
      <w:rPr>
        <w:rFonts w:hint="default"/>
      </w:rPr>
    </w:lvl>
    <w:lvl w:ilvl="8">
      <w:start w:val="1"/>
      <w:numFmt w:val="bullet"/>
      <w:lvlText w:val="•"/>
      <w:lvlJc w:val="left"/>
      <w:pPr>
        <w:ind w:left="7495" w:hanging="200"/>
      </w:pPr>
      <w:rPr>
        <w:rFonts w:hint="default"/>
      </w:rPr>
    </w:lvl>
  </w:abstractNum>
  <w:abstractNum w:abstractNumId="96">
    <w:multiLevelType w:val="hybridMultilevel"/>
    <w:lvl w:ilvl="0">
      <w:start w:val="1"/>
      <w:numFmt w:val="bullet"/>
      <w:lvlText w:val="-"/>
      <w:lvlJc w:val="left"/>
      <w:pPr>
        <w:ind w:left="160" w:hanging="152"/>
      </w:pPr>
      <w:rPr>
        <w:rFonts w:hint="default" w:ascii="Times New Roman" w:hAnsi="Times New Roman" w:eastAsia="Times New Roman"/>
        <w:w w:val="99"/>
        <w:sz w:val="24"/>
        <w:szCs w:val="24"/>
      </w:rPr>
    </w:lvl>
    <w:lvl w:ilvl="1">
      <w:start w:val="1"/>
      <w:numFmt w:val="bullet"/>
      <w:lvlText w:val="•"/>
      <w:lvlJc w:val="left"/>
      <w:pPr>
        <w:ind w:left="1102" w:hanging="152"/>
      </w:pPr>
      <w:rPr>
        <w:rFonts w:hint="default"/>
      </w:rPr>
    </w:lvl>
    <w:lvl w:ilvl="2">
      <w:start w:val="1"/>
      <w:numFmt w:val="bullet"/>
      <w:lvlText w:val="•"/>
      <w:lvlJc w:val="left"/>
      <w:pPr>
        <w:ind w:left="2044" w:hanging="152"/>
      </w:pPr>
      <w:rPr>
        <w:rFonts w:hint="default"/>
      </w:rPr>
    </w:lvl>
    <w:lvl w:ilvl="3">
      <w:start w:val="1"/>
      <w:numFmt w:val="bullet"/>
      <w:lvlText w:val="•"/>
      <w:lvlJc w:val="left"/>
      <w:pPr>
        <w:ind w:left="2986" w:hanging="152"/>
      </w:pPr>
      <w:rPr>
        <w:rFonts w:hint="default"/>
      </w:rPr>
    </w:lvl>
    <w:lvl w:ilvl="4">
      <w:start w:val="1"/>
      <w:numFmt w:val="bullet"/>
      <w:lvlText w:val="•"/>
      <w:lvlJc w:val="left"/>
      <w:pPr>
        <w:ind w:left="3928" w:hanging="152"/>
      </w:pPr>
      <w:rPr>
        <w:rFonts w:hint="default"/>
      </w:rPr>
    </w:lvl>
    <w:lvl w:ilvl="5">
      <w:start w:val="1"/>
      <w:numFmt w:val="bullet"/>
      <w:lvlText w:val="•"/>
      <w:lvlJc w:val="left"/>
      <w:pPr>
        <w:ind w:left="4870" w:hanging="152"/>
      </w:pPr>
      <w:rPr>
        <w:rFonts w:hint="default"/>
      </w:rPr>
    </w:lvl>
    <w:lvl w:ilvl="6">
      <w:start w:val="1"/>
      <w:numFmt w:val="bullet"/>
      <w:lvlText w:val="•"/>
      <w:lvlJc w:val="left"/>
      <w:pPr>
        <w:ind w:left="5812" w:hanging="152"/>
      </w:pPr>
      <w:rPr>
        <w:rFonts w:hint="default"/>
      </w:rPr>
    </w:lvl>
    <w:lvl w:ilvl="7">
      <w:start w:val="1"/>
      <w:numFmt w:val="bullet"/>
      <w:lvlText w:val="•"/>
      <w:lvlJc w:val="left"/>
      <w:pPr>
        <w:ind w:left="6754" w:hanging="152"/>
      </w:pPr>
      <w:rPr>
        <w:rFonts w:hint="default"/>
      </w:rPr>
    </w:lvl>
    <w:lvl w:ilvl="8">
      <w:start w:val="1"/>
      <w:numFmt w:val="bullet"/>
      <w:lvlText w:val="•"/>
      <w:lvlJc w:val="left"/>
      <w:pPr>
        <w:ind w:left="7696" w:hanging="152"/>
      </w:pPr>
      <w:rPr>
        <w:rFonts w:hint="default"/>
      </w:rPr>
    </w:lvl>
  </w:abstractNum>
  <w:abstractNum w:abstractNumId="95">
    <w:multiLevelType w:val="hybridMultilevel"/>
    <w:lvl w:ilvl="0">
      <w:start w:val="1"/>
      <w:numFmt w:val="bullet"/>
      <w:lvlText w:val="-"/>
      <w:lvlJc w:val="left"/>
      <w:pPr>
        <w:ind w:left="160" w:hanging="216"/>
      </w:pPr>
      <w:rPr>
        <w:rFonts w:hint="default" w:ascii="Times New Roman" w:hAnsi="Times New Roman" w:eastAsia="Times New Roman"/>
        <w:spacing w:val="-28"/>
        <w:w w:val="99"/>
        <w:sz w:val="24"/>
        <w:szCs w:val="24"/>
      </w:rPr>
    </w:lvl>
    <w:lvl w:ilvl="1">
      <w:start w:val="1"/>
      <w:numFmt w:val="bullet"/>
      <w:lvlText w:val="•"/>
      <w:lvlJc w:val="left"/>
      <w:pPr>
        <w:ind w:left="1102" w:hanging="216"/>
      </w:pPr>
      <w:rPr>
        <w:rFonts w:hint="default"/>
      </w:rPr>
    </w:lvl>
    <w:lvl w:ilvl="2">
      <w:start w:val="1"/>
      <w:numFmt w:val="bullet"/>
      <w:lvlText w:val="•"/>
      <w:lvlJc w:val="left"/>
      <w:pPr>
        <w:ind w:left="2044" w:hanging="216"/>
      </w:pPr>
      <w:rPr>
        <w:rFonts w:hint="default"/>
      </w:rPr>
    </w:lvl>
    <w:lvl w:ilvl="3">
      <w:start w:val="1"/>
      <w:numFmt w:val="bullet"/>
      <w:lvlText w:val="•"/>
      <w:lvlJc w:val="left"/>
      <w:pPr>
        <w:ind w:left="2986" w:hanging="216"/>
      </w:pPr>
      <w:rPr>
        <w:rFonts w:hint="default"/>
      </w:rPr>
    </w:lvl>
    <w:lvl w:ilvl="4">
      <w:start w:val="1"/>
      <w:numFmt w:val="bullet"/>
      <w:lvlText w:val="•"/>
      <w:lvlJc w:val="left"/>
      <w:pPr>
        <w:ind w:left="3928" w:hanging="216"/>
      </w:pPr>
      <w:rPr>
        <w:rFonts w:hint="default"/>
      </w:rPr>
    </w:lvl>
    <w:lvl w:ilvl="5">
      <w:start w:val="1"/>
      <w:numFmt w:val="bullet"/>
      <w:lvlText w:val="•"/>
      <w:lvlJc w:val="left"/>
      <w:pPr>
        <w:ind w:left="4870" w:hanging="216"/>
      </w:pPr>
      <w:rPr>
        <w:rFonts w:hint="default"/>
      </w:rPr>
    </w:lvl>
    <w:lvl w:ilvl="6">
      <w:start w:val="1"/>
      <w:numFmt w:val="bullet"/>
      <w:lvlText w:val="•"/>
      <w:lvlJc w:val="left"/>
      <w:pPr>
        <w:ind w:left="5812" w:hanging="216"/>
      </w:pPr>
      <w:rPr>
        <w:rFonts w:hint="default"/>
      </w:rPr>
    </w:lvl>
    <w:lvl w:ilvl="7">
      <w:start w:val="1"/>
      <w:numFmt w:val="bullet"/>
      <w:lvlText w:val="•"/>
      <w:lvlJc w:val="left"/>
      <w:pPr>
        <w:ind w:left="6754" w:hanging="216"/>
      </w:pPr>
      <w:rPr>
        <w:rFonts w:hint="default"/>
      </w:rPr>
    </w:lvl>
    <w:lvl w:ilvl="8">
      <w:start w:val="1"/>
      <w:numFmt w:val="bullet"/>
      <w:lvlText w:val="•"/>
      <w:lvlJc w:val="left"/>
      <w:pPr>
        <w:ind w:left="7696" w:hanging="216"/>
      </w:pPr>
      <w:rPr>
        <w:rFonts w:hint="default"/>
      </w:rPr>
    </w:lvl>
  </w:abstractNum>
  <w:abstractNum w:abstractNumId="94">
    <w:multiLevelType w:val="hybridMultilevel"/>
    <w:lvl w:ilvl="0">
      <w:start w:val="1"/>
      <w:numFmt w:val="bullet"/>
      <w:lvlText w:val="-"/>
      <w:lvlJc w:val="left"/>
      <w:pPr>
        <w:ind w:left="160" w:hanging="216"/>
      </w:pPr>
      <w:rPr>
        <w:rFonts w:hint="default" w:ascii="Times New Roman" w:hAnsi="Times New Roman" w:eastAsia="Times New Roman"/>
        <w:spacing w:val="-18"/>
        <w:w w:val="99"/>
        <w:sz w:val="24"/>
        <w:szCs w:val="24"/>
      </w:rPr>
    </w:lvl>
    <w:lvl w:ilvl="1">
      <w:start w:val="1"/>
      <w:numFmt w:val="bullet"/>
      <w:lvlText w:val="•"/>
      <w:lvlJc w:val="left"/>
      <w:pPr>
        <w:ind w:left="1102" w:hanging="216"/>
      </w:pPr>
      <w:rPr>
        <w:rFonts w:hint="default"/>
      </w:rPr>
    </w:lvl>
    <w:lvl w:ilvl="2">
      <w:start w:val="1"/>
      <w:numFmt w:val="bullet"/>
      <w:lvlText w:val="•"/>
      <w:lvlJc w:val="left"/>
      <w:pPr>
        <w:ind w:left="2044" w:hanging="216"/>
      </w:pPr>
      <w:rPr>
        <w:rFonts w:hint="default"/>
      </w:rPr>
    </w:lvl>
    <w:lvl w:ilvl="3">
      <w:start w:val="1"/>
      <w:numFmt w:val="bullet"/>
      <w:lvlText w:val="•"/>
      <w:lvlJc w:val="left"/>
      <w:pPr>
        <w:ind w:left="2986" w:hanging="216"/>
      </w:pPr>
      <w:rPr>
        <w:rFonts w:hint="default"/>
      </w:rPr>
    </w:lvl>
    <w:lvl w:ilvl="4">
      <w:start w:val="1"/>
      <w:numFmt w:val="bullet"/>
      <w:lvlText w:val="•"/>
      <w:lvlJc w:val="left"/>
      <w:pPr>
        <w:ind w:left="3928" w:hanging="216"/>
      </w:pPr>
      <w:rPr>
        <w:rFonts w:hint="default"/>
      </w:rPr>
    </w:lvl>
    <w:lvl w:ilvl="5">
      <w:start w:val="1"/>
      <w:numFmt w:val="bullet"/>
      <w:lvlText w:val="•"/>
      <w:lvlJc w:val="left"/>
      <w:pPr>
        <w:ind w:left="4870" w:hanging="216"/>
      </w:pPr>
      <w:rPr>
        <w:rFonts w:hint="default"/>
      </w:rPr>
    </w:lvl>
    <w:lvl w:ilvl="6">
      <w:start w:val="1"/>
      <w:numFmt w:val="bullet"/>
      <w:lvlText w:val="•"/>
      <w:lvlJc w:val="left"/>
      <w:pPr>
        <w:ind w:left="5812" w:hanging="216"/>
      </w:pPr>
      <w:rPr>
        <w:rFonts w:hint="default"/>
      </w:rPr>
    </w:lvl>
    <w:lvl w:ilvl="7">
      <w:start w:val="1"/>
      <w:numFmt w:val="bullet"/>
      <w:lvlText w:val="•"/>
      <w:lvlJc w:val="left"/>
      <w:pPr>
        <w:ind w:left="6754" w:hanging="216"/>
      </w:pPr>
      <w:rPr>
        <w:rFonts w:hint="default"/>
      </w:rPr>
    </w:lvl>
    <w:lvl w:ilvl="8">
      <w:start w:val="1"/>
      <w:numFmt w:val="bullet"/>
      <w:lvlText w:val="•"/>
      <w:lvlJc w:val="left"/>
      <w:pPr>
        <w:ind w:left="7696" w:hanging="216"/>
      </w:pPr>
      <w:rPr>
        <w:rFonts w:hint="default"/>
      </w:rPr>
    </w:lvl>
  </w:abstractNum>
  <w:abstractNum w:abstractNumId="93">
    <w:multiLevelType w:val="hybridMultilevel"/>
    <w:lvl w:ilvl="0">
      <w:start w:val="1"/>
      <w:numFmt w:val="bullet"/>
      <w:lvlText w:val="-"/>
      <w:lvlJc w:val="left"/>
      <w:pPr>
        <w:ind w:left="220" w:hanging="190"/>
      </w:pPr>
      <w:rPr>
        <w:rFonts w:hint="default" w:ascii="Times New Roman" w:hAnsi="Times New Roman" w:eastAsia="Times New Roman"/>
        <w:spacing w:val="-15"/>
        <w:w w:val="99"/>
        <w:sz w:val="24"/>
        <w:szCs w:val="24"/>
      </w:rPr>
    </w:lvl>
    <w:lvl w:ilvl="1">
      <w:start w:val="1"/>
      <w:numFmt w:val="bullet"/>
      <w:lvlText w:val="•"/>
      <w:lvlJc w:val="left"/>
      <w:pPr>
        <w:ind w:left="1170" w:hanging="190"/>
      </w:pPr>
      <w:rPr>
        <w:rFonts w:hint="default"/>
      </w:rPr>
    </w:lvl>
    <w:lvl w:ilvl="2">
      <w:start w:val="1"/>
      <w:numFmt w:val="bullet"/>
      <w:lvlText w:val="•"/>
      <w:lvlJc w:val="left"/>
      <w:pPr>
        <w:ind w:left="2120" w:hanging="190"/>
      </w:pPr>
      <w:rPr>
        <w:rFonts w:hint="default"/>
      </w:rPr>
    </w:lvl>
    <w:lvl w:ilvl="3">
      <w:start w:val="1"/>
      <w:numFmt w:val="bullet"/>
      <w:lvlText w:val="•"/>
      <w:lvlJc w:val="left"/>
      <w:pPr>
        <w:ind w:left="3070" w:hanging="190"/>
      </w:pPr>
      <w:rPr>
        <w:rFonts w:hint="default"/>
      </w:rPr>
    </w:lvl>
    <w:lvl w:ilvl="4">
      <w:start w:val="1"/>
      <w:numFmt w:val="bullet"/>
      <w:lvlText w:val="•"/>
      <w:lvlJc w:val="left"/>
      <w:pPr>
        <w:ind w:left="4020" w:hanging="190"/>
      </w:pPr>
      <w:rPr>
        <w:rFonts w:hint="default"/>
      </w:rPr>
    </w:lvl>
    <w:lvl w:ilvl="5">
      <w:start w:val="1"/>
      <w:numFmt w:val="bullet"/>
      <w:lvlText w:val="•"/>
      <w:lvlJc w:val="left"/>
      <w:pPr>
        <w:ind w:left="4970" w:hanging="190"/>
      </w:pPr>
      <w:rPr>
        <w:rFonts w:hint="default"/>
      </w:rPr>
    </w:lvl>
    <w:lvl w:ilvl="6">
      <w:start w:val="1"/>
      <w:numFmt w:val="bullet"/>
      <w:lvlText w:val="•"/>
      <w:lvlJc w:val="left"/>
      <w:pPr>
        <w:ind w:left="5920" w:hanging="190"/>
      </w:pPr>
      <w:rPr>
        <w:rFonts w:hint="default"/>
      </w:rPr>
    </w:lvl>
    <w:lvl w:ilvl="7">
      <w:start w:val="1"/>
      <w:numFmt w:val="bullet"/>
      <w:lvlText w:val="•"/>
      <w:lvlJc w:val="left"/>
      <w:pPr>
        <w:ind w:left="6870" w:hanging="190"/>
      </w:pPr>
      <w:rPr>
        <w:rFonts w:hint="default"/>
      </w:rPr>
    </w:lvl>
    <w:lvl w:ilvl="8">
      <w:start w:val="1"/>
      <w:numFmt w:val="bullet"/>
      <w:lvlText w:val="•"/>
      <w:lvlJc w:val="left"/>
      <w:pPr>
        <w:ind w:left="7820" w:hanging="190"/>
      </w:pPr>
      <w:rPr>
        <w:rFonts w:hint="default"/>
      </w:rPr>
    </w:lvl>
  </w:abstractNum>
  <w:abstractNum w:abstractNumId="92">
    <w:multiLevelType w:val="hybridMultilevel"/>
    <w:lvl w:ilvl="0">
      <w:start w:val="1"/>
      <w:numFmt w:val="bullet"/>
      <w:lvlText w:val="-"/>
      <w:lvlJc w:val="left"/>
      <w:pPr>
        <w:ind w:left="540" w:hanging="216"/>
      </w:pPr>
      <w:rPr>
        <w:rFonts w:hint="default" w:ascii="Times New Roman" w:hAnsi="Times New Roman" w:eastAsia="Times New Roman"/>
        <w:spacing w:val="-8"/>
        <w:w w:val="99"/>
        <w:sz w:val="24"/>
        <w:szCs w:val="24"/>
      </w:rPr>
    </w:lvl>
    <w:lvl w:ilvl="1">
      <w:start w:val="1"/>
      <w:numFmt w:val="bullet"/>
      <w:lvlText w:val="•"/>
      <w:lvlJc w:val="left"/>
      <w:pPr>
        <w:ind w:left="1544" w:hanging="216"/>
      </w:pPr>
      <w:rPr>
        <w:rFonts w:hint="default"/>
      </w:rPr>
    </w:lvl>
    <w:lvl w:ilvl="2">
      <w:start w:val="1"/>
      <w:numFmt w:val="bullet"/>
      <w:lvlText w:val="•"/>
      <w:lvlJc w:val="left"/>
      <w:pPr>
        <w:ind w:left="2548" w:hanging="216"/>
      </w:pPr>
      <w:rPr>
        <w:rFonts w:hint="default"/>
      </w:rPr>
    </w:lvl>
    <w:lvl w:ilvl="3">
      <w:start w:val="1"/>
      <w:numFmt w:val="bullet"/>
      <w:lvlText w:val="•"/>
      <w:lvlJc w:val="left"/>
      <w:pPr>
        <w:ind w:left="3552" w:hanging="216"/>
      </w:pPr>
      <w:rPr>
        <w:rFonts w:hint="default"/>
      </w:rPr>
    </w:lvl>
    <w:lvl w:ilvl="4">
      <w:start w:val="1"/>
      <w:numFmt w:val="bullet"/>
      <w:lvlText w:val="•"/>
      <w:lvlJc w:val="left"/>
      <w:pPr>
        <w:ind w:left="4556" w:hanging="216"/>
      </w:pPr>
      <w:rPr>
        <w:rFonts w:hint="default"/>
      </w:rPr>
    </w:lvl>
    <w:lvl w:ilvl="5">
      <w:start w:val="1"/>
      <w:numFmt w:val="bullet"/>
      <w:lvlText w:val="•"/>
      <w:lvlJc w:val="left"/>
      <w:pPr>
        <w:ind w:left="5560" w:hanging="216"/>
      </w:pPr>
      <w:rPr>
        <w:rFonts w:hint="default"/>
      </w:rPr>
    </w:lvl>
    <w:lvl w:ilvl="6">
      <w:start w:val="1"/>
      <w:numFmt w:val="bullet"/>
      <w:lvlText w:val="•"/>
      <w:lvlJc w:val="left"/>
      <w:pPr>
        <w:ind w:left="6564" w:hanging="216"/>
      </w:pPr>
      <w:rPr>
        <w:rFonts w:hint="default"/>
      </w:rPr>
    </w:lvl>
    <w:lvl w:ilvl="7">
      <w:start w:val="1"/>
      <w:numFmt w:val="bullet"/>
      <w:lvlText w:val="•"/>
      <w:lvlJc w:val="left"/>
      <w:pPr>
        <w:ind w:left="7568" w:hanging="216"/>
      </w:pPr>
      <w:rPr>
        <w:rFonts w:hint="default"/>
      </w:rPr>
    </w:lvl>
    <w:lvl w:ilvl="8">
      <w:start w:val="1"/>
      <w:numFmt w:val="bullet"/>
      <w:lvlText w:val="•"/>
      <w:lvlJc w:val="left"/>
      <w:pPr>
        <w:ind w:left="8572" w:hanging="216"/>
      </w:pPr>
      <w:rPr>
        <w:rFonts w:hint="default"/>
      </w:rPr>
    </w:lvl>
  </w:abstractNum>
  <w:abstractNum w:abstractNumId="91">
    <w:multiLevelType w:val="hybridMultilevel"/>
    <w:lvl w:ilvl="0">
      <w:start w:val="1"/>
      <w:numFmt w:val="bullet"/>
      <w:lvlText w:val=""/>
      <w:lvlJc w:val="left"/>
      <w:pPr>
        <w:ind w:left="540" w:hanging="142"/>
      </w:pPr>
      <w:rPr>
        <w:rFonts w:hint="default" w:ascii="Symbol" w:hAnsi="Symbol" w:eastAsia="Symbol"/>
        <w:w w:val="100"/>
        <w:sz w:val="24"/>
        <w:szCs w:val="24"/>
      </w:rPr>
    </w:lvl>
    <w:lvl w:ilvl="1">
      <w:start w:val="1"/>
      <w:numFmt w:val="bullet"/>
      <w:lvlText w:val="-"/>
      <w:lvlJc w:val="left"/>
      <w:pPr>
        <w:ind w:left="160" w:hanging="185"/>
      </w:pPr>
      <w:rPr>
        <w:rFonts w:hint="default" w:ascii="Times New Roman" w:hAnsi="Times New Roman" w:eastAsia="Times New Roman"/>
        <w:spacing w:val="-22"/>
        <w:w w:val="99"/>
        <w:sz w:val="24"/>
        <w:szCs w:val="24"/>
      </w:rPr>
    </w:lvl>
    <w:lvl w:ilvl="2">
      <w:start w:val="1"/>
      <w:numFmt w:val="bullet"/>
      <w:lvlText w:val="•"/>
      <w:lvlJc w:val="left"/>
      <w:pPr>
        <w:ind w:left="1544" w:hanging="185"/>
      </w:pPr>
      <w:rPr>
        <w:rFonts w:hint="default"/>
      </w:rPr>
    </w:lvl>
    <w:lvl w:ilvl="3">
      <w:start w:val="1"/>
      <w:numFmt w:val="bullet"/>
      <w:lvlText w:val="•"/>
      <w:lvlJc w:val="left"/>
      <w:pPr>
        <w:ind w:left="2548" w:hanging="185"/>
      </w:pPr>
      <w:rPr>
        <w:rFonts w:hint="default"/>
      </w:rPr>
    </w:lvl>
    <w:lvl w:ilvl="4">
      <w:start w:val="1"/>
      <w:numFmt w:val="bullet"/>
      <w:lvlText w:val="•"/>
      <w:lvlJc w:val="left"/>
      <w:pPr>
        <w:ind w:left="3553" w:hanging="185"/>
      </w:pPr>
      <w:rPr>
        <w:rFonts w:hint="default"/>
      </w:rPr>
    </w:lvl>
    <w:lvl w:ilvl="5">
      <w:start w:val="1"/>
      <w:numFmt w:val="bullet"/>
      <w:lvlText w:val="•"/>
      <w:lvlJc w:val="left"/>
      <w:pPr>
        <w:ind w:left="4557" w:hanging="185"/>
      </w:pPr>
      <w:rPr>
        <w:rFonts w:hint="default"/>
      </w:rPr>
    </w:lvl>
    <w:lvl w:ilvl="6">
      <w:start w:val="1"/>
      <w:numFmt w:val="bullet"/>
      <w:lvlText w:val="•"/>
      <w:lvlJc w:val="left"/>
      <w:pPr>
        <w:ind w:left="5562" w:hanging="185"/>
      </w:pPr>
      <w:rPr>
        <w:rFonts w:hint="default"/>
      </w:rPr>
    </w:lvl>
    <w:lvl w:ilvl="7">
      <w:start w:val="1"/>
      <w:numFmt w:val="bullet"/>
      <w:lvlText w:val="•"/>
      <w:lvlJc w:val="left"/>
      <w:pPr>
        <w:ind w:left="6566" w:hanging="185"/>
      </w:pPr>
      <w:rPr>
        <w:rFonts w:hint="default"/>
      </w:rPr>
    </w:lvl>
    <w:lvl w:ilvl="8">
      <w:start w:val="1"/>
      <w:numFmt w:val="bullet"/>
      <w:lvlText w:val="•"/>
      <w:lvlJc w:val="left"/>
      <w:pPr>
        <w:ind w:left="7571" w:hanging="185"/>
      </w:pPr>
      <w:rPr>
        <w:rFonts w:hint="default"/>
      </w:rPr>
    </w:lvl>
  </w:abstractNum>
  <w:abstractNum w:abstractNumId="90">
    <w:multiLevelType w:val="hybridMultilevel"/>
    <w:lvl w:ilvl="0">
      <w:start w:val="1"/>
      <w:numFmt w:val="bullet"/>
      <w:lvlText w:val="-"/>
      <w:lvlJc w:val="left"/>
      <w:pPr>
        <w:ind w:left="160" w:hanging="154"/>
      </w:pPr>
      <w:rPr>
        <w:rFonts w:hint="default" w:ascii="Times New Roman" w:hAnsi="Times New Roman" w:eastAsia="Times New Roman"/>
        <w:w w:val="99"/>
        <w:sz w:val="24"/>
        <w:szCs w:val="24"/>
      </w:rPr>
    </w:lvl>
    <w:lvl w:ilvl="1">
      <w:start w:val="1"/>
      <w:numFmt w:val="bullet"/>
      <w:lvlText w:val="•"/>
      <w:lvlJc w:val="left"/>
      <w:pPr>
        <w:ind w:left="1102" w:hanging="154"/>
      </w:pPr>
      <w:rPr>
        <w:rFonts w:hint="default"/>
      </w:rPr>
    </w:lvl>
    <w:lvl w:ilvl="2">
      <w:start w:val="1"/>
      <w:numFmt w:val="bullet"/>
      <w:lvlText w:val="•"/>
      <w:lvlJc w:val="left"/>
      <w:pPr>
        <w:ind w:left="2044" w:hanging="154"/>
      </w:pPr>
      <w:rPr>
        <w:rFonts w:hint="default"/>
      </w:rPr>
    </w:lvl>
    <w:lvl w:ilvl="3">
      <w:start w:val="1"/>
      <w:numFmt w:val="bullet"/>
      <w:lvlText w:val="•"/>
      <w:lvlJc w:val="left"/>
      <w:pPr>
        <w:ind w:left="2986" w:hanging="154"/>
      </w:pPr>
      <w:rPr>
        <w:rFonts w:hint="default"/>
      </w:rPr>
    </w:lvl>
    <w:lvl w:ilvl="4">
      <w:start w:val="1"/>
      <w:numFmt w:val="bullet"/>
      <w:lvlText w:val="•"/>
      <w:lvlJc w:val="left"/>
      <w:pPr>
        <w:ind w:left="3928" w:hanging="154"/>
      </w:pPr>
      <w:rPr>
        <w:rFonts w:hint="default"/>
      </w:rPr>
    </w:lvl>
    <w:lvl w:ilvl="5">
      <w:start w:val="1"/>
      <w:numFmt w:val="bullet"/>
      <w:lvlText w:val="•"/>
      <w:lvlJc w:val="left"/>
      <w:pPr>
        <w:ind w:left="4870" w:hanging="154"/>
      </w:pPr>
      <w:rPr>
        <w:rFonts w:hint="default"/>
      </w:rPr>
    </w:lvl>
    <w:lvl w:ilvl="6">
      <w:start w:val="1"/>
      <w:numFmt w:val="bullet"/>
      <w:lvlText w:val="•"/>
      <w:lvlJc w:val="left"/>
      <w:pPr>
        <w:ind w:left="5812" w:hanging="154"/>
      </w:pPr>
      <w:rPr>
        <w:rFonts w:hint="default"/>
      </w:rPr>
    </w:lvl>
    <w:lvl w:ilvl="7">
      <w:start w:val="1"/>
      <w:numFmt w:val="bullet"/>
      <w:lvlText w:val="•"/>
      <w:lvlJc w:val="left"/>
      <w:pPr>
        <w:ind w:left="6754" w:hanging="154"/>
      </w:pPr>
      <w:rPr>
        <w:rFonts w:hint="default"/>
      </w:rPr>
    </w:lvl>
    <w:lvl w:ilvl="8">
      <w:start w:val="1"/>
      <w:numFmt w:val="bullet"/>
      <w:lvlText w:val="•"/>
      <w:lvlJc w:val="left"/>
      <w:pPr>
        <w:ind w:left="7696" w:hanging="154"/>
      </w:pPr>
      <w:rPr>
        <w:rFonts w:hint="default"/>
      </w:rPr>
    </w:lvl>
  </w:abstractNum>
  <w:abstractNum w:abstractNumId="89">
    <w:multiLevelType w:val="hybridMultilevel"/>
    <w:lvl w:ilvl="0">
      <w:start w:val="1"/>
      <w:numFmt w:val="bullet"/>
      <w:lvlText w:val="-"/>
      <w:lvlJc w:val="left"/>
      <w:pPr>
        <w:ind w:left="160" w:hanging="216"/>
      </w:pPr>
      <w:rPr>
        <w:rFonts w:hint="default" w:ascii="Times New Roman" w:hAnsi="Times New Roman" w:eastAsia="Times New Roman"/>
        <w:spacing w:val="-20"/>
        <w:w w:val="99"/>
        <w:sz w:val="24"/>
        <w:szCs w:val="24"/>
      </w:rPr>
    </w:lvl>
    <w:lvl w:ilvl="1">
      <w:start w:val="1"/>
      <w:numFmt w:val="bullet"/>
      <w:lvlText w:val="•"/>
      <w:lvlJc w:val="left"/>
      <w:pPr>
        <w:ind w:left="1102" w:hanging="216"/>
      </w:pPr>
      <w:rPr>
        <w:rFonts w:hint="default"/>
      </w:rPr>
    </w:lvl>
    <w:lvl w:ilvl="2">
      <w:start w:val="1"/>
      <w:numFmt w:val="bullet"/>
      <w:lvlText w:val="•"/>
      <w:lvlJc w:val="left"/>
      <w:pPr>
        <w:ind w:left="2044" w:hanging="216"/>
      </w:pPr>
      <w:rPr>
        <w:rFonts w:hint="default"/>
      </w:rPr>
    </w:lvl>
    <w:lvl w:ilvl="3">
      <w:start w:val="1"/>
      <w:numFmt w:val="bullet"/>
      <w:lvlText w:val="•"/>
      <w:lvlJc w:val="left"/>
      <w:pPr>
        <w:ind w:left="2986" w:hanging="216"/>
      </w:pPr>
      <w:rPr>
        <w:rFonts w:hint="default"/>
      </w:rPr>
    </w:lvl>
    <w:lvl w:ilvl="4">
      <w:start w:val="1"/>
      <w:numFmt w:val="bullet"/>
      <w:lvlText w:val="•"/>
      <w:lvlJc w:val="left"/>
      <w:pPr>
        <w:ind w:left="3928" w:hanging="216"/>
      </w:pPr>
      <w:rPr>
        <w:rFonts w:hint="default"/>
      </w:rPr>
    </w:lvl>
    <w:lvl w:ilvl="5">
      <w:start w:val="1"/>
      <w:numFmt w:val="bullet"/>
      <w:lvlText w:val="•"/>
      <w:lvlJc w:val="left"/>
      <w:pPr>
        <w:ind w:left="4870" w:hanging="216"/>
      </w:pPr>
      <w:rPr>
        <w:rFonts w:hint="default"/>
      </w:rPr>
    </w:lvl>
    <w:lvl w:ilvl="6">
      <w:start w:val="1"/>
      <w:numFmt w:val="bullet"/>
      <w:lvlText w:val="•"/>
      <w:lvlJc w:val="left"/>
      <w:pPr>
        <w:ind w:left="5812" w:hanging="216"/>
      </w:pPr>
      <w:rPr>
        <w:rFonts w:hint="default"/>
      </w:rPr>
    </w:lvl>
    <w:lvl w:ilvl="7">
      <w:start w:val="1"/>
      <w:numFmt w:val="bullet"/>
      <w:lvlText w:val="•"/>
      <w:lvlJc w:val="left"/>
      <w:pPr>
        <w:ind w:left="6754" w:hanging="216"/>
      </w:pPr>
      <w:rPr>
        <w:rFonts w:hint="default"/>
      </w:rPr>
    </w:lvl>
    <w:lvl w:ilvl="8">
      <w:start w:val="1"/>
      <w:numFmt w:val="bullet"/>
      <w:lvlText w:val="•"/>
      <w:lvlJc w:val="left"/>
      <w:pPr>
        <w:ind w:left="7696" w:hanging="216"/>
      </w:pPr>
      <w:rPr>
        <w:rFonts w:hint="default"/>
      </w:rPr>
    </w:lvl>
  </w:abstractNum>
  <w:abstractNum w:abstractNumId="88">
    <w:multiLevelType w:val="hybridMultilevel"/>
    <w:lvl w:ilvl="0">
      <w:start w:val="1"/>
      <w:numFmt w:val="bullet"/>
      <w:lvlText w:val="-"/>
      <w:lvlJc w:val="left"/>
      <w:pPr>
        <w:ind w:left="160" w:hanging="173"/>
      </w:pPr>
      <w:rPr>
        <w:rFonts w:hint="default" w:ascii="Times New Roman" w:hAnsi="Times New Roman" w:eastAsia="Times New Roman"/>
        <w:spacing w:val="-28"/>
        <w:w w:val="99"/>
        <w:sz w:val="24"/>
        <w:szCs w:val="24"/>
      </w:rPr>
    </w:lvl>
    <w:lvl w:ilvl="1">
      <w:start w:val="1"/>
      <w:numFmt w:val="bullet"/>
      <w:lvlText w:val="•"/>
      <w:lvlJc w:val="left"/>
      <w:pPr>
        <w:ind w:left="1108" w:hanging="173"/>
      </w:pPr>
      <w:rPr>
        <w:rFonts w:hint="default"/>
      </w:rPr>
    </w:lvl>
    <w:lvl w:ilvl="2">
      <w:start w:val="1"/>
      <w:numFmt w:val="bullet"/>
      <w:lvlText w:val="•"/>
      <w:lvlJc w:val="left"/>
      <w:pPr>
        <w:ind w:left="2056" w:hanging="173"/>
      </w:pPr>
      <w:rPr>
        <w:rFonts w:hint="default"/>
      </w:rPr>
    </w:lvl>
    <w:lvl w:ilvl="3">
      <w:start w:val="1"/>
      <w:numFmt w:val="bullet"/>
      <w:lvlText w:val="•"/>
      <w:lvlJc w:val="left"/>
      <w:pPr>
        <w:ind w:left="3004" w:hanging="173"/>
      </w:pPr>
      <w:rPr>
        <w:rFonts w:hint="default"/>
      </w:rPr>
    </w:lvl>
    <w:lvl w:ilvl="4">
      <w:start w:val="1"/>
      <w:numFmt w:val="bullet"/>
      <w:lvlText w:val="•"/>
      <w:lvlJc w:val="left"/>
      <w:pPr>
        <w:ind w:left="3952" w:hanging="173"/>
      </w:pPr>
      <w:rPr>
        <w:rFonts w:hint="default"/>
      </w:rPr>
    </w:lvl>
    <w:lvl w:ilvl="5">
      <w:start w:val="1"/>
      <w:numFmt w:val="bullet"/>
      <w:lvlText w:val="•"/>
      <w:lvlJc w:val="left"/>
      <w:pPr>
        <w:ind w:left="4900" w:hanging="173"/>
      </w:pPr>
      <w:rPr>
        <w:rFonts w:hint="default"/>
      </w:rPr>
    </w:lvl>
    <w:lvl w:ilvl="6">
      <w:start w:val="1"/>
      <w:numFmt w:val="bullet"/>
      <w:lvlText w:val="•"/>
      <w:lvlJc w:val="left"/>
      <w:pPr>
        <w:ind w:left="5848" w:hanging="173"/>
      </w:pPr>
      <w:rPr>
        <w:rFonts w:hint="default"/>
      </w:rPr>
    </w:lvl>
    <w:lvl w:ilvl="7">
      <w:start w:val="1"/>
      <w:numFmt w:val="bullet"/>
      <w:lvlText w:val="•"/>
      <w:lvlJc w:val="left"/>
      <w:pPr>
        <w:ind w:left="6796" w:hanging="173"/>
      </w:pPr>
      <w:rPr>
        <w:rFonts w:hint="default"/>
      </w:rPr>
    </w:lvl>
    <w:lvl w:ilvl="8">
      <w:start w:val="1"/>
      <w:numFmt w:val="bullet"/>
      <w:lvlText w:val="•"/>
      <w:lvlJc w:val="left"/>
      <w:pPr>
        <w:ind w:left="7744" w:hanging="173"/>
      </w:pPr>
      <w:rPr>
        <w:rFonts w:hint="default"/>
      </w:rPr>
    </w:lvl>
  </w:abstractNum>
  <w:abstractNum w:abstractNumId="87">
    <w:multiLevelType w:val="hybridMultilevel"/>
    <w:lvl w:ilvl="0">
      <w:start w:val="1"/>
      <w:numFmt w:val="decimal"/>
      <w:lvlText w:val="%1."/>
      <w:lvlJc w:val="left"/>
      <w:pPr>
        <w:ind w:left="160" w:hanging="284"/>
        <w:jc w:val="right"/>
      </w:pPr>
      <w:rPr>
        <w:rFonts w:hint="default" w:ascii="Times New Roman" w:hAnsi="Times New Roman" w:eastAsia="Times New Roman"/>
        <w:spacing w:val="-60"/>
        <w:w w:val="99"/>
        <w:sz w:val="24"/>
        <w:szCs w:val="24"/>
      </w:rPr>
    </w:lvl>
    <w:lvl w:ilvl="1">
      <w:start w:val="1"/>
      <w:numFmt w:val="bullet"/>
      <w:lvlText w:val="•"/>
      <w:lvlJc w:val="left"/>
      <w:pPr>
        <w:ind w:left="1108" w:hanging="284"/>
      </w:pPr>
      <w:rPr>
        <w:rFonts w:hint="default"/>
      </w:rPr>
    </w:lvl>
    <w:lvl w:ilvl="2">
      <w:start w:val="1"/>
      <w:numFmt w:val="bullet"/>
      <w:lvlText w:val="•"/>
      <w:lvlJc w:val="left"/>
      <w:pPr>
        <w:ind w:left="2056" w:hanging="284"/>
      </w:pPr>
      <w:rPr>
        <w:rFonts w:hint="default"/>
      </w:rPr>
    </w:lvl>
    <w:lvl w:ilvl="3">
      <w:start w:val="1"/>
      <w:numFmt w:val="bullet"/>
      <w:lvlText w:val="•"/>
      <w:lvlJc w:val="left"/>
      <w:pPr>
        <w:ind w:left="3004" w:hanging="284"/>
      </w:pPr>
      <w:rPr>
        <w:rFonts w:hint="default"/>
      </w:rPr>
    </w:lvl>
    <w:lvl w:ilvl="4">
      <w:start w:val="1"/>
      <w:numFmt w:val="bullet"/>
      <w:lvlText w:val="•"/>
      <w:lvlJc w:val="left"/>
      <w:pPr>
        <w:ind w:left="3952" w:hanging="284"/>
      </w:pPr>
      <w:rPr>
        <w:rFonts w:hint="default"/>
      </w:rPr>
    </w:lvl>
    <w:lvl w:ilvl="5">
      <w:start w:val="1"/>
      <w:numFmt w:val="bullet"/>
      <w:lvlText w:val="•"/>
      <w:lvlJc w:val="left"/>
      <w:pPr>
        <w:ind w:left="4900" w:hanging="284"/>
      </w:pPr>
      <w:rPr>
        <w:rFonts w:hint="default"/>
      </w:rPr>
    </w:lvl>
    <w:lvl w:ilvl="6">
      <w:start w:val="1"/>
      <w:numFmt w:val="bullet"/>
      <w:lvlText w:val="•"/>
      <w:lvlJc w:val="left"/>
      <w:pPr>
        <w:ind w:left="5848" w:hanging="284"/>
      </w:pPr>
      <w:rPr>
        <w:rFonts w:hint="default"/>
      </w:rPr>
    </w:lvl>
    <w:lvl w:ilvl="7">
      <w:start w:val="1"/>
      <w:numFmt w:val="bullet"/>
      <w:lvlText w:val="•"/>
      <w:lvlJc w:val="left"/>
      <w:pPr>
        <w:ind w:left="6796" w:hanging="284"/>
      </w:pPr>
      <w:rPr>
        <w:rFonts w:hint="default"/>
      </w:rPr>
    </w:lvl>
    <w:lvl w:ilvl="8">
      <w:start w:val="1"/>
      <w:numFmt w:val="bullet"/>
      <w:lvlText w:val="•"/>
      <w:lvlJc w:val="left"/>
      <w:pPr>
        <w:ind w:left="7744" w:hanging="284"/>
      </w:pPr>
      <w:rPr>
        <w:rFonts w:hint="default"/>
      </w:rPr>
    </w:lvl>
  </w:abstractNum>
  <w:abstractNum w:abstractNumId="86">
    <w:multiLevelType w:val="hybridMultilevel"/>
    <w:lvl w:ilvl="0">
      <w:start w:val="4"/>
      <w:numFmt w:val="decimal"/>
      <w:lvlText w:val="%1"/>
      <w:lvlJc w:val="left"/>
      <w:pPr>
        <w:ind w:left="760" w:hanging="600"/>
        <w:jc w:val="left"/>
      </w:pPr>
      <w:rPr>
        <w:rFonts w:hint="default"/>
      </w:rPr>
    </w:lvl>
    <w:lvl w:ilvl="1">
      <w:start w:val="3"/>
      <w:numFmt w:val="decimal"/>
      <w:lvlText w:val="%1.%2"/>
      <w:lvlJc w:val="left"/>
      <w:pPr>
        <w:ind w:left="760" w:hanging="600"/>
        <w:jc w:val="left"/>
      </w:pPr>
      <w:rPr>
        <w:rFonts w:hint="default"/>
      </w:rPr>
    </w:lvl>
    <w:lvl w:ilvl="2">
      <w:start w:val="3"/>
      <w:numFmt w:val="decimal"/>
      <w:lvlText w:val="%1.%2.%3"/>
      <w:lvlJc w:val="left"/>
      <w:pPr>
        <w:ind w:left="760" w:hanging="600"/>
        <w:jc w:val="left"/>
      </w:pPr>
      <w:rPr>
        <w:rFonts w:hint="default" w:ascii="Times New Roman" w:hAnsi="Times New Roman" w:eastAsia="Times New Roman"/>
        <w:b/>
        <w:bCs/>
        <w:spacing w:val="-1"/>
        <w:w w:val="100"/>
        <w:sz w:val="24"/>
        <w:szCs w:val="24"/>
      </w:rPr>
    </w:lvl>
    <w:lvl w:ilvl="3">
      <w:start w:val="1"/>
      <w:numFmt w:val="decimal"/>
      <w:lvlText w:val="%4)"/>
      <w:lvlJc w:val="left"/>
      <w:pPr>
        <w:ind w:left="986" w:hanging="260"/>
        <w:jc w:val="right"/>
      </w:pPr>
      <w:rPr>
        <w:rFonts w:hint="default" w:ascii="Times New Roman" w:hAnsi="Times New Roman" w:eastAsia="Times New Roman"/>
        <w:b/>
        <w:bCs/>
        <w:w w:val="99"/>
        <w:sz w:val="24"/>
        <w:szCs w:val="24"/>
      </w:rPr>
    </w:lvl>
    <w:lvl w:ilvl="4">
      <w:start w:val="1"/>
      <w:numFmt w:val="bullet"/>
      <w:lvlText w:val="•"/>
      <w:lvlJc w:val="left"/>
      <w:pPr>
        <w:ind w:left="3866" w:hanging="260"/>
      </w:pPr>
      <w:rPr>
        <w:rFonts w:hint="default"/>
      </w:rPr>
    </w:lvl>
    <w:lvl w:ilvl="5">
      <w:start w:val="1"/>
      <w:numFmt w:val="bullet"/>
      <w:lvlText w:val="•"/>
      <w:lvlJc w:val="left"/>
      <w:pPr>
        <w:ind w:left="4828" w:hanging="260"/>
      </w:pPr>
      <w:rPr>
        <w:rFonts w:hint="default"/>
      </w:rPr>
    </w:lvl>
    <w:lvl w:ilvl="6">
      <w:start w:val="1"/>
      <w:numFmt w:val="bullet"/>
      <w:lvlText w:val="•"/>
      <w:lvlJc w:val="left"/>
      <w:pPr>
        <w:ind w:left="5791" w:hanging="260"/>
      </w:pPr>
      <w:rPr>
        <w:rFonts w:hint="default"/>
      </w:rPr>
    </w:lvl>
    <w:lvl w:ilvl="7">
      <w:start w:val="1"/>
      <w:numFmt w:val="bullet"/>
      <w:lvlText w:val="•"/>
      <w:lvlJc w:val="left"/>
      <w:pPr>
        <w:ind w:left="6753" w:hanging="260"/>
      </w:pPr>
      <w:rPr>
        <w:rFonts w:hint="default"/>
      </w:rPr>
    </w:lvl>
    <w:lvl w:ilvl="8">
      <w:start w:val="1"/>
      <w:numFmt w:val="bullet"/>
      <w:lvlText w:val="•"/>
      <w:lvlJc w:val="left"/>
      <w:pPr>
        <w:ind w:left="7715" w:hanging="260"/>
      </w:pPr>
      <w:rPr>
        <w:rFonts w:hint="default"/>
      </w:rPr>
    </w:lvl>
  </w:abstractNum>
  <w:abstractNum w:abstractNumId="85">
    <w:multiLevelType w:val="hybridMultilevel"/>
    <w:lvl w:ilvl="0">
      <w:start w:val="1"/>
      <w:numFmt w:val="bullet"/>
      <w:lvlText w:val="-"/>
      <w:lvlJc w:val="left"/>
      <w:pPr>
        <w:ind w:left="160" w:hanging="142"/>
      </w:pPr>
      <w:rPr>
        <w:rFonts w:hint="default" w:ascii="Times New Roman" w:hAnsi="Times New Roman" w:eastAsia="Times New Roman"/>
        <w:w w:val="99"/>
        <w:sz w:val="24"/>
        <w:szCs w:val="24"/>
      </w:rPr>
    </w:lvl>
    <w:lvl w:ilvl="1">
      <w:start w:val="1"/>
      <w:numFmt w:val="bullet"/>
      <w:lvlText w:val="•"/>
      <w:lvlJc w:val="left"/>
      <w:pPr>
        <w:ind w:left="1102" w:hanging="142"/>
      </w:pPr>
      <w:rPr>
        <w:rFonts w:hint="default"/>
      </w:rPr>
    </w:lvl>
    <w:lvl w:ilvl="2">
      <w:start w:val="1"/>
      <w:numFmt w:val="bullet"/>
      <w:lvlText w:val="•"/>
      <w:lvlJc w:val="left"/>
      <w:pPr>
        <w:ind w:left="2044" w:hanging="142"/>
      </w:pPr>
      <w:rPr>
        <w:rFonts w:hint="default"/>
      </w:rPr>
    </w:lvl>
    <w:lvl w:ilvl="3">
      <w:start w:val="1"/>
      <w:numFmt w:val="bullet"/>
      <w:lvlText w:val="•"/>
      <w:lvlJc w:val="left"/>
      <w:pPr>
        <w:ind w:left="2986" w:hanging="142"/>
      </w:pPr>
      <w:rPr>
        <w:rFonts w:hint="default"/>
      </w:rPr>
    </w:lvl>
    <w:lvl w:ilvl="4">
      <w:start w:val="1"/>
      <w:numFmt w:val="bullet"/>
      <w:lvlText w:val="•"/>
      <w:lvlJc w:val="left"/>
      <w:pPr>
        <w:ind w:left="3928" w:hanging="142"/>
      </w:pPr>
      <w:rPr>
        <w:rFonts w:hint="default"/>
      </w:rPr>
    </w:lvl>
    <w:lvl w:ilvl="5">
      <w:start w:val="1"/>
      <w:numFmt w:val="bullet"/>
      <w:lvlText w:val="•"/>
      <w:lvlJc w:val="left"/>
      <w:pPr>
        <w:ind w:left="4870" w:hanging="142"/>
      </w:pPr>
      <w:rPr>
        <w:rFonts w:hint="default"/>
      </w:rPr>
    </w:lvl>
    <w:lvl w:ilvl="6">
      <w:start w:val="1"/>
      <w:numFmt w:val="bullet"/>
      <w:lvlText w:val="•"/>
      <w:lvlJc w:val="left"/>
      <w:pPr>
        <w:ind w:left="5812" w:hanging="142"/>
      </w:pPr>
      <w:rPr>
        <w:rFonts w:hint="default"/>
      </w:rPr>
    </w:lvl>
    <w:lvl w:ilvl="7">
      <w:start w:val="1"/>
      <w:numFmt w:val="bullet"/>
      <w:lvlText w:val="•"/>
      <w:lvlJc w:val="left"/>
      <w:pPr>
        <w:ind w:left="6754" w:hanging="142"/>
      </w:pPr>
      <w:rPr>
        <w:rFonts w:hint="default"/>
      </w:rPr>
    </w:lvl>
    <w:lvl w:ilvl="8">
      <w:start w:val="1"/>
      <w:numFmt w:val="bullet"/>
      <w:lvlText w:val="•"/>
      <w:lvlJc w:val="left"/>
      <w:pPr>
        <w:ind w:left="7696" w:hanging="142"/>
      </w:pPr>
      <w:rPr>
        <w:rFonts w:hint="default"/>
      </w:rPr>
    </w:lvl>
  </w:abstractNum>
  <w:abstractNum w:abstractNumId="84">
    <w:multiLevelType w:val="hybridMultilevel"/>
    <w:lvl w:ilvl="0">
      <w:start w:val="1"/>
      <w:numFmt w:val="bullet"/>
      <w:lvlText w:val="-"/>
      <w:lvlJc w:val="left"/>
      <w:pPr>
        <w:ind w:left="160" w:hanging="142"/>
      </w:pPr>
      <w:rPr>
        <w:rFonts w:hint="default" w:ascii="Times New Roman" w:hAnsi="Times New Roman" w:eastAsia="Times New Roman"/>
        <w:b/>
        <w:bCs/>
        <w:w w:val="99"/>
        <w:sz w:val="24"/>
        <w:szCs w:val="24"/>
      </w:rPr>
    </w:lvl>
    <w:lvl w:ilvl="1">
      <w:start w:val="1"/>
      <w:numFmt w:val="bullet"/>
      <w:lvlText w:val="•"/>
      <w:lvlJc w:val="left"/>
      <w:pPr>
        <w:ind w:left="1102" w:hanging="142"/>
      </w:pPr>
      <w:rPr>
        <w:rFonts w:hint="default"/>
      </w:rPr>
    </w:lvl>
    <w:lvl w:ilvl="2">
      <w:start w:val="1"/>
      <w:numFmt w:val="bullet"/>
      <w:lvlText w:val="•"/>
      <w:lvlJc w:val="left"/>
      <w:pPr>
        <w:ind w:left="2044" w:hanging="142"/>
      </w:pPr>
      <w:rPr>
        <w:rFonts w:hint="default"/>
      </w:rPr>
    </w:lvl>
    <w:lvl w:ilvl="3">
      <w:start w:val="1"/>
      <w:numFmt w:val="bullet"/>
      <w:lvlText w:val="•"/>
      <w:lvlJc w:val="left"/>
      <w:pPr>
        <w:ind w:left="2986" w:hanging="142"/>
      </w:pPr>
      <w:rPr>
        <w:rFonts w:hint="default"/>
      </w:rPr>
    </w:lvl>
    <w:lvl w:ilvl="4">
      <w:start w:val="1"/>
      <w:numFmt w:val="bullet"/>
      <w:lvlText w:val="•"/>
      <w:lvlJc w:val="left"/>
      <w:pPr>
        <w:ind w:left="3928" w:hanging="142"/>
      </w:pPr>
      <w:rPr>
        <w:rFonts w:hint="default"/>
      </w:rPr>
    </w:lvl>
    <w:lvl w:ilvl="5">
      <w:start w:val="1"/>
      <w:numFmt w:val="bullet"/>
      <w:lvlText w:val="•"/>
      <w:lvlJc w:val="left"/>
      <w:pPr>
        <w:ind w:left="4870" w:hanging="142"/>
      </w:pPr>
      <w:rPr>
        <w:rFonts w:hint="default"/>
      </w:rPr>
    </w:lvl>
    <w:lvl w:ilvl="6">
      <w:start w:val="1"/>
      <w:numFmt w:val="bullet"/>
      <w:lvlText w:val="•"/>
      <w:lvlJc w:val="left"/>
      <w:pPr>
        <w:ind w:left="5812" w:hanging="142"/>
      </w:pPr>
      <w:rPr>
        <w:rFonts w:hint="default"/>
      </w:rPr>
    </w:lvl>
    <w:lvl w:ilvl="7">
      <w:start w:val="1"/>
      <w:numFmt w:val="bullet"/>
      <w:lvlText w:val="•"/>
      <w:lvlJc w:val="left"/>
      <w:pPr>
        <w:ind w:left="6754" w:hanging="142"/>
      </w:pPr>
      <w:rPr>
        <w:rFonts w:hint="default"/>
      </w:rPr>
    </w:lvl>
    <w:lvl w:ilvl="8">
      <w:start w:val="1"/>
      <w:numFmt w:val="bullet"/>
      <w:lvlText w:val="•"/>
      <w:lvlJc w:val="left"/>
      <w:pPr>
        <w:ind w:left="7696" w:hanging="142"/>
      </w:pPr>
      <w:rPr>
        <w:rFonts w:hint="default"/>
      </w:rPr>
    </w:lvl>
  </w:abstractNum>
  <w:abstractNum w:abstractNumId="83">
    <w:multiLevelType w:val="hybridMultilevel"/>
    <w:lvl w:ilvl="0">
      <w:start w:val="1"/>
      <w:numFmt w:val="bullet"/>
      <w:lvlText w:val="-"/>
      <w:lvlJc w:val="left"/>
      <w:pPr>
        <w:ind w:left="160" w:hanging="284"/>
      </w:pPr>
      <w:rPr>
        <w:rFonts w:hint="default" w:ascii="Times New Roman" w:hAnsi="Times New Roman" w:eastAsia="Times New Roman"/>
        <w:b/>
        <w:bCs/>
        <w:spacing w:val="-60"/>
        <w:w w:val="99"/>
        <w:sz w:val="24"/>
        <w:szCs w:val="24"/>
      </w:rPr>
    </w:lvl>
    <w:lvl w:ilvl="1">
      <w:start w:val="1"/>
      <w:numFmt w:val="bullet"/>
      <w:lvlText w:val="•"/>
      <w:lvlJc w:val="left"/>
      <w:pPr>
        <w:ind w:left="1102" w:hanging="284"/>
      </w:pPr>
      <w:rPr>
        <w:rFonts w:hint="default"/>
      </w:rPr>
    </w:lvl>
    <w:lvl w:ilvl="2">
      <w:start w:val="1"/>
      <w:numFmt w:val="bullet"/>
      <w:lvlText w:val="•"/>
      <w:lvlJc w:val="left"/>
      <w:pPr>
        <w:ind w:left="2044" w:hanging="284"/>
      </w:pPr>
      <w:rPr>
        <w:rFonts w:hint="default"/>
      </w:rPr>
    </w:lvl>
    <w:lvl w:ilvl="3">
      <w:start w:val="1"/>
      <w:numFmt w:val="bullet"/>
      <w:lvlText w:val="•"/>
      <w:lvlJc w:val="left"/>
      <w:pPr>
        <w:ind w:left="2986" w:hanging="284"/>
      </w:pPr>
      <w:rPr>
        <w:rFonts w:hint="default"/>
      </w:rPr>
    </w:lvl>
    <w:lvl w:ilvl="4">
      <w:start w:val="1"/>
      <w:numFmt w:val="bullet"/>
      <w:lvlText w:val="•"/>
      <w:lvlJc w:val="left"/>
      <w:pPr>
        <w:ind w:left="3928" w:hanging="284"/>
      </w:pPr>
      <w:rPr>
        <w:rFonts w:hint="default"/>
      </w:rPr>
    </w:lvl>
    <w:lvl w:ilvl="5">
      <w:start w:val="1"/>
      <w:numFmt w:val="bullet"/>
      <w:lvlText w:val="•"/>
      <w:lvlJc w:val="left"/>
      <w:pPr>
        <w:ind w:left="4870" w:hanging="284"/>
      </w:pPr>
      <w:rPr>
        <w:rFonts w:hint="default"/>
      </w:rPr>
    </w:lvl>
    <w:lvl w:ilvl="6">
      <w:start w:val="1"/>
      <w:numFmt w:val="bullet"/>
      <w:lvlText w:val="•"/>
      <w:lvlJc w:val="left"/>
      <w:pPr>
        <w:ind w:left="5812" w:hanging="284"/>
      </w:pPr>
      <w:rPr>
        <w:rFonts w:hint="default"/>
      </w:rPr>
    </w:lvl>
    <w:lvl w:ilvl="7">
      <w:start w:val="1"/>
      <w:numFmt w:val="bullet"/>
      <w:lvlText w:val="•"/>
      <w:lvlJc w:val="left"/>
      <w:pPr>
        <w:ind w:left="6754" w:hanging="284"/>
      </w:pPr>
      <w:rPr>
        <w:rFonts w:hint="default"/>
      </w:rPr>
    </w:lvl>
    <w:lvl w:ilvl="8">
      <w:start w:val="1"/>
      <w:numFmt w:val="bullet"/>
      <w:lvlText w:val="•"/>
      <w:lvlJc w:val="left"/>
      <w:pPr>
        <w:ind w:left="7696" w:hanging="284"/>
      </w:pPr>
      <w:rPr>
        <w:rFonts w:hint="default"/>
      </w:rPr>
    </w:lvl>
  </w:abstractNum>
  <w:abstractNum w:abstractNumId="82">
    <w:multiLevelType w:val="hybridMultilevel"/>
    <w:lvl w:ilvl="0">
      <w:start w:val="1"/>
      <w:numFmt w:val="bullet"/>
      <w:lvlText w:val="-"/>
      <w:lvlJc w:val="left"/>
      <w:pPr>
        <w:ind w:left="160" w:hanging="142"/>
      </w:pPr>
      <w:rPr>
        <w:rFonts w:hint="default" w:ascii="Times New Roman" w:hAnsi="Times New Roman" w:eastAsia="Times New Roman"/>
        <w:b/>
        <w:bCs/>
        <w:w w:val="99"/>
        <w:sz w:val="24"/>
        <w:szCs w:val="24"/>
      </w:rPr>
    </w:lvl>
    <w:lvl w:ilvl="1">
      <w:start w:val="1"/>
      <w:numFmt w:val="bullet"/>
      <w:lvlText w:val="•"/>
      <w:lvlJc w:val="left"/>
      <w:pPr>
        <w:ind w:left="1102" w:hanging="142"/>
      </w:pPr>
      <w:rPr>
        <w:rFonts w:hint="default"/>
      </w:rPr>
    </w:lvl>
    <w:lvl w:ilvl="2">
      <w:start w:val="1"/>
      <w:numFmt w:val="bullet"/>
      <w:lvlText w:val="•"/>
      <w:lvlJc w:val="left"/>
      <w:pPr>
        <w:ind w:left="2044" w:hanging="142"/>
      </w:pPr>
      <w:rPr>
        <w:rFonts w:hint="default"/>
      </w:rPr>
    </w:lvl>
    <w:lvl w:ilvl="3">
      <w:start w:val="1"/>
      <w:numFmt w:val="bullet"/>
      <w:lvlText w:val="•"/>
      <w:lvlJc w:val="left"/>
      <w:pPr>
        <w:ind w:left="2986" w:hanging="142"/>
      </w:pPr>
      <w:rPr>
        <w:rFonts w:hint="default"/>
      </w:rPr>
    </w:lvl>
    <w:lvl w:ilvl="4">
      <w:start w:val="1"/>
      <w:numFmt w:val="bullet"/>
      <w:lvlText w:val="•"/>
      <w:lvlJc w:val="left"/>
      <w:pPr>
        <w:ind w:left="3928" w:hanging="142"/>
      </w:pPr>
      <w:rPr>
        <w:rFonts w:hint="default"/>
      </w:rPr>
    </w:lvl>
    <w:lvl w:ilvl="5">
      <w:start w:val="1"/>
      <w:numFmt w:val="bullet"/>
      <w:lvlText w:val="•"/>
      <w:lvlJc w:val="left"/>
      <w:pPr>
        <w:ind w:left="4870" w:hanging="142"/>
      </w:pPr>
      <w:rPr>
        <w:rFonts w:hint="default"/>
      </w:rPr>
    </w:lvl>
    <w:lvl w:ilvl="6">
      <w:start w:val="1"/>
      <w:numFmt w:val="bullet"/>
      <w:lvlText w:val="•"/>
      <w:lvlJc w:val="left"/>
      <w:pPr>
        <w:ind w:left="5812" w:hanging="142"/>
      </w:pPr>
      <w:rPr>
        <w:rFonts w:hint="default"/>
      </w:rPr>
    </w:lvl>
    <w:lvl w:ilvl="7">
      <w:start w:val="1"/>
      <w:numFmt w:val="bullet"/>
      <w:lvlText w:val="•"/>
      <w:lvlJc w:val="left"/>
      <w:pPr>
        <w:ind w:left="6754" w:hanging="142"/>
      </w:pPr>
      <w:rPr>
        <w:rFonts w:hint="default"/>
      </w:rPr>
    </w:lvl>
    <w:lvl w:ilvl="8">
      <w:start w:val="1"/>
      <w:numFmt w:val="bullet"/>
      <w:lvlText w:val="•"/>
      <w:lvlJc w:val="left"/>
      <w:pPr>
        <w:ind w:left="7696" w:hanging="142"/>
      </w:pPr>
      <w:rPr>
        <w:rFonts w:hint="default"/>
      </w:rPr>
    </w:lvl>
  </w:abstractNum>
  <w:abstractNum w:abstractNumId="81">
    <w:multiLevelType w:val="hybridMultilevel"/>
    <w:lvl w:ilvl="0">
      <w:start w:val="1"/>
      <w:numFmt w:val="bullet"/>
      <w:lvlText w:val=""/>
      <w:lvlJc w:val="left"/>
      <w:pPr>
        <w:ind w:left="260" w:hanging="188"/>
      </w:pPr>
      <w:rPr>
        <w:rFonts w:hint="default" w:ascii="Symbol" w:hAnsi="Symbol" w:eastAsia="Symbol"/>
        <w:b/>
        <w:bCs/>
        <w:w w:val="99"/>
        <w:sz w:val="24"/>
        <w:szCs w:val="24"/>
      </w:rPr>
    </w:lvl>
    <w:lvl w:ilvl="1">
      <w:start w:val="1"/>
      <w:numFmt w:val="bullet"/>
      <w:lvlText w:val="•"/>
      <w:lvlJc w:val="left"/>
      <w:pPr>
        <w:ind w:left="1202" w:hanging="188"/>
      </w:pPr>
      <w:rPr>
        <w:rFonts w:hint="default"/>
      </w:rPr>
    </w:lvl>
    <w:lvl w:ilvl="2">
      <w:start w:val="1"/>
      <w:numFmt w:val="bullet"/>
      <w:lvlText w:val="•"/>
      <w:lvlJc w:val="left"/>
      <w:pPr>
        <w:ind w:left="2144" w:hanging="188"/>
      </w:pPr>
      <w:rPr>
        <w:rFonts w:hint="default"/>
      </w:rPr>
    </w:lvl>
    <w:lvl w:ilvl="3">
      <w:start w:val="1"/>
      <w:numFmt w:val="bullet"/>
      <w:lvlText w:val="•"/>
      <w:lvlJc w:val="left"/>
      <w:pPr>
        <w:ind w:left="3086" w:hanging="188"/>
      </w:pPr>
      <w:rPr>
        <w:rFonts w:hint="default"/>
      </w:rPr>
    </w:lvl>
    <w:lvl w:ilvl="4">
      <w:start w:val="1"/>
      <w:numFmt w:val="bullet"/>
      <w:lvlText w:val="•"/>
      <w:lvlJc w:val="left"/>
      <w:pPr>
        <w:ind w:left="4028" w:hanging="188"/>
      </w:pPr>
      <w:rPr>
        <w:rFonts w:hint="default"/>
      </w:rPr>
    </w:lvl>
    <w:lvl w:ilvl="5">
      <w:start w:val="1"/>
      <w:numFmt w:val="bullet"/>
      <w:lvlText w:val="•"/>
      <w:lvlJc w:val="left"/>
      <w:pPr>
        <w:ind w:left="4970" w:hanging="188"/>
      </w:pPr>
      <w:rPr>
        <w:rFonts w:hint="default"/>
      </w:rPr>
    </w:lvl>
    <w:lvl w:ilvl="6">
      <w:start w:val="1"/>
      <w:numFmt w:val="bullet"/>
      <w:lvlText w:val="•"/>
      <w:lvlJc w:val="left"/>
      <w:pPr>
        <w:ind w:left="5912" w:hanging="188"/>
      </w:pPr>
      <w:rPr>
        <w:rFonts w:hint="default"/>
      </w:rPr>
    </w:lvl>
    <w:lvl w:ilvl="7">
      <w:start w:val="1"/>
      <w:numFmt w:val="bullet"/>
      <w:lvlText w:val="•"/>
      <w:lvlJc w:val="left"/>
      <w:pPr>
        <w:ind w:left="6854" w:hanging="188"/>
      </w:pPr>
      <w:rPr>
        <w:rFonts w:hint="default"/>
      </w:rPr>
    </w:lvl>
    <w:lvl w:ilvl="8">
      <w:start w:val="1"/>
      <w:numFmt w:val="bullet"/>
      <w:lvlText w:val="•"/>
      <w:lvlJc w:val="left"/>
      <w:pPr>
        <w:ind w:left="7796" w:hanging="188"/>
      </w:pPr>
      <w:rPr>
        <w:rFonts w:hint="default"/>
      </w:rPr>
    </w:lvl>
  </w:abstractNum>
  <w:abstractNum w:abstractNumId="80">
    <w:multiLevelType w:val="hybridMultilevel"/>
    <w:lvl w:ilvl="0">
      <w:start w:val="1"/>
      <w:numFmt w:val="bullet"/>
      <w:lvlText w:val="-"/>
      <w:lvlJc w:val="left"/>
      <w:pPr>
        <w:ind w:left="160" w:hanging="142"/>
      </w:pPr>
      <w:rPr>
        <w:rFonts w:hint="default" w:ascii="Times New Roman" w:hAnsi="Times New Roman" w:eastAsia="Times New Roman"/>
        <w:w w:val="99"/>
        <w:sz w:val="24"/>
        <w:szCs w:val="24"/>
      </w:rPr>
    </w:lvl>
    <w:lvl w:ilvl="1">
      <w:start w:val="1"/>
      <w:numFmt w:val="bullet"/>
      <w:lvlText w:val="•"/>
      <w:lvlJc w:val="left"/>
      <w:pPr>
        <w:ind w:left="1102" w:hanging="142"/>
      </w:pPr>
      <w:rPr>
        <w:rFonts w:hint="default"/>
      </w:rPr>
    </w:lvl>
    <w:lvl w:ilvl="2">
      <w:start w:val="1"/>
      <w:numFmt w:val="bullet"/>
      <w:lvlText w:val="•"/>
      <w:lvlJc w:val="left"/>
      <w:pPr>
        <w:ind w:left="2044" w:hanging="142"/>
      </w:pPr>
      <w:rPr>
        <w:rFonts w:hint="default"/>
      </w:rPr>
    </w:lvl>
    <w:lvl w:ilvl="3">
      <w:start w:val="1"/>
      <w:numFmt w:val="bullet"/>
      <w:lvlText w:val="•"/>
      <w:lvlJc w:val="left"/>
      <w:pPr>
        <w:ind w:left="2986" w:hanging="142"/>
      </w:pPr>
      <w:rPr>
        <w:rFonts w:hint="default"/>
      </w:rPr>
    </w:lvl>
    <w:lvl w:ilvl="4">
      <w:start w:val="1"/>
      <w:numFmt w:val="bullet"/>
      <w:lvlText w:val="•"/>
      <w:lvlJc w:val="left"/>
      <w:pPr>
        <w:ind w:left="3928" w:hanging="142"/>
      </w:pPr>
      <w:rPr>
        <w:rFonts w:hint="default"/>
      </w:rPr>
    </w:lvl>
    <w:lvl w:ilvl="5">
      <w:start w:val="1"/>
      <w:numFmt w:val="bullet"/>
      <w:lvlText w:val="•"/>
      <w:lvlJc w:val="left"/>
      <w:pPr>
        <w:ind w:left="4870" w:hanging="142"/>
      </w:pPr>
      <w:rPr>
        <w:rFonts w:hint="default"/>
      </w:rPr>
    </w:lvl>
    <w:lvl w:ilvl="6">
      <w:start w:val="1"/>
      <w:numFmt w:val="bullet"/>
      <w:lvlText w:val="•"/>
      <w:lvlJc w:val="left"/>
      <w:pPr>
        <w:ind w:left="5812" w:hanging="142"/>
      </w:pPr>
      <w:rPr>
        <w:rFonts w:hint="default"/>
      </w:rPr>
    </w:lvl>
    <w:lvl w:ilvl="7">
      <w:start w:val="1"/>
      <w:numFmt w:val="bullet"/>
      <w:lvlText w:val="•"/>
      <w:lvlJc w:val="left"/>
      <w:pPr>
        <w:ind w:left="6754" w:hanging="142"/>
      </w:pPr>
      <w:rPr>
        <w:rFonts w:hint="default"/>
      </w:rPr>
    </w:lvl>
    <w:lvl w:ilvl="8">
      <w:start w:val="1"/>
      <w:numFmt w:val="bullet"/>
      <w:lvlText w:val="•"/>
      <w:lvlJc w:val="left"/>
      <w:pPr>
        <w:ind w:left="7696" w:hanging="142"/>
      </w:pPr>
      <w:rPr>
        <w:rFonts w:hint="default"/>
      </w:rPr>
    </w:lvl>
  </w:abstractNum>
  <w:abstractNum w:abstractNumId="79">
    <w:multiLevelType w:val="hybridMultilevel"/>
    <w:lvl w:ilvl="0">
      <w:start w:val="1"/>
      <w:numFmt w:val="bullet"/>
      <w:lvlText w:val="-"/>
      <w:lvlJc w:val="left"/>
      <w:pPr>
        <w:ind w:left="302" w:hanging="142"/>
      </w:pPr>
      <w:rPr>
        <w:rFonts w:hint="default" w:ascii="Times New Roman" w:hAnsi="Times New Roman" w:eastAsia="Times New Roman"/>
        <w:b/>
        <w:bCs/>
        <w:w w:val="99"/>
        <w:sz w:val="24"/>
        <w:szCs w:val="24"/>
      </w:rPr>
    </w:lvl>
    <w:lvl w:ilvl="1">
      <w:start w:val="1"/>
      <w:numFmt w:val="bullet"/>
      <w:lvlText w:val="•"/>
      <w:lvlJc w:val="left"/>
      <w:pPr>
        <w:ind w:left="1228" w:hanging="142"/>
      </w:pPr>
      <w:rPr>
        <w:rFonts w:hint="default"/>
      </w:rPr>
    </w:lvl>
    <w:lvl w:ilvl="2">
      <w:start w:val="1"/>
      <w:numFmt w:val="bullet"/>
      <w:lvlText w:val="•"/>
      <w:lvlJc w:val="left"/>
      <w:pPr>
        <w:ind w:left="2156" w:hanging="142"/>
      </w:pPr>
      <w:rPr>
        <w:rFonts w:hint="default"/>
      </w:rPr>
    </w:lvl>
    <w:lvl w:ilvl="3">
      <w:start w:val="1"/>
      <w:numFmt w:val="bullet"/>
      <w:lvlText w:val="•"/>
      <w:lvlJc w:val="left"/>
      <w:pPr>
        <w:ind w:left="3084" w:hanging="142"/>
      </w:pPr>
      <w:rPr>
        <w:rFonts w:hint="default"/>
      </w:rPr>
    </w:lvl>
    <w:lvl w:ilvl="4">
      <w:start w:val="1"/>
      <w:numFmt w:val="bullet"/>
      <w:lvlText w:val="•"/>
      <w:lvlJc w:val="left"/>
      <w:pPr>
        <w:ind w:left="4012" w:hanging="142"/>
      </w:pPr>
      <w:rPr>
        <w:rFonts w:hint="default"/>
      </w:rPr>
    </w:lvl>
    <w:lvl w:ilvl="5">
      <w:start w:val="1"/>
      <w:numFmt w:val="bullet"/>
      <w:lvlText w:val="•"/>
      <w:lvlJc w:val="left"/>
      <w:pPr>
        <w:ind w:left="4940" w:hanging="142"/>
      </w:pPr>
      <w:rPr>
        <w:rFonts w:hint="default"/>
      </w:rPr>
    </w:lvl>
    <w:lvl w:ilvl="6">
      <w:start w:val="1"/>
      <w:numFmt w:val="bullet"/>
      <w:lvlText w:val="•"/>
      <w:lvlJc w:val="left"/>
      <w:pPr>
        <w:ind w:left="5868" w:hanging="142"/>
      </w:pPr>
      <w:rPr>
        <w:rFonts w:hint="default"/>
      </w:rPr>
    </w:lvl>
    <w:lvl w:ilvl="7">
      <w:start w:val="1"/>
      <w:numFmt w:val="bullet"/>
      <w:lvlText w:val="•"/>
      <w:lvlJc w:val="left"/>
      <w:pPr>
        <w:ind w:left="6796" w:hanging="142"/>
      </w:pPr>
      <w:rPr>
        <w:rFonts w:hint="default"/>
      </w:rPr>
    </w:lvl>
    <w:lvl w:ilvl="8">
      <w:start w:val="1"/>
      <w:numFmt w:val="bullet"/>
      <w:lvlText w:val="•"/>
      <w:lvlJc w:val="left"/>
      <w:pPr>
        <w:ind w:left="7724" w:hanging="142"/>
      </w:pPr>
      <w:rPr>
        <w:rFonts w:hint="default"/>
      </w:rPr>
    </w:lvl>
  </w:abstractNum>
  <w:abstractNum w:abstractNumId="78">
    <w:multiLevelType w:val="hybridMultilevel"/>
    <w:lvl w:ilvl="0">
      <w:start w:val="1"/>
      <w:numFmt w:val="bullet"/>
      <w:lvlText w:val="-"/>
      <w:lvlJc w:val="left"/>
      <w:pPr>
        <w:ind w:left="160" w:hanging="142"/>
      </w:pPr>
      <w:rPr>
        <w:rFonts w:hint="default" w:ascii="Times New Roman" w:hAnsi="Times New Roman" w:eastAsia="Times New Roman"/>
        <w:b/>
        <w:bCs/>
        <w:w w:val="99"/>
        <w:sz w:val="24"/>
        <w:szCs w:val="24"/>
      </w:rPr>
    </w:lvl>
    <w:lvl w:ilvl="1">
      <w:start w:val="1"/>
      <w:numFmt w:val="bullet"/>
      <w:lvlText w:val="•"/>
      <w:lvlJc w:val="left"/>
      <w:pPr>
        <w:ind w:left="1102" w:hanging="142"/>
      </w:pPr>
      <w:rPr>
        <w:rFonts w:hint="default"/>
      </w:rPr>
    </w:lvl>
    <w:lvl w:ilvl="2">
      <w:start w:val="1"/>
      <w:numFmt w:val="bullet"/>
      <w:lvlText w:val="•"/>
      <w:lvlJc w:val="left"/>
      <w:pPr>
        <w:ind w:left="2044" w:hanging="142"/>
      </w:pPr>
      <w:rPr>
        <w:rFonts w:hint="default"/>
      </w:rPr>
    </w:lvl>
    <w:lvl w:ilvl="3">
      <w:start w:val="1"/>
      <w:numFmt w:val="bullet"/>
      <w:lvlText w:val="•"/>
      <w:lvlJc w:val="left"/>
      <w:pPr>
        <w:ind w:left="2986" w:hanging="142"/>
      </w:pPr>
      <w:rPr>
        <w:rFonts w:hint="default"/>
      </w:rPr>
    </w:lvl>
    <w:lvl w:ilvl="4">
      <w:start w:val="1"/>
      <w:numFmt w:val="bullet"/>
      <w:lvlText w:val="•"/>
      <w:lvlJc w:val="left"/>
      <w:pPr>
        <w:ind w:left="3928" w:hanging="142"/>
      </w:pPr>
      <w:rPr>
        <w:rFonts w:hint="default"/>
      </w:rPr>
    </w:lvl>
    <w:lvl w:ilvl="5">
      <w:start w:val="1"/>
      <w:numFmt w:val="bullet"/>
      <w:lvlText w:val="•"/>
      <w:lvlJc w:val="left"/>
      <w:pPr>
        <w:ind w:left="4870" w:hanging="142"/>
      </w:pPr>
      <w:rPr>
        <w:rFonts w:hint="default"/>
      </w:rPr>
    </w:lvl>
    <w:lvl w:ilvl="6">
      <w:start w:val="1"/>
      <w:numFmt w:val="bullet"/>
      <w:lvlText w:val="•"/>
      <w:lvlJc w:val="left"/>
      <w:pPr>
        <w:ind w:left="5812" w:hanging="142"/>
      </w:pPr>
      <w:rPr>
        <w:rFonts w:hint="default"/>
      </w:rPr>
    </w:lvl>
    <w:lvl w:ilvl="7">
      <w:start w:val="1"/>
      <w:numFmt w:val="bullet"/>
      <w:lvlText w:val="•"/>
      <w:lvlJc w:val="left"/>
      <w:pPr>
        <w:ind w:left="6754" w:hanging="142"/>
      </w:pPr>
      <w:rPr>
        <w:rFonts w:hint="default"/>
      </w:rPr>
    </w:lvl>
    <w:lvl w:ilvl="8">
      <w:start w:val="1"/>
      <w:numFmt w:val="bullet"/>
      <w:lvlText w:val="•"/>
      <w:lvlJc w:val="left"/>
      <w:pPr>
        <w:ind w:left="7696" w:hanging="142"/>
      </w:pPr>
      <w:rPr>
        <w:rFonts w:hint="default"/>
      </w:rPr>
    </w:lvl>
  </w:abstractNum>
  <w:abstractNum w:abstractNumId="77">
    <w:multiLevelType w:val="hybridMultilevel"/>
    <w:lvl w:ilvl="0">
      <w:start w:val="1"/>
      <w:numFmt w:val="bullet"/>
      <w:lvlText w:val="-"/>
      <w:lvlJc w:val="left"/>
      <w:pPr>
        <w:ind w:left="160" w:hanging="142"/>
      </w:pPr>
      <w:rPr>
        <w:rFonts w:hint="default" w:ascii="Times New Roman" w:hAnsi="Times New Roman" w:eastAsia="Times New Roman"/>
        <w:w w:val="99"/>
        <w:sz w:val="24"/>
        <w:szCs w:val="24"/>
      </w:rPr>
    </w:lvl>
    <w:lvl w:ilvl="1">
      <w:start w:val="1"/>
      <w:numFmt w:val="bullet"/>
      <w:lvlText w:val="•"/>
      <w:lvlJc w:val="left"/>
      <w:pPr>
        <w:ind w:left="1102" w:hanging="142"/>
      </w:pPr>
      <w:rPr>
        <w:rFonts w:hint="default"/>
      </w:rPr>
    </w:lvl>
    <w:lvl w:ilvl="2">
      <w:start w:val="1"/>
      <w:numFmt w:val="bullet"/>
      <w:lvlText w:val="•"/>
      <w:lvlJc w:val="left"/>
      <w:pPr>
        <w:ind w:left="2044" w:hanging="142"/>
      </w:pPr>
      <w:rPr>
        <w:rFonts w:hint="default"/>
      </w:rPr>
    </w:lvl>
    <w:lvl w:ilvl="3">
      <w:start w:val="1"/>
      <w:numFmt w:val="bullet"/>
      <w:lvlText w:val="•"/>
      <w:lvlJc w:val="left"/>
      <w:pPr>
        <w:ind w:left="2986" w:hanging="142"/>
      </w:pPr>
      <w:rPr>
        <w:rFonts w:hint="default"/>
      </w:rPr>
    </w:lvl>
    <w:lvl w:ilvl="4">
      <w:start w:val="1"/>
      <w:numFmt w:val="bullet"/>
      <w:lvlText w:val="•"/>
      <w:lvlJc w:val="left"/>
      <w:pPr>
        <w:ind w:left="3928" w:hanging="142"/>
      </w:pPr>
      <w:rPr>
        <w:rFonts w:hint="default"/>
      </w:rPr>
    </w:lvl>
    <w:lvl w:ilvl="5">
      <w:start w:val="1"/>
      <w:numFmt w:val="bullet"/>
      <w:lvlText w:val="•"/>
      <w:lvlJc w:val="left"/>
      <w:pPr>
        <w:ind w:left="4870" w:hanging="142"/>
      </w:pPr>
      <w:rPr>
        <w:rFonts w:hint="default"/>
      </w:rPr>
    </w:lvl>
    <w:lvl w:ilvl="6">
      <w:start w:val="1"/>
      <w:numFmt w:val="bullet"/>
      <w:lvlText w:val="•"/>
      <w:lvlJc w:val="left"/>
      <w:pPr>
        <w:ind w:left="5812" w:hanging="142"/>
      </w:pPr>
      <w:rPr>
        <w:rFonts w:hint="default"/>
      </w:rPr>
    </w:lvl>
    <w:lvl w:ilvl="7">
      <w:start w:val="1"/>
      <w:numFmt w:val="bullet"/>
      <w:lvlText w:val="•"/>
      <w:lvlJc w:val="left"/>
      <w:pPr>
        <w:ind w:left="6754" w:hanging="142"/>
      </w:pPr>
      <w:rPr>
        <w:rFonts w:hint="default"/>
      </w:rPr>
    </w:lvl>
    <w:lvl w:ilvl="8">
      <w:start w:val="1"/>
      <w:numFmt w:val="bullet"/>
      <w:lvlText w:val="•"/>
      <w:lvlJc w:val="left"/>
      <w:pPr>
        <w:ind w:left="7696" w:hanging="142"/>
      </w:pPr>
      <w:rPr>
        <w:rFonts w:hint="default"/>
      </w:rPr>
    </w:lvl>
  </w:abstractNum>
  <w:abstractNum w:abstractNumId="76">
    <w:multiLevelType w:val="hybridMultilevel"/>
    <w:lvl w:ilvl="0">
      <w:start w:val="1"/>
      <w:numFmt w:val="bullet"/>
      <w:lvlText w:val="-"/>
      <w:lvlJc w:val="left"/>
      <w:pPr>
        <w:ind w:left="160" w:hanging="142"/>
      </w:pPr>
      <w:rPr>
        <w:rFonts w:hint="default" w:ascii="Times New Roman" w:hAnsi="Times New Roman" w:eastAsia="Times New Roman"/>
        <w:b/>
        <w:bCs/>
        <w:w w:val="99"/>
        <w:sz w:val="24"/>
        <w:szCs w:val="24"/>
      </w:rPr>
    </w:lvl>
    <w:lvl w:ilvl="1">
      <w:start w:val="1"/>
      <w:numFmt w:val="bullet"/>
      <w:lvlText w:val="•"/>
      <w:lvlJc w:val="left"/>
      <w:pPr>
        <w:ind w:left="1102" w:hanging="142"/>
      </w:pPr>
      <w:rPr>
        <w:rFonts w:hint="default"/>
      </w:rPr>
    </w:lvl>
    <w:lvl w:ilvl="2">
      <w:start w:val="1"/>
      <w:numFmt w:val="bullet"/>
      <w:lvlText w:val="•"/>
      <w:lvlJc w:val="left"/>
      <w:pPr>
        <w:ind w:left="2044" w:hanging="142"/>
      </w:pPr>
      <w:rPr>
        <w:rFonts w:hint="default"/>
      </w:rPr>
    </w:lvl>
    <w:lvl w:ilvl="3">
      <w:start w:val="1"/>
      <w:numFmt w:val="bullet"/>
      <w:lvlText w:val="•"/>
      <w:lvlJc w:val="left"/>
      <w:pPr>
        <w:ind w:left="2986" w:hanging="142"/>
      </w:pPr>
      <w:rPr>
        <w:rFonts w:hint="default"/>
      </w:rPr>
    </w:lvl>
    <w:lvl w:ilvl="4">
      <w:start w:val="1"/>
      <w:numFmt w:val="bullet"/>
      <w:lvlText w:val="•"/>
      <w:lvlJc w:val="left"/>
      <w:pPr>
        <w:ind w:left="3928" w:hanging="142"/>
      </w:pPr>
      <w:rPr>
        <w:rFonts w:hint="default"/>
      </w:rPr>
    </w:lvl>
    <w:lvl w:ilvl="5">
      <w:start w:val="1"/>
      <w:numFmt w:val="bullet"/>
      <w:lvlText w:val="•"/>
      <w:lvlJc w:val="left"/>
      <w:pPr>
        <w:ind w:left="4870" w:hanging="142"/>
      </w:pPr>
      <w:rPr>
        <w:rFonts w:hint="default"/>
      </w:rPr>
    </w:lvl>
    <w:lvl w:ilvl="6">
      <w:start w:val="1"/>
      <w:numFmt w:val="bullet"/>
      <w:lvlText w:val="•"/>
      <w:lvlJc w:val="left"/>
      <w:pPr>
        <w:ind w:left="5812" w:hanging="142"/>
      </w:pPr>
      <w:rPr>
        <w:rFonts w:hint="default"/>
      </w:rPr>
    </w:lvl>
    <w:lvl w:ilvl="7">
      <w:start w:val="1"/>
      <w:numFmt w:val="bullet"/>
      <w:lvlText w:val="•"/>
      <w:lvlJc w:val="left"/>
      <w:pPr>
        <w:ind w:left="6754" w:hanging="142"/>
      </w:pPr>
      <w:rPr>
        <w:rFonts w:hint="default"/>
      </w:rPr>
    </w:lvl>
    <w:lvl w:ilvl="8">
      <w:start w:val="1"/>
      <w:numFmt w:val="bullet"/>
      <w:lvlText w:val="•"/>
      <w:lvlJc w:val="left"/>
      <w:pPr>
        <w:ind w:left="7696" w:hanging="142"/>
      </w:pPr>
      <w:rPr>
        <w:rFonts w:hint="default"/>
      </w:rPr>
    </w:lvl>
  </w:abstractNum>
  <w:abstractNum w:abstractNumId="75">
    <w:multiLevelType w:val="hybridMultilevel"/>
    <w:lvl w:ilvl="0">
      <w:start w:val="1"/>
      <w:numFmt w:val="bullet"/>
      <w:lvlText w:val="-"/>
      <w:lvlJc w:val="left"/>
      <w:pPr>
        <w:ind w:left="160" w:hanging="142"/>
      </w:pPr>
      <w:rPr>
        <w:rFonts w:hint="default" w:ascii="Times New Roman" w:hAnsi="Times New Roman" w:eastAsia="Times New Roman"/>
        <w:b/>
        <w:bCs/>
        <w:w w:val="99"/>
        <w:sz w:val="24"/>
        <w:szCs w:val="24"/>
      </w:rPr>
    </w:lvl>
    <w:lvl w:ilvl="1">
      <w:start w:val="1"/>
      <w:numFmt w:val="bullet"/>
      <w:lvlText w:val="•"/>
      <w:lvlJc w:val="left"/>
      <w:pPr>
        <w:ind w:left="1102" w:hanging="142"/>
      </w:pPr>
      <w:rPr>
        <w:rFonts w:hint="default"/>
      </w:rPr>
    </w:lvl>
    <w:lvl w:ilvl="2">
      <w:start w:val="1"/>
      <w:numFmt w:val="bullet"/>
      <w:lvlText w:val="•"/>
      <w:lvlJc w:val="left"/>
      <w:pPr>
        <w:ind w:left="2044" w:hanging="142"/>
      </w:pPr>
      <w:rPr>
        <w:rFonts w:hint="default"/>
      </w:rPr>
    </w:lvl>
    <w:lvl w:ilvl="3">
      <w:start w:val="1"/>
      <w:numFmt w:val="bullet"/>
      <w:lvlText w:val="•"/>
      <w:lvlJc w:val="left"/>
      <w:pPr>
        <w:ind w:left="2986" w:hanging="142"/>
      </w:pPr>
      <w:rPr>
        <w:rFonts w:hint="default"/>
      </w:rPr>
    </w:lvl>
    <w:lvl w:ilvl="4">
      <w:start w:val="1"/>
      <w:numFmt w:val="bullet"/>
      <w:lvlText w:val="•"/>
      <w:lvlJc w:val="left"/>
      <w:pPr>
        <w:ind w:left="3928" w:hanging="142"/>
      </w:pPr>
      <w:rPr>
        <w:rFonts w:hint="default"/>
      </w:rPr>
    </w:lvl>
    <w:lvl w:ilvl="5">
      <w:start w:val="1"/>
      <w:numFmt w:val="bullet"/>
      <w:lvlText w:val="•"/>
      <w:lvlJc w:val="left"/>
      <w:pPr>
        <w:ind w:left="4870" w:hanging="142"/>
      </w:pPr>
      <w:rPr>
        <w:rFonts w:hint="default"/>
      </w:rPr>
    </w:lvl>
    <w:lvl w:ilvl="6">
      <w:start w:val="1"/>
      <w:numFmt w:val="bullet"/>
      <w:lvlText w:val="•"/>
      <w:lvlJc w:val="left"/>
      <w:pPr>
        <w:ind w:left="5812" w:hanging="142"/>
      </w:pPr>
      <w:rPr>
        <w:rFonts w:hint="default"/>
      </w:rPr>
    </w:lvl>
    <w:lvl w:ilvl="7">
      <w:start w:val="1"/>
      <w:numFmt w:val="bullet"/>
      <w:lvlText w:val="•"/>
      <w:lvlJc w:val="left"/>
      <w:pPr>
        <w:ind w:left="6754" w:hanging="142"/>
      </w:pPr>
      <w:rPr>
        <w:rFonts w:hint="default"/>
      </w:rPr>
    </w:lvl>
    <w:lvl w:ilvl="8">
      <w:start w:val="1"/>
      <w:numFmt w:val="bullet"/>
      <w:lvlText w:val="•"/>
      <w:lvlJc w:val="left"/>
      <w:pPr>
        <w:ind w:left="7696" w:hanging="142"/>
      </w:pPr>
      <w:rPr>
        <w:rFonts w:hint="default"/>
      </w:rPr>
    </w:lvl>
  </w:abstractNum>
  <w:abstractNum w:abstractNumId="74">
    <w:multiLevelType w:val="hybridMultilevel"/>
    <w:lvl w:ilvl="0">
      <w:start w:val="1"/>
      <w:numFmt w:val="bullet"/>
      <w:lvlText w:val="-"/>
      <w:lvlJc w:val="left"/>
      <w:pPr>
        <w:ind w:left="302" w:hanging="142"/>
      </w:pPr>
      <w:rPr>
        <w:rFonts w:hint="default" w:ascii="Times New Roman" w:hAnsi="Times New Roman" w:eastAsia="Times New Roman"/>
        <w:w w:val="99"/>
        <w:sz w:val="24"/>
        <w:szCs w:val="24"/>
      </w:rPr>
    </w:lvl>
    <w:lvl w:ilvl="1">
      <w:start w:val="1"/>
      <w:numFmt w:val="bullet"/>
      <w:lvlText w:val="•"/>
      <w:lvlJc w:val="left"/>
      <w:pPr>
        <w:ind w:left="1228" w:hanging="142"/>
      </w:pPr>
      <w:rPr>
        <w:rFonts w:hint="default"/>
      </w:rPr>
    </w:lvl>
    <w:lvl w:ilvl="2">
      <w:start w:val="1"/>
      <w:numFmt w:val="bullet"/>
      <w:lvlText w:val="•"/>
      <w:lvlJc w:val="left"/>
      <w:pPr>
        <w:ind w:left="2156" w:hanging="142"/>
      </w:pPr>
      <w:rPr>
        <w:rFonts w:hint="default"/>
      </w:rPr>
    </w:lvl>
    <w:lvl w:ilvl="3">
      <w:start w:val="1"/>
      <w:numFmt w:val="bullet"/>
      <w:lvlText w:val="•"/>
      <w:lvlJc w:val="left"/>
      <w:pPr>
        <w:ind w:left="3084" w:hanging="142"/>
      </w:pPr>
      <w:rPr>
        <w:rFonts w:hint="default"/>
      </w:rPr>
    </w:lvl>
    <w:lvl w:ilvl="4">
      <w:start w:val="1"/>
      <w:numFmt w:val="bullet"/>
      <w:lvlText w:val="•"/>
      <w:lvlJc w:val="left"/>
      <w:pPr>
        <w:ind w:left="4012" w:hanging="142"/>
      </w:pPr>
      <w:rPr>
        <w:rFonts w:hint="default"/>
      </w:rPr>
    </w:lvl>
    <w:lvl w:ilvl="5">
      <w:start w:val="1"/>
      <w:numFmt w:val="bullet"/>
      <w:lvlText w:val="•"/>
      <w:lvlJc w:val="left"/>
      <w:pPr>
        <w:ind w:left="4940" w:hanging="142"/>
      </w:pPr>
      <w:rPr>
        <w:rFonts w:hint="default"/>
      </w:rPr>
    </w:lvl>
    <w:lvl w:ilvl="6">
      <w:start w:val="1"/>
      <w:numFmt w:val="bullet"/>
      <w:lvlText w:val="•"/>
      <w:lvlJc w:val="left"/>
      <w:pPr>
        <w:ind w:left="5868" w:hanging="142"/>
      </w:pPr>
      <w:rPr>
        <w:rFonts w:hint="default"/>
      </w:rPr>
    </w:lvl>
    <w:lvl w:ilvl="7">
      <w:start w:val="1"/>
      <w:numFmt w:val="bullet"/>
      <w:lvlText w:val="•"/>
      <w:lvlJc w:val="left"/>
      <w:pPr>
        <w:ind w:left="6796" w:hanging="142"/>
      </w:pPr>
      <w:rPr>
        <w:rFonts w:hint="default"/>
      </w:rPr>
    </w:lvl>
    <w:lvl w:ilvl="8">
      <w:start w:val="1"/>
      <w:numFmt w:val="bullet"/>
      <w:lvlText w:val="•"/>
      <w:lvlJc w:val="left"/>
      <w:pPr>
        <w:ind w:left="7724" w:hanging="142"/>
      </w:pPr>
      <w:rPr>
        <w:rFonts w:hint="default"/>
      </w:rPr>
    </w:lvl>
  </w:abstractNum>
  <w:abstractNum w:abstractNumId="73">
    <w:multiLevelType w:val="hybridMultilevel"/>
    <w:lvl w:ilvl="0">
      <w:start w:val="1"/>
      <w:numFmt w:val="bullet"/>
      <w:lvlText w:val="-"/>
      <w:lvlJc w:val="left"/>
      <w:pPr>
        <w:ind w:left="160" w:hanging="142"/>
      </w:pPr>
      <w:rPr>
        <w:rFonts w:hint="default" w:ascii="Times New Roman" w:hAnsi="Times New Roman" w:eastAsia="Times New Roman"/>
        <w:b/>
        <w:bCs/>
        <w:w w:val="99"/>
        <w:sz w:val="24"/>
        <w:szCs w:val="24"/>
      </w:rPr>
    </w:lvl>
    <w:lvl w:ilvl="1">
      <w:start w:val="1"/>
      <w:numFmt w:val="bullet"/>
      <w:lvlText w:val="•"/>
      <w:lvlJc w:val="left"/>
      <w:pPr>
        <w:ind w:left="1102" w:hanging="142"/>
      </w:pPr>
      <w:rPr>
        <w:rFonts w:hint="default"/>
      </w:rPr>
    </w:lvl>
    <w:lvl w:ilvl="2">
      <w:start w:val="1"/>
      <w:numFmt w:val="bullet"/>
      <w:lvlText w:val="•"/>
      <w:lvlJc w:val="left"/>
      <w:pPr>
        <w:ind w:left="2044" w:hanging="142"/>
      </w:pPr>
      <w:rPr>
        <w:rFonts w:hint="default"/>
      </w:rPr>
    </w:lvl>
    <w:lvl w:ilvl="3">
      <w:start w:val="1"/>
      <w:numFmt w:val="bullet"/>
      <w:lvlText w:val="•"/>
      <w:lvlJc w:val="left"/>
      <w:pPr>
        <w:ind w:left="2986" w:hanging="142"/>
      </w:pPr>
      <w:rPr>
        <w:rFonts w:hint="default"/>
      </w:rPr>
    </w:lvl>
    <w:lvl w:ilvl="4">
      <w:start w:val="1"/>
      <w:numFmt w:val="bullet"/>
      <w:lvlText w:val="•"/>
      <w:lvlJc w:val="left"/>
      <w:pPr>
        <w:ind w:left="3928" w:hanging="142"/>
      </w:pPr>
      <w:rPr>
        <w:rFonts w:hint="default"/>
      </w:rPr>
    </w:lvl>
    <w:lvl w:ilvl="5">
      <w:start w:val="1"/>
      <w:numFmt w:val="bullet"/>
      <w:lvlText w:val="•"/>
      <w:lvlJc w:val="left"/>
      <w:pPr>
        <w:ind w:left="4870" w:hanging="142"/>
      </w:pPr>
      <w:rPr>
        <w:rFonts w:hint="default"/>
      </w:rPr>
    </w:lvl>
    <w:lvl w:ilvl="6">
      <w:start w:val="1"/>
      <w:numFmt w:val="bullet"/>
      <w:lvlText w:val="•"/>
      <w:lvlJc w:val="left"/>
      <w:pPr>
        <w:ind w:left="5812" w:hanging="142"/>
      </w:pPr>
      <w:rPr>
        <w:rFonts w:hint="default"/>
      </w:rPr>
    </w:lvl>
    <w:lvl w:ilvl="7">
      <w:start w:val="1"/>
      <w:numFmt w:val="bullet"/>
      <w:lvlText w:val="•"/>
      <w:lvlJc w:val="left"/>
      <w:pPr>
        <w:ind w:left="6754" w:hanging="142"/>
      </w:pPr>
      <w:rPr>
        <w:rFonts w:hint="default"/>
      </w:rPr>
    </w:lvl>
    <w:lvl w:ilvl="8">
      <w:start w:val="1"/>
      <w:numFmt w:val="bullet"/>
      <w:lvlText w:val="•"/>
      <w:lvlJc w:val="left"/>
      <w:pPr>
        <w:ind w:left="7696" w:hanging="142"/>
      </w:pPr>
      <w:rPr>
        <w:rFonts w:hint="default"/>
      </w:rPr>
    </w:lvl>
  </w:abstractNum>
  <w:abstractNum w:abstractNumId="72">
    <w:multiLevelType w:val="hybridMultilevel"/>
    <w:lvl w:ilvl="0">
      <w:start w:val="1"/>
      <w:numFmt w:val="bullet"/>
      <w:lvlText w:val="-"/>
      <w:lvlJc w:val="left"/>
      <w:pPr>
        <w:ind w:left="160" w:hanging="142"/>
      </w:pPr>
      <w:rPr>
        <w:rFonts w:hint="default" w:ascii="Times New Roman" w:hAnsi="Times New Roman" w:eastAsia="Times New Roman"/>
        <w:b/>
        <w:bCs/>
        <w:w w:val="99"/>
        <w:sz w:val="24"/>
        <w:szCs w:val="24"/>
      </w:rPr>
    </w:lvl>
    <w:lvl w:ilvl="1">
      <w:start w:val="1"/>
      <w:numFmt w:val="bullet"/>
      <w:lvlText w:val="•"/>
      <w:lvlJc w:val="left"/>
      <w:pPr>
        <w:ind w:left="1102" w:hanging="142"/>
      </w:pPr>
      <w:rPr>
        <w:rFonts w:hint="default"/>
      </w:rPr>
    </w:lvl>
    <w:lvl w:ilvl="2">
      <w:start w:val="1"/>
      <w:numFmt w:val="bullet"/>
      <w:lvlText w:val="•"/>
      <w:lvlJc w:val="left"/>
      <w:pPr>
        <w:ind w:left="2044" w:hanging="142"/>
      </w:pPr>
      <w:rPr>
        <w:rFonts w:hint="default"/>
      </w:rPr>
    </w:lvl>
    <w:lvl w:ilvl="3">
      <w:start w:val="1"/>
      <w:numFmt w:val="bullet"/>
      <w:lvlText w:val="•"/>
      <w:lvlJc w:val="left"/>
      <w:pPr>
        <w:ind w:left="2986" w:hanging="142"/>
      </w:pPr>
      <w:rPr>
        <w:rFonts w:hint="default"/>
      </w:rPr>
    </w:lvl>
    <w:lvl w:ilvl="4">
      <w:start w:val="1"/>
      <w:numFmt w:val="bullet"/>
      <w:lvlText w:val="•"/>
      <w:lvlJc w:val="left"/>
      <w:pPr>
        <w:ind w:left="3928" w:hanging="142"/>
      </w:pPr>
      <w:rPr>
        <w:rFonts w:hint="default"/>
      </w:rPr>
    </w:lvl>
    <w:lvl w:ilvl="5">
      <w:start w:val="1"/>
      <w:numFmt w:val="bullet"/>
      <w:lvlText w:val="•"/>
      <w:lvlJc w:val="left"/>
      <w:pPr>
        <w:ind w:left="4870" w:hanging="142"/>
      </w:pPr>
      <w:rPr>
        <w:rFonts w:hint="default"/>
      </w:rPr>
    </w:lvl>
    <w:lvl w:ilvl="6">
      <w:start w:val="1"/>
      <w:numFmt w:val="bullet"/>
      <w:lvlText w:val="•"/>
      <w:lvlJc w:val="left"/>
      <w:pPr>
        <w:ind w:left="5812" w:hanging="142"/>
      </w:pPr>
      <w:rPr>
        <w:rFonts w:hint="default"/>
      </w:rPr>
    </w:lvl>
    <w:lvl w:ilvl="7">
      <w:start w:val="1"/>
      <w:numFmt w:val="bullet"/>
      <w:lvlText w:val="•"/>
      <w:lvlJc w:val="left"/>
      <w:pPr>
        <w:ind w:left="6754" w:hanging="142"/>
      </w:pPr>
      <w:rPr>
        <w:rFonts w:hint="default"/>
      </w:rPr>
    </w:lvl>
    <w:lvl w:ilvl="8">
      <w:start w:val="1"/>
      <w:numFmt w:val="bullet"/>
      <w:lvlText w:val="•"/>
      <w:lvlJc w:val="left"/>
      <w:pPr>
        <w:ind w:left="7696" w:hanging="142"/>
      </w:pPr>
      <w:rPr>
        <w:rFonts w:hint="default"/>
      </w:rPr>
    </w:lvl>
  </w:abstractNum>
  <w:abstractNum w:abstractNumId="71">
    <w:multiLevelType w:val="hybridMultilevel"/>
    <w:lvl w:ilvl="0">
      <w:start w:val="1"/>
      <w:numFmt w:val="bullet"/>
      <w:lvlText w:val="-"/>
      <w:lvlJc w:val="left"/>
      <w:pPr>
        <w:ind w:left="160" w:hanging="142"/>
      </w:pPr>
      <w:rPr>
        <w:rFonts w:hint="default" w:ascii="Times New Roman" w:hAnsi="Times New Roman" w:eastAsia="Times New Roman"/>
        <w:b/>
        <w:bCs/>
        <w:w w:val="99"/>
        <w:sz w:val="24"/>
        <w:szCs w:val="24"/>
      </w:rPr>
    </w:lvl>
    <w:lvl w:ilvl="1">
      <w:start w:val="1"/>
      <w:numFmt w:val="bullet"/>
      <w:lvlText w:val="•"/>
      <w:lvlJc w:val="left"/>
      <w:pPr>
        <w:ind w:left="1102" w:hanging="142"/>
      </w:pPr>
      <w:rPr>
        <w:rFonts w:hint="default"/>
      </w:rPr>
    </w:lvl>
    <w:lvl w:ilvl="2">
      <w:start w:val="1"/>
      <w:numFmt w:val="bullet"/>
      <w:lvlText w:val="•"/>
      <w:lvlJc w:val="left"/>
      <w:pPr>
        <w:ind w:left="2044" w:hanging="142"/>
      </w:pPr>
      <w:rPr>
        <w:rFonts w:hint="default"/>
      </w:rPr>
    </w:lvl>
    <w:lvl w:ilvl="3">
      <w:start w:val="1"/>
      <w:numFmt w:val="bullet"/>
      <w:lvlText w:val="•"/>
      <w:lvlJc w:val="left"/>
      <w:pPr>
        <w:ind w:left="2986" w:hanging="142"/>
      </w:pPr>
      <w:rPr>
        <w:rFonts w:hint="default"/>
      </w:rPr>
    </w:lvl>
    <w:lvl w:ilvl="4">
      <w:start w:val="1"/>
      <w:numFmt w:val="bullet"/>
      <w:lvlText w:val="•"/>
      <w:lvlJc w:val="left"/>
      <w:pPr>
        <w:ind w:left="3928" w:hanging="142"/>
      </w:pPr>
      <w:rPr>
        <w:rFonts w:hint="default"/>
      </w:rPr>
    </w:lvl>
    <w:lvl w:ilvl="5">
      <w:start w:val="1"/>
      <w:numFmt w:val="bullet"/>
      <w:lvlText w:val="•"/>
      <w:lvlJc w:val="left"/>
      <w:pPr>
        <w:ind w:left="4870" w:hanging="142"/>
      </w:pPr>
      <w:rPr>
        <w:rFonts w:hint="default"/>
      </w:rPr>
    </w:lvl>
    <w:lvl w:ilvl="6">
      <w:start w:val="1"/>
      <w:numFmt w:val="bullet"/>
      <w:lvlText w:val="•"/>
      <w:lvlJc w:val="left"/>
      <w:pPr>
        <w:ind w:left="5812" w:hanging="142"/>
      </w:pPr>
      <w:rPr>
        <w:rFonts w:hint="default"/>
      </w:rPr>
    </w:lvl>
    <w:lvl w:ilvl="7">
      <w:start w:val="1"/>
      <w:numFmt w:val="bullet"/>
      <w:lvlText w:val="•"/>
      <w:lvlJc w:val="left"/>
      <w:pPr>
        <w:ind w:left="6754" w:hanging="142"/>
      </w:pPr>
      <w:rPr>
        <w:rFonts w:hint="default"/>
      </w:rPr>
    </w:lvl>
    <w:lvl w:ilvl="8">
      <w:start w:val="1"/>
      <w:numFmt w:val="bullet"/>
      <w:lvlText w:val="•"/>
      <w:lvlJc w:val="left"/>
      <w:pPr>
        <w:ind w:left="7696" w:hanging="142"/>
      </w:pPr>
      <w:rPr>
        <w:rFonts w:hint="default"/>
      </w:rPr>
    </w:lvl>
  </w:abstractNum>
  <w:abstractNum w:abstractNumId="70">
    <w:multiLevelType w:val="hybridMultilevel"/>
    <w:lvl w:ilvl="0">
      <w:start w:val="1"/>
      <w:numFmt w:val="bullet"/>
      <w:lvlText w:val="-"/>
      <w:lvlJc w:val="left"/>
      <w:pPr>
        <w:ind w:left="160" w:hanging="200"/>
      </w:pPr>
      <w:rPr>
        <w:rFonts w:hint="default" w:ascii="Times New Roman" w:hAnsi="Times New Roman" w:eastAsia="Times New Roman"/>
        <w:spacing w:val="-30"/>
        <w:w w:val="99"/>
        <w:sz w:val="24"/>
        <w:szCs w:val="24"/>
      </w:rPr>
    </w:lvl>
    <w:lvl w:ilvl="1">
      <w:start w:val="1"/>
      <w:numFmt w:val="bullet"/>
      <w:lvlText w:val="•"/>
      <w:lvlJc w:val="left"/>
      <w:pPr>
        <w:ind w:left="1102" w:hanging="200"/>
      </w:pPr>
      <w:rPr>
        <w:rFonts w:hint="default"/>
      </w:rPr>
    </w:lvl>
    <w:lvl w:ilvl="2">
      <w:start w:val="1"/>
      <w:numFmt w:val="bullet"/>
      <w:lvlText w:val="•"/>
      <w:lvlJc w:val="left"/>
      <w:pPr>
        <w:ind w:left="2044" w:hanging="200"/>
      </w:pPr>
      <w:rPr>
        <w:rFonts w:hint="default"/>
      </w:rPr>
    </w:lvl>
    <w:lvl w:ilvl="3">
      <w:start w:val="1"/>
      <w:numFmt w:val="bullet"/>
      <w:lvlText w:val="•"/>
      <w:lvlJc w:val="left"/>
      <w:pPr>
        <w:ind w:left="2986" w:hanging="200"/>
      </w:pPr>
      <w:rPr>
        <w:rFonts w:hint="default"/>
      </w:rPr>
    </w:lvl>
    <w:lvl w:ilvl="4">
      <w:start w:val="1"/>
      <w:numFmt w:val="bullet"/>
      <w:lvlText w:val="•"/>
      <w:lvlJc w:val="left"/>
      <w:pPr>
        <w:ind w:left="3928" w:hanging="200"/>
      </w:pPr>
      <w:rPr>
        <w:rFonts w:hint="default"/>
      </w:rPr>
    </w:lvl>
    <w:lvl w:ilvl="5">
      <w:start w:val="1"/>
      <w:numFmt w:val="bullet"/>
      <w:lvlText w:val="•"/>
      <w:lvlJc w:val="left"/>
      <w:pPr>
        <w:ind w:left="4870" w:hanging="200"/>
      </w:pPr>
      <w:rPr>
        <w:rFonts w:hint="default"/>
      </w:rPr>
    </w:lvl>
    <w:lvl w:ilvl="6">
      <w:start w:val="1"/>
      <w:numFmt w:val="bullet"/>
      <w:lvlText w:val="•"/>
      <w:lvlJc w:val="left"/>
      <w:pPr>
        <w:ind w:left="5812" w:hanging="200"/>
      </w:pPr>
      <w:rPr>
        <w:rFonts w:hint="default"/>
      </w:rPr>
    </w:lvl>
    <w:lvl w:ilvl="7">
      <w:start w:val="1"/>
      <w:numFmt w:val="bullet"/>
      <w:lvlText w:val="•"/>
      <w:lvlJc w:val="left"/>
      <w:pPr>
        <w:ind w:left="6754" w:hanging="200"/>
      </w:pPr>
      <w:rPr>
        <w:rFonts w:hint="default"/>
      </w:rPr>
    </w:lvl>
    <w:lvl w:ilvl="8">
      <w:start w:val="1"/>
      <w:numFmt w:val="bullet"/>
      <w:lvlText w:val="•"/>
      <w:lvlJc w:val="left"/>
      <w:pPr>
        <w:ind w:left="7696" w:hanging="200"/>
      </w:pPr>
      <w:rPr>
        <w:rFonts w:hint="default"/>
      </w:rPr>
    </w:lvl>
  </w:abstractNum>
  <w:abstractNum w:abstractNumId="69">
    <w:multiLevelType w:val="hybridMultilevel"/>
    <w:lvl w:ilvl="0">
      <w:start w:val="1"/>
      <w:numFmt w:val="bullet"/>
      <w:lvlText w:val="-"/>
      <w:lvlJc w:val="left"/>
      <w:pPr>
        <w:ind w:left="160" w:hanging="142"/>
      </w:pPr>
      <w:rPr>
        <w:rFonts w:hint="default" w:ascii="Times New Roman" w:hAnsi="Times New Roman" w:eastAsia="Times New Roman"/>
        <w:b/>
        <w:bCs/>
        <w:w w:val="99"/>
        <w:sz w:val="24"/>
        <w:szCs w:val="24"/>
      </w:rPr>
    </w:lvl>
    <w:lvl w:ilvl="1">
      <w:start w:val="1"/>
      <w:numFmt w:val="bullet"/>
      <w:lvlText w:val="•"/>
      <w:lvlJc w:val="left"/>
      <w:pPr>
        <w:ind w:left="1102" w:hanging="142"/>
      </w:pPr>
      <w:rPr>
        <w:rFonts w:hint="default"/>
      </w:rPr>
    </w:lvl>
    <w:lvl w:ilvl="2">
      <w:start w:val="1"/>
      <w:numFmt w:val="bullet"/>
      <w:lvlText w:val="•"/>
      <w:lvlJc w:val="left"/>
      <w:pPr>
        <w:ind w:left="2044" w:hanging="142"/>
      </w:pPr>
      <w:rPr>
        <w:rFonts w:hint="default"/>
      </w:rPr>
    </w:lvl>
    <w:lvl w:ilvl="3">
      <w:start w:val="1"/>
      <w:numFmt w:val="bullet"/>
      <w:lvlText w:val="•"/>
      <w:lvlJc w:val="left"/>
      <w:pPr>
        <w:ind w:left="2986" w:hanging="142"/>
      </w:pPr>
      <w:rPr>
        <w:rFonts w:hint="default"/>
      </w:rPr>
    </w:lvl>
    <w:lvl w:ilvl="4">
      <w:start w:val="1"/>
      <w:numFmt w:val="bullet"/>
      <w:lvlText w:val="•"/>
      <w:lvlJc w:val="left"/>
      <w:pPr>
        <w:ind w:left="3928" w:hanging="142"/>
      </w:pPr>
      <w:rPr>
        <w:rFonts w:hint="default"/>
      </w:rPr>
    </w:lvl>
    <w:lvl w:ilvl="5">
      <w:start w:val="1"/>
      <w:numFmt w:val="bullet"/>
      <w:lvlText w:val="•"/>
      <w:lvlJc w:val="left"/>
      <w:pPr>
        <w:ind w:left="4870" w:hanging="142"/>
      </w:pPr>
      <w:rPr>
        <w:rFonts w:hint="default"/>
      </w:rPr>
    </w:lvl>
    <w:lvl w:ilvl="6">
      <w:start w:val="1"/>
      <w:numFmt w:val="bullet"/>
      <w:lvlText w:val="•"/>
      <w:lvlJc w:val="left"/>
      <w:pPr>
        <w:ind w:left="5812" w:hanging="142"/>
      </w:pPr>
      <w:rPr>
        <w:rFonts w:hint="default"/>
      </w:rPr>
    </w:lvl>
    <w:lvl w:ilvl="7">
      <w:start w:val="1"/>
      <w:numFmt w:val="bullet"/>
      <w:lvlText w:val="•"/>
      <w:lvlJc w:val="left"/>
      <w:pPr>
        <w:ind w:left="6754" w:hanging="142"/>
      </w:pPr>
      <w:rPr>
        <w:rFonts w:hint="default"/>
      </w:rPr>
    </w:lvl>
    <w:lvl w:ilvl="8">
      <w:start w:val="1"/>
      <w:numFmt w:val="bullet"/>
      <w:lvlText w:val="•"/>
      <w:lvlJc w:val="left"/>
      <w:pPr>
        <w:ind w:left="7696" w:hanging="142"/>
      </w:pPr>
      <w:rPr>
        <w:rFonts w:hint="default"/>
      </w:rPr>
    </w:lvl>
  </w:abstractNum>
  <w:abstractNum w:abstractNumId="68">
    <w:multiLevelType w:val="hybridMultilevel"/>
    <w:lvl w:ilvl="0">
      <w:start w:val="1"/>
      <w:numFmt w:val="bullet"/>
      <w:lvlText w:val="-"/>
      <w:lvlJc w:val="left"/>
      <w:pPr>
        <w:ind w:left="160" w:hanging="142"/>
      </w:pPr>
      <w:rPr>
        <w:rFonts w:hint="default" w:ascii="Times New Roman" w:hAnsi="Times New Roman" w:eastAsia="Times New Roman"/>
        <w:b/>
        <w:bCs/>
        <w:w w:val="99"/>
        <w:sz w:val="24"/>
        <w:szCs w:val="24"/>
      </w:rPr>
    </w:lvl>
    <w:lvl w:ilvl="1">
      <w:start w:val="1"/>
      <w:numFmt w:val="bullet"/>
      <w:lvlText w:val="•"/>
      <w:lvlJc w:val="left"/>
      <w:pPr>
        <w:ind w:left="1102" w:hanging="142"/>
      </w:pPr>
      <w:rPr>
        <w:rFonts w:hint="default"/>
      </w:rPr>
    </w:lvl>
    <w:lvl w:ilvl="2">
      <w:start w:val="1"/>
      <w:numFmt w:val="bullet"/>
      <w:lvlText w:val="•"/>
      <w:lvlJc w:val="left"/>
      <w:pPr>
        <w:ind w:left="2044" w:hanging="142"/>
      </w:pPr>
      <w:rPr>
        <w:rFonts w:hint="default"/>
      </w:rPr>
    </w:lvl>
    <w:lvl w:ilvl="3">
      <w:start w:val="1"/>
      <w:numFmt w:val="bullet"/>
      <w:lvlText w:val="•"/>
      <w:lvlJc w:val="left"/>
      <w:pPr>
        <w:ind w:left="2986" w:hanging="142"/>
      </w:pPr>
      <w:rPr>
        <w:rFonts w:hint="default"/>
      </w:rPr>
    </w:lvl>
    <w:lvl w:ilvl="4">
      <w:start w:val="1"/>
      <w:numFmt w:val="bullet"/>
      <w:lvlText w:val="•"/>
      <w:lvlJc w:val="left"/>
      <w:pPr>
        <w:ind w:left="3928" w:hanging="142"/>
      </w:pPr>
      <w:rPr>
        <w:rFonts w:hint="default"/>
      </w:rPr>
    </w:lvl>
    <w:lvl w:ilvl="5">
      <w:start w:val="1"/>
      <w:numFmt w:val="bullet"/>
      <w:lvlText w:val="•"/>
      <w:lvlJc w:val="left"/>
      <w:pPr>
        <w:ind w:left="4870" w:hanging="142"/>
      </w:pPr>
      <w:rPr>
        <w:rFonts w:hint="default"/>
      </w:rPr>
    </w:lvl>
    <w:lvl w:ilvl="6">
      <w:start w:val="1"/>
      <w:numFmt w:val="bullet"/>
      <w:lvlText w:val="•"/>
      <w:lvlJc w:val="left"/>
      <w:pPr>
        <w:ind w:left="5812" w:hanging="142"/>
      </w:pPr>
      <w:rPr>
        <w:rFonts w:hint="default"/>
      </w:rPr>
    </w:lvl>
    <w:lvl w:ilvl="7">
      <w:start w:val="1"/>
      <w:numFmt w:val="bullet"/>
      <w:lvlText w:val="•"/>
      <w:lvlJc w:val="left"/>
      <w:pPr>
        <w:ind w:left="6754" w:hanging="142"/>
      </w:pPr>
      <w:rPr>
        <w:rFonts w:hint="default"/>
      </w:rPr>
    </w:lvl>
    <w:lvl w:ilvl="8">
      <w:start w:val="1"/>
      <w:numFmt w:val="bullet"/>
      <w:lvlText w:val="•"/>
      <w:lvlJc w:val="left"/>
      <w:pPr>
        <w:ind w:left="7696" w:hanging="142"/>
      </w:pPr>
      <w:rPr>
        <w:rFonts w:hint="default"/>
      </w:rPr>
    </w:lvl>
  </w:abstractNum>
  <w:abstractNum w:abstractNumId="67">
    <w:multiLevelType w:val="hybridMultilevel"/>
    <w:lvl w:ilvl="0">
      <w:start w:val="1"/>
      <w:numFmt w:val="bullet"/>
      <w:lvlText w:val="-"/>
      <w:lvlJc w:val="left"/>
      <w:pPr>
        <w:ind w:left="160" w:hanging="142"/>
      </w:pPr>
      <w:rPr>
        <w:rFonts w:hint="default" w:ascii="Times New Roman" w:hAnsi="Times New Roman" w:eastAsia="Times New Roman"/>
        <w:b/>
        <w:bCs/>
        <w:w w:val="99"/>
        <w:sz w:val="24"/>
        <w:szCs w:val="24"/>
      </w:rPr>
    </w:lvl>
    <w:lvl w:ilvl="1">
      <w:start w:val="1"/>
      <w:numFmt w:val="bullet"/>
      <w:lvlText w:val="•"/>
      <w:lvlJc w:val="left"/>
      <w:pPr>
        <w:ind w:left="1102" w:hanging="142"/>
      </w:pPr>
      <w:rPr>
        <w:rFonts w:hint="default"/>
      </w:rPr>
    </w:lvl>
    <w:lvl w:ilvl="2">
      <w:start w:val="1"/>
      <w:numFmt w:val="bullet"/>
      <w:lvlText w:val="•"/>
      <w:lvlJc w:val="left"/>
      <w:pPr>
        <w:ind w:left="2044" w:hanging="142"/>
      </w:pPr>
      <w:rPr>
        <w:rFonts w:hint="default"/>
      </w:rPr>
    </w:lvl>
    <w:lvl w:ilvl="3">
      <w:start w:val="1"/>
      <w:numFmt w:val="bullet"/>
      <w:lvlText w:val="•"/>
      <w:lvlJc w:val="left"/>
      <w:pPr>
        <w:ind w:left="2986" w:hanging="142"/>
      </w:pPr>
      <w:rPr>
        <w:rFonts w:hint="default"/>
      </w:rPr>
    </w:lvl>
    <w:lvl w:ilvl="4">
      <w:start w:val="1"/>
      <w:numFmt w:val="bullet"/>
      <w:lvlText w:val="•"/>
      <w:lvlJc w:val="left"/>
      <w:pPr>
        <w:ind w:left="3928" w:hanging="142"/>
      </w:pPr>
      <w:rPr>
        <w:rFonts w:hint="default"/>
      </w:rPr>
    </w:lvl>
    <w:lvl w:ilvl="5">
      <w:start w:val="1"/>
      <w:numFmt w:val="bullet"/>
      <w:lvlText w:val="•"/>
      <w:lvlJc w:val="left"/>
      <w:pPr>
        <w:ind w:left="4870" w:hanging="142"/>
      </w:pPr>
      <w:rPr>
        <w:rFonts w:hint="default"/>
      </w:rPr>
    </w:lvl>
    <w:lvl w:ilvl="6">
      <w:start w:val="1"/>
      <w:numFmt w:val="bullet"/>
      <w:lvlText w:val="•"/>
      <w:lvlJc w:val="left"/>
      <w:pPr>
        <w:ind w:left="5812" w:hanging="142"/>
      </w:pPr>
      <w:rPr>
        <w:rFonts w:hint="default"/>
      </w:rPr>
    </w:lvl>
    <w:lvl w:ilvl="7">
      <w:start w:val="1"/>
      <w:numFmt w:val="bullet"/>
      <w:lvlText w:val="•"/>
      <w:lvlJc w:val="left"/>
      <w:pPr>
        <w:ind w:left="6754" w:hanging="142"/>
      </w:pPr>
      <w:rPr>
        <w:rFonts w:hint="default"/>
      </w:rPr>
    </w:lvl>
    <w:lvl w:ilvl="8">
      <w:start w:val="1"/>
      <w:numFmt w:val="bullet"/>
      <w:lvlText w:val="•"/>
      <w:lvlJc w:val="left"/>
      <w:pPr>
        <w:ind w:left="7696" w:hanging="142"/>
      </w:pPr>
      <w:rPr>
        <w:rFonts w:hint="default"/>
      </w:rPr>
    </w:lvl>
  </w:abstractNum>
  <w:abstractNum w:abstractNumId="66">
    <w:multiLevelType w:val="hybridMultilevel"/>
    <w:lvl w:ilvl="0">
      <w:start w:val="1"/>
      <w:numFmt w:val="bullet"/>
      <w:lvlText w:val="-"/>
      <w:lvlJc w:val="left"/>
      <w:pPr>
        <w:ind w:left="160" w:hanging="142"/>
      </w:pPr>
      <w:rPr>
        <w:rFonts w:hint="default" w:ascii="Times New Roman" w:hAnsi="Times New Roman" w:eastAsia="Times New Roman"/>
        <w:b/>
        <w:bCs/>
        <w:w w:val="99"/>
        <w:sz w:val="24"/>
        <w:szCs w:val="24"/>
      </w:rPr>
    </w:lvl>
    <w:lvl w:ilvl="1">
      <w:start w:val="1"/>
      <w:numFmt w:val="bullet"/>
      <w:lvlText w:val="•"/>
      <w:lvlJc w:val="left"/>
      <w:pPr>
        <w:ind w:left="1102" w:hanging="142"/>
      </w:pPr>
      <w:rPr>
        <w:rFonts w:hint="default"/>
      </w:rPr>
    </w:lvl>
    <w:lvl w:ilvl="2">
      <w:start w:val="1"/>
      <w:numFmt w:val="bullet"/>
      <w:lvlText w:val="•"/>
      <w:lvlJc w:val="left"/>
      <w:pPr>
        <w:ind w:left="2044" w:hanging="142"/>
      </w:pPr>
      <w:rPr>
        <w:rFonts w:hint="default"/>
      </w:rPr>
    </w:lvl>
    <w:lvl w:ilvl="3">
      <w:start w:val="1"/>
      <w:numFmt w:val="bullet"/>
      <w:lvlText w:val="•"/>
      <w:lvlJc w:val="left"/>
      <w:pPr>
        <w:ind w:left="2986" w:hanging="142"/>
      </w:pPr>
      <w:rPr>
        <w:rFonts w:hint="default"/>
      </w:rPr>
    </w:lvl>
    <w:lvl w:ilvl="4">
      <w:start w:val="1"/>
      <w:numFmt w:val="bullet"/>
      <w:lvlText w:val="•"/>
      <w:lvlJc w:val="left"/>
      <w:pPr>
        <w:ind w:left="3928" w:hanging="142"/>
      </w:pPr>
      <w:rPr>
        <w:rFonts w:hint="default"/>
      </w:rPr>
    </w:lvl>
    <w:lvl w:ilvl="5">
      <w:start w:val="1"/>
      <w:numFmt w:val="bullet"/>
      <w:lvlText w:val="•"/>
      <w:lvlJc w:val="left"/>
      <w:pPr>
        <w:ind w:left="4870" w:hanging="142"/>
      </w:pPr>
      <w:rPr>
        <w:rFonts w:hint="default"/>
      </w:rPr>
    </w:lvl>
    <w:lvl w:ilvl="6">
      <w:start w:val="1"/>
      <w:numFmt w:val="bullet"/>
      <w:lvlText w:val="•"/>
      <w:lvlJc w:val="left"/>
      <w:pPr>
        <w:ind w:left="5812" w:hanging="142"/>
      </w:pPr>
      <w:rPr>
        <w:rFonts w:hint="default"/>
      </w:rPr>
    </w:lvl>
    <w:lvl w:ilvl="7">
      <w:start w:val="1"/>
      <w:numFmt w:val="bullet"/>
      <w:lvlText w:val="•"/>
      <w:lvlJc w:val="left"/>
      <w:pPr>
        <w:ind w:left="6754" w:hanging="142"/>
      </w:pPr>
      <w:rPr>
        <w:rFonts w:hint="default"/>
      </w:rPr>
    </w:lvl>
    <w:lvl w:ilvl="8">
      <w:start w:val="1"/>
      <w:numFmt w:val="bullet"/>
      <w:lvlText w:val="•"/>
      <w:lvlJc w:val="left"/>
      <w:pPr>
        <w:ind w:left="7696" w:hanging="142"/>
      </w:pPr>
      <w:rPr>
        <w:rFonts w:hint="default"/>
      </w:rPr>
    </w:lvl>
  </w:abstractNum>
  <w:abstractNum w:abstractNumId="65">
    <w:multiLevelType w:val="hybridMultilevel"/>
    <w:lvl w:ilvl="0">
      <w:start w:val="1"/>
      <w:numFmt w:val="bullet"/>
      <w:lvlText w:val="-"/>
      <w:lvlJc w:val="left"/>
      <w:pPr>
        <w:ind w:left="160" w:hanging="142"/>
      </w:pPr>
      <w:rPr>
        <w:rFonts w:hint="default" w:ascii="Times New Roman" w:hAnsi="Times New Roman" w:eastAsia="Times New Roman"/>
        <w:b/>
        <w:bCs/>
        <w:w w:val="99"/>
        <w:sz w:val="24"/>
        <w:szCs w:val="24"/>
      </w:rPr>
    </w:lvl>
    <w:lvl w:ilvl="1">
      <w:start w:val="1"/>
      <w:numFmt w:val="bullet"/>
      <w:lvlText w:val="•"/>
      <w:lvlJc w:val="left"/>
      <w:pPr>
        <w:ind w:left="1102" w:hanging="142"/>
      </w:pPr>
      <w:rPr>
        <w:rFonts w:hint="default"/>
      </w:rPr>
    </w:lvl>
    <w:lvl w:ilvl="2">
      <w:start w:val="1"/>
      <w:numFmt w:val="bullet"/>
      <w:lvlText w:val="•"/>
      <w:lvlJc w:val="left"/>
      <w:pPr>
        <w:ind w:left="2044" w:hanging="142"/>
      </w:pPr>
      <w:rPr>
        <w:rFonts w:hint="default"/>
      </w:rPr>
    </w:lvl>
    <w:lvl w:ilvl="3">
      <w:start w:val="1"/>
      <w:numFmt w:val="bullet"/>
      <w:lvlText w:val="•"/>
      <w:lvlJc w:val="left"/>
      <w:pPr>
        <w:ind w:left="2986" w:hanging="142"/>
      </w:pPr>
      <w:rPr>
        <w:rFonts w:hint="default"/>
      </w:rPr>
    </w:lvl>
    <w:lvl w:ilvl="4">
      <w:start w:val="1"/>
      <w:numFmt w:val="bullet"/>
      <w:lvlText w:val="•"/>
      <w:lvlJc w:val="left"/>
      <w:pPr>
        <w:ind w:left="3928" w:hanging="142"/>
      </w:pPr>
      <w:rPr>
        <w:rFonts w:hint="default"/>
      </w:rPr>
    </w:lvl>
    <w:lvl w:ilvl="5">
      <w:start w:val="1"/>
      <w:numFmt w:val="bullet"/>
      <w:lvlText w:val="•"/>
      <w:lvlJc w:val="left"/>
      <w:pPr>
        <w:ind w:left="4870" w:hanging="142"/>
      </w:pPr>
      <w:rPr>
        <w:rFonts w:hint="default"/>
      </w:rPr>
    </w:lvl>
    <w:lvl w:ilvl="6">
      <w:start w:val="1"/>
      <w:numFmt w:val="bullet"/>
      <w:lvlText w:val="•"/>
      <w:lvlJc w:val="left"/>
      <w:pPr>
        <w:ind w:left="5812" w:hanging="142"/>
      </w:pPr>
      <w:rPr>
        <w:rFonts w:hint="default"/>
      </w:rPr>
    </w:lvl>
    <w:lvl w:ilvl="7">
      <w:start w:val="1"/>
      <w:numFmt w:val="bullet"/>
      <w:lvlText w:val="•"/>
      <w:lvlJc w:val="left"/>
      <w:pPr>
        <w:ind w:left="6754" w:hanging="142"/>
      </w:pPr>
      <w:rPr>
        <w:rFonts w:hint="default"/>
      </w:rPr>
    </w:lvl>
    <w:lvl w:ilvl="8">
      <w:start w:val="1"/>
      <w:numFmt w:val="bullet"/>
      <w:lvlText w:val="•"/>
      <w:lvlJc w:val="left"/>
      <w:pPr>
        <w:ind w:left="7696" w:hanging="142"/>
      </w:pPr>
      <w:rPr>
        <w:rFonts w:hint="default"/>
      </w:rPr>
    </w:lvl>
  </w:abstractNum>
  <w:abstractNum w:abstractNumId="64">
    <w:multiLevelType w:val="hybridMultilevel"/>
    <w:lvl w:ilvl="0">
      <w:start w:val="1"/>
      <w:numFmt w:val="bullet"/>
      <w:lvlText w:val="-"/>
      <w:lvlJc w:val="left"/>
      <w:pPr>
        <w:ind w:left="160" w:hanging="284"/>
      </w:pPr>
      <w:rPr>
        <w:rFonts w:hint="default" w:ascii="Times New Roman" w:hAnsi="Times New Roman" w:eastAsia="Times New Roman"/>
        <w:b/>
        <w:bCs/>
        <w:spacing w:val="-60"/>
        <w:w w:val="99"/>
        <w:sz w:val="24"/>
        <w:szCs w:val="24"/>
      </w:rPr>
    </w:lvl>
    <w:lvl w:ilvl="1">
      <w:start w:val="1"/>
      <w:numFmt w:val="bullet"/>
      <w:lvlText w:val="•"/>
      <w:lvlJc w:val="left"/>
      <w:pPr>
        <w:ind w:left="1102" w:hanging="284"/>
      </w:pPr>
      <w:rPr>
        <w:rFonts w:hint="default"/>
      </w:rPr>
    </w:lvl>
    <w:lvl w:ilvl="2">
      <w:start w:val="1"/>
      <w:numFmt w:val="bullet"/>
      <w:lvlText w:val="•"/>
      <w:lvlJc w:val="left"/>
      <w:pPr>
        <w:ind w:left="2044" w:hanging="284"/>
      </w:pPr>
      <w:rPr>
        <w:rFonts w:hint="default"/>
      </w:rPr>
    </w:lvl>
    <w:lvl w:ilvl="3">
      <w:start w:val="1"/>
      <w:numFmt w:val="bullet"/>
      <w:lvlText w:val="•"/>
      <w:lvlJc w:val="left"/>
      <w:pPr>
        <w:ind w:left="2986" w:hanging="284"/>
      </w:pPr>
      <w:rPr>
        <w:rFonts w:hint="default"/>
      </w:rPr>
    </w:lvl>
    <w:lvl w:ilvl="4">
      <w:start w:val="1"/>
      <w:numFmt w:val="bullet"/>
      <w:lvlText w:val="•"/>
      <w:lvlJc w:val="left"/>
      <w:pPr>
        <w:ind w:left="3928" w:hanging="284"/>
      </w:pPr>
      <w:rPr>
        <w:rFonts w:hint="default"/>
      </w:rPr>
    </w:lvl>
    <w:lvl w:ilvl="5">
      <w:start w:val="1"/>
      <w:numFmt w:val="bullet"/>
      <w:lvlText w:val="•"/>
      <w:lvlJc w:val="left"/>
      <w:pPr>
        <w:ind w:left="4870" w:hanging="284"/>
      </w:pPr>
      <w:rPr>
        <w:rFonts w:hint="default"/>
      </w:rPr>
    </w:lvl>
    <w:lvl w:ilvl="6">
      <w:start w:val="1"/>
      <w:numFmt w:val="bullet"/>
      <w:lvlText w:val="•"/>
      <w:lvlJc w:val="left"/>
      <w:pPr>
        <w:ind w:left="5812" w:hanging="284"/>
      </w:pPr>
      <w:rPr>
        <w:rFonts w:hint="default"/>
      </w:rPr>
    </w:lvl>
    <w:lvl w:ilvl="7">
      <w:start w:val="1"/>
      <w:numFmt w:val="bullet"/>
      <w:lvlText w:val="•"/>
      <w:lvlJc w:val="left"/>
      <w:pPr>
        <w:ind w:left="6754" w:hanging="284"/>
      </w:pPr>
      <w:rPr>
        <w:rFonts w:hint="default"/>
      </w:rPr>
    </w:lvl>
    <w:lvl w:ilvl="8">
      <w:start w:val="1"/>
      <w:numFmt w:val="bullet"/>
      <w:lvlText w:val="•"/>
      <w:lvlJc w:val="left"/>
      <w:pPr>
        <w:ind w:left="7696" w:hanging="284"/>
      </w:pPr>
      <w:rPr>
        <w:rFonts w:hint="default"/>
      </w:rPr>
    </w:lvl>
  </w:abstractNum>
  <w:abstractNum w:abstractNumId="63">
    <w:multiLevelType w:val="hybridMultilevel"/>
    <w:lvl w:ilvl="0">
      <w:start w:val="1"/>
      <w:numFmt w:val="bullet"/>
      <w:lvlText w:val="-"/>
      <w:lvlJc w:val="left"/>
      <w:pPr>
        <w:ind w:left="160" w:hanging="142"/>
      </w:pPr>
      <w:rPr>
        <w:rFonts w:hint="default" w:ascii="Times New Roman" w:hAnsi="Times New Roman" w:eastAsia="Times New Roman"/>
        <w:b/>
        <w:bCs/>
        <w:w w:val="99"/>
        <w:sz w:val="24"/>
        <w:szCs w:val="24"/>
      </w:rPr>
    </w:lvl>
    <w:lvl w:ilvl="1">
      <w:start w:val="1"/>
      <w:numFmt w:val="bullet"/>
      <w:lvlText w:val="•"/>
      <w:lvlJc w:val="left"/>
      <w:pPr>
        <w:ind w:left="1102" w:hanging="142"/>
      </w:pPr>
      <w:rPr>
        <w:rFonts w:hint="default"/>
      </w:rPr>
    </w:lvl>
    <w:lvl w:ilvl="2">
      <w:start w:val="1"/>
      <w:numFmt w:val="bullet"/>
      <w:lvlText w:val="•"/>
      <w:lvlJc w:val="left"/>
      <w:pPr>
        <w:ind w:left="2044" w:hanging="142"/>
      </w:pPr>
      <w:rPr>
        <w:rFonts w:hint="default"/>
      </w:rPr>
    </w:lvl>
    <w:lvl w:ilvl="3">
      <w:start w:val="1"/>
      <w:numFmt w:val="bullet"/>
      <w:lvlText w:val="•"/>
      <w:lvlJc w:val="left"/>
      <w:pPr>
        <w:ind w:left="2986" w:hanging="142"/>
      </w:pPr>
      <w:rPr>
        <w:rFonts w:hint="default"/>
      </w:rPr>
    </w:lvl>
    <w:lvl w:ilvl="4">
      <w:start w:val="1"/>
      <w:numFmt w:val="bullet"/>
      <w:lvlText w:val="•"/>
      <w:lvlJc w:val="left"/>
      <w:pPr>
        <w:ind w:left="3928" w:hanging="142"/>
      </w:pPr>
      <w:rPr>
        <w:rFonts w:hint="default"/>
      </w:rPr>
    </w:lvl>
    <w:lvl w:ilvl="5">
      <w:start w:val="1"/>
      <w:numFmt w:val="bullet"/>
      <w:lvlText w:val="•"/>
      <w:lvlJc w:val="left"/>
      <w:pPr>
        <w:ind w:left="4870" w:hanging="142"/>
      </w:pPr>
      <w:rPr>
        <w:rFonts w:hint="default"/>
      </w:rPr>
    </w:lvl>
    <w:lvl w:ilvl="6">
      <w:start w:val="1"/>
      <w:numFmt w:val="bullet"/>
      <w:lvlText w:val="•"/>
      <w:lvlJc w:val="left"/>
      <w:pPr>
        <w:ind w:left="5812" w:hanging="142"/>
      </w:pPr>
      <w:rPr>
        <w:rFonts w:hint="default"/>
      </w:rPr>
    </w:lvl>
    <w:lvl w:ilvl="7">
      <w:start w:val="1"/>
      <w:numFmt w:val="bullet"/>
      <w:lvlText w:val="•"/>
      <w:lvlJc w:val="left"/>
      <w:pPr>
        <w:ind w:left="6754" w:hanging="142"/>
      </w:pPr>
      <w:rPr>
        <w:rFonts w:hint="default"/>
      </w:rPr>
    </w:lvl>
    <w:lvl w:ilvl="8">
      <w:start w:val="1"/>
      <w:numFmt w:val="bullet"/>
      <w:lvlText w:val="•"/>
      <w:lvlJc w:val="left"/>
      <w:pPr>
        <w:ind w:left="7696" w:hanging="142"/>
      </w:pPr>
      <w:rPr>
        <w:rFonts w:hint="default"/>
      </w:rPr>
    </w:lvl>
  </w:abstractNum>
  <w:abstractNum w:abstractNumId="62">
    <w:multiLevelType w:val="hybridMultilevel"/>
    <w:lvl w:ilvl="0">
      <w:start w:val="1"/>
      <w:numFmt w:val="bullet"/>
      <w:lvlText w:val="-"/>
      <w:lvlJc w:val="left"/>
      <w:pPr>
        <w:ind w:left="160" w:hanging="142"/>
      </w:pPr>
      <w:rPr>
        <w:rFonts w:hint="default" w:ascii="Times New Roman" w:hAnsi="Times New Roman" w:eastAsia="Times New Roman"/>
        <w:b/>
        <w:bCs/>
        <w:w w:val="99"/>
        <w:sz w:val="24"/>
        <w:szCs w:val="24"/>
      </w:rPr>
    </w:lvl>
    <w:lvl w:ilvl="1">
      <w:start w:val="1"/>
      <w:numFmt w:val="bullet"/>
      <w:lvlText w:val="•"/>
      <w:lvlJc w:val="left"/>
      <w:pPr>
        <w:ind w:left="1102" w:hanging="142"/>
      </w:pPr>
      <w:rPr>
        <w:rFonts w:hint="default"/>
      </w:rPr>
    </w:lvl>
    <w:lvl w:ilvl="2">
      <w:start w:val="1"/>
      <w:numFmt w:val="bullet"/>
      <w:lvlText w:val="•"/>
      <w:lvlJc w:val="left"/>
      <w:pPr>
        <w:ind w:left="2044" w:hanging="142"/>
      </w:pPr>
      <w:rPr>
        <w:rFonts w:hint="default"/>
      </w:rPr>
    </w:lvl>
    <w:lvl w:ilvl="3">
      <w:start w:val="1"/>
      <w:numFmt w:val="bullet"/>
      <w:lvlText w:val="•"/>
      <w:lvlJc w:val="left"/>
      <w:pPr>
        <w:ind w:left="2986" w:hanging="142"/>
      </w:pPr>
      <w:rPr>
        <w:rFonts w:hint="default"/>
      </w:rPr>
    </w:lvl>
    <w:lvl w:ilvl="4">
      <w:start w:val="1"/>
      <w:numFmt w:val="bullet"/>
      <w:lvlText w:val="•"/>
      <w:lvlJc w:val="left"/>
      <w:pPr>
        <w:ind w:left="3928" w:hanging="142"/>
      </w:pPr>
      <w:rPr>
        <w:rFonts w:hint="default"/>
      </w:rPr>
    </w:lvl>
    <w:lvl w:ilvl="5">
      <w:start w:val="1"/>
      <w:numFmt w:val="bullet"/>
      <w:lvlText w:val="•"/>
      <w:lvlJc w:val="left"/>
      <w:pPr>
        <w:ind w:left="4870" w:hanging="142"/>
      </w:pPr>
      <w:rPr>
        <w:rFonts w:hint="default"/>
      </w:rPr>
    </w:lvl>
    <w:lvl w:ilvl="6">
      <w:start w:val="1"/>
      <w:numFmt w:val="bullet"/>
      <w:lvlText w:val="•"/>
      <w:lvlJc w:val="left"/>
      <w:pPr>
        <w:ind w:left="5812" w:hanging="142"/>
      </w:pPr>
      <w:rPr>
        <w:rFonts w:hint="default"/>
      </w:rPr>
    </w:lvl>
    <w:lvl w:ilvl="7">
      <w:start w:val="1"/>
      <w:numFmt w:val="bullet"/>
      <w:lvlText w:val="•"/>
      <w:lvlJc w:val="left"/>
      <w:pPr>
        <w:ind w:left="6754" w:hanging="142"/>
      </w:pPr>
      <w:rPr>
        <w:rFonts w:hint="default"/>
      </w:rPr>
    </w:lvl>
    <w:lvl w:ilvl="8">
      <w:start w:val="1"/>
      <w:numFmt w:val="bullet"/>
      <w:lvlText w:val="•"/>
      <w:lvlJc w:val="left"/>
      <w:pPr>
        <w:ind w:left="7696" w:hanging="142"/>
      </w:pPr>
      <w:rPr>
        <w:rFonts w:hint="default"/>
      </w:rPr>
    </w:lvl>
  </w:abstractNum>
  <w:abstractNum w:abstractNumId="61">
    <w:multiLevelType w:val="hybridMultilevel"/>
    <w:lvl w:ilvl="0">
      <w:start w:val="1"/>
      <w:numFmt w:val="bullet"/>
      <w:lvlText w:val="-"/>
      <w:lvlJc w:val="left"/>
      <w:pPr>
        <w:ind w:left="160" w:hanging="142"/>
      </w:pPr>
      <w:rPr>
        <w:rFonts w:hint="default" w:ascii="Times New Roman" w:hAnsi="Times New Roman" w:eastAsia="Times New Roman"/>
        <w:b/>
        <w:bCs/>
        <w:w w:val="99"/>
        <w:sz w:val="24"/>
        <w:szCs w:val="24"/>
      </w:rPr>
    </w:lvl>
    <w:lvl w:ilvl="1">
      <w:start w:val="1"/>
      <w:numFmt w:val="bullet"/>
      <w:lvlText w:val="•"/>
      <w:lvlJc w:val="left"/>
      <w:pPr>
        <w:ind w:left="1102" w:hanging="142"/>
      </w:pPr>
      <w:rPr>
        <w:rFonts w:hint="default"/>
      </w:rPr>
    </w:lvl>
    <w:lvl w:ilvl="2">
      <w:start w:val="1"/>
      <w:numFmt w:val="bullet"/>
      <w:lvlText w:val="•"/>
      <w:lvlJc w:val="left"/>
      <w:pPr>
        <w:ind w:left="2044" w:hanging="142"/>
      </w:pPr>
      <w:rPr>
        <w:rFonts w:hint="default"/>
      </w:rPr>
    </w:lvl>
    <w:lvl w:ilvl="3">
      <w:start w:val="1"/>
      <w:numFmt w:val="bullet"/>
      <w:lvlText w:val="•"/>
      <w:lvlJc w:val="left"/>
      <w:pPr>
        <w:ind w:left="2986" w:hanging="142"/>
      </w:pPr>
      <w:rPr>
        <w:rFonts w:hint="default"/>
      </w:rPr>
    </w:lvl>
    <w:lvl w:ilvl="4">
      <w:start w:val="1"/>
      <w:numFmt w:val="bullet"/>
      <w:lvlText w:val="•"/>
      <w:lvlJc w:val="left"/>
      <w:pPr>
        <w:ind w:left="3928" w:hanging="142"/>
      </w:pPr>
      <w:rPr>
        <w:rFonts w:hint="default"/>
      </w:rPr>
    </w:lvl>
    <w:lvl w:ilvl="5">
      <w:start w:val="1"/>
      <w:numFmt w:val="bullet"/>
      <w:lvlText w:val="•"/>
      <w:lvlJc w:val="left"/>
      <w:pPr>
        <w:ind w:left="4870" w:hanging="142"/>
      </w:pPr>
      <w:rPr>
        <w:rFonts w:hint="default"/>
      </w:rPr>
    </w:lvl>
    <w:lvl w:ilvl="6">
      <w:start w:val="1"/>
      <w:numFmt w:val="bullet"/>
      <w:lvlText w:val="•"/>
      <w:lvlJc w:val="left"/>
      <w:pPr>
        <w:ind w:left="5812" w:hanging="142"/>
      </w:pPr>
      <w:rPr>
        <w:rFonts w:hint="default"/>
      </w:rPr>
    </w:lvl>
    <w:lvl w:ilvl="7">
      <w:start w:val="1"/>
      <w:numFmt w:val="bullet"/>
      <w:lvlText w:val="•"/>
      <w:lvlJc w:val="left"/>
      <w:pPr>
        <w:ind w:left="6754" w:hanging="142"/>
      </w:pPr>
      <w:rPr>
        <w:rFonts w:hint="default"/>
      </w:rPr>
    </w:lvl>
    <w:lvl w:ilvl="8">
      <w:start w:val="1"/>
      <w:numFmt w:val="bullet"/>
      <w:lvlText w:val="•"/>
      <w:lvlJc w:val="left"/>
      <w:pPr>
        <w:ind w:left="7696" w:hanging="142"/>
      </w:pPr>
      <w:rPr>
        <w:rFonts w:hint="default"/>
      </w:rPr>
    </w:lvl>
  </w:abstractNum>
  <w:abstractNum w:abstractNumId="60">
    <w:multiLevelType w:val="hybridMultilevel"/>
    <w:lvl w:ilvl="0">
      <w:start w:val="4"/>
      <w:numFmt w:val="decimal"/>
      <w:lvlText w:val="%1"/>
      <w:lvlJc w:val="left"/>
      <w:pPr>
        <w:ind w:left="700" w:hanging="540"/>
        <w:jc w:val="left"/>
      </w:pPr>
      <w:rPr>
        <w:rFonts w:hint="default"/>
      </w:rPr>
    </w:lvl>
    <w:lvl w:ilvl="1">
      <w:start w:val="3"/>
      <w:numFmt w:val="decimal"/>
      <w:lvlText w:val="%1.%2"/>
      <w:lvlJc w:val="left"/>
      <w:pPr>
        <w:ind w:left="700" w:hanging="540"/>
        <w:jc w:val="left"/>
      </w:pPr>
      <w:rPr>
        <w:rFonts w:hint="default"/>
      </w:rPr>
    </w:lvl>
    <w:lvl w:ilvl="2">
      <w:start w:val="2"/>
      <w:numFmt w:val="decimal"/>
      <w:lvlText w:val="%1.%2.%3"/>
      <w:lvlJc w:val="left"/>
      <w:pPr>
        <w:ind w:left="700" w:hanging="540"/>
        <w:jc w:val="left"/>
      </w:pPr>
      <w:rPr>
        <w:rFonts w:hint="default" w:ascii="Times New Roman" w:hAnsi="Times New Roman" w:eastAsia="Times New Roman"/>
        <w:b/>
        <w:bCs/>
        <w:w w:val="100"/>
        <w:sz w:val="24"/>
        <w:szCs w:val="24"/>
      </w:rPr>
    </w:lvl>
    <w:lvl w:ilvl="3">
      <w:start w:val="1"/>
      <w:numFmt w:val="decimal"/>
      <w:lvlText w:val="%4)"/>
      <w:lvlJc w:val="left"/>
      <w:pPr>
        <w:ind w:left="986" w:hanging="260"/>
        <w:jc w:val="left"/>
      </w:pPr>
      <w:rPr>
        <w:rFonts w:hint="default" w:ascii="Times New Roman" w:hAnsi="Times New Roman" w:eastAsia="Times New Roman"/>
        <w:b/>
        <w:bCs/>
        <w:w w:val="99"/>
        <w:sz w:val="24"/>
        <w:szCs w:val="24"/>
      </w:rPr>
    </w:lvl>
    <w:lvl w:ilvl="4">
      <w:start w:val="1"/>
      <w:numFmt w:val="bullet"/>
      <w:lvlText w:val="•"/>
      <w:lvlJc w:val="left"/>
      <w:pPr>
        <w:ind w:left="3846" w:hanging="260"/>
      </w:pPr>
      <w:rPr>
        <w:rFonts w:hint="default"/>
      </w:rPr>
    </w:lvl>
    <w:lvl w:ilvl="5">
      <w:start w:val="1"/>
      <w:numFmt w:val="bullet"/>
      <w:lvlText w:val="•"/>
      <w:lvlJc w:val="left"/>
      <w:pPr>
        <w:ind w:left="4802" w:hanging="260"/>
      </w:pPr>
      <w:rPr>
        <w:rFonts w:hint="default"/>
      </w:rPr>
    </w:lvl>
    <w:lvl w:ilvl="6">
      <w:start w:val="1"/>
      <w:numFmt w:val="bullet"/>
      <w:lvlText w:val="•"/>
      <w:lvlJc w:val="left"/>
      <w:pPr>
        <w:ind w:left="5757" w:hanging="260"/>
      </w:pPr>
      <w:rPr>
        <w:rFonts w:hint="default"/>
      </w:rPr>
    </w:lvl>
    <w:lvl w:ilvl="7">
      <w:start w:val="1"/>
      <w:numFmt w:val="bullet"/>
      <w:lvlText w:val="•"/>
      <w:lvlJc w:val="left"/>
      <w:pPr>
        <w:ind w:left="6713" w:hanging="260"/>
      </w:pPr>
      <w:rPr>
        <w:rFonts w:hint="default"/>
      </w:rPr>
    </w:lvl>
    <w:lvl w:ilvl="8">
      <w:start w:val="1"/>
      <w:numFmt w:val="bullet"/>
      <w:lvlText w:val="•"/>
      <w:lvlJc w:val="left"/>
      <w:pPr>
        <w:ind w:left="7668" w:hanging="260"/>
      </w:pPr>
      <w:rPr>
        <w:rFonts w:hint="default"/>
      </w:rPr>
    </w:lvl>
  </w:abstractNum>
  <w:abstractNum w:abstractNumId="59">
    <w:multiLevelType w:val="hybridMultilevel"/>
    <w:lvl w:ilvl="0">
      <w:start w:val="1"/>
      <w:numFmt w:val="bullet"/>
      <w:lvlText w:val=""/>
      <w:lvlJc w:val="left"/>
      <w:pPr>
        <w:ind w:left="320" w:hanging="142"/>
      </w:pPr>
      <w:rPr>
        <w:rFonts w:hint="default" w:ascii="Symbol" w:hAnsi="Symbol" w:eastAsia="Symbol"/>
        <w:w w:val="100"/>
        <w:sz w:val="24"/>
        <w:szCs w:val="24"/>
      </w:rPr>
    </w:lvl>
    <w:lvl w:ilvl="1">
      <w:start w:val="1"/>
      <w:numFmt w:val="bullet"/>
      <w:lvlText w:val="•"/>
      <w:lvlJc w:val="left"/>
      <w:pPr>
        <w:ind w:left="1278" w:hanging="142"/>
      </w:pPr>
      <w:rPr>
        <w:rFonts w:hint="default"/>
      </w:rPr>
    </w:lvl>
    <w:lvl w:ilvl="2">
      <w:start w:val="1"/>
      <w:numFmt w:val="bullet"/>
      <w:lvlText w:val="•"/>
      <w:lvlJc w:val="left"/>
      <w:pPr>
        <w:ind w:left="2236" w:hanging="142"/>
      </w:pPr>
      <w:rPr>
        <w:rFonts w:hint="default"/>
      </w:rPr>
    </w:lvl>
    <w:lvl w:ilvl="3">
      <w:start w:val="1"/>
      <w:numFmt w:val="bullet"/>
      <w:lvlText w:val="•"/>
      <w:lvlJc w:val="left"/>
      <w:pPr>
        <w:ind w:left="3194" w:hanging="142"/>
      </w:pPr>
      <w:rPr>
        <w:rFonts w:hint="default"/>
      </w:rPr>
    </w:lvl>
    <w:lvl w:ilvl="4">
      <w:start w:val="1"/>
      <w:numFmt w:val="bullet"/>
      <w:lvlText w:val="•"/>
      <w:lvlJc w:val="left"/>
      <w:pPr>
        <w:ind w:left="4152" w:hanging="142"/>
      </w:pPr>
      <w:rPr>
        <w:rFonts w:hint="default"/>
      </w:rPr>
    </w:lvl>
    <w:lvl w:ilvl="5">
      <w:start w:val="1"/>
      <w:numFmt w:val="bullet"/>
      <w:lvlText w:val="•"/>
      <w:lvlJc w:val="left"/>
      <w:pPr>
        <w:ind w:left="5110" w:hanging="142"/>
      </w:pPr>
      <w:rPr>
        <w:rFonts w:hint="default"/>
      </w:rPr>
    </w:lvl>
    <w:lvl w:ilvl="6">
      <w:start w:val="1"/>
      <w:numFmt w:val="bullet"/>
      <w:lvlText w:val="•"/>
      <w:lvlJc w:val="left"/>
      <w:pPr>
        <w:ind w:left="6068" w:hanging="142"/>
      </w:pPr>
      <w:rPr>
        <w:rFonts w:hint="default"/>
      </w:rPr>
    </w:lvl>
    <w:lvl w:ilvl="7">
      <w:start w:val="1"/>
      <w:numFmt w:val="bullet"/>
      <w:lvlText w:val="•"/>
      <w:lvlJc w:val="left"/>
      <w:pPr>
        <w:ind w:left="7026" w:hanging="142"/>
      </w:pPr>
      <w:rPr>
        <w:rFonts w:hint="default"/>
      </w:rPr>
    </w:lvl>
    <w:lvl w:ilvl="8">
      <w:start w:val="1"/>
      <w:numFmt w:val="bullet"/>
      <w:lvlText w:val="•"/>
      <w:lvlJc w:val="left"/>
      <w:pPr>
        <w:ind w:left="7984" w:hanging="142"/>
      </w:pPr>
      <w:rPr>
        <w:rFonts w:hint="default"/>
      </w:rPr>
    </w:lvl>
  </w:abstractNum>
  <w:abstractNum w:abstractNumId="58">
    <w:multiLevelType w:val="hybridMultilevel"/>
    <w:lvl w:ilvl="0">
      <w:start w:val="1"/>
      <w:numFmt w:val="decimal"/>
      <w:lvlText w:val="%1)"/>
      <w:lvlJc w:val="left"/>
      <w:pPr>
        <w:ind w:left="160" w:hanging="284"/>
        <w:jc w:val="left"/>
      </w:pPr>
      <w:rPr>
        <w:rFonts w:hint="default" w:ascii="Times New Roman" w:hAnsi="Times New Roman" w:eastAsia="Times New Roman"/>
        <w:w w:val="99"/>
        <w:sz w:val="24"/>
        <w:szCs w:val="24"/>
      </w:rPr>
    </w:lvl>
    <w:lvl w:ilvl="1">
      <w:start w:val="1"/>
      <w:numFmt w:val="bullet"/>
      <w:lvlText w:val="•"/>
      <w:lvlJc w:val="left"/>
      <w:pPr>
        <w:ind w:left="1102" w:hanging="284"/>
      </w:pPr>
      <w:rPr>
        <w:rFonts w:hint="default"/>
      </w:rPr>
    </w:lvl>
    <w:lvl w:ilvl="2">
      <w:start w:val="1"/>
      <w:numFmt w:val="bullet"/>
      <w:lvlText w:val="•"/>
      <w:lvlJc w:val="left"/>
      <w:pPr>
        <w:ind w:left="2044" w:hanging="284"/>
      </w:pPr>
      <w:rPr>
        <w:rFonts w:hint="default"/>
      </w:rPr>
    </w:lvl>
    <w:lvl w:ilvl="3">
      <w:start w:val="1"/>
      <w:numFmt w:val="bullet"/>
      <w:lvlText w:val="•"/>
      <w:lvlJc w:val="left"/>
      <w:pPr>
        <w:ind w:left="2986" w:hanging="284"/>
      </w:pPr>
      <w:rPr>
        <w:rFonts w:hint="default"/>
      </w:rPr>
    </w:lvl>
    <w:lvl w:ilvl="4">
      <w:start w:val="1"/>
      <w:numFmt w:val="bullet"/>
      <w:lvlText w:val="•"/>
      <w:lvlJc w:val="left"/>
      <w:pPr>
        <w:ind w:left="3928" w:hanging="284"/>
      </w:pPr>
      <w:rPr>
        <w:rFonts w:hint="default"/>
      </w:rPr>
    </w:lvl>
    <w:lvl w:ilvl="5">
      <w:start w:val="1"/>
      <w:numFmt w:val="bullet"/>
      <w:lvlText w:val="•"/>
      <w:lvlJc w:val="left"/>
      <w:pPr>
        <w:ind w:left="4870" w:hanging="284"/>
      </w:pPr>
      <w:rPr>
        <w:rFonts w:hint="default"/>
      </w:rPr>
    </w:lvl>
    <w:lvl w:ilvl="6">
      <w:start w:val="1"/>
      <w:numFmt w:val="bullet"/>
      <w:lvlText w:val="•"/>
      <w:lvlJc w:val="left"/>
      <w:pPr>
        <w:ind w:left="5812" w:hanging="284"/>
      </w:pPr>
      <w:rPr>
        <w:rFonts w:hint="default"/>
      </w:rPr>
    </w:lvl>
    <w:lvl w:ilvl="7">
      <w:start w:val="1"/>
      <w:numFmt w:val="bullet"/>
      <w:lvlText w:val="•"/>
      <w:lvlJc w:val="left"/>
      <w:pPr>
        <w:ind w:left="6754" w:hanging="284"/>
      </w:pPr>
      <w:rPr>
        <w:rFonts w:hint="default"/>
      </w:rPr>
    </w:lvl>
    <w:lvl w:ilvl="8">
      <w:start w:val="1"/>
      <w:numFmt w:val="bullet"/>
      <w:lvlText w:val="•"/>
      <w:lvlJc w:val="left"/>
      <w:pPr>
        <w:ind w:left="7696" w:hanging="284"/>
      </w:pPr>
      <w:rPr>
        <w:rFonts w:hint="default"/>
      </w:rPr>
    </w:lvl>
  </w:abstractNum>
  <w:abstractNum w:abstractNumId="57">
    <w:multiLevelType w:val="hybridMultilevel"/>
    <w:lvl w:ilvl="0">
      <w:start w:val="4"/>
      <w:numFmt w:val="decimal"/>
      <w:lvlText w:val="%1"/>
      <w:lvlJc w:val="left"/>
      <w:pPr>
        <w:ind w:left="726" w:hanging="567"/>
        <w:jc w:val="left"/>
      </w:pPr>
      <w:rPr>
        <w:rFonts w:hint="default"/>
      </w:rPr>
    </w:lvl>
    <w:lvl w:ilvl="1">
      <w:start w:val="2"/>
      <w:numFmt w:val="decimal"/>
      <w:lvlText w:val="%1.%2."/>
      <w:lvlJc w:val="left"/>
      <w:pPr>
        <w:ind w:left="726" w:hanging="567"/>
        <w:jc w:val="left"/>
      </w:pPr>
      <w:rPr>
        <w:rFonts w:hint="default" w:ascii="Times New Roman" w:hAnsi="Times New Roman" w:eastAsia="Times New Roman"/>
        <w:b/>
        <w:bCs/>
        <w:spacing w:val="-4"/>
        <w:w w:val="99"/>
        <w:sz w:val="24"/>
        <w:szCs w:val="24"/>
      </w:rPr>
    </w:lvl>
    <w:lvl w:ilvl="2">
      <w:start w:val="1"/>
      <w:numFmt w:val="decimal"/>
      <w:lvlText w:val="%1.%2.%3"/>
      <w:lvlJc w:val="left"/>
      <w:pPr>
        <w:ind w:left="700" w:hanging="540"/>
        <w:jc w:val="left"/>
      </w:pPr>
      <w:rPr>
        <w:rFonts w:hint="default" w:ascii="Times New Roman" w:hAnsi="Times New Roman" w:eastAsia="Times New Roman"/>
        <w:b/>
        <w:bCs/>
        <w:w w:val="100"/>
        <w:sz w:val="24"/>
        <w:szCs w:val="24"/>
      </w:rPr>
    </w:lvl>
    <w:lvl w:ilvl="3">
      <w:start w:val="1"/>
      <w:numFmt w:val="bullet"/>
      <w:lvlText w:val="•"/>
      <w:lvlJc w:val="left"/>
      <w:pPr>
        <w:ind w:left="2688" w:hanging="540"/>
      </w:pPr>
      <w:rPr>
        <w:rFonts w:hint="default"/>
      </w:rPr>
    </w:lvl>
    <w:lvl w:ilvl="4">
      <w:start w:val="1"/>
      <w:numFmt w:val="bullet"/>
      <w:lvlText w:val="•"/>
      <w:lvlJc w:val="left"/>
      <w:pPr>
        <w:ind w:left="3673" w:hanging="540"/>
      </w:pPr>
      <w:rPr>
        <w:rFonts w:hint="default"/>
      </w:rPr>
    </w:lvl>
    <w:lvl w:ilvl="5">
      <w:start w:val="1"/>
      <w:numFmt w:val="bullet"/>
      <w:lvlText w:val="•"/>
      <w:lvlJc w:val="left"/>
      <w:pPr>
        <w:ind w:left="4657" w:hanging="540"/>
      </w:pPr>
      <w:rPr>
        <w:rFonts w:hint="default"/>
      </w:rPr>
    </w:lvl>
    <w:lvl w:ilvl="6">
      <w:start w:val="1"/>
      <w:numFmt w:val="bullet"/>
      <w:lvlText w:val="•"/>
      <w:lvlJc w:val="left"/>
      <w:pPr>
        <w:ind w:left="5642" w:hanging="540"/>
      </w:pPr>
      <w:rPr>
        <w:rFonts w:hint="default"/>
      </w:rPr>
    </w:lvl>
    <w:lvl w:ilvl="7">
      <w:start w:val="1"/>
      <w:numFmt w:val="bullet"/>
      <w:lvlText w:val="•"/>
      <w:lvlJc w:val="left"/>
      <w:pPr>
        <w:ind w:left="6626" w:hanging="540"/>
      </w:pPr>
      <w:rPr>
        <w:rFonts w:hint="default"/>
      </w:rPr>
    </w:lvl>
    <w:lvl w:ilvl="8">
      <w:start w:val="1"/>
      <w:numFmt w:val="bullet"/>
      <w:lvlText w:val="•"/>
      <w:lvlJc w:val="left"/>
      <w:pPr>
        <w:ind w:left="7611" w:hanging="540"/>
      </w:pPr>
      <w:rPr>
        <w:rFonts w:hint="default"/>
      </w:rPr>
    </w:lvl>
  </w:abstractNum>
  <w:abstractNum w:abstractNumId="55">
    <w:multiLevelType w:val="hybridMultilevel"/>
    <w:lvl w:ilvl="0">
      <w:start w:val="10"/>
      <w:numFmt w:val="decimal"/>
      <w:lvlText w:val="%1"/>
      <w:lvlJc w:val="left"/>
      <w:pPr>
        <w:ind w:left="160" w:hanging="735"/>
        <w:jc w:val="left"/>
      </w:pPr>
      <w:rPr>
        <w:rFonts w:hint="default"/>
      </w:rPr>
    </w:lvl>
    <w:lvl w:ilvl="1">
      <w:start w:val="1"/>
      <w:numFmt w:val="decimal"/>
      <w:lvlText w:val="%1.%2"/>
      <w:lvlJc w:val="left"/>
      <w:pPr>
        <w:ind w:left="160" w:hanging="735"/>
        <w:jc w:val="left"/>
      </w:pPr>
      <w:rPr>
        <w:rFonts w:hint="default" w:ascii="Times New Roman" w:hAnsi="Times New Roman" w:eastAsia="Times New Roman"/>
        <w:w w:val="100"/>
        <w:sz w:val="24"/>
        <w:szCs w:val="24"/>
      </w:rPr>
    </w:lvl>
    <w:lvl w:ilvl="2">
      <w:start w:val="1"/>
      <w:numFmt w:val="decimal"/>
      <w:lvlText w:val="%3)"/>
      <w:lvlJc w:val="left"/>
      <w:pPr>
        <w:ind w:left="160" w:hanging="262"/>
        <w:jc w:val="left"/>
      </w:pPr>
      <w:rPr>
        <w:rFonts w:hint="default" w:ascii="Times New Roman" w:hAnsi="Times New Roman" w:eastAsia="Times New Roman"/>
        <w:w w:val="99"/>
        <w:sz w:val="24"/>
        <w:szCs w:val="24"/>
      </w:rPr>
    </w:lvl>
    <w:lvl w:ilvl="3">
      <w:start w:val="1"/>
      <w:numFmt w:val="bullet"/>
      <w:lvlText w:val="•"/>
      <w:lvlJc w:val="left"/>
      <w:pPr>
        <w:ind w:left="2986" w:hanging="262"/>
      </w:pPr>
      <w:rPr>
        <w:rFonts w:hint="default"/>
      </w:rPr>
    </w:lvl>
    <w:lvl w:ilvl="4">
      <w:start w:val="1"/>
      <w:numFmt w:val="bullet"/>
      <w:lvlText w:val="•"/>
      <w:lvlJc w:val="left"/>
      <w:pPr>
        <w:ind w:left="3928" w:hanging="262"/>
      </w:pPr>
      <w:rPr>
        <w:rFonts w:hint="default"/>
      </w:rPr>
    </w:lvl>
    <w:lvl w:ilvl="5">
      <w:start w:val="1"/>
      <w:numFmt w:val="bullet"/>
      <w:lvlText w:val="•"/>
      <w:lvlJc w:val="left"/>
      <w:pPr>
        <w:ind w:left="4870" w:hanging="262"/>
      </w:pPr>
      <w:rPr>
        <w:rFonts w:hint="default"/>
      </w:rPr>
    </w:lvl>
    <w:lvl w:ilvl="6">
      <w:start w:val="1"/>
      <w:numFmt w:val="bullet"/>
      <w:lvlText w:val="•"/>
      <w:lvlJc w:val="left"/>
      <w:pPr>
        <w:ind w:left="5812" w:hanging="262"/>
      </w:pPr>
      <w:rPr>
        <w:rFonts w:hint="default"/>
      </w:rPr>
    </w:lvl>
    <w:lvl w:ilvl="7">
      <w:start w:val="1"/>
      <w:numFmt w:val="bullet"/>
      <w:lvlText w:val="•"/>
      <w:lvlJc w:val="left"/>
      <w:pPr>
        <w:ind w:left="6754" w:hanging="262"/>
      </w:pPr>
      <w:rPr>
        <w:rFonts w:hint="default"/>
      </w:rPr>
    </w:lvl>
    <w:lvl w:ilvl="8">
      <w:start w:val="1"/>
      <w:numFmt w:val="bullet"/>
      <w:lvlText w:val="•"/>
      <w:lvlJc w:val="left"/>
      <w:pPr>
        <w:ind w:left="7696" w:hanging="262"/>
      </w:pPr>
      <w:rPr>
        <w:rFonts w:hint="default"/>
      </w:rPr>
    </w:lvl>
  </w:abstractNum>
  <w:abstractNum w:abstractNumId="54">
    <w:multiLevelType w:val="hybridMultilevel"/>
    <w:lvl w:ilvl="0">
      <w:start w:val="3"/>
      <w:numFmt w:val="decimal"/>
      <w:lvlText w:val="%1"/>
      <w:lvlJc w:val="left"/>
      <w:pPr>
        <w:ind w:left="760" w:hanging="600"/>
        <w:jc w:val="left"/>
      </w:pPr>
      <w:rPr>
        <w:rFonts w:hint="default"/>
      </w:rPr>
    </w:lvl>
    <w:lvl w:ilvl="1">
      <w:start w:val="1"/>
      <w:numFmt w:val="decimal"/>
      <w:lvlText w:val="%1.%2"/>
      <w:lvlJc w:val="left"/>
      <w:pPr>
        <w:ind w:left="760" w:hanging="600"/>
        <w:jc w:val="left"/>
      </w:pPr>
      <w:rPr>
        <w:rFonts w:hint="default" w:ascii="Times New Roman" w:hAnsi="Times New Roman" w:eastAsia="Times New Roman"/>
        <w:spacing w:val="-2"/>
        <w:w w:val="99"/>
        <w:sz w:val="24"/>
        <w:szCs w:val="24"/>
      </w:rPr>
    </w:lvl>
    <w:lvl w:ilvl="2">
      <w:start w:val="1"/>
      <w:numFmt w:val="decimal"/>
      <w:lvlText w:val="%3)"/>
      <w:lvlJc w:val="left"/>
      <w:pPr>
        <w:ind w:left="160" w:hanging="262"/>
        <w:jc w:val="left"/>
      </w:pPr>
      <w:rPr>
        <w:rFonts w:hint="default" w:ascii="Times New Roman" w:hAnsi="Times New Roman" w:eastAsia="Times New Roman"/>
        <w:w w:val="99"/>
        <w:sz w:val="24"/>
        <w:szCs w:val="24"/>
      </w:rPr>
    </w:lvl>
    <w:lvl w:ilvl="3">
      <w:start w:val="1"/>
      <w:numFmt w:val="bullet"/>
      <w:lvlText w:val="•"/>
      <w:lvlJc w:val="left"/>
      <w:pPr>
        <w:ind w:left="2720" w:hanging="262"/>
      </w:pPr>
      <w:rPr>
        <w:rFonts w:hint="default"/>
      </w:rPr>
    </w:lvl>
    <w:lvl w:ilvl="4">
      <w:start w:val="1"/>
      <w:numFmt w:val="bullet"/>
      <w:lvlText w:val="•"/>
      <w:lvlJc w:val="left"/>
      <w:pPr>
        <w:ind w:left="3700" w:hanging="262"/>
      </w:pPr>
      <w:rPr>
        <w:rFonts w:hint="default"/>
      </w:rPr>
    </w:lvl>
    <w:lvl w:ilvl="5">
      <w:start w:val="1"/>
      <w:numFmt w:val="bullet"/>
      <w:lvlText w:val="•"/>
      <w:lvlJc w:val="left"/>
      <w:pPr>
        <w:ind w:left="4680" w:hanging="262"/>
      </w:pPr>
      <w:rPr>
        <w:rFonts w:hint="default"/>
      </w:rPr>
    </w:lvl>
    <w:lvl w:ilvl="6">
      <w:start w:val="1"/>
      <w:numFmt w:val="bullet"/>
      <w:lvlText w:val="•"/>
      <w:lvlJc w:val="left"/>
      <w:pPr>
        <w:ind w:left="5660" w:hanging="262"/>
      </w:pPr>
      <w:rPr>
        <w:rFonts w:hint="default"/>
      </w:rPr>
    </w:lvl>
    <w:lvl w:ilvl="7">
      <w:start w:val="1"/>
      <w:numFmt w:val="bullet"/>
      <w:lvlText w:val="•"/>
      <w:lvlJc w:val="left"/>
      <w:pPr>
        <w:ind w:left="6640" w:hanging="262"/>
      </w:pPr>
      <w:rPr>
        <w:rFonts w:hint="default"/>
      </w:rPr>
    </w:lvl>
    <w:lvl w:ilvl="8">
      <w:start w:val="1"/>
      <w:numFmt w:val="bullet"/>
      <w:lvlText w:val="•"/>
      <w:lvlJc w:val="left"/>
      <w:pPr>
        <w:ind w:left="7620" w:hanging="262"/>
      </w:pPr>
      <w:rPr>
        <w:rFonts w:hint="default"/>
      </w:rPr>
    </w:lvl>
  </w:abstractNum>
  <w:abstractNum w:abstractNumId="53">
    <w:multiLevelType w:val="hybridMultilevel"/>
    <w:lvl w:ilvl="0">
      <w:start w:val="1"/>
      <w:numFmt w:val="decimal"/>
      <w:lvlText w:val="%1)"/>
      <w:lvlJc w:val="left"/>
      <w:pPr>
        <w:ind w:left="160" w:hanging="360"/>
        <w:jc w:val="left"/>
      </w:pPr>
      <w:rPr>
        <w:rFonts w:hint="default" w:ascii="Times New Roman" w:hAnsi="Times New Roman" w:eastAsia="Times New Roman"/>
        <w:b/>
        <w:bCs/>
        <w:spacing w:val="-20"/>
        <w:w w:val="99"/>
        <w:sz w:val="24"/>
        <w:szCs w:val="24"/>
      </w:rPr>
    </w:lvl>
    <w:lvl w:ilvl="1">
      <w:start w:val="1"/>
      <w:numFmt w:val="bullet"/>
      <w:lvlText w:val="•"/>
      <w:lvlJc w:val="left"/>
      <w:pPr>
        <w:ind w:left="1102" w:hanging="360"/>
      </w:pPr>
      <w:rPr>
        <w:rFonts w:hint="default"/>
      </w:rPr>
    </w:lvl>
    <w:lvl w:ilvl="2">
      <w:start w:val="1"/>
      <w:numFmt w:val="bullet"/>
      <w:lvlText w:val="•"/>
      <w:lvlJc w:val="left"/>
      <w:pPr>
        <w:ind w:left="2044" w:hanging="360"/>
      </w:pPr>
      <w:rPr>
        <w:rFonts w:hint="default"/>
      </w:rPr>
    </w:lvl>
    <w:lvl w:ilvl="3">
      <w:start w:val="1"/>
      <w:numFmt w:val="bullet"/>
      <w:lvlText w:val="•"/>
      <w:lvlJc w:val="left"/>
      <w:pPr>
        <w:ind w:left="2986" w:hanging="360"/>
      </w:pPr>
      <w:rPr>
        <w:rFonts w:hint="default"/>
      </w:rPr>
    </w:lvl>
    <w:lvl w:ilvl="4">
      <w:start w:val="1"/>
      <w:numFmt w:val="bullet"/>
      <w:lvlText w:val="•"/>
      <w:lvlJc w:val="left"/>
      <w:pPr>
        <w:ind w:left="3928" w:hanging="360"/>
      </w:pPr>
      <w:rPr>
        <w:rFonts w:hint="default"/>
      </w:rPr>
    </w:lvl>
    <w:lvl w:ilvl="5">
      <w:start w:val="1"/>
      <w:numFmt w:val="bullet"/>
      <w:lvlText w:val="•"/>
      <w:lvlJc w:val="left"/>
      <w:pPr>
        <w:ind w:left="4870" w:hanging="360"/>
      </w:pPr>
      <w:rPr>
        <w:rFonts w:hint="default"/>
      </w:rPr>
    </w:lvl>
    <w:lvl w:ilvl="6">
      <w:start w:val="1"/>
      <w:numFmt w:val="bullet"/>
      <w:lvlText w:val="•"/>
      <w:lvlJc w:val="left"/>
      <w:pPr>
        <w:ind w:left="5812" w:hanging="360"/>
      </w:pPr>
      <w:rPr>
        <w:rFonts w:hint="default"/>
      </w:rPr>
    </w:lvl>
    <w:lvl w:ilvl="7">
      <w:start w:val="1"/>
      <w:numFmt w:val="bullet"/>
      <w:lvlText w:val="•"/>
      <w:lvlJc w:val="left"/>
      <w:pPr>
        <w:ind w:left="6754" w:hanging="360"/>
      </w:pPr>
      <w:rPr>
        <w:rFonts w:hint="default"/>
      </w:rPr>
    </w:lvl>
    <w:lvl w:ilvl="8">
      <w:start w:val="1"/>
      <w:numFmt w:val="bullet"/>
      <w:lvlText w:val="•"/>
      <w:lvlJc w:val="left"/>
      <w:pPr>
        <w:ind w:left="7696" w:hanging="360"/>
      </w:pPr>
      <w:rPr>
        <w:rFonts w:hint="default"/>
      </w:rPr>
    </w:lvl>
  </w:abstractNum>
  <w:abstractNum w:abstractNumId="52">
    <w:multiLevelType w:val="hybridMultilevel"/>
    <w:lvl w:ilvl="0">
      <w:start w:val="4"/>
      <w:numFmt w:val="decimal"/>
      <w:lvlText w:val="%1"/>
      <w:lvlJc w:val="left"/>
      <w:pPr>
        <w:ind w:left="760" w:hanging="600"/>
        <w:jc w:val="left"/>
      </w:pPr>
      <w:rPr>
        <w:rFonts w:hint="default"/>
      </w:rPr>
    </w:lvl>
    <w:lvl w:ilvl="1">
      <w:start w:val="1"/>
      <w:numFmt w:val="decimal"/>
      <w:lvlText w:val="%1.%2"/>
      <w:lvlJc w:val="left"/>
      <w:pPr>
        <w:ind w:left="760" w:hanging="600"/>
        <w:jc w:val="left"/>
      </w:pPr>
      <w:rPr>
        <w:rFonts w:hint="default"/>
      </w:rPr>
    </w:lvl>
    <w:lvl w:ilvl="2">
      <w:start w:val="6"/>
      <w:numFmt w:val="decimal"/>
      <w:lvlText w:val="%1.%2.%3"/>
      <w:lvlJc w:val="left"/>
      <w:pPr>
        <w:ind w:left="760" w:hanging="600"/>
        <w:jc w:val="left"/>
      </w:pPr>
      <w:rPr>
        <w:rFonts w:hint="default" w:ascii="Times New Roman" w:hAnsi="Times New Roman" w:eastAsia="Times New Roman"/>
        <w:b/>
        <w:bCs/>
        <w:spacing w:val="-1"/>
        <w:w w:val="100"/>
        <w:sz w:val="24"/>
        <w:szCs w:val="24"/>
      </w:rPr>
    </w:lvl>
    <w:lvl w:ilvl="3">
      <w:start w:val="1"/>
      <w:numFmt w:val="decimal"/>
      <w:lvlText w:val="%4."/>
      <w:lvlJc w:val="left"/>
      <w:pPr>
        <w:ind w:left="160" w:hanging="286"/>
        <w:jc w:val="left"/>
      </w:pPr>
      <w:rPr>
        <w:rFonts w:hint="default" w:ascii="Times New Roman" w:hAnsi="Times New Roman" w:eastAsia="Times New Roman"/>
        <w:spacing w:val="-30"/>
        <w:w w:val="99"/>
        <w:sz w:val="24"/>
        <w:szCs w:val="24"/>
      </w:rPr>
    </w:lvl>
    <w:lvl w:ilvl="4">
      <w:start w:val="1"/>
      <w:numFmt w:val="bullet"/>
      <w:lvlText w:val="•"/>
      <w:lvlJc w:val="left"/>
      <w:pPr>
        <w:ind w:left="3700" w:hanging="286"/>
      </w:pPr>
      <w:rPr>
        <w:rFonts w:hint="default"/>
      </w:rPr>
    </w:lvl>
    <w:lvl w:ilvl="5">
      <w:start w:val="1"/>
      <w:numFmt w:val="bullet"/>
      <w:lvlText w:val="•"/>
      <w:lvlJc w:val="left"/>
      <w:pPr>
        <w:ind w:left="4680" w:hanging="286"/>
      </w:pPr>
      <w:rPr>
        <w:rFonts w:hint="default"/>
      </w:rPr>
    </w:lvl>
    <w:lvl w:ilvl="6">
      <w:start w:val="1"/>
      <w:numFmt w:val="bullet"/>
      <w:lvlText w:val="•"/>
      <w:lvlJc w:val="left"/>
      <w:pPr>
        <w:ind w:left="5660" w:hanging="286"/>
      </w:pPr>
      <w:rPr>
        <w:rFonts w:hint="default"/>
      </w:rPr>
    </w:lvl>
    <w:lvl w:ilvl="7">
      <w:start w:val="1"/>
      <w:numFmt w:val="bullet"/>
      <w:lvlText w:val="•"/>
      <w:lvlJc w:val="left"/>
      <w:pPr>
        <w:ind w:left="6640" w:hanging="286"/>
      </w:pPr>
      <w:rPr>
        <w:rFonts w:hint="default"/>
      </w:rPr>
    </w:lvl>
    <w:lvl w:ilvl="8">
      <w:start w:val="1"/>
      <w:numFmt w:val="bullet"/>
      <w:lvlText w:val="•"/>
      <w:lvlJc w:val="left"/>
      <w:pPr>
        <w:ind w:left="7620" w:hanging="286"/>
      </w:pPr>
      <w:rPr>
        <w:rFonts w:hint="default"/>
      </w:rPr>
    </w:lvl>
  </w:abstractNum>
  <w:abstractNum w:abstractNumId="51">
    <w:multiLevelType w:val="hybridMultilevel"/>
    <w:lvl w:ilvl="0">
      <w:start w:val="4"/>
      <w:numFmt w:val="decimal"/>
      <w:lvlText w:val="%1"/>
      <w:lvlJc w:val="left"/>
      <w:pPr>
        <w:ind w:left="880" w:hanging="720"/>
        <w:jc w:val="left"/>
      </w:pPr>
      <w:rPr>
        <w:rFonts w:hint="default"/>
      </w:rPr>
    </w:lvl>
    <w:lvl w:ilvl="1">
      <w:start w:val="1"/>
      <w:numFmt w:val="decimal"/>
      <w:lvlText w:val="%1.%2"/>
      <w:lvlJc w:val="left"/>
      <w:pPr>
        <w:ind w:left="880" w:hanging="720"/>
        <w:jc w:val="left"/>
      </w:pPr>
      <w:rPr>
        <w:rFonts w:hint="default"/>
      </w:rPr>
    </w:lvl>
    <w:lvl w:ilvl="2">
      <w:start w:val="5"/>
      <w:numFmt w:val="decimal"/>
      <w:lvlText w:val="%1.%2.%3"/>
      <w:lvlJc w:val="left"/>
      <w:pPr>
        <w:ind w:left="880" w:hanging="720"/>
        <w:jc w:val="left"/>
      </w:pPr>
      <w:rPr>
        <w:rFonts w:hint="default"/>
      </w:rPr>
    </w:lvl>
    <w:lvl w:ilvl="3">
      <w:start w:val="3"/>
      <w:numFmt w:val="decimal"/>
      <w:lvlText w:val="%1.%2.%3.%4"/>
      <w:lvlJc w:val="left"/>
      <w:pPr>
        <w:ind w:left="880" w:hanging="720"/>
        <w:jc w:val="left"/>
      </w:pPr>
      <w:rPr>
        <w:rFonts w:hint="default" w:ascii="Times New Roman" w:hAnsi="Times New Roman" w:eastAsia="Times New Roman"/>
        <w:b/>
        <w:bCs/>
        <w:w w:val="100"/>
        <w:sz w:val="24"/>
        <w:szCs w:val="24"/>
      </w:rPr>
    </w:lvl>
    <w:lvl w:ilvl="4">
      <w:start w:val="1"/>
      <w:numFmt w:val="decimal"/>
      <w:lvlText w:val="%5)"/>
      <w:lvlJc w:val="left"/>
      <w:pPr>
        <w:ind w:left="160" w:hanging="380"/>
        <w:jc w:val="left"/>
      </w:pPr>
      <w:rPr>
        <w:rFonts w:hint="default" w:ascii="Times New Roman" w:hAnsi="Times New Roman" w:eastAsia="Times New Roman"/>
        <w:b/>
        <w:bCs/>
        <w:spacing w:val="-30"/>
        <w:w w:val="99"/>
        <w:sz w:val="24"/>
        <w:szCs w:val="24"/>
      </w:rPr>
    </w:lvl>
    <w:lvl w:ilvl="5">
      <w:start w:val="1"/>
      <w:numFmt w:val="bullet"/>
      <w:lvlText w:val="•"/>
      <w:lvlJc w:val="left"/>
      <w:pPr>
        <w:ind w:left="4230" w:hanging="380"/>
      </w:pPr>
      <w:rPr>
        <w:rFonts w:hint="default"/>
      </w:rPr>
    </w:lvl>
    <w:lvl w:ilvl="6">
      <w:start w:val="1"/>
      <w:numFmt w:val="bullet"/>
      <w:lvlText w:val="•"/>
      <w:lvlJc w:val="left"/>
      <w:pPr>
        <w:ind w:left="5300" w:hanging="380"/>
      </w:pPr>
      <w:rPr>
        <w:rFonts w:hint="default"/>
      </w:rPr>
    </w:lvl>
    <w:lvl w:ilvl="7">
      <w:start w:val="1"/>
      <w:numFmt w:val="bullet"/>
      <w:lvlText w:val="•"/>
      <w:lvlJc w:val="left"/>
      <w:pPr>
        <w:ind w:left="6370" w:hanging="380"/>
      </w:pPr>
      <w:rPr>
        <w:rFonts w:hint="default"/>
      </w:rPr>
    </w:lvl>
    <w:lvl w:ilvl="8">
      <w:start w:val="1"/>
      <w:numFmt w:val="bullet"/>
      <w:lvlText w:val="•"/>
      <w:lvlJc w:val="left"/>
      <w:pPr>
        <w:ind w:left="7440" w:hanging="380"/>
      </w:pPr>
      <w:rPr>
        <w:rFonts w:hint="default"/>
      </w:rPr>
    </w:lvl>
  </w:abstractNum>
  <w:abstractNum w:abstractNumId="50">
    <w:multiLevelType w:val="hybridMultilevel"/>
    <w:lvl w:ilvl="0">
      <w:start w:val="4"/>
      <w:numFmt w:val="decimal"/>
      <w:lvlText w:val="%1"/>
      <w:lvlJc w:val="left"/>
      <w:pPr>
        <w:ind w:left="940" w:hanging="780"/>
        <w:jc w:val="left"/>
      </w:pPr>
      <w:rPr>
        <w:rFonts w:hint="default"/>
      </w:rPr>
    </w:lvl>
    <w:lvl w:ilvl="1">
      <w:start w:val="1"/>
      <w:numFmt w:val="decimal"/>
      <w:lvlText w:val="%1.%2"/>
      <w:lvlJc w:val="left"/>
      <w:pPr>
        <w:ind w:left="940" w:hanging="780"/>
        <w:jc w:val="left"/>
      </w:pPr>
      <w:rPr>
        <w:rFonts w:hint="default"/>
      </w:rPr>
    </w:lvl>
    <w:lvl w:ilvl="2">
      <w:start w:val="5"/>
      <w:numFmt w:val="decimal"/>
      <w:lvlText w:val="%1.%2.%3"/>
      <w:lvlJc w:val="left"/>
      <w:pPr>
        <w:ind w:left="940" w:hanging="780"/>
        <w:jc w:val="left"/>
      </w:pPr>
      <w:rPr>
        <w:rFonts w:hint="default"/>
      </w:rPr>
    </w:lvl>
    <w:lvl w:ilvl="3">
      <w:start w:val="2"/>
      <w:numFmt w:val="decimal"/>
      <w:lvlText w:val="%1.%2.%3.%4"/>
      <w:lvlJc w:val="left"/>
      <w:pPr>
        <w:ind w:left="940" w:hanging="780"/>
        <w:jc w:val="left"/>
      </w:pPr>
      <w:rPr>
        <w:rFonts w:hint="default" w:ascii="Times New Roman" w:hAnsi="Times New Roman" w:eastAsia="Times New Roman"/>
        <w:b/>
        <w:bCs/>
        <w:spacing w:val="-6"/>
        <w:w w:val="99"/>
        <w:sz w:val="24"/>
        <w:szCs w:val="24"/>
      </w:rPr>
    </w:lvl>
    <w:lvl w:ilvl="4">
      <w:start w:val="1"/>
      <w:numFmt w:val="decimal"/>
      <w:lvlText w:val="%5)"/>
      <w:lvlJc w:val="left"/>
      <w:pPr>
        <w:ind w:left="160" w:hanging="368"/>
        <w:jc w:val="left"/>
      </w:pPr>
      <w:rPr>
        <w:rFonts w:hint="default" w:ascii="Times New Roman" w:hAnsi="Times New Roman" w:eastAsia="Times New Roman"/>
        <w:b/>
        <w:bCs/>
        <w:spacing w:val="-16"/>
        <w:w w:val="99"/>
        <w:sz w:val="24"/>
        <w:szCs w:val="24"/>
      </w:rPr>
    </w:lvl>
    <w:lvl w:ilvl="5">
      <w:start w:val="1"/>
      <w:numFmt w:val="bullet"/>
      <w:lvlText w:val="•"/>
      <w:lvlJc w:val="left"/>
      <w:pPr>
        <w:ind w:left="4815" w:hanging="368"/>
      </w:pPr>
      <w:rPr>
        <w:rFonts w:hint="default"/>
      </w:rPr>
    </w:lvl>
    <w:lvl w:ilvl="6">
      <w:start w:val="1"/>
      <w:numFmt w:val="bullet"/>
      <w:lvlText w:val="•"/>
      <w:lvlJc w:val="left"/>
      <w:pPr>
        <w:ind w:left="5784" w:hanging="368"/>
      </w:pPr>
      <w:rPr>
        <w:rFonts w:hint="default"/>
      </w:rPr>
    </w:lvl>
    <w:lvl w:ilvl="7">
      <w:start w:val="1"/>
      <w:numFmt w:val="bullet"/>
      <w:lvlText w:val="•"/>
      <w:lvlJc w:val="left"/>
      <w:pPr>
        <w:ind w:left="6753" w:hanging="368"/>
      </w:pPr>
      <w:rPr>
        <w:rFonts w:hint="default"/>
      </w:rPr>
    </w:lvl>
    <w:lvl w:ilvl="8">
      <w:start w:val="1"/>
      <w:numFmt w:val="bullet"/>
      <w:lvlText w:val="•"/>
      <w:lvlJc w:val="left"/>
      <w:pPr>
        <w:ind w:left="7722" w:hanging="368"/>
      </w:pPr>
      <w:rPr>
        <w:rFonts w:hint="default"/>
      </w:rPr>
    </w:lvl>
  </w:abstractNum>
  <w:abstractNum w:abstractNumId="49">
    <w:multiLevelType w:val="hybridMultilevel"/>
    <w:lvl w:ilvl="0">
      <w:start w:val="4"/>
      <w:numFmt w:val="decimal"/>
      <w:lvlText w:val="%1"/>
      <w:lvlJc w:val="left"/>
      <w:pPr>
        <w:ind w:left="820" w:hanging="600"/>
        <w:jc w:val="left"/>
      </w:pPr>
      <w:rPr>
        <w:rFonts w:hint="default"/>
      </w:rPr>
    </w:lvl>
    <w:lvl w:ilvl="1">
      <w:start w:val="1"/>
      <w:numFmt w:val="decimal"/>
      <w:lvlText w:val="%1.%2"/>
      <w:lvlJc w:val="left"/>
      <w:pPr>
        <w:ind w:left="820" w:hanging="600"/>
        <w:jc w:val="left"/>
      </w:pPr>
      <w:rPr>
        <w:rFonts w:hint="default"/>
      </w:rPr>
    </w:lvl>
    <w:lvl w:ilvl="2">
      <w:start w:val="5"/>
      <w:numFmt w:val="decimal"/>
      <w:lvlText w:val="%1.%2.%3"/>
      <w:lvlJc w:val="left"/>
      <w:pPr>
        <w:ind w:left="820" w:hanging="600"/>
        <w:jc w:val="left"/>
      </w:pPr>
      <w:rPr>
        <w:rFonts w:hint="default" w:ascii="Times New Roman" w:hAnsi="Times New Roman" w:eastAsia="Times New Roman"/>
        <w:b/>
        <w:bCs/>
        <w:spacing w:val="-1"/>
        <w:w w:val="99"/>
        <w:sz w:val="24"/>
        <w:szCs w:val="24"/>
      </w:rPr>
    </w:lvl>
    <w:lvl w:ilvl="3">
      <w:start w:val="1"/>
      <w:numFmt w:val="decimal"/>
      <w:lvlText w:val="%4)"/>
      <w:lvlJc w:val="left"/>
      <w:pPr>
        <w:ind w:left="160" w:hanging="286"/>
        <w:jc w:val="left"/>
      </w:pPr>
      <w:rPr>
        <w:rFonts w:hint="default" w:ascii="Times New Roman" w:hAnsi="Times New Roman" w:eastAsia="Times New Roman"/>
        <w:b/>
        <w:bCs/>
        <w:w w:val="99"/>
        <w:sz w:val="24"/>
        <w:szCs w:val="24"/>
      </w:rPr>
    </w:lvl>
    <w:lvl w:ilvl="4">
      <w:start w:val="1"/>
      <w:numFmt w:val="bullet"/>
      <w:lvlText w:val="•"/>
      <w:lvlJc w:val="left"/>
      <w:pPr>
        <w:ind w:left="3145" w:hanging="286"/>
      </w:pPr>
      <w:rPr>
        <w:rFonts w:hint="default"/>
      </w:rPr>
    </w:lvl>
    <w:lvl w:ilvl="5">
      <w:start w:val="1"/>
      <w:numFmt w:val="bullet"/>
      <w:lvlText w:val="•"/>
      <w:lvlJc w:val="left"/>
      <w:pPr>
        <w:ind w:left="4217" w:hanging="286"/>
      </w:pPr>
      <w:rPr>
        <w:rFonts w:hint="default"/>
      </w:rPr>
    </w:lvl>
    <w:lvl w:ilvl="6">
      <w:start w:val="1"/>
      <w:numFmt w:val="bullet"/>
      <w:lvlText w:val="•"/>
      <w:lvlJc w:val="left"/>
      <w:pPr>
        <w:ind w:left="5290" w:hanging="286"/>
      </w:pPr>
      <w:rPr>
        <w:rFonts w:hint="default"/>
      </w:rPr>
    </w:lvl>
    <w:lvl w:ilvl="7">
      <w:start w:val="1"/>
      <w:numFmt w:val="bullet"/>
      <w:lvlText w:val="•"/>
      <w:lvlJc w:val="left"/>
      <w:pPr>
        <w:ind w:left="6362" w:hanging="286"/>
      </w:pPr>
      <w:rPr>
        <w:rFonts w:hint="default"/>
      </w:rPr>
    </w:lvl>
    <w:lvl w:ilvl="8">
      <w:start w:val="1"/>
      <w:numFmt w:val="bullet"/>
      <w:lvlText w:val="•"/>
      <w:lvlJc w:val="left"/>
      <w:pPr>
        <w:ind w:left="7435" w:hanging="286"/>
      </w:pPr>
      <w:rPr>
        <w:rFonts w:hint="default"/>
      </w:rPr>
    </w:lvl>
  </w:abstractNum>
  <w:abstractNum w:abstractNumId="48">
    <w:multiLevelType w:val="hybridMultilevel"/>
    <w:lvl w:ilvl="0">
      <w:start w:val="4"/>
      <w:numFmt w:val="decimal"/>
      <w:lvlText w:val="%1"/>
      <w:lvlJc w:val="left"/>
      <w:pPr>
        <w:ind w:left="1000" w:hanging="840"/>
        <w:jc w:val="left"/>
      </w:pPr>
      <w:rPr>
        <w:rFonts w:hint="default"/>
      </w:rPr>
    </w:lvl>
    <w:lvl w:ilvl="1">
      <w:start w:val="1"/>
      <w:numFmt w:val="decimal"/>
      <w:lvlText w:val="%1.%2"/>
      <w:lvlJc w:val="left"/>
      <w:pPr>
        <w:ind w:left="1000" w:hanging="840"/>
        <w:jc w:val="left"/>
      </w:pPr>
      <w:rPr>
        <w:rFonts w:hint="default"/>
      </w:rPr>
    </w:lvl>
    <w:lvl w:ilvl="2">
      <w:start w:val="4"/>
      <w:numFmt w:val="decimal"/>
      <w:lvlText w:val="%1.%2.%3"/>
      <w:lvlJc w:val="left"/>
      <w:pPr>
        <w:ind w:left="1000" w:hanging="840"/>
        <w:jc w:val="left"/>
      </w:pPr>
      <w:rPr>
        <w:rFonts w:hint="default"/>
      </w:rPr>
    </w:lvl>
    <w:lvl w:ilvl="3">
      <w:start w:val="26"/>
      <w:numFmt w:val="decimal"/>
      <w:lvlText w:val="%1.%2.%3.%4"/>
      <w:lvlJc w:val="left"/>
      <w:pPr>
        <w:ind w:left="1000" w:hanging="840"/>
        <w:jc w:val="right"/>
      </w:pPr>
      <w:rPr>
        <w:rFonts w:hint="default" w:ascii="Times New Roman" w:hAnsi="Times New Roman" w:eastAsia="Times New Roman"/>
        <w:b/>
        <w:bCs/>
        <w:spacing w:val="-6"/>
        <w:w w:val="99"/>
        <w:sz w:val="24"/>
        <w:szCs w:val="24"/>
      </w:rPr>
    </w:lvl>
    <w:lvl w:ilvl="4">
      <w:start w:val="1"/>
      <w:numFmt w:val="decimal"/>
      <w:lvlText w:val="%5)"/>
      <w:lvlJc w:val="left"/>
      <w:pPr>
        <w:ind w:left="160" w:hanging="286"/>
        <w:jc w:val="left"/>
      </w:pPr>
      <w:rPr>
        <w:rFonts w:hint="default" w:ascii="Times New Roman" w:hAnsi="Times New Roman" w:eastAsia="Times New Roman"/>
        <w:b/>
        <w:bCs/>
        <w:w w:val="99"/>
        <w:sz w:val="24"/>
        <w:szCs w:val="24"/>
      </w:rPr>
    </w:lvl>
    <w:lvl w:ilvl="5">
      <w:start w:val="1"/>
      <w:numFmt w:val="bullet"/>
      <w:lvlText w:val="•"/>
      <w:lvlJc w:val="left"/>
      <w:pPr>
        <w:ind w:left="4813" w:hanging="286"/>
      </w:pPr>
      <w:rPr>
        <w:rFonts w:hint="default"/>
      </w:rPr>
    </w:lvl>
    <w:lvl w:ilvl="6">
      <w:start w:val="1"/>
      <w:numFmt w:val="bullet"/>
      <w:lvlText w:val="•"/>
      <w:lvlJc w:val="left"/>
      <w:pPr>
        <w:ind w:left="5766" w:hanging="286"/>
      </w:pPr>
      <w:rPr>
        <w:rFonts w:hint="default"/>
      </w:rPr>
    </w:lvl>
    <w:lvl w:ilvl="7">
      <w:start w:val="1"/>
      <w:numFmt w:val="bullet"/>
      <w:lvlText w:val="•"/>
      <w:lvlJc w:val="left"/>
      <w:pPr>
        <w:ind w:left="6720" w:hanging="286"/>
      </w:pPr>
      <w:rPr>
        <w:rFonts w:hint="default"/>
      </w:rPr>
    </w:lvl>
    <w:lvl w:ilvl="8">
      <w:start w:val="1"/>
      <w:numFmt w:val="bullet"/>
      <w:lvlText w:val="•"/>
      <w:lvlJc w:val="left"/>
      <w:pPr>
        <w:ind w:left="7673" w:hanging="286"/>
      </w:pPr>
      <w:rPr>
        <w:rFonts w:hint="default"/>
      </w:rPr>
    </w:lvl>
  </w:abstractNum>
  <w:abstractNum w:abstractNumId="47">
    <w:multiLevelType w:val="hybridMultilevel"/>
    <w:lvl w:ilvl="0">
      <w:start w:val="1"/>
      <w:numFmt w:val="bullet"/>
      <w:lvlText w:val="–"/>
      <w:lvlJc w:val="left"/>
      <w:pPr>
        <w:ind w:left="160" w:hanging="245"/>
      </w:pPr>
      <w:rPr>
        <w:rFonts w:hint="default" w:ascii="Times New Roman" w:hAnsi="Times New Roman" w:eastAsia="Times New Roman"/>
        <w:spacing w:val="-30"/>
        <w:w w:val="99"/>
        <w:sz w:val="24"/>
        <w:szCs w:val="24"/>
      </w:rPr>
    </w:lvl>
    <w:lvl w:ilvl="1">
      <w:start w:val="1"/>
      <w:numFmt w:val="bullet"/>
      <w:lvlText w:val="•"/>
      <w:lvlJc w:val="left"/>
      <w:pPr>
        <w:ind w:left="1102" w:hanging="245"/>
      </w:pPr>
      <w:rPr>
        <w:rFonts w:hint="default"/>
      </w:rPr>
    </w:lvl>
    <w:lvl w:ilvl="2">
      <w:start w:val="1"/>
      <w:numFmt w:val="bullet"/>
      <w:lvlText w:val="•"/>
      <w:lvlJc w:val="left"/>
      <w:pPr>
        <w:ind w:left="2044" w:hanging="245"/>
      </w:pPr>
      <w:rPr>
        <w:rFonts w:hint="default"/>
      </w:rPr>
    </w:lvl>
    <w:lvl w:ilvl="3">
      <w:start w:val="1"/>
      <w:numFmt w:val="bullet"/>
      <w:lvlText w:val="•"/>
      <w:lvlJc w:val="left"/>
      <w:pPr>
        <w:ind w:left="2986" w:hanging="245"/>
      </w:pPr>
      <w:rPr>
        <w:rFonts w:hint="default"/>
      </w:rPr>
    </w:lvl>
    <w:lvl w:ilvl="4">
      <w:start w:val="1"/>
      <w:numFmt w:val="bullet"/>
      <w:lvlText w:val="•"/>
      <w:lvlJc w:val="left"/>
      <w:pPr>
        <w:ind w:left="3928" w:hanging="245"/>
      </w:pPr>
      <w:rPr>
        <w:rFonts w:hint="default"/>
      </w:rPr>
    </w:lvl>
    <w:lvl w:ilvl="5">
      <w:start w:val="1"/>
      <w:numFmt w:val="bullet"/>
      <w:lvlText w:val="•"/>
      <w:lvlJc w:val="left"/>
      <w:pPr>
        <w:ind w:left="4870" w:hanging="245"/>
      </w:pPr>
      <w:rPr>
        <w:rFonts w:hint="default"/>
      </w:rPr>
    </w:lvl>
    <w:lvl w:ilvl="6">
      <w:start w:val="1"/>
      <w:numFmt w:val="bullet"/>
      <w:lvlText w:val="•"/>
      <w:lvlJc w:val="left"/>
      <w:pPr>
        <w:ind w:left="5812" w:hanging="245"/>
      </w:pPr>
      <w:rPr>
        <w:rFonts w:hint="default"/>
      </w:rPr>
    </w:lvl>
    <w:lvl w:ilvl="7">
      <w:start w:val="1"/>
      <w:numFmt w:val="bullet"/>
      <w:lvlText w:val="•"/>
      <w:lvlJc w:val="left"/>
      <w:pPr>
        <w:ind w:left="6754" w:hanging="245"/>
      </w:pPr>
      <w:rPr>
        <w:rFonts w:hint="default"/>
      </w:rPr>
    </w:lvl>
    <w:lvl w:ilvl="8">
      <w:start w:val="1"/>
      <w:numFmt w:val="bullet"/>
      <w:lvlText w:val="•"/>
      <w:lvlJc w:val="left"/>
      <w:pPr>
        <w:ind w:left="7696" w:hanging="245"/>
      </w:pPr>
      <w:rPr>
        <w:rFonts w:hint="default"/>
      </w:rPr>
    </w:lvl>
  </w:abstractNum>
  <w:abstractNum w:abstractNumId="46">
    <w:multiLevelType w:val="hybridMultilevel"/>
    <w:lvl w:ilvl="0">
      <w:start w:val="4"/>
      <w:numFmt w:val="decimal"/>
      <w:lvlText w:val="%1"/>
      <w:lvlJc w:val="left"/>
      <w:pPr>
        <w:ind w:left="1120" w:hanging="960"/>
        <w:jc w:val="left"/>
      </w:pPr>
      <w:rPr>
        <w:rFonts w:hint="default"/>
      </w:rPr>
    </w:lvl>
    <w:lvl w:ilvl="1">
      <w:start w:val="1"/>
      <w:numFmt w:val="decimal"/>
      <w:lvlText w:val="%1.%2"/>
      <w:lvlJc w:val="left"/>
      <w:pPr>
        <w:ind w:left="1120" w:hanging="960"/>
        <w:jc w:val="left"/>
      </w:pPr>
      <w:rPr>
        <w:rFonts w:hint="default"/>
      </w:rPr>
    </w:lvl>
    <w:lvl w:ilvl="2">
      <w:start w:val="4"/>
      <w:numFmt w:val="decimal"/>
      <w:lvlText w:val="%1.%2.%3"/>
      <w:lvlJc w:val="left"/>
      <w:pPr>
        <w:ind w:left="1120" w:hanging="960"/>
        <w:jc w:val="left"/>
      </w:pPr>
      <w:rPr>
        <w:rFonts w:hint="default"/>
      </w:rPr>
    </w:lvl>
    <w:lvl w:ilvl="3">
      <w:start w:val="25"/>
      <w:numFmt w:val="decimal"/>
      <w:lvlText w:val="%1.%2.%3.%4"/>
      <w:lvlJc w:val="left"/>
      <w:pPr>
        <w:ind w:left="1120" w:hanging="960"/>
        <w:jc w:val="left"/>
      </w:pPr>
      <w:rPr>
        <w:rFonts w:hint="default" w:ascii="Times New Roman" w:hAnsi="Times New Roman" w:eastAsia="Times New Roman"/>
        <w:b/>
        <w:bCs/>
        <w:spacing w:val="-4"/>
        <w:w w:val="99"/>
        <w:sz w:val="24"/>
        <w:szCs w:val="24"/>
      </w:rPr>
    </w:lvl>
    <w:lvl w:ilvl="4">
      <w:start w:val="1"/>
      <w:numFmt w:val="decimal"/>
      <w:lvlText w:val="%5)"/>
      <w:lvlJc w:val="left"/>
      <w:pPr>
        <w:ind w:left="160" w:hanging="286"/>
        <w:jc w:val="left"/>
      </w:pPr>
      <w:rPr>
        <w:rFonts w:hint="default" w:ascii="Times New Roman" w:hAnsi="Times New Roman" w:eastAsia="Times New Roman"/>
        <w:b/>
        <w:bCs/>
        <w:w w:val="99"/>
        <w:sz w:val="24"/>
        <w:szCs w:val="24"/>
      </w:rPr>
    </w:lvl>
    <w:lvl w:ilvl="5">
      <w:start w:val="1"/>
      <w:numFmt w:val="bullet"/>
      <w:lvlText w:val="•"/>
      <w:lvlJc w:val="left"/>
      <w:pPr>
        <w:ind w:left="4915" w:hanging="286"/>
      </w:pPr>
      <w:rPr>
        <w:rFonts w:hint="default"/>
      </w:rPr>
    </w:lvl>
    <w:lvl w:ilvl="6">
      <w:start w:val="1"/>
      <w:numFmt w:val="bullet"/>
      <w:lvlText w:val="•"/>
      <w:lvlJc w:val="left"/>
      <w:pPr>
        <w:ind w:left="5864" w:hanging="286"/>
      </w:pPr>
      <w:rPr>
        <w:rFonts w:hint="default"/>
      </w:rPr>
    </w:lvl>
    <w:lvl w:ilvl="7">
      <w:start w:val="1"/>
      <w:numFmt w:val="bullet"/>
      <w:lvlText w:val="•"/>
      <w:lvlJc w:val="left"/>
      <w:pPr>
        <w:ind w:left="6813" w:hanging="286"/>
      </w:pPr>
      <w:rPr>
        <w:rFonts w:hint="default"/>
      </w:rPr>
    </w:lvl>
    <w:lvl w:ilvl="8">
      <w:start w:val="1"/>
      <w:numFmt w:val="bullet"/>
      <w:lvlText w:val="•"/>
      <w:lvlJc w:val="left"/>
      <w:pPr>
        <w:ind w:left="7762" w:hanging="286"/>
      </w:pPr>
      <w:rPr>
        <w:rFonts w:hint="default"/>
      </w:rPr>
    </w:lvl>
  </w:abstractNum>
  <w:abstractNum w:abstractNumId="45">
    <w:multiLevelType w:val="hybridMultilevel"/>
    <w:lvl w:ilvl="0">
      <w:start w:val="1"/>
      <w:numFmt w:val="decimal"/>
      <w:lvlText w:val="%1)"/>
      <w:lvlJc w:val="left"/>
      <w:pPr>
        <w:ind w:left="160" w:hanging="286"/>
        <w:jc w:val="left"/>
      </w:pPr>
      <w:rPr>
        <w:rFonts w:hint="default" w:ascii="Times New Roman" w:hAnsi="Times New Roman" w:eastAsia="Times New Roman"/>
        <w:b/>
        <w:bCs/>
        <w:w w:val="99"/>
      </w:rPr>
    </w:lvl>
    <w:lvl w:ilvl="1">
      <w:start w:val="1"/>
      <w:numFmt w:val="bullet"/>
      <w:lvlText w:val="•"/>
      <w:lvlJc w:val="left"/>
      <w:pPr>
        <w:ind w:left="1110" w:hanging="286"/>
      </w:pPr>
      <w:rPr>
        <w:rFonts w:hint="default"/>
      </w:rPr>
    </w:lvl>
    <w:lvl w:ilvl="2">
      <w:start w:val="1"/>
      <w:numFmt w:val="bullet"/>
      <w:lvlText w:val="•"/>
      <w:lvlJc w:val="left"/>
      <w:pPr>
        <w:ind w:left="2060" w:hanging="286"/>
      </w:pPr>
      <w:rPr>
        <w:rFonts w:hint="default"/>
      </w:rPr>
    </w:lvl>
    <w:lvl w:ilvl="3">
      <w:start w:val="1"/>
      <w:numFmt w:val="bullet"/>
      <w:lvlText w:val="•"/>
      <w:lvlJc w:val="left"/>
      <w:pPr>
        <w:ind w:left="3010" w:hanging="286"/>
      </w:pPr>
      <w:rPr>
        <w:rFonts w:hint="default"/>
      </w:rPr>
    </w:lvl>
    <w:lvl w:ilvl="4">
      <w:start w:val="1"/>
      <w:numFmt w:val="bullet"/>
      <w:lvlText w:val="•"/>
      <w:lvlJc w:val="left"/>
      <w:pPr>
        <w:ind w:left="3960" w:hanging="286"/>
      </w:pPr>
      <w:rPr>
        <w:rFonts w:hint="default"/>
      </w:rPr>
    </w:lvl>
    <w:lvl w:ilvl="5">
      <w:start w:val="1"/>
      <w:numFmt w:val="bullet"/>
      <w:lvlText w:val="•"/>
      <w:lvlJc w:val="left"/>
      <w:pPr>
        <w:ind w:left="4910" w:hanging="286"/>
      </w:pPr>
      <w:rPr>
        <w:rFonts w:hint="default"/>
      </w:rPr>
    </w:lvl>
    <w:lvl w:ilvl="6">
      <w:start w:val="1"/>
      <w:numFmt w:val="bullet"/>
      <w:lvlText w:val="•"/>
      <w:lvlJc w:val="left"/>
      <w:pPr>
        <w:ind w:left="5860" w:hanging="286"/>
      </w:pPr>
      <w:rPr>
        <w:rFonts w:hint="default"/>
      </w:rPr>
    </w:lvl>
    <w:lvl w:ilvl="7">
      <w:start w:val="1"/>
      <w:numFmt w:val="bullet"/>
      <w:lvlText w:val="•"/>
      <w:lvlJc w:val="left"/>
      <w:pPr>
        <w:ind w:left="6810" w:hanging="286"/>
      </w:pPr>
      <w:rPr>
        <w:rFonts w:hint="default"/>
      </w:rPr>
    </w:lvl>
    <w:lvl w:ilvl="8">
      <w:start w:val="1"/>
      <w:numFmt w:val="bullet"/>
      <w:lvlText w:val="•"/>
      <w:lvlJc w:val="left"/>
      <w:pPr>
        <w:ind w:left="7760" w:hanging="286"/>
      </w:pPr>
      <w:rPr>
        <w:rFonts w:hint="default"/>
      </w:rPr>
    </w:lvl>
  </w:abstractNum>
  <w:abstractNum w:abstractNumId="44">
    <w:multiLevelType w:val="hybridMultilevel"/>
    <w:lvl w:ilvl="0">
      <w:start w:val="1"/>
      <w:numFmt w:val="decimal"/>
      <w:lvlText w:val="%1)"/>
      <w:lvlJc w:val="left"/>
      <w:pPr>
        <w:ind w:left="160" w:hanging="286"/>
        <w:jc w:val="left"/>
      </w:pPr>
      <w:rPr>
        <w:rFonts w:hint="default" w:ascii="Times New Roman" w:hAnsi="Times New Roman" w:eastAsia="Times New Roman"/>
        <w:b/>
        <w:bCs/>
        <w:w w:val="99"/>
        <w:sz w:val="24"/>
        <w:szCs w:val="24"/>
      </w:rPr>
    </w:lvl>
    <w:lvl w:ilvl="1">
      <w:start w:val="1"/>
      <w:numFmt w:val="bullet"/>
      <w:lvlText w:val="•"/>
      <w:lvlJc w:val="left"/>
      <w:pPr>
        <w:ind w:left="1102" w:hanging="286"/>
      </w:pPr>
      <w:rPr>
        <w:rFonts w:hint="default"/>
      </w:rPr>
    </w:lvl>
    <w:lvl w:ilvl="2">
      <w:start w:val="1"/>
      <w:numFmt w:val="bullet"/>
      <w:lvlText w:val="•"/>
      <w:lvlJc w:val="left"/>
      <w:pPr>
        <w:ind w:left="2044" w:hanging="286"/>
      </w:pPr>
      <w:rPr>
        <w:rFonts w:hint="default"/>
      </w:rPr>
    </w:lvl>
    <w:lvl w:ilvl="3">
      <w:start w:val="1"/>
      <w:numFmt w:val="bullet"/>
      <w:lvlText w:val="•"/>
      <w:lvlJc w:val="left"/>
      <w:pPr>
        <w:ind w:left="2986" w:hanging="286"/>
      </w:pPr>
      <w:rPr>
        <w:rFonts w:hint="default"/>
      </w:rPr>
    </w:lvl>
    <w:lvl w:ilvl="4">
      <w:start w:val="1"/>
      <w:numFmt w:val="bullet"/>
      <w:lvlText w:val="•"/>
      <w:lvlJc w:val="left"/>
      <w:pPr>
        <w:ind w:left="3928" w:hanging="286"/>
      </w:pPr>
      <w:rPr>
        <w:rFonts w:hint="default"/>
      </w:rPr>
    </w:lvl>
    <w:lvl w:ilvl="5">
      <w:start w:val="1"/>
      <w:numFmt w:val="bullet"/>
      <w:lvlText w:val="•"/>
      <w:lvlJc w:val="left"/>
      <w:pPr>
        <w:ind w:left="4870" w:hanging="286"/>
      </w:pPr>
      <w:rPr>
        <w:rFonts w:hint="default"/>
      </w:rPr>
    </w:lvl>
    <w:lvl w:ilvl="6">
      <w:start w:val="1"/>
      <w:numFmt w:val="bullet"/>
      <w:lvlText w:val="•"/>
      <w:lvlJc w:val="left"/>
      <w:pPr>
        <w:ind w:left="5812" w:hanging="286"/>
      </w:pPr>
      <w:rPr>
        <w:rFonts w:hint="default"/>
      </w:rPr>
    </w:lvl>
    <w:lvl w:ilvl="7">
      <w:start w:val="1"/>
      <w:numFmt w:val="bullet"/>
      <w:lvlText w:val="•"/>
      <w:lvlJc w:val="left"/>
      <w:pPr>
        <w:ind w:left="6754" w:hanging="286"/>
      </w:pPr>
      <w:rPr>
        <w:rFonts w:hint="default"/>
      </w:rPr>
    </w:lvl>
    <w:lvl w:ilvl="8">
      <w:start w:val="1"/>
      <w:numFmt w:val="bullet"/>
      <w:lvlText w:val="•"/>
      <w:lvlJc w:val="left"/>
      <w:pPr>
        <w:ind w:left="7696" w:hanging="286"/>
      </w:pPr>
      <w:rPr>
        <w:rFonts w:hint="default"/>
      </w:rPr>
    </w:lvl>
  </w:abstractNum>
  <w:abstractNum w:abstractNumId="43">
    <w:multiLevelType w:val="hybridMultilevel"/>
    <w:lvl w:ilvl="0">
      <w:start w:val="1"/>
      <w:numFmt w:val="decimal"/>
      <w:lvlText w:val="%1)"/>
      <w:lvlJc w:val="left"/>
      <w:pPr>
        <w:ind w:left="160" w:hanging="286"/>
        <w:jc w:val="left"/>
      </w:pPr>
      <w:rPr>
        <w:rFonts w:hint="default" w:ascii="Times New Roman" w:hAnsi="Times New Roman" w:eastAsia="Times New Roman"/>
        <w:b/>
        <w:bCs/>
        <w:w w:val="99"/>
        <w:sz w:val="24"/>
        <w:szCs w:val="24"/>
      </w:rPr>
    </w:lvl>
    <w:lvl w:ilvl="1">
      <w:start w:val="1"/>
      <w:numFmt w:val="bullet"/>
      <w:lvlText w:val="•"/>
      <w:lvlJc w:val="left"/>
      <w:pPr>
        <w:ind w:left="1102" w:hanging="286"/>
      </w:pPr>
      <w:rPr>
        <w:rFonts w:hint="default"/>
      </w:rPr>
    </w:lvl>
    <w:lvl w:ilvl="2">
      <w:start w:val="1"/>
      <w:numFmt w:val="bullet"/>
      <w:lvlText w:val="•"/>
      <w:lvlJc w:val="left"/>
      <w:pPr>
        <w:ind w:left="2044" w:hanging="286"/>
      </w:pPr>
      <w:rPr>
        <w:rFonts w:hint="default"/>
      </w:rPr>
    </w:lvl>
    <w:lvl w:ilvl="3">
      <w:start w:val="1"/>
      <w:numFmt w:val="bullet"/>
      <w:lvlText w:val="•"/>
      <w:lvlJc w:val="left"/>
      <w:pPr>
        <w:ind w:left="2986" w:hanging="286"/>
      </w:pPr>
      <w:rPr>
        <w:rFonts w:hint="default"/>
      </w:rPr>
    </w:lvl>
    <w:lvl w:ilvl="4">
      <w:start w:val="1"/>
      <w:numFmt w:val="bullet"/>
      <w:lvlText w:val="•"/>
      <w:lvlJc w:val="left"/>
      <w:pPr>
        <w:ind w:left="3928" w:hanging="286"/>
      </w:pPr>
      <w:rPr>
        <w:rFonts w:hint="default"/>
      </w:rPr>
    </w:lvl>
    <w:lvl w:ilvl="5">
      <w:start w:val="1"/>
      <w:numFmt w:val="bullet"/>
      <w:lvlText w:val="•"/>
      <w:lvlJc w:val="left"/>
      <w:pPr>
        <w:ind w:left="4870" w:hanging="286"/>
      </w:pPr>
      <w:rPr>
        <w:rFonts w:hint="default"/>
      </w:rPr>
    </w:lvl>
    <w:lvl w:ilvl="6">
      <w:start w:val="1"/>
      <w:numFmt w:val="bullet"/>
      <w:lvlText w:val="•"/>
      <w:lvlJc w:val="left"/>
      <w:pPr>
        <w:ind w:left="5812" w:hanging="286"/>
      </w:pPr>
      <w:rPr>
        <w:rFonts w:hint="default"/>
      </w:rPr>
    </w:lvl>
    <w:lvl w:ilvl="7">
      <w:start w:val="1"/>
      <w:numFmt w:val="bullet"/>
      <w:lvlText w:val="•"/>
      <w:lvlJc w:val="left"/>
      <w:pPr>
        <w:ind w:left="6754" w:hanging="286"/>
      </w:pPr>
      <w:rPr>
        <w:rFonts w:hint="default"/>
      </w:rPr>
    </w:lvl>
    <w:lvl w:ilvl="8">
      <w:start w:val="1"/>
      <w:numFmt w:val="bullet"/>
      <w:lvlText w:val="•"/>
      <w:lvlJc w:val="left"/>
      <w:pPr>
        <w:ind w:left="7696" w:hanging="286"/>
      </w:pPr>
      <w:rPr>
        <w:rFonts w:hint="default"/>
      </w:rPr>
    </w:lvl>
  </w:abstractNum>
  <w:abstractNum w:abstractNumId="42">
    <w:multiLevelType w:val="hybridMultilevel"/>
    <w:lvl w:ilvl="0">
      <w:start w:val="1"/>
      <w:numFmt w:val="decimal"/>
      <w:lvlText w:val="%1)"/>
      <w:lvlJc w:val="left"/>
      <w:pPr>
        <w:ind w:left="160" w:hanging="286"/>
        <w:jc w:val="left"/>
      </w:pPr>
      <w:rPr>
        <w:rFonts w:hint="default" w:ascii="Times New Roman" w:hAnsi="Times New Roman" w:eastAsia="Times New Roman"/>
        <w:b/>
        <w:bCs/>
        <w:w w:val="99"/>
        <w:sz w:val="24"/>
        <w:szCs w:val="24"/>
      </w:rPr>
    </w:lvl>
    <w:lvl w:ilvl="1">
      <w:start w:val="1"/>
      <w:numFmt w:val="bullet"/>
      <w:lvlText w:val="•"/>
      <w:lvlJc w:val="left"/>
      <w:pPr>
        <w:ind w:left="1102" w:hanging="286"/>
      </w:pPr>
      <w:rPr>
        <w:rFonts w:hint="default"/>
      </w:rPr>
    </w:lvl>
    <w:lvl w:ilvl="2">
      <w:start w:val="1"/>
      <w:numFmt w:val="bullet"/>
      <w:lvlText w:val="•"/>
      <w:lvlJc w:val="left"/>
      <w:pPr>
        <w:ind w:left="2044" w:hanging="286"/>
      </w:pPr>
      <w:rPr>
        <w:rFonts w:hint="default"/>
      </w:rPr>
    </w:lvl>
    <w:lvl w:ilvl="3">
      <w:start w:val="1"/>
      <w:numFmt w:val="bullet"/>
      <w:lvlText w:val="•"/>
      <w:lvlJc w:val="left"/>
      <w:pPr>
        <w:ind w:left="2986" w:hanging="286"/>
      </w:pPr>
      <w:rPr>
        <w:rFonts w:hint="default"/>
      </w:rPr>
    </w:lvl>
    <w:lvl w:ilvl="4">
      <w:start w:val="1"/>
      <w:numFmt w:val="bullet"/>
      <w:lvlText w:val="•"/>
      <w:lvlJc w:val="left"/>
      <w:pPr>
        <w:ind w:left="3928" w:hanging="286"/>
      </w:pPr>
      <w:rPr>
        <w:rFonts w:hint="default"/>
      </w:rPr>
    </w:lvl>
    <w:lvl w:ilvl="5">
      <w:start w:val="1"/>
      <w:numFmt w:val="bullet"/>
      <w:lvlText w:val="•"/>
      <w:lvlJc w:val="left"/>
      <w:pPr>
        <w:ind w:left="4870" w:hanging="286"/>
      </w:pPr>
      <w:rPr>
        <w:rFonts w:hint="default"/>
      </w:rPr>
    </w:lvl>
    <w:lvl w:ilvl="6">
      <w:start w:val="1"/>
      <w:numFmt w:val="bullet"/>
      <w:lvlText w:val="•"/>
      <w:lvlJc w:val="left"/>
      <w:pPr>
        <w:ind w:left="5812" w:hanging="286"/>
      </w:pPr>
      <w:rPr>
        <w:rFonts w:hint="default"/>
      </w:rPr>
    </w:lvl>
    <w:lvl w:ilvl="7">
      <w:start w:val="1"/>
      <w:numFmt w:val="bullet"/>
      <w:lvlText w:val="•"/>
      <w:lvlJc w:val="left"/>
      <w:pPr>
        <w:ind w:left="6754" w:hanging="286"/>
      </w:pPr>
      <w:rPr>
        <w:rFonts w:hint="default"/>
      </w:rPr>
    </w:lvl>
    <w:lvl w:ilvl="8">
      <w:start w:val="1"/>
      <w:numFmt w:val="bullet"/>
      <w:lvlText w:val="•"/>
      <w:lvlJc w:val="left"/>
      <w:pPr>
        <w:ind w:left="7696" w:hanging="286"/>
      </w:pPr>
      <w:rPr>
        <w:rFonts w:hint="default"/>
      </w:rPr>
    </w:lvl>
  </w:abstractNum>
  <w:abstractNum w:abstractNumId="41">
    <w:multiLevelType w:val="hybridMultilevel"/>
    <w:lvl w:ilvl="0">
      <w:start w:val="4"/>
      <w:numFmt w:val="decimal"/>
      <w:lvlText w:val="%1"/>
      <w:lvlJc w:val="left"/>
      <w:pPr>
        <w:ind w:left="1000" w:hanging="840"/>
        <w:jc w:val="left"/>
      </w:pPr>
      <w:rPr>
        <w:rFonts w:hint="default"/>
      </w:rPr>
    </w:lvl>
    <w:lvl w:ilvl="1">
      <w:start w:val="1"/>
      <w:numFmt w:val="decimal"/>
      <w:lvlText w:val="%1.%2"/>
      <w:lvlJc w:val="left"/>
      <w:pPr>
        <w:ind w:left="1000" w:hanging="840"/>
        <w:jc w:val="left"/>
      </w:pPr>
      <w:rPr>
        <w:rFonts w:hint="default"/>
      </w:rPr>
    </w:lvl>
    <w:lvl w:ilvl="2">
      <w:start w:val="4"/>
      <w:numFmt w:val="decimal"/>
      <w:lvlText w:val="%1.%2.%3"/>
      <w:lvlJc w:val="left"/>
      <w:pPr>
        <w:ind w:left="1000" w:hanging="840"/>
        <w:jc w:val="left"/>
      </w:pPr>
      <w:rPr>
        <w:rFonts w:hint="default"/>
      </w:rPr>
    </w:lvl>
    <w:lvl w:ilvl="3">
      <w:start w:val="20"/>
      <w:numFmt w:val="decimal"/>
      <w:lvlText w:val="%1.%2.%3.%4"/>
      <w:lvlJc w:val="left"/>
      <w:pPr>
        <w:ind w:left="1000" w:hanging="840"/>
        <w:jc w:val="left"/>
      </w:pPr>
      <w:rPr>
        <w:rFonts w:hint="default" w:ascii="Times New Roman" w:hAnsi="Times New Roman" w:eastAsia="Times New Roman"/>
        <w:b/>
        <w:bCs/>
        <w:spacing w:val="-2"/>
        <w:w w:val="99"/>
        <w:sz w:val="24"/>
        <w:szCs w:val="24"/>
      </w:rPr>
    </w:lvl>
    <w:lvl w:ilvl="4">
      <w:start w:val="1"/>
      <w:numFmt w:val="bullet"/>
      <w:lvlText w:val="•"/>
      <w:lvlJc w:val="left"/>
      <w:pPr>
        <w:ind w:left="4432" w:hanging="840"/>
      </w:pPr>
      <w:rPr>
        <w:rFonts w:hint="default"/>
      </w:rPr>
    </w:lvl>
    <w:lvl w:ilvl="5">
      <w:start w:val="1"/>
      <w:numFmt w:val="bullet"/>
      <w:lvlText w:val="•"/>
      <w:lvlJc w:val="left"/>
      <w:pPr>
        <w:ind w:left="5290" w:hanging="840"/>
      </w:pPr>
      <w:rPr>
        <w:rFonts w:hint="default"/>
      </w:rPr>
    </w:lvl>
    <w:lvl w:ilvl="6">
      <w:start w:val="1"/>
      <w:numFmt w:val="bullet"/>
      <w:lvlText w:val="•"/>
      <w:lvlJc w:val="left"/>
      <w:pPr>
        <w:ind w:left="6148" w:hanging="840"/>
      </w:pPr>
      <w:rPr>
        <w:rFonts w:hint="default"/>
      </w:rPr>
    </w:lvl>
    <w:lvl w:ilvl="7">
      <w:start w:val="1"/>
      <w:numFmt w:val="bullet"/>
      <w:lvlText w:val="•"/>
      <w:lvlJc w:val="left"/>
      <w:pPr>
        <w:ind w:left="7006" w:hanging="840"/>
      </w:pPr>
      <w:rPr>
        <w:rFonts w:hint="default"/>
      </w:rPr>
    </w:lvl>
    <w:lvl w:ilvl="8">
      <w:start w:val="1"/>
      <w:numFmt w:val="bullet"/>
      <w:lvlText w:val="•"/>
      <w:lvlJc w:val="left"/>
      <w:pPr>
        <w:ind w:left="7864" w:hanging="840"/>
      </w:pPr>
      <w:rPr>
        <w:rFonts w:hint="default"/>
      </w:rPr>
    </w:lvl>
  </w:abstractNum>
  <w:abstractNum w:abstractNumId="40">
    <w:multiLevelType w:val="hybridMultilevel"/>
    <w:lvl w:ilvl="0">
      <w:start w:val="1"/>
      <w:numFmt w:val="decimal"/>
      <w:lvlText w:val="%1)"/>
      <w:lvlJc w:val="left"/>
      <w:pPr>
        <w:ind w:left="160" w:hanging="286"/>
        <w:jc w:val="left"/>
      </w:pPr>
      <w:rPr>
        <w:rFonts w:hint="default" w:ascii="Times New Roman" w:hAnsi="Times New Roman" w:eastAsia="Times New Roman"/>
        <w:b/>
        <w:bCs/>
        <w:w w:val="99"/>
        <w:sz w:val="24"/>
        <w:szCs w:val="24"/>
      </w:rPr>
    </w:lvl>
    <w:lvl w:ilvl="1">
      <w:start w:val="1"/>
      <w:numFmt w:val="bullet"/>
      <w:lvlText w:val="•"/>
      <w:lvlJc w:val="left"/>
      <w:pPr>
        <w:ind w:left="1102" w:hanging="286"/>
      </w:pPr>
      <w:rPr>
        <w:rFonts w:hint="default"/>
      </w:rPr>
    </w:lvl>
    <w:lvl w:ilvl="2">
      <w:start w:val="1"/>
      <w:numFmt w:val="bullet"/>
      <w:lvlText w:val="•"/>
      <w:lvlJc w:val="left"/>
      <w:pPr>
        <w:ind w:left="2044" w:hanging="286"/>
      </w:pPr>
      <w:rPr>
        <w:rFonts w:hint="default"/>
      </w:rPr>
    </w:lvl>
    <w:lvl w:ilvl="3">
      <w:start w:val="1"/>
      <w:numFmt w:val="bullet"/>
      <w:lvlText w:val="•"/>
      <w:lvlJc w:val="left"/>
      <w:pPr>
        <w:ind w:left="2986" w:hanging="286"/>
      </w:pPr>
      <w:rPr>
        <w:rFonts w:hint="default"/>
      </w:rPr>
    </w:lvl>
    <w:lvl w:ilvl="4">
      <w:start w:val="1"/>
      <w:numFmt w:val="bullet"/>
      <w:lvlText w:val="•"/>
      <w:lvlJc w:val="left"/>
      <w:pPr>
        <w:ind w:left="3928" w:hanging="286"/>
      </w:pPr>
      <w:rPr>
        <w:rFonts w:hint="default"/>
      </w:rPr>
    </w:lvl>
    <w:lvl w:ilvl="5">
      <w:start w:val="1"/>
      <w:numFmt w:val="bullet"/>
      <w:lvlText w:val="•"/>
      <w:lvlJc w:val="left"/>
      <w:pPr>
        <w:ind w:left="4870" w:hanging="286"/>
      </w:pPr>
      <w:rPr>
        <w:rFonts w:hint="default"/>
      </w:rPr>
    </w:lvl>
    <w:lvl w:ilvl="6">
      <w:start w:val="1"/>
      <w:numFmt w:val="bullet"/>
      <w:lvlText w:val="•"/>
      <w:lvlJc w:val="left"/>
      <w:pPr>
        <w:ind w:left="5812" w:hanging="286"/>
      </w:pPr>
      <w:rPr>
        <w:rFonts w:hint="default"/>
      </w:rPr>
    </w:lvl>
    <w:lvl w:ilvl="7">
      <w:start w:val="1"/>
      <w:numFmt w:val="bullet"/>
      <w:lvlText w:val="•"/>
      <w:lvlJc w:val="left"/>
      <w:pPr>
        <w:ind w:left="6754" w:hanging="286"/>
      </w:pPr>
      <w:rPr>
        <w:rFonts w:hint="default"/>
      </w:rPr>
    </w:lvl>
    <w:lvl w:ilvl="8">
      <w:start w:val="1"/>
      <w:numFmt w:val="bullet"/>
      <w:lvlText w:val="•"/>
      <w:lvlJc w:val="left"/>
      <w:pPr>
        <w:ind w:left="7696" w:hanging="286"/>
      </w:pPr>
      <w:rPr>
        <w:rFonts w:hint="default"/>
      </w:rPr>
    </w:lvl>
  </w:abstractNum>
  <w:abstractNum w:abstractNumId="39">
    <w:multiLevelType w:val="hybridMultilevel"/>
    <w:lvl w:ilvl="0">
      <w:start w:val="4"/>
      <w:numFmt w:val="decimal"/>
      <w:lvlText w:val="%1"/>
      <w:lvlJc w:val="left"/>
      <w:pPr>
        <w:ind w:left="1000" w:hanging="840"/>
        <w:jc w:val="left"/>
      </w:pPr>
      <w:rPr>
        <w:rFonts w:hint="default"/>
      </w:rPr>
    </w:lvl>
    <w:lvl w:ilvl="1">
      <w:start w:val="1"/>
      <w:numFmt w:val="decimal"/>
      <w:lvlText w:val="%1.%2"/>
      <w:lvlJc w:val="left"/>
      <w:pPr>
        <w:ind w:left="1000" w:hanging="840"/>
        <w:jc w:val="left"/>
      </w:pPr>
      <w:rPr>
        <w:rFonts w:hint="default"/>
      </w:rPr>
    </w:lvl>
    <w:lvl w:ilvl="2">
      <w:start w:val="4"/>
      <w:numFmt w:val="decimal"/>
      <w:lvlText w:val="%1.%2.%3"/>
      <w:lvlJc w:val="left"/>
      <w:pPr>
        <w:ind w:left="1000" w:hanging="840"/>
        <w:jc w:val="left"/>
      </w:pPr>
      <w:rPr>
        <w:rFonts w:hint="default"/>
      </w:rPr>
    </w:lvl>
    <w:lvl w:ilvl="3">
      <w:start w:val="18"/>
      <w:numFmt w:val="decimal"/>
      <w:lvlText w:val="%1.%2.%3.%4"/>
      <w:lvlJc w:val="left"/>
      <w:pPr>
        <w:ind w:left="1000" w:hanging="840"/>
        <w:jc w:val="left"/>
      </w:pPr>
      <w:rPr>
        <w:rFonts w:hint="default" w:ascii="Times New Roman" w:hAnsi="Times New Roman" w:eastAsia="Times New Roman"/>
        <w:b/>
        <w:bCs/>
        <w:w w:val="100"/>
        <w:sz w:val="24"/>
        <w:szCs w:val="24"/>
      </w:rPr>
    </w:lvl>
    <w:lvl w:ilvl="4">
      <w:start w:val="1"/>
      <w:numFmt w:val="bullet"/>
      <w:lvlText w:val="•"/>
      <w:lvlJc w:val="left"/>
      <w:pPr>
        <w:ind w:left="4432" w:hanging="840"/>
      </w:pPr>
      <w:rPr>
        <w:rFonts w:hint="default"/>
      </w:rPr>
    </w:lvl>
    <w:lvl w:ilvl="5">
      <w:start w:val="1"/>
      <w:numFmt w:val="bullet"/>
      <w:lvlText w:val="•"/>
      <w:lvlJc w:val="left"/>
      <w:pPr>
        <w:ind w:left="5290" w:hanging="840"/>
      </w:pPr>
      <w:rPr>
        <w:rFonts w:hint="default"/>
      </w:rPr>
    </w:lvl>
    <w:lvl w:ilvl="6">
      <w:start w:val="1"/>
      <w:numFmt w:val="bullet"/>
      <w:lvlText w:val="•"/>
      <w:lvlJc w:val="left"/>
      <w:pPr>
        <w:ind w:left="6148" w:hanging="840"/>
      </w:pPr>
      <w:rPr>
        <w:rFonts w:hint="default"/>
      </w:rPr>
    </w:lvl>
    <w:lvl w:ilvl="7">
      <w:start w:val="1"/>
      <w:numFmt w:val="bullet"/>
      <w:lvlText w:val="•"/>
      <w:lvlJc w:val="left"/>
      <w:pPr>
        <w:ind w:left="7006" w:hanging="840"/>
      </w:pPr>
      <w:rPr>
        <w:rFonts w:hint="default"/>
      </w:rPr>
    </w:lvl>
    <w:lvl w:ilvl="8">
      <w:start w:val="1"/>
      <w:numFmt w:val="bullet"/>
      <w:lvlText w:val="•"/>
      <w:lvlJc w:val="left"/>
      <w:pPr>
        <w:ind w:left="7864" w:hanging="840"/>
      </w:pPr>
      <w:rPr>
        <w:rFonts w:hint="default"/>
      </w:rPr>
    </w:lvl>
  </w:abstractNum>
  <w:abstractNum w:abstractNumId="38">
    <w:multiLevelType w:val="hybridMultilevel"/>
    <w:lvl w:ilvl="0">
      <w:start w:val="1"/>
      <w:numFmt w:val="decimal"/>
      <w:lvlText w:val="%1)"/>
      <w:lvlJc w:val="left"/>
      <w:pPr>
        <w:ind w:left="160" w:hanging="274"/>
        <w:jc w:val="left"/>
      </w:pPr>
      <w:rPr>
        <w:rFonts w:hint="default" w:ascii="Times New Roman" w:hAnsi="Times New Roman" w:eastAsia="Times New Roman"/>
        <w:b/>
        <w:bCs/>
        <w:w w:val="99"/>
        <w:sz w:val="24"/>
        <w:szCs w:val="24"/>
      </w:rPr>
    </w:lvl>
    <w:lvl w:ilvl="1">
      <w:start w:val="1"/>
      <w:numFmt w:val="bullet"/>
      <w:lvlText w:val="•"/>
      <w:lvlJc w:val="left"/>
      <w:pPr>
        <w:ind w:left="1102" w:hanging="274"/>
      </w:pPr>
      <w:rPr>
        <w:rFonts w:hint="default"/>
      </w:rPr>
    </w:lvl>
    <w:lvl w:ilvl="2">
      <w:start w:val="1"/>
      <w:numFmt w:val="bullet"/>
      <w:lvlText w:val="•"/>
      <w:lvlJc w:val="left"/>
      <w:pPr>
        <w:ind w:left="2044" w:hanging="274"/>
      </w:pPr>
      <w:rPr>
        <w:rFonts w:hint="default"/>
      </w:rPr>
    </w:lvl>
    <w:lvl w:ilvl="3">
      <w:start w:val="1"/>
      <w:numFmt w:val="bullet"/>
      <w:lvlText w:val="•"/>
      <w:lvlJc w:val="left"/>
      <w:pPr>
        <w:ind w:left="2986" w:hanging="274"/>
      </w:pPr>
      <w:rPr>
        <w:rFonts w:hint="default"/>
      </w:rPr>
    </w:lvl>
    <w:lvl w:ilvl="4">
      <w:start w:val="1"/>
      <w:numFmt w:val="bullet"/>
      <w:lvlText w:val="•"/>
      <w:lvlJc w:val="left"/>
      <w:pPr>
        <w:ind w:left="3928" w:hanging="274"/>
      </w:pPr>
      <w:rPr>
        <w:rFonts w:hint="default"/>
      </w:rPr>
    </w:lvl>
    <w:lvl w:ilvl="5">
      <w:start w:val="1"/>
      <w:numFmt w:val="bullet"/>
      <w:lvlText w:val="•"/>
      <w:lvlJc w:val="left"/>
      <w:pPr>
        <w:ind w:left="4870" w:hanging="274"/>
      </w:pPr>
      <w:rPr>
        <w:rFonts w:hint="default"/>
      </w:rPr>
    </w:lvl>
    <w:lvl w:ilvl="6">
      <w:start w:val="1"/>
      <w:numFmt w:val="bullet"/>
      <w:lvlText w:val="•"/>
      <w:lvlJc w:val="left"/>
      <w:pPr>
        <w:ind w:left="5812" w:hanging="274"/>
      </w:pPr>
      <w:rPr>
        <w:rFonts w:hint="default"/>
      </w:rPr>
    </w:lvl>
    <w:lvl w:ilvl="7">
      <w:start w:val="1"/>
      <w:numFmt w:val="bullet"/>
      <w:lvlText w:val="•"/>
      <w:lvlJc w:val="left"/>
      <w:pPr>
        <w:ind w:left="6754" w:hanging="274"/>
      </w:pPr>
      <w:rPr>
        <w:rFonts w:hint="default"/>
      </w:rPr>
    </w:lvl>
    <w:lvl w:ilvl="8">
      <w:start w:val="1"/>
      <w:numFmt w:val="bullet"/>
      <w:lvlText w:val="•"/>
      <w:lvlJc w:val="left"/>
      <w:pPr>
        <w:ind w:left="7696" w:hanging="274"/>
      </w:pPr>
      <w:rPr>
        <w:rFonts w:hint="default"/>
      </w:rPr>
    </w:lvl>
  </w:abstractNum>
  <w:abstractNum w:abstractNumId="37">
    <w:multiLevelType w:val="hybridMultilevel"/>
    <w:lvl w:ilvl="0">
      <w:start w:val="4"/>
      <w:numFmt w:val="decimal"/>
      <w:lvlText w:val="%1"/>
      <w:lvlJc w:val="left"/>
      <w:pPr>
        <w:ind w:left="1060" w:hanging="900"/>
        <w:jc w:val="left"/>
      </w:pPr>
      <w:rPr>
        <w:rFonts w:hint="default"/>
      </w:rPr>
    </w:lvl>
    <w:lvl w:ilvl="1">
      <w:start w:val="1"/>
      <w:numFmt w:val="decimal"/>
      <w:lvlText w:val="%1.%2"/>
      <w:lvlJc w:val="left"/>
      <w:pPr>
        <w:ind w:left="1060" w:hanging="900"/>
        <w:jc w:val="left"/>
      </w:pPr>
      <w:rPr>
        <w:rFonts w:hint="default"/>
      </w:rPr>
    </w:lvl>
    <w:lvl w:ilvl="2">
      <w:start w:val="4"/>
      <w:numFmt w:val="decimal"/>
      <w:lvlText w:val="%1.%2.%3"/>
      <w:lvlJc w:val="left"/>
      <w:pPr>
        <w:ind w:left="1060" w:hanging="900"/>
        <w:jc w:val="left"/>
      </w:pPr>
      <w:rPr>
        <w:rFonts w:hint="default"/>
      </w:rPr>
    </w:lvl>
    <w:lvl w:ilvl="3">
      <w:start w:val="14"/>
      <w:numFmt w:val="decimal"/>
      <w:lvlText w:val="%1.%2.%3.%4"/>
      <w:lvlJc w:val="left"/>
      <w:pPr>
        <w:ind w:left="1060" w:hanging="900"/>
        <w:jc w:val="right"/>
      </w:pPr>
      <w:rPr>
        <w:rFonts w:hint="default" w:ascii="Times New Roman" w:hAnsi="Times New Roman" w:eastAsia="Times New Roman"/>
        <w:b/>
        <w:bCs/>
        <w:spacing w:val="-3"/>
        <w:w w:val="99"/>
        <w:sz w:val="24"/>
        <w:szCs w:val="24"/>
      </w:rPr>
    </w:lvl>
    <w:lvl w:ilvl="4">
      <w:start w:val="1"/>
      <w:numFmt w:val="decimal"/>
      <w:lvlText w:val="%5)"/>
      <w:lvlJc w:val="left"/>
      <w:pPr>
        <w:ind w:left="160" w:hanging="286"/>
        <w:jc w:val="left"/>
      </w:pPr>
      <w:rPr>
        <w:rFonts w:hint="default" w:ascii="Times New Roman" w:hAnsi="Times New Roman" w:eastAsia="Times New Roman"/>
        <w:b/>
        <w:bCs/>
        <w:w w:val="99"/>
        <w:sz w:val="24"/>
        <w:szCs w:val="24"/>
      </w:rPr>
    </w:lvl>
    <w:lvl w:ilvl="5">
      <w:start w:val="1"/>
      <w:numFmt w:val="bullet"/>
      <w:lvlText w:val="•"/>
      <w:lvlJc w:val="left"/>
      <w:pPr>
        <w:ind w:left="4846" w:hanging="286"/>
      </w:pPr>
      <w:rPr>
        <w:rFonts w:hint="default"/>
      </w:rPr>
    </w:lvl>
    <w:lvl w:ilvl="6">
      <w:start w:val="1"/>
      <w:numFmt w:val="bullet"/>
      <w:lvlText w:val="•"/>
      <w:lvlJc w:val="left"/>
      <w:pPr>
        <w:ind w:left="5793" w:hanging="286"/>
      </w:pPr>
      <w:rPr>
        <w:rFonts w:hint="default"/>
      </w:rPr>
    </w:lvl>
    <w:lvl w:ilvl="7">
      <w:start w:val="1"/>
      <w:numFmt w:val="bullet"/>
      <w:lvlText w:val="•"/>
      <w:lvlJc w:val="left"/>
      <w:pPr>
        <w:ind w:left="6740" w:hanging="286"/>
      </w:pPr>
      <w:rPr>
        <w:rFonts w:hint="default"/>
      </w:rPr>
    </w:lvl>
    <w:lvl w:ilvl="8">
      <w:start w:val="1"/>
      <w:numFmt w:val="bullet"/>
      <w:lvlText w:val="•"/>
      <w:lvlJc w:val="left"/>
      <w:pPr>
        <w:ind w:left="7686" w:hanging="286"/>
      </w:pPr>
      <w:rPr>
        <w:rFonts w:hint="default"/>
      </w:rPr>
    </w:lvl>
  </w:abstractNum>
  <w:abstractNum w:abstractNumId="35">
    <w:multiLevelType w:val="hybridMultilevel"/>
    <w:lvl w:ilvl="0">
      <w:start w:val="2"/>
      <w:numFmt w:val="decimal"/>
      <w:lvlText w:val="%1"/>
      <w:lvlJc w:val="left"/>
      <w:pPr>
        <w:ind w:left="160" w:hanging="612"/>
        <w:jc w:val="left"/>
      </w:pPr>
      <w:rPr>
        <w:rFonts w:hint="default"/>
      </w:rPr>
    </w:lvl>
    <w:lvl w:ilvl="1">
      <w:start w:val="298"/>
      <w:numFmt w:val="decimal"/>
      <w:lvlText w:val="%1.%2"/>
      <w:lvlJc w:val="left"/>
      <w:pPr>
        <w:ind w:left="160" w:hanging="612"/>
        <w:jc w:val="left"/>
      </w:pPr>
      <w:rPr>
        <w:rFonts w:hint="default" w:ascii="Times New Roman" w:hAnsi="Times New Roman" w:eastAsia="Times New Roman"/>
        <w:w w:val="100"/>
        <w:sz w:val="24"/>
        <w:szCs w:val="24"/>
      </w:rPr>
    </w:lvl>
    <w:lvl w:ilvl="2">
      <w:start w:val="1"/>
      <w:numFmt w:val="decimal"/>
      <w:lvlText w:val="%3)"/>
      <w:lvlJc w:val="left"/>
      <w:pPr>
        <w:ind w:left="160" w:hanging="286"/>
        <w:jc w:val="left"/>
      </w:pPr>
      <w:rPr>
        <w:rFonts w:hint="default" w:ascii="Times New Roman" w:hAnsi="Times New Roman" w:eastAsia="Times New Roman"/>
        <w:b/>
        <w:bCs/>
        <w:w w:val="99"/>
        <w:sz w:val="24"/>
        <w:szCs w:val="24"/>
      </w:rPr>
    </w:lvl>
    <w:lvl w:ilvl="3">
      <w:start w:val="1"/>
      <w:numFmt w:val="bullet"/>
      <w:lvlText w:val="•"/>
      <w:lvlJc w:val="left"/>
      <w:pPr>
        <w:ind w:left="3010" w:hanging="286"/>
      </w:pPr>
      <w:rPr>
        <w:rFonts w:hint="default"/>
      </w:rPr>
    </w:lvl>
    <w:lvl w:ilvl="4">
      <w:start w:val="1"/>
      <w:numFmt w:val="bullet"/>
      <w:lvlText w:val="•"/>
      <w:lvlJc w:val="left"/>
      <w:pPr>
        <w:ind w:left="3960" w:hanging="286"/>
      </w:pPr>
      <w:rPr>
        <w:rFonts w:hint="default"/>
      </w:rPr>
    </w:lvl>
    <w:lvl w:ilvl="5">
      <w:start w:val="1"/>
      <w:numFmt w:val="bullet"/>
      <w:lvlText w:val="•"/>
      <w:lvlJc w:val="left"/>
      <w:pPr>
        <w:ind w:left="4910" w:hanging="286"/>
      </w:pPr>
      <w:rPr>
        <w:rFonts w:hint="default"/>
      </w:rPr>
    </w:lvl>
    <w:lvl w:ilvl="6">
      <w:start w:val="1"/>
      <w:numFmt w:val="bullet"/>
      <w:lvlText w:val="•"/>
      <w:lvlJc w:val="left"/>
      <w:pPr>
        <w:ind w:left="5860" w:hanging="286"/>
      </w:pPr>
      <w:rPr>
        <w:rFonts w:hint="default"/>
      </w:rPr>
    </w:lvl>
    <w:lvl w:ilvl="7">
      <w:start w:val="1"/>
      <w:numFmt w:val="bullet"/>
      <w:lvlText w:val="•"/>
      <w:lvlJc w:val="left"/>
      <w:pPr>
        <w:ind w:left="6810" w:hanging="286"/>
      </w:pPr>
      <w:rPr>
        <w:rFonts w:hint="default"/>
      </w:rPr>
    </w:lvl>
    <w:lvl w:ilvl="8">
      <w:start w:val="1"/>
      <w:numFmt w:val="bullet"/>
      <w:lvlText w:val="•"/>
      <w:lvlJc w:val="left"/>
      <w:pPr>
        <w:ind w:left="7760" w:hanging="286"/>
      </w:pPr>
      <w:rPr>
        <w:rFonts w:hint="default"/>
      </w:rPr>
    </w:lvl>
  </w:abstractNum>
  <w:abstractNum w:abstractNumId="33">
    <w:multiLevelType w:val="hybridMultilevel"/>
    <w:lvl w:ilvl="0">
      <w:start w:val="1"/>
      <w:numFmt w:val="decimal"/>
      <w:lvlText w:val="%1."/>
      <w:lvlJc w:val="left"/>
      <w:pPr>
        <w:ind w:left="160" w:hanging="286"/>
        <w:jc w:val="left"/>
      </w:pPr>
      <w:rPr>
        <w:rFonts w:hint="default" w:ascii="Times New Roman" w:hAnsi="Times New Roman" w:eastAsia="Times New Roman"/>
        <w:spacing w:val="-15"/>
        <w:w w:val="99"/>
        <w:sz w:val="24"/>
        <w:szCs w:val="24"/>
      </w:rPr>
    </w:lvl>
    <w:lvl w:ilvl="1">
      <w:start w:val="1"/>
      <w:numFmt w:val="bullet"/>
      <w:lvlText w:val="•"/>
      <w:lvlJc w:val="left"/>
      <w:pPr>
        <w:ind w:left="1102" w:hanging="286"/>
      </w:pPr>
      <w:rPr>
        <w:rFonts w:hint="default"/>
      </w:rPr>
    </w:lvl>
    <w:lvl w:ilvl="2">
      <w:start w:val="1"/>
      <w:numFmt w:val="bullet"/>
      <w:lvlText w:val="•"/>
      <w:lvlJc w:val="left"/>
      <w:pPr>
        <w:ind w:left="2044" w:hanging="286"/>
      </w:pPr>
      <w:rPr>
        <w:rFonts w:hint="default"/>
      </w:rPr>
    </w:lvl>
    <w:lvl w:ilvl="3">
      <w:start w:val="1"/>
      <w:numFmt w:val="bullet"/>
      <w:lvlText w:val="•"/>
      <w:lvlJc w:val="left"/>
      <w:pPr>
        <w:ind w:left="2986" w:hanging="286"/>
      </w:pPr>
      <w:rPr>
        <w:rFonts w:hint="default"/>
      </w:rPr>
    </w:lvl>
    <w:lvl w:ilvl="4">
      <w:start w:val="1"/>
      <w:numFmt w:val="bullet"/>
      <w:lvlText w:val="•"/>
      <w:lvlJc w:val="left"/>
      <w:pPr>
        <w:ind w:left="3928" w:hanging="286"/>
      </w:pPr>
      <w:rPr>
        <w:rFonts w:hint="default"/>
      </w:rPr>
    </w:lvl>
    <w:lvl w:ilvl="5">
      <w:start w:val="1"/>
      <w:numFmt w:val="bullet"/>
      <w:lvlText w:val="•"/>
      <w:lvlJc w:val="left"/>
      <w:pPr>
        <w:ind w:left="4870" w:hanging="286"/>
      </w:pPr>
      <w:rPr>
        <w:rFonts w:hint="default"/>
      </w:rPr>
    </w:lvl>
    <w:lvl w:ilvl="6">
      <w:start w:val="1"/>
      <w:numFmt w:val="bullet"/>
      <w:lvlText w:val="•"/>
      <w:lvlJc w:val="left"/>
      <w:pPr>
        <w:ind w:left="5812" w:hanging="286"/>
      </w:pPr>
      <w:rPr>
        <w:rFonts w:hint="default"/>
      </w:rPr>
    </w:lvl>
    <w:lvl w:ilvl="7">
      <w:start w:val="1"/>
      <w:numFmt w:val="bullet"/>
      <w:lvlText w:val="•"/>
      <w:lvlJc w:val="left"/>
      <w:pPr>
        <w:ind w:left="6754" w:hanging="286"/>
      </w:pPr>
      <w:rPr>
        <w:rFonts w:hint="default"/>
      </w:rPr>
    </w:lvl>
    <w:lvl w:ilvl="8">
      <w:start w:val="1"/>
      <w:numFmt w:val="bullet"/>
      <w:lvlText w:val="•"/>
      <w:lvlJc w:val="left"/>
      <w:pPr>
        <w:ind w:left="7696" w:hanging="286"/>
      </w:pPr>
      <w:rPr>
        <w:rFonts w:hint="default"/>
      </w:rPr>
    </w:lvl>
  </w:abstractNum>
  <w:abstractNum w:abstractNumId="31">
    <w:multiLevelType w:val="hybridMultilevel"/>
    <w:lvl w:ilvl="0">
      <w:start w:val="1"/>
      <w:numFmt w:val="bullet"/>
      <w:lvlText w:val=""/>
      <w:lvlJc w:val="left"/>
      <w:pPr>
        <w:ind w:left="400" w:hanging="142"/>
      </w:pPr>
      <w:rPr>
        <w:rFonts w:hint="default" w:ascii="Symbol" w:hAnsi="Symbol" w:eastAsia="Symbol"/>
        <w:w w:val="100"/>
        <w:sz w:val="24"/>
        <w:szCs w:val="24"/>
      </w:rPr>
    </w:lvl>
    <w:lvl w:ilvl="1">
      <w:start w:val="1"/>
      <w:numFmt w:val="bullet"/>
      <w:lvlText w:val="•"/>
      <w:lvlJc w:val="left"/>
      <w:pPr>
        <w:ind w:left="1342" w:hanging="142"/>
      </w:pPr>
      <w:rPr>
        <w:rFonts w:hint="default"/>
      </w:rPr>
    </w:lvl>
    <w:lvl w:ilvl="2">
      <w:start w:val="1"/>
      <w:numFmt w:val="bullet"/>
      <w:lvlText w:val="•"/>
      <w:lvlJc w:val="left"/>
      <w:pPr>
        <w:ind w:left="2284" w:hanging="142"/>
      </w:pPr>
      <w:rPr>
        <w:rFonts w:hint="default"/>
      </w:rPr>
    </w:lvl>
    <w:lvl w:ilvl="3">
      <w:start w:val="1"/>
      <w:numFmt w:val="bullet"/>
      <w:lvlText w:val="•"/>
      <w:lvlJc w:val="left"/>
      <w:pPr>
        <w:ind w:left="3226" w:hanging="142"/>
      </w:pPr>
      <w:rPr>
        <w:rFonts w:hint="default"/>
      </w:rPr>
    </w:lvl>
    <w:lvl w:ilvl="4">
      <w:start w:val="1"/>
      <w:numFmt w:val="bullet"/>
      <w:lvlText w:val="•"/>
      <w:lvlJc w:val="left"/>
      <w:pPr>
        <w:ind w:left="4168" w:hanging="142"/>
      </w:pPr>
      <w:rPr>
        <w:rFonts w:hint="default"/>
      </w:rPr>
    </w:lvl>
    <w:lvl w:ilvl="5">
      <w:start w:val="1"/>
      <w:numFmt w:val="bullet"/>
      <w:lvlText w:val="•"/>
      <w:lvlJc w:val="left"/>
      <w:pPr>
        <w:ind w:left="5110" w:hanging="142"/>
      </w:pPr>
      <w:rPr>
        <w:rFonts w:hint="default"/>
      </w:rPr>
    </w:lvl>
    <w:lvl w:ilvl="6">
      <w:start w:val="1"/>
      <w:numFmt w:val="bullet"/>
      <w:lvlText w:val="•"/>
      <w:lvlJc w:val="left"/>
      <w:pPr>
        <w:ind w:left="6052" w:hanging="142"/>
      </w:pPr>
      <w:rPr>
        <w:rFonts w:hint="default"/>
      </w:rPr>
    </w:lvl>
    <w:lvl w:ilvl="7">
      <w:start w:val="1"/>
      <w:numFmt w:val="bullet"/>
      <w:lvlText w:val="•"/>
      <w:lvlJc w:val="left"/>
      <w:pPr>
        <w:ind w:left="6994" w:hanging="142"/>
      </w:pPr>
      <w:rPr>
        <w:rFonts w:hint="default"/>
      </w:rPr>
    </w:lvl>
    <w:lvl w:ilvl="8">
      <w:start w:val="1"/>
      <w:numFmt w:val="bullet"/>
      <w:lvlText w:val="•"/>
      <w:lvlJc w:val="left"/>
      <w:pPr>
        <w:ind w:left="7936" w:hanging="142"/>
      </w:pPr>
      <w:rPr>
        <w:rFonts w:hint="default"/>
      </w:rPr>
    </w:lvl>
  </w:abstractNum>
  <w:abstractNum w:abstractNumId="30">
    <w:multiLevelType w:val="hybridMultilevel"/>
    <w:lvl w:ilvl="0">
      <w:start w:val="4"/>
      <w:numFmt w:val="decimal"/>
      <w:lvlText w:val="%1"/>
      <w:lvlJc w:val="left"/>
      <w:pPr>
        <w:ind w:left="940" w:hanging="780"/>
        <w:jc w:val="left"/>
      </w:pPr>
      <w:rPr>
        <w:rFonts w:hint="default"/>
      </w:rPr>
    </w:lvl>
    <w:lvl w:ilvl="1">
      <w:start w:val="1"/>
      <w:numFmt w:val="decimal"/>
      <w:lvlText w:val="%1.%2"/>
      <w:lvlJc w:val="left"/>
      <w:pPr>
        <w:ind w:left="940" w:hanging="780"/>
        <w:jc w:val="left"/>
      </w:pPr>
      <w:rPr>
        <w:rFonts w:hint="default"/>
      </w:rPr>
    </w:lvl>
    <w:lvl w:ilvl="2">
      <w:start w:val="4"/>
      <w:numFmt w:val="decimal"/>
      <w:lvlText w:val="%1.%2.%3"/>
      <w:lvlJc w:val="left"/>
      <w:pPr>
        <w:ind w:left="940" w:hanging="780"/>
        <w:jc w:val="left"/>
      </w:pPr>
      <w:rPr>
        <w:rFonts w:hint="default"/>
      </w:rPr>
    </w:lvl>
    <w:lvl w:ilvl="3">
      <w:start w:val="9"/>
      <w:numFmt w:val="decimal"/>
      <w:lvlText w:val="%1.%2.%3.%4"/>
      <w:lvlJc w:val="left"/>
      <w:pPr>
        <w:ind w:left="940" w:hanging="780"/>
        <w:jc w:val="left"/>
      </w:pPr>
      <w:rPr>
        <w:rFonts w:hint="default" w:ascii="Times New Roman" w:hAnsi="Times New Roman" w:eastAsia="Times New Roman"/>
        <w:b/>
        <w:bCs/>
        <w:spacing w:val="-6"/>
        <w:w w:val="99"/>
        <w:sz w:val="24"/>
        <w:szCs w:val="24"/>
      </w:rPr>
    </w:lvl>
    <w:lvl w:ilvl="4">
      <w:start w:val="1"/>
      <w:numFmt w:val="decimal"/>
      <w:lvlText w:val="%5)"/>
      <w:lvlJc w:val="left"/>
      <w:pPr>
        <w:ind w:left="160" w:hanging="286"/>
        <w:jc w:val="left"/>
      </w:pPr>
      <w:rPr>
        <w:rFonts w:hint="default" w:ascii="Times New Roman" w:hAnsi="Times New Roman" w:eastAsia="Times New Roman"/>
        <w:b/>
        <w:bCs/>
        <w:w w:val="99"/>
        <w:sz w:val="24"/>
        <w:szCs w:val="24"/>
      </w:rPr>
    </w:lvl>
    <w:lvl w:ilvl="5">
      <w:start w:val="1"/>
      <w:numFmt w:val="bullet"/>
      <w:lvlText w:val="•"/>
      <w:lvlJc w:val="left"/>
      <w:pPr>
        <w:ind w:left="4780" w:hanging="286"/>
      </w:pPr>
      <w:rPr>
        <w:rFonts w:hint="default"/>
      </w:rPr>
    </w:lvl>
    <w:lvl w:ilvl="6">
      <w:start w:val="1"/>
      <w:numFmt w:val="bullet"/>
      <w:lvlText w:val="•"/>
      <w:lvlJc w:val="left"/>
      <w:pPr>
        <w:ind w:left="5740" w:hanging="286"/>
      </w:pPr>
      <w:rPr>
        <w:rFonts w:hint="default"/>
      </w:rPr>
    </w:lvl>
    <w:lvl w:ilvl="7">
      <w:start w:val="1"/>
      <w:numFmt w:val="bullet"/>
      <w:lvlText w:val="•"/>
      <w:lvlJc w:val="left"/>
      <w:pPr>
        <w:ind w:left="6700" w:hanging="286"/>
      </w:pPr>
      <w:rPr>
        <w:rFonts w:hint="default"/>
      </w:rPr>
    </w:lvl>
    <w:lvl w:ilvl="8">
      <w:start w:val="1"/>
      <w:numFmt w:val="bullet"/>
      <w:lvlText w:val="•"/>
      <w:lvlJc w:val="left"/>
      <w:pPr>
        <w:ind w:left="7660" w:hanging="286"/>
      </w:pPr>
      <w:rPr>
        <w:rFonts w:hint="default"/>
      </w:rPr>
    </w:lvl>
  </w:abstractNum>
  <w:abstractNum w:abstractNumId="29">
    <w:multiLevelType w:val="hybridMultilevel"/>
    <w:lvl w:ilvl="0">
      <w:start w:val="1"/>
      <w:numFmt w:val="bullet"/>
      <w:lvlText w:val="–"/>
      <w:lvlJc w:val="left"/>
      <w:pPr>
        <w:ind w:left="160" w:hanging="209"/>
      </w:pPr>
      <w:rPr>
        <w:rFonts w:hint="default" w:ascii="Times New Roman" w:hAnsi="Times New Roman" w:eastAsia="Times New Roman"/>
        <w:w w:val="100"/>
        <w:sz w:val="24"/>
        <w:szCs w:val="24"/>
      </w:rPr>
    </w:lvl>
    <w:lvl w:ilvl="1">
      <w:start w:val="1"/>
      <w:numFmt w:val="bullet"/>
      <w:lvlText w:val="•"/>
      <w:lvlJc w:val="left"/>
      <w:pPr>
        <w:ind w:left="1102" w:hanging="209"/>
      </w:pPr>
      <w:rPr>
        <w:rFonts w:hint="default"/>
      </w:rPr>
    </w:lvl>
    <w:lvl w:ilvl="2">
      <w:start w:val="1"/>
      <w:numFmt w:val="bullet"/>
      <w:lvlText w:val="•"/>
      <w:lvlJc w:val="left"/>
      <w:pPr>
        <w:ind w:left="2044" w:hanging="209"/>
      </w:pPr>
      <w:rPr>
        <w:rFonts w:hint="default"/>
      </w:rPr>
    </w:lvl>
    <w:lvl w:ilvl="3">
      <w:start w:val="1"/>
      <w:numFmt w:val="bullet"/>
      <w:lvlText w:val="•"/>
      <w:lvlJc w:val="left"/>
      <w:pPr>
        <w:ind w:left="2986" w:hanging="209"/>
      </w:pPr>
      <w:rPr>
        <w:rFonts w:hint="default"/>
      </w:rPr>
    </w:lvl>
    <w:lvl w:ilvl="4">
      <w:start w:val="1"/>
      <w:numFmt w:val="bullet"/>
      <w:lvlText w:val="•"/>
      <w:lvlJc w:val="left"/>
      <w:pPr>
        <w:ind w:left="3928" w:hanging="209"/>
      </w:pPr>
      <w:rPr>
        <w:rFonts w:hint="default"/>
      </w:rPr>
    </w:lvl>
    <w:lvl w:ilvl="5">
      <w:start w:val="1"/>
      <w:numFmt w:val="bullet"/>
      <w:lvlText w:val="•"/>
      <w:lvlJc w:val="left"/>
      <w:pPr>
        <w:ind w:left="4870" w:hanging="209"/>
      </w:pPr>
      <w:rPr>
        <w:rFonts w:hint="default"/>
      </w:rPr>
    </w:lvl>
    <w:lvl w:ilvl="6">
      <w:start w:val="1"/>
      <w:numFmt w:val="bullet"/>
      <w:lvlText w:val="•"/>
      <w:lvlJc w:val="left"/>
      <w:pPr>
        <w:ind w:left="5812" w:hanging="209"/>
      </w:pPr>
      <w:rPr>
        <w:rFonts w:hint="default"/>
      </w:rPr>
    </w:lvl>
    <w:lvl w:ilvl="7">
      <w:start w:val="1"/>
      <w:numFmt w:val="bullet"/>
      <w:lvlText w:val="•"/>
      <w:lvlJc w:val="left"/>
      <w:pPr>
        <w:ind w:left="6754" w:hanging="209"/>
      </w:pPr>
      <w:rPr>
        <w:rFonts w:hint="default"/>
      </w:rPr>
    </w:lvl>
    <w:lvl w:ilvl="8">
      <w:start w:val="1"/>
      <w:numFmt w:val="bullet"/>
      <w:lvlText w:val="•"/>
      <w:lvlJc w:val="left"/>
      <w:pPr>
        <w:ind w:left="7696" w:hanging="209"/>
      </w:pPr>
      <w:rPr>
        <w:rFonts w:hint="default"/>
      </w:rPr>
    </w:lvl>
  </w:abstractNum>
  <w:abstractNum w:abstractNumId="28">
    <w:multiLevelType w:val="hybridMultilevel"/>
    <w:lvl w:ilvl="0">
      <w:start w:val="8"/>
      <w:numFmt w:val="decimal"/>
      <w:lvlText w:val="%1"/>
      <w:lvlJc w:val="left"/>
      <w:pPr>
        <w:ind w:left="160" w:hanging="627"/>
        <w:jc w:val="left"/>
      </w:pPr>
      <w:rPr>
        <w:rFonts w:hint="default"/>
      </w:rPr>
    </w:lvl>
    <w:lvl w:ilvl="1">
      <w:start w:val="48"/>
      <w:numFmt w:val="decimal"/>
      <w:lvlText w:val="%1.%2"/>
      <w:lvlJc w:val="left"/>
      <w:pPr>
        <w:ind w:left="160" w:hanging="627"/>
        <w:jc w:val="left"/>
      </w:pPr>
      <w:rPr>
        <w:rFonts w:hint="default" w:ascii="Times New Roman" w:hAnsi="Times New Roman" w:eastAsia="Times New Roman"/>
        <w:w w:val="100"/>
        <w:sz w:val="24"/>
        <w:szCs w:val="24"/>
      </w:rPr>
    </w:lvl>
    <w:lvl w:ilvl="2">
      <w:start w:val="1"/>
      <w:numFmt w:val="decimal"/>
      <w:lvlText w:val="%3)"/>
      <w:lvlJc w:val="left"/>
      <w:pPr>
        <w:ind w:left="160" w:hanging="286"/>
        <w:jc w:val="left"/>
      </w:pPr>
      <w:rPr>
        <w:rFonts w:hint="default" w:ascii="Times New Roman" w:hAnsi="Times New Roman" w:eastAsia="Times New Roman"/>
        <w:b/>
        <w:bCs/>
        <w:w w:val="99"/>
        <w:sz w:val="24"/>
        <w:szCs w:val="24"/>
      </w:rPr>
    </w:lvl>
    <w:lvl w:ilvl="3">
      <w:start w:val="1"/>
      <w:numFmt w:val="bullet"/>
      <w:lvlText w:val="•"/>
      <w:lvlJc w:val="left"/>
      <w:pPr>
        <w:ind w:left="3064" w:hanging="286"/>
      </w:pPr>
      <w:rPr>
        <w:rFonts w:hint="default"/>
      </w:rPr>
    </w:lvl>
    <w:lvl w:ilvl="4">
      <w:start w:val="1"/>
      <w:numFmt w:val="bullet"/>
      <w:lvlText w:val="•"/>
      <w:lvlJc w:val="left"/>
      <w:pPr>
        <w:ind w:left="4032" w:hanging="286"/>
      </w:pPr>
      <w:rPr>
        <w:rFonts w:hint="default"/>
      </w:rPr>
    </w:lvl>
    <w:lvl w:ilvl="5">
      <w:start w:val="1"/>
      <w:numFmt w:val="bullet"/>
      <w:lvlText w:val="•"/>
      <w:lvlJc w:val="left"/>
      <w:pPr>
        <w:ind w:left="5000" w:hanging="286"/>
      </w:pPr>
      <w:rPr>
        <w:rFonts w:hint="default"/>
      </w:rPr>
    </w:lvl>
    <w:lvl w:ilvl="6">
      <w:start w:val="1"/>
      <w:numFmt w:val="bullet"/>
      <w:lvlText w:val="•"/>
      <w:lvlJc w:val="left"/>
      <w:pPr>
        <w:ind w:left="5968" w:hanging="286"/>
      </w:pPr>
      <w:rPr>
        <w:rFonts w:hint="default"/>
      </w:rPr>
    </w:lvl>
    <w:lvl w:ilvl="7">
      <w:start w:val="1"/>
      <w:numFmt w:val="bullet"/>
      <w:lvlText w:val="•"/>
      <w:lvlJc w:val="left"/>
      <w:pPr>
        <w:ind w:left="6936" w:hanging="286"/>
      </w:pPr>
      <w:rPr>
        <w:rFonts w:hint="default"/>
      </w:rPr>
    </w:lvl>
    <w:lvl w:ilvl="8">
      <w:start w:val="1"/>
      <w:numFmt w:val="bullet"/>
      <w:lvlText w:val="•"/>
      <w:lvlJc w:val="left"/>
      <w:pPr>
        <w:ind w:left="7904" w:hanging="286"/>
      </w:pPr>
      <w:rPr>
        <w:rFonts w:hint="default"/>
      </w:rPr>
    </w:lvl>
  </w:abstractNum>
  <w:abstractNum w:abstractNumId="27">
    <w:multiLevelType w:val="hybridMultilevel"/>
    <w:lvl w:ilvl="0">
      <w:start w:val="4"/>
      <w:numFmt w:val="decimal"/>
      <w:lvlText w:val="%1"/>
      <w:lvlJc w:val="left"/>
      <w:pPr>
        <w:ind w:left="940" w:hanging="780"/>
        <w:jc w:val="left"/>
      </w:pPr>
      <w:rPr>
        <w:rFonts w:hint="default"/>
      </w:rPr>
    </w:lvl>
    <w:lvl w:ilvl="1">
      <w:start w:val="1"/>
      <w:numFmt w:val="decimal"/>
      <w:lvlText w:val="%1.%2"/>
      <w:lvlJc w:val="left"/>
      <w:pPr>
        <w:ind w:left="940" w:hanging="780"/>
        <w:jc w:val="left"/>
      </w:pPr>
      <w:rPr>
        <w:rFonts w:hint="default"/>
      </w:rPr>
    </w:lvl>
    <w:lvl w:ilvl="2">
      <w:start w:val="4"/>
      <w:numFmt w:val="decimal"/>
      <w:lvlText w:val="%1.%2.%3"/>
      <w:lvlJc w:val="left"/>
      <w:pPr>
        <w:ind w:left="940" w:hanging="780"/>
        <w:jc w:val="left"/>
      </w:pPr>
      <w:rPr>
        <w:rFonts w:hint="default"/>
      </w:rPr>
    </w:lvl>
    <w:lvl w:ilvl="3">
      <w:start w:val="3"/>
      <w:numFmt w:val="decimal"/>
      <w:lvlText w:val="%1.%2.%3.%4"/>
      <w:lvlJc w:val="left"/>
      <w:pPr>
        <w:ind w:left="940" w:hanging="780"/>
        <w:jc w:val="left"/>
      </w:pPr>
      <w:rPr>
        <w:rFonts w:hint="default" w:ascii="Times New Roman" w:hAnsi="Times New Roman" w:eastAsia="Times New Roman"/>
        <w:b/>
        <w:bCs/>
        <w:spacing w:val="-3"/>
        <w:w w:val="99"/>
        <w:sz w:val="24"/>
        <w:szCs w:val="24"/>
      </w:rPr>
    </w:lvl>
    <w:lvl w:ilvl="4">
      <w:start w:val="1"/>
      <w:numFmt w:val="decimal"/>
      <w:lvlText w:val="%5)"/>
      <w:lvlJc w:val="left"/>
      <w:pPr>
        <w:ind w:left="160" w:hanging="276"/>
        <w:jc w:val="left"/>
      </w:pPr>
      <w:rPr>
        <w:rFonts w:hint="default" w:ascii="Times New Roman" w:hAnsi="Times New Roman" w:eastAsia="Times New Roman"/>
        <w:b/>
        <w:bCs/>
        <w:w w:val="99"/>
        <w:sz w:val="24"/>
        <w:szCs w:val="24"/>
      </w:rPr>
    </w:lvl>
    <w:lvl w:ilvl="5">
      <w:start w:val="1"/>
      <w:numFmt w:val="bullet"/>
      <w:lvlText w:val="•"/>
      <w:lvlJc w:val="left"/>
      <w:pPr>
        <w:ind w:left="3564" w:hanging="276"/>
      </w:pPr>
      <w:rPr>
        <w:rFonts w:hint="default"/>
      </w:rPr>
    </w:lvl>
    <w:lvl w:ilvl="6">
      <w:start w:val="1"/>
      <w:numFmt w:val="bullet"/>
      <w:lvlText w:val="•"/>
      <w:lvlJc w:val="left"/>
      <w:pPr>
        <w:ind w:left="4220" w:hanging="276"/>
      </w:pPr>
      <w:rPr>
        <w:rFonts w:hint="default"/>
      </w:rPr>
    </w:lvl>
    <w:lvl w:ilvl="7">
      <w:start w:val="1"/>
      <w:numFmt w:val="bullet"/>
      <w:lvlText w:val="•"/>
      <w:lvlJc w:val="left"/>
      <w:pPr>
        <w:ind w:left="4876" w:hanging="276"/>
      </w:pPr>
      <w:rPr>
        <w:rFonts w:hint="default"/>
      </w:rPr>
    </w:lvl>
    <w:lvl w:ilvl="8">
      <w:start w:val="1"/>
      <w:numFmt w:val="bullet"/>
      <w:lvlText w:val="•"/>
      <w:lvlJc w:val="left"/>
      <w:pPr>
        <w:ind w:left="5532" w:hanging="276"/>
      </w:pPr>
      <w:rPr>
        <w:rFonts w:hint="default"/>
      </w:rPr>
    </w:lvl>
  </w:abstractNum>
  <w:abstractNum w:abstractNumId="26">
    <w:multiLevelType w:val="hybridMultilevel"/>
    <w:lvl w:ilvl="0">
      <w:start w:val="7"/>
      <w:numFmt w:val="decimal"/>
      <w:lvlText w:val="%1)"/>
      <w:lvlJc w:val="left"/>
      <w:pPr>
        <w:ind w:left="160" w:hanging="288"/>
        <w:jc w:val="left"/>
      </w:pPr>
      <w:rPr>
        <w:rFonts w:hint="default" w:ascii="Times New Roman" w:hAnsi="Times New Roman" w:eastAsia="Times New Roman"/>
        <w:b/>
        <w:bCs/>
        <w:w w:val="99"/>
        <w:sz w:val="24"/>
        <w:szCs w:val="24"/>
      </w:rPr>
    </w:lvl>
    <w:lvl w:ilvl="1">
      <w:start w:val="1"/>
      <w:numFmt w:val="bullet"/>
      <w:lvlText w:val="•"/>
      <w:lvlJc w:val="left"/>
      <w:pPr>
        <w:ind w:left="1102" w:hanging="288"/>
      </w:pPr>
      <w:rPr>
        <w:rFonts w:hint="default"/>
      </w:rPr>
    </w:lvl>
    <w:lvl w:ilvl="2">
      <w:start w:val="1"/>
      <w:numFmt w:val="bullet"/>
      <w:lvlText w:val="•"/>
      <w:lvlJc w:val="left"/>
      <w:pPr>
        <w:ind w:left="2044" w:hanging="288"/>
      </w:pPr>
      <w:rPr>
        <w:rFonts w:hint="default"/>
      </w:rPr>
    </w:lvl>
    <w:lvl w:ilvl="3">
      <w:start w:val="1"/>
      <w:numFmt w:val="bullet"/>
      <w:lvlText w:val="•"/>
      <w:lvlJc w:val="left"/>
      <w:pPr>
        <w:ind w:left="2986" w:hanging="288"/>
      </w:pPr>
      <w:rPr>
        <w:rFonts w:hint="default"/>
      </w:rPr>
    </w:lvl>
    <w:lvl w:ilvl="4">
      <w:start w:val="1"/>
      <w:numFmt w:val="bullet"/>
      <w:lvlText w:val="•"/>
      <w:lvlJc w:val="left"/>
      <w:pPr>
        <w:ind w:left="3928" w:hanging="288"/>
      </w:pPr>
      <w:rPr>
        <w:rFonts w:hint="default"/>
      </w:rPr>
    </w:lvl>
    <w:lvl w:ilvl="5">
      <w:start w:val="1"/>
      <w:numFmt w:val="bullet"/>
      <w:lvlText w:val="•"/>
      <w:lvlJc w:val="left"/>
      <w:pPr>
        <w:ind w:left="4870" w:hanging="288"/>
      </w:pPr>
      <w:rPr>
        <w:rFonts w:hint="default"/>
      </w:rPr>
    </w:lvl>
    <w:lvl w:ilvl="6">
      <w:start w:val="1"/>
      <w:numFmt w:val="bullet"/>
      <w:lvlText w:val="•"/>
      <w:lvlJc w:val="left"/>
      <w:pPr>
        <w:ind w:left="5812" w:hanging="288"/>
      </w:pPr>
      <w:rPr>
        <w:rFonts w:hint="default"/>
      </w:rPr>
    </w:lvl>
    <w:lvl w:ilvl="7">
      <w:start w:val="1"/>
      <w:numFmt w:val="bullet"/>
      <w:lvlText w:val="•"/>
      <w:lvlJc w:val="left"/>
      <w:pPr>
        <w:ind w:left="6754" w:hanging="288"/>
      </w:pPr>
      <w:rPr>
        <w:rFonts w:hint="default"/>
      </w:rPr>
    </w:lvl>
    <w:lvl w:ilvl="8">
      <w:start w:val="1"/>
      <w:numFmt w:val="bullet"/>
      <w:lvlText w:val="•"/>
      <w:lvlJc w:val="left"/>
      <w:pPr>
        <w:ind w:left="7696" w:hanging="288"/>
      </w:pPr>
      <w:rPr>
        <w:rFonts w:hint="default"/>
      </w:rPr>
    </w:lvl>
  </w:abstractNum>
  <w:abstractNum w:abstractNumId="25">
    <w:multiLevelType w:val="hybridMultilevel"/>
    <w:lvl w:ilvl="0">
      <w:start w:val="1"/>
      <w:numFmt w:val="bullet"/>
      <w:lvlText w:val="-"/>
      <w:lvlJc w:val="left"/>
      <w:pPr>
        <w:ind w:left="160" w:hanging="190"/>
      </w:pPr>
      <w:rPr>
        <w:rFonts w:hint="default" w:ascii="Times New Roman" w:hAnsi="Times New Roman" w:eastAsia="Times New Roman"/>
        <w:spacing w:val="-11"/>
        <w:w w:val="99"/>
        <w:sz w:val="24"/>
        <w:szCs w:val="24"/>
      </w:rPr>
    </w:lvl>
    <w:lvl w:ilvl="1">
      <w:start w:val="1"/>
      <w:numFmt w:val="bullet"/>
      <w:lvlText w:val="•"/>
      <w:lvlJc w:val="left"/>
      <w:pPr>
        <w:ind w:left="1102" w:hanging="190"/>
      </w:pPr>
      <w:rPr>
        <w:rFonts w:hint="default"/>
      </w:rPr>
    </w:lvl>
    <w:lvl w:ilvl="2">
      <w:start w:val="1"/>
      <w:numFmt w:val="bullet"/>
      <w:lvlText w:val="•"/>
      <w:lvlJc w:val="left"/>
      <w:pPr>
        <w:ind w:left="2044" w:hanging="190"/>
      </w:pPr>
      <w:rPr>
        <w:rFonts w:hint="default"/>
      </w:rPr>
    </w:lvl>
    <w:lvl w:ilvl="3">
      <w:start w:val="1"/>
      <w:numFmt w:val="bullet"/>
      <w:lvlText w:val="•"/>
      <w:lvlJc w:val="left"/>
      <w:pPr>
        <w:ind w:left="2986" w:hanging="190"/>
      </w:pPr>
      <w:rPr>
        <w:rFonts w:hint="default"/>
      </w:rPr>
    </w:lvl>
    <w:lvl w:ilvl="4">
      <w:start w:val="1"/>
      <w:numFmt w:val="bullet"/>
      <w:lvlText w:val="•"/>
      <w:lvlJc w:val="left"/>
      <w:pPr>
        <w:ind w:left="3928" w:hanging="190"/>
      </w:pPr>
      <w:rPr>
        <w:rFonts w:hint="default"/>
      </w:rPr>
    </w:lvl>
    <w:lvl w:ilvl="5">
      <w:start w:val="1"/>
      <w:numFmt w:val="bullet"/>
      <w:lvlText w:val="•"/>
      <w:lvlJc w:val="left"/>
      <w:pPr>
        <w:ind w:left="4870" w:hanging="190"/>
      </w:pPr>
      <w:rPr>
        <w:rFonts w:hint="default"/>
      </w:rPr>
    </w:lvl>
    <w:lvl w:ilvl="6">
      <w:start w:val="1"/>
      <w:numFmt w:val="bullet"/>
      <w:lvlText w:val="•"/>
      <w:lvlJc w:val="left"/>
      <w:pPr>
        <w:ind w:left="5812" w:hanging="190"/>
      </w:pPr>
      <w:rPr>
        <w:rFonts w:hint="default"/>
      </w:rPr>
    </w:lvl>
    <w:lvl w:ilvl="7">
      <w:start w:val="1"/>
      <w:numFmt w:val="bullet"/>
      <w:lvlText w:val="•"/>
      <w:lvlJc w:val="left"/>
      <w:pPr>
        <w:ind w:left="6754" w:hanging="190"/>
      </w:pPr>
      <w:rPr>
        <w:rFonts w:hint="default"/>
      </w:rPr>
    </w:lvl>
    <w:lvl w:ilvl="8">
      <w:start w:val="1"/>
      <w:numFmt w:val="bullet"/>
      <w:lvlText w:val="•"/>
      <w:lvlJc w:val="left"/>
      <w:pPr>
        <w:ind w:left="7696" w:hanging="190"/>
      </w:pPr>
      <w:rPr>
        <w:rFonts w:hint="default"/>
      </w:rPr>
    </w:lvl>
  </w:abstractNum>
  <w:abstractNum w:abstractNumId="24">
    <w:multiLevelType w:val="hybridMultilevel"/>
    <w:lvl w:ilvl="0">
      <w:start w:val="4"/>
      <w:numFmt w:val="decimal"/>
      <w:lvlText w:val="%1"/>
      <w:lvlJc w:val="left"/>
      <w:pPr>
        <w:ind w:left="726" w:hanging="567"/>
        <w:jc w:val="left"/>
      </w:pPr>
      <w:rPr>
        <w:rFonts w:hint="default"/>
      </w:rPr>
    </w:lvl>
    <w:lvl w:ilvl="1">
      <w:start w:val="1"/>
      <w:numFmt w:val="decimal"/>
      <w:lvlText w:val="%1.%2"/>
      <w:lvlJc w:val="left"/>
      <w:pPr>
        <w:ind w:left="726" w:hanging="567"/>
        <w:jc w:val="left"/>
      </w:pPr>
      <w:rPr>
        <w:rFonts w:hint="default"/>
      </w:rPr>
    </w:lvl>
    <w:lvl w:ilvl="2">
      <w:start w:val="4"/>
      <w:numFmt w:val="decimal"/>
      <w:lvlText w:val="%1.%2.%3"/>
      <w:lvlJc w:val="left"/>
      <w:pPr>
        <w:ind w:left="726" w:hanging="567"/>
        <w:jc w:val="left"/>
      </w:pPr>
      <w:rPr>
        <w:rFonts w:hint="default" w:ascii="Times New Roman" w:hAnsi="Times New Roman" w:eastAsia="Times New Roman"/>
        <w:b/>
        <w:bCs/>
        <w:w w:val="100"/>
        <w:sz w:val="24"/>
        <w:szCs w:val="24"/>
      </w:rPr>
    </w:lvl>
    <w:lvl w:ilvl="3">
      <w:start w:val="1"/>
      <w:numFmt w:val="decimal"/>
      <w:lvlText w:val="%1.%2.%3.%4"/>
      <w:lvlJc w:val="left"/>
      <w:pPr>
        <w:ind w:left="940" w:hanging="780"/>
        <w:jc w:val="left"/>
      </w:pPr>
      <w:rPr>
        <w:rFonts w:hint="default" w:ascii="Times New Roman" w:hAnsi="Times New Roman" w:eastAsia="Times New Roman"/>
        <w:b/>
        <w:bCs/>
        <w:spacing w:val="-3"/>
        <w:w w:val="99"/>
        <w:sz w:val="24"/>
        <w:szCs w:val="24"/>
      </w:rPr>
    </w:lvl>
    <w:lvl w:ilvl="4">
      <w:start w:val="1"/>
      <w:numFmt w:val="decimal"/>
      <w:lvlText w:val="%5)"/>
      <w:lvlJc w:val="left"/>
      <w:pPr>
        <w:ind w:left="160" w:hanging="284"/>
        <w:jc w:val="right"/>
      </w:pPr>
      <w:rPr>
        <w:rFonts w:hint="default" w:ascii="Times New Roman" w:hAnsi="Times New Roman" w:eastAsia="Times New Roman"/>
        <w:b/>
        <w:bCs/>
        <w:w w:val="99"/>
        <w:sz w:val="24"/>
        <w:szCs w:val="24"/>
      </w:rPr>
    </w:lvl>
    <w:lvl w:ilvl="5">
      <w:start w:val="1"/>
      <w:numFmt w:val="bullet"/>
      <w:lvlText w:val="•"/>
      <w:lvlJc w:val="left"/>
      <w:pPr>
        <w:ind w:left="4180" w:hanging="284"/>
      </w:pPr>
      <w:rPr>
        <w:rFonts w:hint="default"/>
      </w:rPr>
    </w:lvl>
    <w:lvl w:ilvl="6">
      <w:start w:val="1"/>
      <w:numFmt w:val="bullet"/>
      <w:lvlText w:val="•"/>
      <w:lvlJc w:val="left"/>
      <w:pPr>
        <w:ind w:left="5260" w:hanging="284"/>
      </w:pPr>
      <w:rPr>
        <w:rFonts w:hint="default"/>
      </w:rPr>
    </w:lvl>
    <w:lvl w:ilvl="7">
      <w:start w:val="1"/>
      <w:numFmt w:val="bullet"/>
      <w:lvlText w:val="•"/>
      <w:lvlJc w:val="left"/>
      <w:pPr>
        <w:ind w:left="6340" w:hanging="284"/>
      </w:pPr>
      <w:rPr>
        <w:rFonts w:hint="default"/>
      </w:rPr>
    </w:lvl>
    <w:lvl w:ilvl="8">
      <w:start w:val="1"/>
      <w:numFmt w:val="bullet"/>
      <w:lvlText w:val="•"/>
      <w:lvlJc w:val="left"/>
      <w:pPr>
        <w:ind w:left="7420" w:hanging="284"/>
      </w:pPr>
      <w:rPr>
        <w:rFonts w:hint="default"/>
      </w:rPr>
    </w:lvl>
  </w:abstractNum>
  <w:abstractNum w:abstractNumId="23">
    <w:multiLevelType w:val="hybridMultilevel"/>
    <w:lvl w:ilvl="0">
      <w:start w:val="1"/>
      <w:numFmt w:val="bullet"/>
      <w:lvlText w:val="-"/>
      <w:lvlJc w:val="left"/>
      <w:pPr>
        <w:ind w:left="160" w:hanging="207"/>
      </w:pPr>
      <w:rPr>
        <w:rFonts w:hint="default" w:ascii="Times New Roman" w:hAnsi="Times New Roman" w:eastAsia="Times New Roman"/>
        <w:spacing w:val="-5"/>
        <w:w w:val="99"/>
        <w:sz w:val="24"/>
        <w:szCs w:val="24"/>
      </w:rPr>
    </w:lvl>
    <w:lvl w:ilvl="1">
      <w:start w:val="1"/>
      <w:numFmt w:val="bullet"/>
      <w:lvlText w:val="•"/>
      <w:lvlJc w:val="left"/>
      <w:pPr>
        <w:ind w:left="1102" w:hanging="207"/>
      </w:pPr>
      <w:rPr>
        <w:rFonts w:hint="default"/>
      </w:rPr>
    </w:lvl>
    <w:lvl w:ilvl="2">
      <w:start w:val="1"/>
      <w:numFmt w:val="bullet"/>
      <w:lvlText w:val="•"/>
      <w:lvlJc w:val="left"/>
      <w:pPr>
        <w:ind w:left="2044" w:hanging="207"/>
      </w:pPr>
      <w:rPr>
        <w:rFonts w:hint="default"/>
      </w:rPr>
    </w:lvl>
    <w:lvl w:ilvl="3">
      <w:start w:val="1"/>
      <w:numFmt w:val="bullet"/>
      <w:lvlText w:val="•"/>
      <w:lvlJc w:val="left"/>
      <w:pPr>
        <w:ind w:left="2986" w:hanging="207"/>
      </w:pPr>
      <w:rPr>
        <w:rFonts w:hint="default"/>
      </w:rPr>
    </w:lvl>
    <w:lvl w:ilvl="4">
      <w:start w:val="1"/>
      <w:numFmt w:val="bullet"/>
      <w:lvlText w:val="•"/>
      <w:lvlJc w:val="left"/>
      <w:pPr>
        <w:ind w:left="3928" w:hanging="207"/>
      </w:pPr>
      <w:rPr>
        <w:rFonts w:hint="default"/>
      </w:rPr>
    </w:lvl>
    <w:lvl w:ilvl="5">
      <w:start w:val="1"/>
      <w:numFmt w:val="bullet"/>
      <w:lvlText w:val="•"/>
      <w:lvlJc w:val="left"/>
      <w:pPr>
        <w:ind w:left="4870" w:hanging="207"/>
      </w:pPr>
      <w:rPr>
        <w:rFonts w:hint="default"/>
      </w:rPr>
    </w:lvl>
    <w:lvl w:ilvl="6">
      <w:start w:val="1"/>
      <w:numFmt w:val="bullet"/>
      <w:lvlText w:val="•"/>
      <w:lvlJc w:val="left"/>
      <w:pPr>
        <w:ind w:left="5812" w:hanging="207"/>
      </w:pPr>
      <w:rPr>
        <w:rFonts w:hint="default"/>
      </w:rPr>
    </w:lvl>
    <w:lvl w:ilvl="7">
      <w:start w:val="1"/>
      <w:numFmt w:val="bullet"/>
      <w:lvlText w:val="•"/>
      <w:lvlJc w:val="left"/>
      <w:pPr>
        <w:ind w:left="6754" w:hanging="207"/>
      </w:pPr>
      <w:rPr>
        <w:rFonts w:hint="default"/>
      </w:rPr>
    </w:lvl>
    <w:lvl w:ilvl="8">
      <w:start w:val="1"/>
      <w:numFmt w:val="bullet"/>
      <w:lvlText w:val="•"/>
      <w:lvlJc w:val="left"/>
      <w:pPr>
        <w:ind w:left="7696" w:hanging="207"/>
      </w:pPr>
      <w:rPr>
        <w:rFonts w:hint="default"/>
      </w:rPr>
    </w:lvl>
  </w:abstractNum>
  <w:abstractNum w:abstractNumId="22">
    <w:multiLevelType w:val="hybridMultilevel"/>
    <w:lvl w:ilvl="0">
      <w:start w:val="34"/>
      <w:numFmt w:val="decimal"/>
      <w:lvlText w:val="%1"/>
      <w:lvlJc w:val="left"/>
      <w:pPr>
        <w:ind w:left="160" w:hanging="756"/>
        <w:jc w:val="left"/>
      </w:pPr>
      <w:rPr>
        <w:rFonts w:hint="default"/>
      </w:rPr>
    </w:lvl>
    <w:lvl w:ilvl="1">
      <w:start w:val="260"/>
      <w:numFmt w:val="decimal"/>
      <w:lvlText w:val="%1.%2"/>
      <w:lvlJc w:val="left"/>
      <w:pPr>
        <w:ind w:left="160" w:hanging="756"/>
        <w:jc w:val="left"/>
      </w:pPr>
      <w:rPr>
        <w:rFonts w:hint="default" w:ascii="Times New Roman" w:hAnsi="Times New Roman" w:eastAsia="Times New Roman"/>
        <w:spacing w:val="-30"/>
        <w:w w:val="99"/>
        <w:sz w:val="24"/>
        <w:szCs w:val="24"/>
      </w:rPr>
    </w:lvl>
    <w:lvl w:ilvl="2">
      <w:start w:val="1"/>
      <w:numFmt w:val="bullet"/>
      <w:lvlText w:val="-"/>
      <w:lvlJc w:val="left"/>
      <w:pPr>
        <w:ind w:left="160" w:hanging="375"/>
      </w:pPr>
      <w:rPr>
        <w:rFonts w:hint="default" w:ascii="Times New Roman" w:hAnsi="Times New Roman" w:eastAsia="Times New Roman"/>
        <w:spacing w:val="-25"/>
        <w:w w:val="99"/>
        <w:sz w:val="24"/>
        <w:szCs w:val="24"/>
      </w:rPr>
    </w:lvl>
    <w:lvl w:ilvl="3">
      <w:start w:val="1"/>
      <w:numFmt w:val="bullet"/>
      <w:lvlText w:val="•"/>
      <w:lvlJc w:val="left"/>
      <w:pPr>
        <w:ind w:left="2986" w:hanging="375"/>
      </w:pPr>
      <w:rPr>
        <w:rFonts w:hint="default"/>
      </w:rPr>
    </w:lvl>
    <w:lvl w:ilvl="4">
      <w:start w:val="1"/>
      <w:numFmt w:val="bullet"/>
      <w:lvlText w:val="•"/>
      <w:lvlJc w:val="left"/>
      <w:pPr>
        <w:ind w:left="3928" w:hanging="375"/>
      </w:pPr>
      <w:rPr>
        <w:rFonts w:hint="default"/>
      </w:rPr>
    </w:lvl>
    <w:lvl w:ilvl="5">
      <w:start w:val="1"/>
      <w:numFmt w:val="bullet"/>
      <w:lvlText w:val="•"/>
      <w:lvlJc w:val="left"/>
      <w:pPr>
        <w:ind w:left="4870" w:hanging="375"/>
      </w:pPr>
      <w:rPr>
        <w:rFonts w:hint="default"/>
      </w:rPr>
    </w:lvl>
    <w:lvl w:ilvl="6">
      <w:start w:val="1"/>
      <w:numFmt w:val="bullet"/>
      <w:lvlText w:val="•"/>
      <w:lvlJc w:val="left"/>
      <w:pPr>
        <w:ind w:left="5812" w:hanging="375"/>
      </w:pPr>
      <w:rPr>
        <w:rFonts w:hint="default"/>
      </w:rPr>
    </w:lvl>
    <w:lvl w:ilvl="7">
      <w:start w:val="1"/>
      <w:numFmt w:val="bullet"/>
      <w:lvlText w:val="•"/>
      <w:lvlJc w:val="left"/>
      <w:pPr>
        <w:ind w:left="6754" w:hanging="375"/>
      </w:pPr>
      <w:rPr>
        <w:rFonts w:hint="default"/>
      </w:rPr>
    </w:lvl>
    <w:lvl w:ilvl="8">
      <w:start w:val="1"/>
      <w:numFmt w:val="bullet"/>
      <w:lvlText w:val="•"/>
      <w:lvlJc w:val="left"/>
      <w:pPr>
        <w:ind w:left="7696" w:hanging="375"/>
      </w:pPr>
      <w:rPr>
        <w:rFonts w:hint="default"/>
      </w:rPr>
    </w:lvl>
  </w:abstractNum>
  <w:abstractNum w:abstractNumId="21">
    <w:multiLevelType w:val="hybridMultilevel"/>
    <w:lvl w:ilvl="0">
      <w:start w:val="1"/>
      <w:numFmt w:val="decimal"/>
      <w:lvlText w:val="%1."/>
      <w:lvlJc w:val="left"/>
      <w:pPr>
        <w:ind w:left="160" w:hanging="286"/>
        <w:jc w:val="left"/>
      </w:pPr>
      <w:rPr>
        <w:rFonts w:hint="default" w:ascii="Times New Roman" w:hAnsi="Times New Roman" w:eastAsia="Times New Roman"/>
        <w:b/>
        <w:bCs/>
        <w:spacing w:val="-25"/>
        <w:w w:val="99"/>
        <w:sz w:val="24"/>
        <w:szCs w:val="24"/>
      </w:rPr>
    </w:lvl>
    <w:lvl w:ilvl="1">
      <w:start w:val="1"/>
      <w:numFmt w:val="bullet"/>
      <w:lvlText w:val="•"/>
      <w:lvlJc w:val="left"/>
      <w:pPr>
        <w:ind w:left="1102" w:hanging="286"/>
      </w:pPr>
      <w:rPr>
        <w:rFonts w:hint="default"/>
      </w:rPr>
    </w:lvl>
    <w:lvl w:ilvl="2">
      <w:start w:val="1"/>
      <w:numFmt w:val="bullet"/>
      <w:lvlText w:val="•"/>
      <w:lvlJc w:val="left"/>
      <w:pPr>
        <w:ind w:left="2044" w:hanging="286"/>
      </w:pPr>
      <w:rPr>
        <w:rFonts w:hint="default"/>
      </w:rPr>
    </w:lvl>
    <w:lvl w:ilvl="3">
      <w:start w:val="1"/>
      <w:numFmt w:val="bullet"/>
      <w:lvlText w:val="•"/>
      <w:lvlJc w:val="left"/>
      <w:pPr>
        <w:ind w:left="2986" w:hanging="286"/>
      </w:pPr>
      <w:rPr>
        <w:rFonts w:hint="default"/>
      </w:rPr>
    </w:lvl>
    <w:lvl w:ilvl="4">
      <w:start w:val="1"/>
      <w:numFmt w:val="bullet"/>
      <w:lvlText w:val="•"/>
      <w:lvlJc w:val="left"/>
      <w:pPr>
        <w:ind w:left="3928" w:hanging="286"/>
      </w:pPr>
      <w:rPr>
        <w:rFonts w:hint="default"/>
      </w:rPr>
    </w:lvl>
    <w:lvl w:ilvl="5">
      <w:start w:val="1"/>
      <w:numFmt w:val="bullet"/>
      <w:lvlText w:val="•"/>
      <w:lvlJc w:val="left"/>
      <w:pPr>
        <w:ind w:left="4870" w:hanging="286"/>
      </w:pPr>
      <w:rPr>
        <w:rFonts w:hint="default"/>
      </w:rPr>
    </w:lvl>
    <w:lvl w:ilvl="6">
      <w:start w:val="1"/>
      <w:numFmt w:val="bullet"/>
      <w:lvlText w:val="•"/>
      <w:lvlJc w:val="left"/>
      <w:pPr>
        <w:ind w:left="5812" w:hanging="286"/>
      </w:pPr>
      <w:rPr>
        <w:rFonts w:hint="default"/>
      </w:rPr>
    </w:lvl>
    <w:lvl w:ilvl="7">
      <w:start w:val="1"/>
      <w:numFmt w:val="bullet"/>
      <w:lvlText w:val="•"/>
      <w:lvlJc w:val="left"/>
      <w:pPr>
        <w:ind w:left="6754" w:hanging="286"/>
      </w:pPr>
      <w:rPr>
        <w:rFonts w:hint="default"/>
      </w:rPr>
    </w:lvl>
    <w:lvl w:ilvl="8">
      <w:start w:val="1"/>
      <w:numFmt w:val="bullet"/>
      <w:lvlText w:val="•"/>
      <w:lvlJc w:val="left"/>
      <w:pPr>
        <w:ind w:left="7696" w:hanging="286"/>
      </w:pPr>
      <w:rPr>
        <w:rFonts w:hint="default"/>
      </w:rPr>
    </w:lvl>
  </w:abstractNum>
  <w:abstractNum w:abstractNumId="20">
    <w:multiLevelType w:val="hybridMultilevel"/>
    <w:lvl w:ilvl="0">
      <w:start w:val="4"/>
      <w:numFmt w:val="decimal"/>
      <w:lvlText w:val="%1"/>
      <w:lvlJc w:val="left"/>
      <w:pPr>
        <w:ind w:left="700" w:hanging="540"/>
        <w:jc w:val="left"/>
      </w:pPr>
      <w:rPr>
        <w:rFonts w:hint="default"/>
      </w:rPr>
    </w:lvl>
    <w:lvl w:ilvl="1">
      <w:start w:val="1"/>
      <w:numFmt w:val="decimal"/>
      <w:lvlText w:val="%1.%2"/>
      <w:lvlJc w:val="left"/>
      <w:pPr>
        <w:ind w:left="700" w:hanging="540"/>
        <w:jc w:val="left"/>
      </w:pPr>
      <w:rPr>
        <w:rFonts w:hint="default"/>
      </w:rPr>
    </w:lvl>
    <w:lvl w:ilvl="2">
      <w:start w:val="2"/>
      <w:numFmt w:val="decimal"/>
      <w:lvlText w:val="%1.%2.%3"/>
      <w:lvlJc w:val="left"/>
      <w:pPr>
        <w:ind w:left="700" w:hanging="540"/>
        <w:jc w:val="left"/>
      </w:pPr>
      <w:rPr>
        <w:rFonts w:hint="default" w:ascii="Times New Roman" w:hAnsi="Times New Roman" w:eastAsia="Times New Roman"/>
        <w:b/>
        <w:bCs/>
        <w:w w:val="100"/>
        <w:sz w:val="24"/>
        <w:szCs w:val="24"/>
      </w:rPr>
    </w:lvl>
    <w:lvl w:ilvl="3">
      <w:start w:val="1"/>
      <w:numFmt w:val="decimal"/>
      <w:lvlText w:val="%4)"/>
      <w:lvlJc w:val="left"/>
      <w:pPr>
        <w:ind w:left="160" w:hanging="286"/>
        <w:jc w:val="left"/>
      </w:pPr>
      <w:rPr>
        <w:rFonts w:hint="default" w:ascii="Times New Roman" w:hAnsi="Times New Roman" w:eastAsia="Times New Roman"/>
        <w:b/>
        <w:bCs/>
        <w:w w:val="99"/>
        <w:sz w:val="24"/>
        <w:szCs w:val="24"/>
      </w:rPr>
    </w:lvl>
    <w:lvl w:ilvl="4">
      <w:start w:val="1"/>
      <w:numFmt w:val="bullet"/>
      <w:lvlText w:val="•"/>
      <w:lvlJc w:val="left"/>
      <w:pPr>
        <w:ind w:left="3713" w:hanging="286"/>
      </w:pPr>
      <w:rPr>
        <w:rFonts w:hint="default"/>
      </w:rPr>
    </w:lvl>
    <w:lvl w:ilvl="5">
      <w:start w:val="1"/>
      <w:numFmt w:val="bullet"/>
      <w:lvlText w:val="•"/>
      <w:lvlJc w:val="left"/>
      <w:pPr>
        <w:ind w:left="4717" w:hanging="286"/>
      </w:pPr>
      <w:rPr>
        <w:rFonts w:hint="default"/>
      </w:rPr>
    </w:lvl>
    <w:lvl w:ilvl="6">
      <w:start w:val="1"/>
      <w:numFmt w:val="bullet"/>
      <w:lvlText w:val="•"/>
      <w:lvlJc w:val="left"/>
      <w:pPr>
        <w:ind w:left="5722" w:hanging="286"/>
      </w:pPr>
      <w:rPr>
        <w:rFonts w:hint="default"/>
      </w:rPr>
    </w:lvl>
    <w:lvl w:ilvl="7">
      <w:start w:val="1"/>
      <w:numFmt w:val="bullet"/>
      <w:lvlText w:val="•"/>
      <w:lvlJc w:val="left"/>
      <w:pPr>
        <w:ind w:left="6726" w:hanging="286"/>
      </w:pPr>
      <w:rPr>
        <w:rFonts w:hint="default"/>
      </w:rPr>
    </w:lvl>
    <w:lvl w:ilvl="8">
      <w:start w:val="1"/>
      <w:numFmt w:val="bullet"/>
      <w:lvlText w:val="•"/>
      <w:lvlJc w:val="left"/>
      <w:pPr>
        <w:ind w:left="7731" w:hanging="286"/>
      </w:pPr>
      <w:rPr>
        <w:rFonts w:hint="default"/>
      </w:rPr>
    </w:lvl>
  </w:abstractNum>
  <w:abstractNum w:abstractNumId="19">
    <w:multiLevelType w:val="hybridMultilevel"/>
    <w:lvl w:ilvl="0">
      <w:start w:val="2"/>
      <w:numFmt w:val="decimal"/>
      <w:lvlText w:val="%1."/>
      <w:lvlJc w:val="left"/>
      <w:pPr>
        <w:ind w:left="736" w:hanging="576"/>
        <w:jc w:val="left"/>
      </w:pPr>
      <w:rPr>
        <w:rFonts w:hint="default" w:ascii="Times New Roman" w:hAnsi="Times New Roman" w:eastAsia="Times New Roman"/>
        <w:b/>
        <w:bCs/>
        <w:spacing w:val="-25"/>
        <w:w w:val="99"/>
        <w:sz w:val="24"/>
        <w:szCs w:val="24"/>
      </w:rPr>
    </w:lvl>
    <w:lvl w:ilvl="1">
      <w:start w:val="1"/>
      <w:numFmt w:val="decimal"/>
      <w:lvlText w:val="%2)"/>
      <w:lvlJc w:val="left"/>
      <w:pPr>
        <w:ind w:left="1012" w:hanging="286"/>
        <w:jc w:val="left"/>
      </w:pPr>
      <w:rPr>
        <w:rFonts w:hint="default" w:ascii="Times New Roman" w:hAnsi="Times New Roman" w:eastAsia="Times New Roman"/>
        <w:b/>
        <w:bCs/>
        <w:w w:val="99"/>
        <w:sz w:val="24"/>
        <w:szCs w:val="24"/>
      </w:rPr>
    </w:lvl>
    <w:lvl w:ilvl="2">
      <w:start w:val="1"/>
      <w:numFmt w:val="bullet"/>
      <w:lvlText w:val="•"/>
      <w:lvlJc w:val="left"/>
      <w:pPr>
        <w:ind w:left="1971" w:hanging="286"/>
      </w:pPr>
      <w:rPr>
        <w:rFonts w:hint="default"/>
      </w:rPr>
    </w:lvl>
    <w:lvl w:ilvl="3">
      <w:start w:val="1"/>
      <w:numFmt w:val="bullet"/>
      <w:lvlText w:val="•"/>
      <w:lvlJc w:val="left"/>
      <w:pPr>
        <w:ind w:left="2922" w:hanging="286"/>
      </w:pPr>
      <w:rPr>
        <w:rFonts w:hint="default"/>
      </w:rPr>
    </w:lvl>
    <w:lvl w:ilvl="4">
      <w:start w:val="1"/>
      <w:numFmt w:val="bullet"/>
      <w:lvlText w:val="•"/>
      <w:lvlJc w:val="left"/>
      <w:pPr>
        <w:ind w:left="3873" w:hanging="286"/>
      </w:pPr>
      <w:rPr>
        <w:rFonts w:hint="default"/>
      </w:rPr>
    </w:lvl>
    <w:lvl w:ilvl="5">
      <w:start w:val="1"/>
      <w:numFmt w:val="bullet"/>
      <w:lvlText w:val="•"/>
      <w:lvlJc w:val="left"/>
      <w:pPr>
        <w:ind w:left="4824" w:hanging="286"/>
      </w:pPr>
      <w:rPr>
        <w:rFonts w:hint="default"/>
      </w:rPr>
    </w:lvl>
    <w:lvl w:ilvl="6">
      <w:start w:val="1"/>
      <w:numFmt w:val="bullet"/>
      <w:lvlText w:val="•"/>
      <w:lvlJc w:val="left"/>
      <w:pPr>
        <w:ind w:left="5775" w:hanging="286"/>
      </w:pPr>
      <w:rPr>
        <w:rFonts w:hint="default"/>
      </w:rPr>
    </w:lvl>
    <w:lvl w:ilvl="7">
      <w:start w:val="1"/>
      <w:numFmt w:val="bullet"/>
      <w:lvlText w:val="•"/>
      <w:lvlJc w:val="left"/>
      <w:pPr>
        <w:ind w:left="6726" w:hanging="286"/>
      </w:pPr>
      <w:rPr>
        <w:rFonts w:hint="default"/>
      </w:rPr>
    </w:lvl>
    <w:lvl w:ilvl="8">
      <w:start w:val="1"/>
      <w:numFmt w:val="bullet"/>
      <w:lvlText w:val="•"/>
      <w:lvlJc w:val="left"/>
      <w:pPr>
        <w:ind w:left="7677" w:hanging="286"/>
      </w:pPr>
      <w:rPr>
        <w:rFonts w:hint="default"/>
      </w:rPr>
    </w:lvl>
  </w:abstractNum>
  <w:abstractNum w:abstractNumId="18">
    <w:multiLevelType w:val="hybridMultilevel"/>
    <w:lvl w:ilvl="0">
      <w:start w:val="1"/>
      <w:numFmt w:val="decimal"/>
      <w:lvlText w:val="%1."/>
      <w:lvlJc w:val="left"/>
      <w:pPr>
        <w:ind w:left="160" w:hanging="240"/>
        <w:jc w:val="left"/>
      </w:pPr>
      <w:rPr>
        <w:rFonts w:hint="default" w:ascii="Times New Roman" w:hAnsi="Times New Roman" w:eastAsia="Times New Roman"/>
        <w:spacing w:val="-5"/>
        <w:w w:val="99"/>
        <w:sz w:val="24"/>
        <w:szCs w:val="24"/>
      </w:rPr>
    </w:lvl>
    <w:lvl w:ilvl="1">
      <w:start w:val="1"/>
      <w:numFmt w:val="bullet"/>
      <w:lvlText w:val="•"/>
      <w:lvlJc w:val="left"/>
      <w:pPr>
        <w:ind w:left="1102" w:hanging="240"/>
      </w:pPr>
      <w:rPr>
        <w:rFonts w:hint="default"/>
      </w:rPr>
    </w:lvl>
    <w:lvl w:ilvl="2">
      <w:start w:val="1"/>
      <w:numFmt w:val="bullet"/>
      <w:lvlText w:val="•"/>
      <w:lvlJc w:val="left"/>
      <w:pPr>
        <w:ind w:left="2044" w:hanging="240"/>
      </w:pPr>
      <w:rPr>
        <w:rFonts w:hint="default"/>
      </w:rPr>
    </w:lvl>
    <w:lvl w:ilvl="3">
      <w:start w:val="1"/>
      <w:numFmt w:val="bullet"/>
      <w:lvlText w:val="•"/>
      <w:lvlJc w:val="left"/>
      <w:pPr>
        <w:ind w:left="2986" w:hanging="240"/>
      </w:pPr>
      <w:rPr>
        <w:rFonts w:hint="default"/>
      </w:rPr>
    </w:lvl>
    <w:lvl w:ilvl="4">
      <w:start w:val="1"/>
      <w:numFmt w:val="bullet"/>
      <w:lvlText w:val="•"/>
      <w:lvlJc w:val="left"/>
      <w:pPr>
        <w:ind w:left="3928" w:hanging="240"/>
      </w:pPr>
      <w:rPr>
        <w:rFonts w:hint="default"/>
      </w:rPr>
    </w:lvl>
    <w:lvl w:ilvl="5">
      <w:start w:val="1"/>
      <w:numFmt w:val="bullet"/>
      <w:lvlText w:val="•"/>
      <w:lvlJc w:val="left"/>
      <w:pPr>
        <w:ind w:left="4870" w:hanging="240"/>
      </w:pPr>
      <w:rPr>
        <w:rFonts w:hint="default"/>
      </w:rPr>
    </w:lvl>
    <w:lvl w:ilvl="6">
      <w:start w:val="1"/>
      <w:numFmt w:val="bullet"/>
      <w:lvlText w:val="•"/>
      <w:lvlJc w:val="left"/>
      <w:pPr>
        <w:ind w:left="5812" w:hanging="240"/>
      </w:pPr>
      <w:rPr>
        <w:rFonts w:hint="default"/>
      </w:rPr>
    </w:lvl>
    <w:lvl w:ilvl="7">
      <w:start w:val="1"/>
      <w:numFmt w:val="bullet"/>
      <w:lvlText w:val="•"/>
      <w:lvlJc w:val="left"/>
      <w:pPr>
        <w:ind w:left="6754" w:hanging="240"/>
      </w:pPr>
      <w:rPr>
        <w:rFonts w:hint="default"/>
      </w:rPr>
    </w:lvl>
    <w:lvl w:ilvl="8">
      <w:start w:val="1"/>
      <w:numFmt w:val="bullet"/>
      <w:lvlText w:val="•"/>
      <w:lvlJc w:val="left"/>
      <w:pPr>
        <w:ind w:left="7696" w:hanging="240"/>
      </w:pPr>
      <w:rPr>
        <w:rFonts w:hint="default"/>
      </w:rPr>
    </w:lvl>
  </w:abstractNum>
  <w:abstractNum w:abstractNumId="17">
    <w:multiLevelType w:val="hybridMultilevel"/>
    <w:lvl w:ilvl="0">
      <w:start w:val="1"/>
      <w:numFmt w:val="decimal"/>
      <w:lvlText w:val="%1."/>
      <w:lvlJc w:val="left"/>
      <w:pPr>
        <w:ind w:left="400" w:hanging="240"/>
        <w:jc w:val="left"/>
      </w:pPr>
      <w:rPr>
        <w:rFonts w:hint="default" w:ascii="Times New Roman" w:hAnsi="Times New Roman" w:eastAsia="Times New Roman"/>
        <w:spacing w:val="-8"/>
        <w:w w:val="99"/>
        <w:sz w:val="24"/>
        <w:szCs w:val="24"/>
      </w:rPr>
    </w:lvl>
    <w:lvl w:ilvl="1">
      <w:start w:val="1"/>
      <w:numFmt w:val="bullet"/>
      <w:lvlText w:val="•"/>
      <w:lvlJc w:val="left"/>
      <w:pPr>
        <w:ind w:left="1318" w:hanging="240"/>
      </w:pPr>
      <w:rPr>
        <w:rFonts w:hint="default"/>
      </w:rPr>
    </w:lvl>
    <w:lvl w:ilvl="2">
      <w:start w:val="1"/>
      <w:numFmt w:val="bullet"/>
      <w:lvlText w:val="•"/>
      <w:lvlJc w:val="left"/>
      <w:pPr>
        <w:ind w:left="2236" w:hanging="240"/>
      </w:pPr>
      <w:rPr>
        <w:rFonts w:hint="default"/>
      </w:rPr>
    </w:lvl>
    <w:lvl w:ilvl="3">
      <w:start w:val="1"/>
      <w:numFmt w:val="bullet"/>
      <w:lvlText w:val="•"/>
      <w:lvlJc w:val="left"/>
      <w:pPr>
        <w:ind w:left="3154" w:hanging="240"/>
      </w:pPr>
      <w:rPr>
        <w:rFonts w:hint="default"/>
      </w:rPr>
    </w:lvl>
    <w:lvl w:ilvl="4">
      <w:start w:val="1"/>
      <w:numFmt w:val="bullet"/>
      <w:lvlText w:val="•"/>
      <w:lvlJc w:val="left"/>
      <w:pPr>
        <w:ind w:left="4072" w:hanging="240"/>
      </w:pPr>
      <w:rPr>
        <w:rFonts w:hint="default"/>
      </w:rPr>
    </w:lvl>
    <w:lvl w:ilvl="5">
      <w:start w:val="1"/>
      <w:numFmt w:val="bullet"/>
      <w:lvlText w:val="•"/>
      <w:lvlJc w:val="left"/>
      <w:pPr>
        <w:ind w:left="4990" w:hanging="240"/>
      </w:pPr>
      <w:rPr>
        <w:rFonts w:hint="default"/>
      </w:rPr>
    </w:lvl>
    <w:lvl w:ilvl="6">
      <w:start w:val="1"/>
      <w:numFmt w:val="bullet"/>
      <w:lvlText w:val="•"/>
      <w:lvlJc w:val="left"/>
      <w:pPr>
        <w:ind w:left="5908" w:hanging="240"/>
      </w:pPr>
      <w:rPr>
        <w:rFonts w:hint="default"/>
      </w:rPr>
    </w:lvl>
    <w:lvl w:ilvl="7">
      <w:start w:val="1"/>
      <w:numFmt w:val="bullet"/>
      <w:lvlText w:val="•"/>
      <w:lvlJc w:val="left"/>
      <w:pPr>
        <w:ind w:left="6826" w:hanging="240"/>
      </w:pPr>
      <w:rPr>
        <w:rFonts w:hint="default"/>
      </w:rPr>
    </w:lvl>
    <w:lvl w:ilvl="8">
      <w:start w:val="1"/>
      <w:numFmt w:val="bullet"/>
      <w:lvlText w:val="•"/>
      <w:lvlJc w:val="left"/>
      <w:pPr>
        <w:ind w:left="7744" w:hanging="240"/>
      </w:pPr>
      <w:rPr>
        <w:rFonts w:hint="default"/>
      </w:rPr>
    </w:lvl>
  </w:abstractNum>
  <w:abstractNum w:abstractNumId="16">
    <w:multiLevelType w:val="hybridMultilevel"/>
    <w:lvl w:ilvl="0">
      <w:start w:val="1"/>
      <w:numFmt w:val="decimal"/>
      <w:lvlText w:val="%1."/>
      <w:lvlJc w:val="left"/>
      <w:pPr>
        <w:ind w:left="1012" w:hanging="852"/>
        <w:jc w:val="left"/>
      </w:pPr>
      <w:rPr>
        <w:rFonts w:hint="default" w:ascii="Times New Roman" w:hAnsi="Times New Roman" w:eastAsia="Times New Roman"/>
        <w:spacing w:val="0"/>
        <w:w w:val="99"/>
        <w:sz w:val="20"/>
        <w:szCs w:val="20"/>
      </w:rPr>
    </w:lvl>
    <w:lvl w:ilvl="1">
      <w:start w:val="1"/>
      <w:numFmt w:val="decimal"/>
      <w:lvlText w:val="%1.%2."/>
      <w:lvlJc w:val="left"/>
      <w:pPr>
        <w:ind w:left="1012" w:hanging="852"/>
        <w:jc w:val="left"/>
      </w:pPr>
      <w:rPr>
        <w:rFonts w:hint="default" w:ascii="Times New Roman" w:hAnsi="Times New Roman" w:eastAsia="Times New Roman"/>
        <w:spacing w:val="0"/>
        <w:w w:val="99"/>
        <w:sz w:val="20"/>
        <w:szCs w:val="20"/>
      </w:rPr>
    </w:lvl>
    <w:lvl w:ilvl="2">
      <w:start w:val="1"/>
      <w:numFmt w:val="decimal"/>
      <w:lvlText w:val="%1.%2.%3."/>
      <w:lvlJc w:val="left"/>
      <w:pPr>
        <w:ind w:left="1012" w:hanging="852"/>
        <w:jc w:val="left"/>
      </w:pPr>
      <w:rPr>
        <w:rFonts w:hint="default" w:ascii="Times New Roman" w:hAnsi="Times New Roman" w:eastAsia="Times New Roman"/>
        <w:spacing w:val="0"/>
        <w:w w:val="99"/>
        <w:sz w:val="20"/>
        <w:szCs w:val="20"/>
      </w:rPr>
    </w:lvl>
    <w:lvl w:ilvl="3">
      <w:start w:val="1"/>
      <w:numFmt w:val="decimal"/>
      <w:lvlText w:val="%1.%2.%3.%4."/>
      <w:lvlJc w:val="left"/>
      <w:pPr>
        <w:ind w:left="1062" w:hanging="903"/>
        <w:jc w:val="left"/>
      </w:pPr>
      <w:rPr>
        <w:rFonts w:hint="default" w:ascii="Times New Roman" w:hAnsi="Times New Roman" w:eastAsia="Times New Roman"/>
        <w:spacing w:val="-2"/>
        <w:w w:val="99"/>
        <w:sz w:val="20"/>
        <w:szCs w:val="20"/>
      </w:rPr>
    </w:lvl>
    <w:lvl w:ilvl="4">
      <w:start w:val="1"/>
      <w:numFmt w:val="bullet"/>
      <w:lvlText w:val="•"/>
      <w:lvlJc w:val="left"/>
      <w:pPr>
        <w:ind w:left="3900" w:hanging="903"/>
      </w:pPr>
      <w:rPr>
        <w:rFonts w:hint="default"/>
      </w:rPr>
    </w:lvl>
    <w:lvl w:ilvl="5">
      <w:start w:val="1"/>
      <w:numFmt w:val="bullet"/>
      <w:lvlText w:val="•"/>
      <w:lvlJc w:val="left"/>
      <w:pPr>
        <w:ind w:left="4846" w:hanging="903"/>
      </w:pPr>
      <w:rPr>
        <w:rFonts w:hint="default"/>
      </w:rPr>
    </w:lvl>
    <w:lvl w:ilvl="6">
      <w:start w:val="1"/>
      <w:numFmt w:val="bullet"/>
      <w:lvlText w:val="•"/>
      <w:lvlJc w:val="left"/>
      <w:pPr>
        <w:ind w:left="5793" w:hanging="903"/>
      </w:pPr>
      <w:rPr>
        <w:rFonts w:hint="default"/>
      </w:rPr>
    </w:lvl>
    <w:lvl w:ilvl="7">
      <w:start w:val="1"/>
      <w:numFmt w:val="bullet"/>
      <w:lvlText w:val="•"/>
      <w:lvlJc w:val="left"/>
      <w:pPr>
        <w:ind w:left="6740" w:hanging="903"/>
      </w:pPr>
      <w:rPr>
        <w:rFonts w:hint="default"/>
      </w:rPr>
    </w:lvl>
    <w:lvl w:ilvl="8">
      <w:start w:val="1"/>
      <w:numFmt w:val="bullet"/>
      <w:lvlText w:val="•"/>
      <w:lvlJc w:val="left"/>
      <w:pPr>
        <w:ind w:left="7686" w:hanging="903"/>
      </w:pPr>
      <w:rPr>
        <w:rFonts w:hint="default"/>
      </w:rPr>
    </w:lvl>
  </w:abstractNum>
  <w:abstractNum w:abstractNumId="15">
    <w:multiLevelType w:val="hybridMultilevel"/>
    <w:lvl w:ilvl="0">
      <w:start w:val="1"/>
      <w:numFmt w:val="decimal"/>
      <w:lvlText w:val="%1."/>
      <w:lvlJc w:val="left"/>
      <w:pPr>
        <w:ind w:left="160" w:hanging="284"/>
        <w:jc w:val="left"/>
      </w:pPr>
      <w:rPr>
        <w:rFonts w:hint="default" w:ascii="Times New Roman" w:hAnsi="Times New Roman" w:eastAsia="Times New Roman"/>
        <w:spacing w:val="-20"/>
        <w:w w:val="99"/>
        <w:sz w:val="24"/>
        <w:szCs w:val="24"/>
      </w:rPr>
    </w:lvl>
    <w:lvl w:ilvl="1">
      <w:start w:val="1"/>
      <w:numFmt w:val="bullet"/>
      <w:lvlText w:val="•"/>
      <w:lvlJc w:val="left"/>
      <w:pPr>
        <w:ind w:left="1102" w:hanging="284"/>
      </w:pPr>
      <w:rPr>
        <w:rFonts w:hint="default"/>
      </w:rPr>
    </w:lvl>
    <w:lvl w:ilvl="2">
      <w:start w:val="1"/>
      <w:numFmt w:val="bullet"/>
      <w:lvlText w:val="•"/>
      <w:lvlJc w:val="left"/>
      <w:pPr>
        <w:ind w:left="2044" w:hanging="284"/>
      </w:pPr>
      <w:rPr>
        <w:rFonts w:hint="default"/>
      </w:rPr>
    </w:lvl>
    <w:lvl w:ilvl="3">
      <w:start w:val="1"/>
      <w:numFmt w:val="bullet"/>
      <w:lvlText w:val="•"/>
      <w:lvlJc w:val="left"/>
      <w:pPr>
        <w:ind w:left="2986" w:hanging="284"/>
      </w:pPr>
      <w:rPr>
        <w:rFonts w:hint="default"/>
      </w:rPr>
    </w:lvl>
    <w:lvl w:ilvl="4">
      <w:start w:val="1"/>
      <w:numFmt w:val="bullet"/>
      <w:lvlText w:val="•"/>
      <w:lvlJc w:val="left"/>
      <w:pPr>
        <w:ind w:left="3928" w:hanging="284"/>
      </w:pPr>
      <w:rPr>
        <w:rFonts w:hint="default"/>
      </w:rPr>
    </w:lvl>
    <w:lvl w:ilvl="5">
      <w:start w:val="1"/>
      <w:numFmt w:val="bullet"/>
      <w:lvlText w:val="•"/>
      <w:lvlJc w:val="left"/>
      <w:pPr>
        <w:ind w:left="4870" w:hanging="284"/>
      </w:pPr>
      <w:rPr>
        <w:rFonts w:hint="default"/>
      </w:rPr>
    </w:lvl>
    <w:lvl w:ilvl="6">
      <w:start w:val="1"/>
      <w:numFmt w:val="bullet"/>
      <w:lvlText w:val="•"/>
      <w:lvlJc w:val="left"/>
      <w:pPr>
        <w:ind w:left="5812" w:hanging="284"/>
      </w:pPr>
      <w:rPr>
        <w:rFonts w:hint="default"/>
      </w:rPr>
    </w:lvl>
    <w:lvl w:ilvl="7">
      <w:start w:val="1"/>
      <w:numFmt w:val="bullet"/>
      <w:lvlText w:val="•"/>
      <w:lvlJc w:val="left"/>
      <w:pPr>
        <w:ind w:left="6754" w:hanging="284"/>
      </w:pPr>
      <w:rPr>
        <w:rFonts w:hint="default"/>
      </w:rPr>
    </w:lvl>
    <w:lvl w:ilvl="8">
      <w:start w:val="1"/>
      <w:numFmt w:val="bullet"/>
      <w:lvlText w:val="•"/>
      <w:lvlJc w:val="left"/>
      <w:pPr>
        <w:ind w:left="7696" w:hanging="284"/>
      </w:pPr>
      <w:rPr>
        <w:rFonts w:hint="default"/>
      </w:rPr>
    </w:lvl>
  </w:abstractNum>
  <w:abstractNum w:abstractNumId="14">
    <w:multiLevelType w:val="hybridMultilevel"/>
    <w:lvl w:ilvl="0">
      <w:start w:val="1"/>
      <w:numFmt w:val="decimal"/>
      <w:lvlText w:val="%1."/>
      <w:lvlJc w:val="left"/>
      <w:pPr>
        <w:ind w:left="160" w:hanging="284"/>
        <w:jc w:val="left"/>
      </w:pPr>
      <w:rPr>
        <w:rFonts w:hint="default" w:ascii="Times New Roman" w:hAnsi="Times New Roman" w:eastAsia="Times New Roman"/>
        <w:spacing w:val="-30"/>
        <w:w w:val="99"/>
        <w:sz w:val="24"/>
        <w:szCs w:val="24"/>
      </w:rPr>
    </w:lvl>
    <w:lvl w:ilvl="1">
      <w:start w:val="1"/>
      <w:numFmt w:val="decimal"/>
      <w:lvlText w:val="%2."/>
      <w:lvlJc w:val="left"/>
      <w:pPr>
        <w:ind w:left="160" w:hanging="360"/>
        <w:jc w:val="left"/>
      </w:pPr>
      <w:rPr>
        <w:rFonts w:hint="default" w:ascii="Times New Roman" w:hAnsi="Times New Roman" w:eastAsia="Times New Roman"/>
        <w:spacing w:val="-8"/>
        <w:w w:val="99"/>
        <w:sz w:val="24"/>
        <w:szCs w:val="24"/>
      </w:rPr>
    </w:lvl>
    <w:lvl w:ilvl="2">
      <w:start w:val="1"/>
      <w:numFmt w:val="bullet"/>
      <w:lvlText w:val="•"/>
      <w:lvlJc w:val="left"/>
      <w:pPr>
        <w:ind w:left="2044" w:hanging="360"/>
      </w:pPr>
      <w:rPr>
        <w:rFonts w:hint="default"/>
      </w:rPr>
    </w:lvl>
    <w:lvl w:ilvl="3">
      <w:start w:val="1"/>
      <w:numFmt w:val="bullet"/>
      <w:lvlText w:val="•"/>
      <w:lvlJc w:val="left"/>
      <w:pPr>
        <w:ind w:left="2986" w:hanging="360"/>
      </w:pPr>
      <w:rPr>
        <w:rFonts w:hint="default"/>
      </w:rPr>
    </w:lvl>
    <w:lvl w:ilvl="4">
      <w:start w:val="1"/>
      <w:numFmt w:val="bullet"/>
      <w:lvlText w:val="•"/>
      <w:lvlJc w:val="left"/>
      <w:pPr>
        <w:ind w:left="3928" w:hanging="360"/>
      </w:pPr>
      <w:rPr>
        <w:rFonts w:hint="default"/>
      </w:rPr>
    </w:lvl>
    <w:lvl w:ilvl="5">
      <w:start w:val="1"/>
      <w:numFmt w:val="bullet"/>
      <w:lvlText w:val="•"/>
      <w:lvlJc w:val="left"/>
      <w:pPr>
        <w:ind w:left="4870" w:hanging="360"/>
      </w:pPr>
      <w:rPr>
        <w:rFonts w:hint="default"/>
      </w:rPr>
    </w:lvl>
    <w:lvl w:ilvl="6">
      <w:start w:val="1"/>
      <w:numFmt w:val="bullet"/>
      <w:lvlText w:val="•"/>
      <w:lvlJc w:val="left"/>
      <w:pPr>
        <w:ind w:left="5812" w:hanging="360"/>
      </w:pPr>
      <w:rPr>
        <w:rFonts w:hint="default"/>
      </w:rPr>
    </w:lvl>
    <w:lvl w:ilvl="7">
      <w:start w:val="1"/>
      <w:numFmt w:val="bullet"/>
      <w:lvlText w:val="•"/>
      <w:lvlJc w:val="left"/>
      <w:pPr>
        <w:ind w:left="6754" w:hanging="360"/>
      </w:pPr>
      <w:rPr>
        <w:rFonts w:hint="default"/>
      </w:rPr>
    </w:lvl>
    <w:lvl w:ilvl="8">
      <w:start w:val="1"/>
      <w:numFmt w:val="bullet"/>
      <w:lvlText w:val="•"/>
      <w:lvlJc w:val="left"/>
      <w:pPr>
        <w:ind w:left="7696" w:hanging="360"/>
      </w:pPr>
      <w:rPr>
        <w:rFonts w:hint="default"/>
      </w:rPr>
    </w:lvl>
  </w:abstractNum>
  <w:abstractNum w:abstractNumId="13">
    <w:multiLevelType w:val="hybridMultilevel"/>
    <w:lvl w:ilvl="0">
      <w:start w:val="1"/>
      <w:numFmt w:val="decimal"/>
      <w:lvlText w:val="%1."/>
      <w:lvlJc w:val="left"/>
      <w:pPr>
        <w:ind w:left="160" w:hanging="284"/>
        <w:jc w:val="left"/>
      </w:pPr>
      <w:rPr>
        <w:rFonts w:hint="default" w:ascii="Times New Roman" w:hAnsi="Times New Roman" w:eastAsia="Times New Roman"/>
        <w:spacing w:val="-29"/>
        <w:w w:val="99"/>
        <w:sz w:val="24"/>
        <w:szCs w:val="24"/>
      </w:rPr>
    </w:lvl>
    <w:lvl w:ilvl="1">
      <w:start w:val="1"/>
      <w:numFmt w:val="bullet"/>
      <w:lvlText w:val="•"/>
      <w:lvlJc w:val="left"/>
      <w:pPr>
        <w:ind w:left="1102" w:hanging="284"/>
      </w:pPr>
      <w:rPr>
        <w:rFonts w:hint="default"/>
      </w:rPr>
    </w:lvl>
    <w:lvl w:ilvl="2">
      <w:start w:val="1"/>
      <w:numFmt w:val="bullet"/>
      <w:lvlText w:val="•"/>
      <w:lvlJc w:val="left"/>
      <w:pPr>
        <w:ind w:left="2044" w:hanging="284"/>
      </w:pPr>
      <w:rPr>
        <w:rFonts w:hint="default"/>
      </w:rPr>
    </w:lvl>
    <w:lvl w:ilvl="3">
      <w:start w:val="1"/>
      <w:numFmt w:val="bullet"/>
      <w:lvlText w:val="•"/>
      <w:lvlJc w:val="left"/>
      <w:pPr>
        <w:ind w:left="2986" w:hanging="284"/>
      </w:pPr>
      <w:rPr>
        <w:rFonts w:hint="default"/>
      </w:rPr>
    </w:lvl>
    <w:lvl w:ilvl="4">
      <w:start w:val="1"/>
      <w:numFmt w:val="bullet"/>
      <w:lvlText w:val="•"/>
      <w:lvlJc w:val="left"/>
      <w:pPr>
        <w:ind w:left="3928" w:hanging="284"/>
      </w:pPr>
      <w:rPr>
        <w:rFonts w:hint="default"/>
      </w:rPr>
    </w:lvl>
    <w:lvl w:ilvl="5">
      <w:start w:val="1"/>
      <w:numFmt w:val="bullet"/>
      <w:lvlText w:val="•"/>
      <w:lvlJc w:val="left"/>
      <w:pPr>
        <w:ind w:left="4870" w:hanging="284"/>
      </w:pPr>
      <w:rPr>
        <w:rFonts w:hint="default"/>
      </w:rPr>
    </w:lvl>
    <w:lvl w:ilvl="6">
      <w:start w:val="1"/>
      <w:numFmt w:val="bullet"/>
      <w:lvlText w:val="•"/>
      <w:lvlJc w:val="left"/>
      <w:pPr>
        <w:ind w:left="5812" w:hanging="284"/>
      </w:pPr>
      <w:rPr>
        <w:rFonts w:hint="default"/>
      </w:rPr>
    </w:lvl>
    <w:lvl w:ilvl="7">
      <w:start w:val="1"/>
      <w:numFmt w:val="bullet"/>
      <w:lvlText w:val="•"/>
      <w:lvlJc w:val="left"/>
      <w:pPr>
        <w:ind w:left="6754" w:hanging="284"/>
      </w:pPr>
      <w:rPr>
        <w:rFonts w:hint="default"/>
      </w:rPr>
    </w:lvl>
    <w:lvl w:ilvl="8">
      <w:start w:val="1"/>
      <w:numFmt w:val="bullet"/>
      <w:lvlText w:val="•"/>
      <w:lvlJc w:val="left"/>
      <w:pPr>
        <w:ind w:left="7696" w:hanging="284"/>
      </w:pPr>
      <w:rPr>
        <w:rFonts w:hint="default"/>
      </w:rPr>
    </w:lvl>
  </w:abstractNum>
  <w:abstractNum w:abstractNumId="12">
    <w:multiLevelType w:val="hybridMultilevel"/>
    <w:lvl w:ilvl="0">
      <w:start w:val="1"/>
      <w:numFmt w:val="decimal"/>
      <w:lvlText w:val="%1."/>
      <w:lvlJc w:val="left"/>
      <w:pPr>
        <w:ind w:left="160" w:hanging="284"/>
        <w:jc w:val="left"/>
      </w:pPr>
      <w:rPr>
        <w:rFonts w:hint="default" w:ascii="Times New Roman" w:hAnsi="Times New Roman" w:eastAsia="Times New Roman"/>
        <w:w w:val="100"/>
        <w:sz w:val="22"/>
        <w:szCs w:val="22"/>
      </w:rPr>
    </w:lvl>
    <w:lvl w:ilvl="1">
      <w:start w:val="1"/>
      <w:numFmt w:val="bullet"/>
      <w:lvlText w:val="•"/>
      <w:lvlJc w:val="left"/>
      <w:pPr>
        <w:ind w:left="1102" w:hanging="284"/>
      </w:pPr>
      <w:rPr>
        <w:rFonts w:hint="default"/>
      </w:rPr>
    </w:lvl>
    <w:lvl w:ilvl="2">
      <w:start w:val="1"/>
      <w:numFmt w:val="bullet"/>
      <w:lvlText w:val="•"/>
      <w:lvlJc w:val="left"/>
      <w:pPr>
        <w:ind w:left="2044" w:hanging="284"/>
      </w:pPr>
      <w:rPr>
        <w:rFonts w:hint="default"/>
      </w:rPr>
    </w:lvl>
    <w:lvl w:ilvl="3">
      <w:start w:val="1"/>
      <w:numFmt w:val="bullet"/>
      <w:lvlText w:val="•"/>
      <w:lvlJc w:val="left"/>
      <w:pPr>
        <w:ind w:left="2986" w:hanging="284"/>
      </w:pPr>
      <w:rPr>
        <w:rFonts w:hint="default"/>
      </w:rPr>
    </w:lvl>
    <w:lvl w:ilvl="4">
      <w:start w:val="1"/>
      <w:numFmt w:val="bullet"/>
      <w:lvlText w:val="•"/>
      <w:lvlJc w:val="left"/>
      <w:pPr>
        <w:ind w:left="3928" w:hanging="284"/>
      </w:pPr>
      <w:rPr>
        <w:rFonts w:hint="default"/>
      </w:rPr>
    </w:lvl>
    <w:lvl w:ilvl="5">
      <w:start w:val="1"/>
      <w:numFmt w:val="bullet"/>
      <w:lvlText w:val="•"/>
      <w:lvlJc w:val="left"/>
      <w:pPr>
        <w:ind w:left="4870" w:hanging="284"/>
      </w:pPr>
      <w:rPr>
        <w:rFonts w:hint="default"/>
      </w:rPr>
    </w:lvl>
    <w:lvl w:ilvl="6">
      <w:start w:val="1"/>
      <w:numFmt w:val="bullet"/>
      <w:lvlText w:val="•"/>
      <w:lvlJc w:val="left"/>
      <w:pPr>
        <w:ind w:left="5812" w:hanging="284"/>
      </w:pPr>
      <w:rPr>
        <w:rFonts w:hint="default"/>
      </w:rPr>
    </w:lvl>
    <w:lvl w:ilvl="7">
      <w:start w:val="1"/>
      <w:numFmt w:val="bullet"/>
      <w:lvlText w:val="•"/>
      <w:lvlJc w:val="left"/>
      <w:pPr>
        <w:ind w:left="6754" w:hanging="284"/>
      </w:pPr>
      <w:rPr>
        <w:rFonts w:hint="default"/>
      </w:rPr>
    </w:lvl>
    <w:lvl w:ilvl="8">
      <w:start w:val="1"/>
      <w:numFmt w:val="bullet"/>
      <w:lvlText w:val="•"/>
      <w:lvlJc w:val="left"/>
      <w:pPr>
        <w:ind w:left="7696" w:hanging="284"/>
      </w:pPr>
      <w:rPr>
        <w:rFonts w:hint="default"/>
      </w:rPr>
    </w:lvl>
  </w:abstractNum>
  <w:abstractNum w:abstractNumId="11">
    <w:multiLevelType w:val="hybridMultilevel"/>
    <w:lvl w:ilvl="0">
      <w:start w:val="1"/>
      <w:numFmt w:val="bullet"/>
      <w:lvlText w:val="-"/>
      <w:lvlJc w:val="left"/>
      <w:pPr>
        <w:ind w:left="160" w:hanging="161"/>
      </w:pPr>
      <w:rPr>
        <w:rFonts w:hint="default" w:ascii="Times New Roman" w:hAnsi="Times New Roman" w:eastAsia="Times New Roman"/>
        <w:w w:val="99"/>
      </w:rPr>
    </w:lvl>
    <w:lvl w:ilvl="1">
      <w:start w:val="1"/>
      <w:numFmt w:val="bullet"/>
      <w:lvlText w:val="•"/>
      <w:lvlJc w:val="left"/>
      <w:pPr>
        <w:ind w:left="1102" w:hanging="161"/>
      </w:pPr>
      <w:rPr>
        <w:rFonts w:hint="default"/>
      </w:rPr>
    </w:lvl>
    <w:lvl w:ilvl="2">
      <w:start w:val="1"/>
      <w:numFmt w:val="bullet"/>
      <w:lvlText w:val="•"/>
      <w:lvlJc w:val="left"/>
      <w:pPr>
        <w:ind w:left="2044" w:hanging="161"/>
      </w:pPr>
      <w:rPr>
        <w:rFonts w:hint="default"/>
      </w:rPr>
    </w:lvl>
    <w:lvl w:ilvl="3">
      <w:start w:val="1"/>
      <w:numFmt w:val="bullet"/>
      <w:lvlText w:val="•"/>
      <w:lvlJc w:val="left"/>
      <w:pPr>
        <w:ind w:left="2986" w:hanging="161"/>
      </w:pPr>
      <w:rPr>
        <w:rFonts w:hint="default"/>
      </w:rPr>
    </w:lvl>
    <w:lvl w:ilvl="4">
      <w:start w:val="1"/>
      <w:numFmt w:val="bullet"/>
      <w:lvlText w:val="•"/>
      <w:lvlJc w:val="left"/>
      <w:pPr>
        <w:ind w:left="3928" w:hanging="161"/>
      </w:pPr>
      <w:rPr>
        <w:rFonts w:hint="default"/>
      </w:rPr>
    </w:lvl>
    <w:lvl w:ilvl="5">
      <w:start w:val="1"/>
      <w:numFmt w:val="bullet"/>
      <w:lvlText w:val="•"/>
      <w:lvlJc w:val="left"/>
      <w:pPr>
        <w:ind w:left="4870" w:hanging="161"/>
      </w:pPr>
      <w:rPr>
        <w:rFonts w:hint="default"/>
      </w:rPr>
    </w:lvl>
    <w:lvl w:ilvl="6">
      <w:start w:val="1"/>
      <w:numFmt w:val="bullet"/>
      <w:lvlText w:val="•"/>
      <w:lvlJc w:val="left"/>
      <w:pPr>
        <w:ind w:left="5812" w:hanging="161"/>
      </w:pPr>
      <w:rPr>
        <w:rFonts w:hint="default"/>
      </w:rPr>
    </w:lvl>
    <w:lvl w:ilvl="7">
      <w:start w:val="1"/>
      <w:numFmt w:val="bullet"/>
      <w:lvlText w:val="•"/>
      <w:lvlJc w:val="left"/>
      <w:pPr>
        <w:ind w:left="6754" w:hanging="161"/>
      </w:pPr>
      <w:rPr>
        <w:rFonts w:hint="default"/>
      </w:rPr>
    </w:lvl>
    <w:lvl w:ilvl="8">
      <w:start w:val="1"/>
      <w:numFmt w:val="bullet"/>
      <w:lvlText w:val="•"/>
      <w:lvlJc w:val="left"/>
      <w:pPr>
        <w:ind w:left="7696" w:hanging="161"/>
      </w:pPr>
      <w:rPr>
        <w:rFonts w:hint="default"/>
      </w:rPr>
    </w:lvl>
  </w:abstractNum>
  <w:abstractNum w:abstractNumId="10">
    <w:multiLevelType w:val="hybridMultilevel"/>
    <w:lvl w:ilvl="0">
      <w:start w:val="4"/>
      <w:numFmt w:val="decimal"/>
      <w:lvlText w:val="%1."/>
      <w:lvlJc w:val="left"/>
      <w:pPr>
        <w:ind w:left="160" w:hanging="272"/>
        <w:jc w:val="left"/>
      </w:pPr>
      <w:rPr>
        <w:rFonts w:hint="default" w:ascii="Times New Roman" w:hAnsi="Times New Roman" w:eastAsia="Times New Roman"/>
        <w:spacing w:val="-29"/>
        <w:w w:val="99"/>
        <w:sz w:val="24"/>
        <w:szCs w:val="24"/>
      </w:rPr>
    </w:lvl>
    <w:lvl w:ilvl="1">
      <w:start w:val="1"/>
      <w:numFmt w:val="bullet"/>
      <w:lvlText w:val="•"/>
      <w:lvlJc w:val="left"/>
      <w:pPr>
        <w:ind w:left="1102" w:hanging="272"/>
      </w:pPr>
      <w:rPr>
        <w:rFonts w:hint="default"/>
      </w:rPr>
    </w:lvl>
    <w:lvl w:ilvl="2">
      <w:start w:val="1"/>
      <w:numFmt w:val="bullet"/>
      <w:lvlText w:val="•"/>
      <w:lvlJc w:val="left"/>
      <w:pPr>
        <w:ind w:left="2044" w:hanging="272"/>
      </w:pPr>
      <w:rPr>
        <w:rFonts w:hint="default"/>
      </w:rPr>
    </w:lvl>
    <w:lvl w:ilvl="3">
      <w:start w:val="1"/>
      <w:numFmt w:val="bullet"/>
      <w:lvlText w:val="•"/>
      <w:lvlJc w:val="left"/>
      <w:pPr>
        <w:ind w:left="2986" w:hanging="272"/>
      </w:pPr>
      <w:rPr>
        <w:rFonts w:hint="default"/>
      </w:rPr>
    </w:lvl>
    <w:lvl w:ilvl="4">
      <w:start w:val="1"/>
      <w:numFmt w:val="bullet"/>
      <w:lvlText w:val="•"/>
      <w:lvlJc w:val="left"/>
      <w:pPr>
        <w:ind w:left="3928" w:hanging="272"/>
      </w:pPr>
      <w:rPr>
        <w:rFonts w:hint="default"/>
      </w:rPr>
    </w:lvl>
    <w:lvl w:ilvl="5">
      <w:start w:val="1"/>
      <w:numFmt w:val="bullet"/>
      <w:lvlText w:val="•"/>
      <w:lvlJc w:val="left"/>
      <w:pPr>
        <w:ind w:left="4870" w:hanging="272"/>
      </w:pPr>
      <w:rPr>
        <w:rFonts w:hint="default"/>
      </w:rPr>
    </w:lvl>
    <w:lvl w:ilvl="6">
      <w:start w:val="1"/>
      <w:numFmt w:val="bullet"/>
      <w:lvlText w:val="•"/>
      <w:lvlJc w:val="left"/>
      <w:pPr>
        <w:ind w:left="5812" w:hanging="272"/>
      </w:pPr>
      <w:rPr>
        <w:rFonts w:hint="default"/>
      </w:rPr>
    </w:lvl>
    <w:lvl w:ilvl="7">
      <w:start w:val="1"/>
      <w:numFmt w:val="bullet"/>
      <w:lvlText w:val="•"/>
      <w:lvlJc w:val="left"/>
      <w:pPr>
        <w:ind w:left="6754" w:hanging="272"/>
      </w:pPr>
      <w:rPr>
        <w:rFonts w:hint="default"/>
      </w:rPr>
    </w:lvl>
    <w:lvl w:ilvl="8">
      <w:start w:val="1"/>
      <w:numFmt w:val="bullet"/>
      <w:lvlText w:val="•"/>
      <w:lvlJc w:val="left"/>
      <w:pPr>
        <w:ind w:left="7696" w:hanging="272"/>
      </w:pPr>
      <w:rPr>
        <w:rFonts w:hint="default"/>
      </w:rPr>
    </w:lvl>
  </w:abstractNum>
  <w:abstractNum w:abstractNumId="9">
    <w:multiLevelType w:val="hybridMultilevel"/>
    <w:lvl w:ilvl="0">
      <w:start w:val="1"/>
      <w:numFmt w:val="bullet"/>
      <w:lvlText w:val="-"/>
      <w:lvlJc w:val="left"/>
      <w:pPr>
        <w:ind w:left="160" w:hanging="214"/>
      </w:pPr>
      <w:rPr>
        <w:rFonts w:hint="default" w:ascii="Times New Roman" w:hAnsi="Times New Roman" w:eastAsia="Times New Roman"/>
        <w:spacing w:val="-60"/>
        <w:w w:val="99"/>
        <w:sz w:val="24"/>
        <w:szCs w:val="24"/>
      </w:rPr>
    </w:lvl>
    <w:lvl w:ilvl="1">
      <w:start w:val="1"/>
      <w:numFmt w:val="bullet"/>
      <w:lvlText w:val="•"/>
      <w:lvlJc w:val="left"/>
      <w:pPr>
        <w:ind w:left="1102" w:hanging="214"/>
      </w:pPr>
      <w:rPr>
        <w:rFonts w:hint="default"/>
      </w:rPr>
    </w:lvl>
    <w:lvl w:ilvl="2">
      <w:start w:val="1"/>
      <w:numFmt w:val="bullet"/>
      <w:lvlText w:val="•"/>
      <w:lvlJc w:val="left"/>
      <w:pPr>
        <w:ind w:left="2044" w:hanging="214"/>
      </w:pPr>
      <w:rPr>
        <w:rFonts w:hint="default"/>
      </w:rPr>
    </w:lvl>
    <w:lvl w:ilvl="3">
      <w:start w:val="1"/>
      <w:numFmt w:val="bullet"/>
      <w:lvlText w:val="•"/>
      <w:lvlJc w:val="left"/>
      <w:pPr>
        <w:ind w:left="2986" w:hanging="214"/>
      </w:pPr>
      <w:rPr>
        <w:rFonts w:hint="default"/>
      </w:rPr>
    </w:lvl>
    <w:lvl w:ilvl="4">
      <w:start w:val="1"/>
      <w:numFmt w:val="bullet"/>
      <w:lvlText w:val="•"/>
      <w:lvlJc w:val="left"/>
      <w:pPr>
        <w:ind w:left="3928" w:hanging="214"/>
      </w:pPr>
      <w:rPr>
        <w:rFonts w:hint="default"/>
      </w:rPr>
    </w:lvl>
    <w:lvl w:ilvl="5">
      <w:start w:val="1"/>
      <w:numFmt w:val="bullet"/>
      <w:lvlText w:val="•"/>
      <w:lvlJc w:val="left"/>
      <w:pPr>
        <w:ind w:left="4870" w:hanging="214"/>
      </w:pPr>
      <w:rPr>
        <w:rFonts w:hint="default"/>
      </w:rPr>
    </w:lvl>
    <w:lvl w:ilvl="6">
      <w:start w:val="1"/>
      <w:numFmt w:val="bullet"/>
      <w:lvlText w:val="•"/>
      <w:lvlJc w:val="left"/>
      <w:pPr>
        <w:ind w:left="5812" w:hanging="214"/>
      </w:pPr>
      <w:rPr>
        <w:rFonts w:hint="default"/>
      </w:rPr>
    </w:lvl>
    <w:lvl w:ilvl="7">
      <w:start w:val="1"/>
      <w:numFmt w:val="bullet"/>
      <w:lvlText w:val="•"/>
      <w:lvlJc w:val="left"/>
      <w:pPr>
        <w:ind w:left="6754" w:hanging="214"/>
      </w:pPr>
      <w:rPr>
        <w:rFonts w:hint="default"/>
      </w:rPr>
    </w:lvl>
    <w:lvl w:ilvl="8">
      <w:start w:val="1"/>
      <w:numFmt w:val="bullet"/>
      <w:lvlText w:val="•"/>
      <w:lvlJc w:val="left"/>
      <w:pPr>
        <w:ind w:left="7696" w:hanging="214"/>
      </w:pPr>
      <w:rPr>
        <w:rFonts w:hint="default"/>
      </w:rPr>
    </w:lvl>
  </w:abstractNum>
  <w:abstractNum w:abstractNumId="8">
    <w:multiLevelType w:val="hybridMultilevel"/>
    <w:lvl w:ilvl="0">
      <w:start w:val="1"/>
      <w:numFmt w:val="bullet"/>
      <w:lvlText w:val=""/>
      <w:lvlJc w:val="left"/>
      <w:pPr>
        <w:ind w:left="160" w:hanging="142"/>
      </w:pPr>
      <w:rPr>
        <w:rFonts w:hint="default" w:ascii="Symbol" w:hAnsi="Symbol" w:eastAsia="Symbol"/>
        <w:w w:val="100"/>
      </w:rPr>
    </w:lvl>
    <w:lvl w:ilvl="1">
      <w:start w:val="1"/>
      <w:numFmt w:val="bullet"/>
      <w:lvlText w:val="-"/>
      <w:lvlJc w:val="left"/>
      <w:pPr>
        <w:ind w:left="866" w:hanging="140"/>
      </w:pPr>
      <w:rPr>
        <w:rFonts w:hint="default" w:ascii="Times New Roman" w:hAnsi="Times New Roman" w:eastAsia="Times New Roman"/>
        <w:w w:val="99"/>
        <w:sz w:val="24"/>
        <w:szCs w:val="24"/>
      </w:rPr>
    </w:lvl>
    <w:lvl w:ilvl="2">
      <w:start w:val="1"/>
      <w:numFmt w:val="bullet"/>
      <w:lvlText w:val="•"/>
      <w:lvlJc w:val="left"/>
      <w:pPr>
        <w:ind w:left="320" w:hanging="140"/>
      </w:pPr>
      <w:rPr>
        <w:rFonts w:hint="default"/>
      </w:rPr>
    </w:lvl>
    <w:lvl w:ilvl="3">
      <w:start w:val="1"/>
      <w:numFmt w:val="bullet"/>
      <w:lvlText w:val="•"/>
      <w:lvlJc w:val="left"/>
      <w:pPr>
        <w:ind w:left="860" w:hanging="140"/>
      </w:pPr>
      <w:rPr>
        <w:rFonts w:hint="default"/>
      </w:rPr>
    </w:lvl>
    <w:lvl w:ilvl="4">
      <w:start w:val="1"/>
      <w:numFmt w:val="bullet"/>
      <w:lvlText w:val="•"/>
      <w:lvlJc w:val="left"/>
      <w:pPr>
        <w:ind w:left="2105" w:hanging="140"/>
      </w:pPr>
      <w:rPr>
        <w:rFonts w:hint="default"/>
      </w:rPr>
    </w:lvl>
    <w:lvl w:ilvl="5">
      <w:start w:val="1"/>
      <w:numFmt w:val="bullet"/>
      <w:lvlText w:val="•"/>
      <w:lvlJc w:val="left"/>
      <w:pPr>
        <w:ind w:left="3351" w:hanging="140"/>
      </w:pPr>
      <w:rPr>
        <w:rFonts w:hint="default"/>
      </w:rPr>
    </w:lvl>
    <w:lvl w:ilvl="6">
      <w:start w:val="1"/>
      <w:numFmt w:val="bullet"/>
      <w:lvlText w:val="•"/>
      <w:lvlJc w:val="left"/>
      <w:pPr>
        <w:ind w:left="4597" w:hanging="140"/>
      </w:pPr>
      <w:rPr>
        <w:rFonts w:hint="default"/>
      </w:rPr>
    </w:lvl>
    <w:lvl w:ilvl="7">
      <w:start w:val="1"/>
      <w:numFmt w:val="bullet"/>
      <w:lvlText w:val="•"/>
      <w:lvlJc w:val="left"/>
      <w:pPr>
        <w:ind w:left="5842" w:hanging="140"/>
      </w:pPr>
      <w:rPr>
        <w:rFonts w:hint="default"/>
      </w:rPr>
    </w:lvl>
    <w:lvl w:ilvl="8">
      <w:start w:val="1"/>
      <w:numFmt w:val="bullet"/>
      <w:lvlText w:val="•"/>
      <w:lvlJc w:val="left"/>
      <w:pPr>
        <w:ind w:left="7088" w:hanging="140"/>
      </w:pPr>
      <w:rPr>
        <w:rFonts w:hint="default"/>
      </w:rPr>
    </w:lvl>
  </w:abstractNum>
  <w:abstractNum w:abstractNumId="7">
    <w:multiLevelType w:val="hybridMultilevel"/>
    <w:lvl w:ilvl="0">
      <w:start w:val="1"/>
      <w:numFmt w:val="decimal"/>
      <w:lvlText w:val="%1."/>
      <w:lvlJc w:val="left"/>
      <w:pPr>
        <w:ind w:left="160" w:hanging="360"/>
        <w:jc w:val="left"/>
      </w:pPr>
      <w:rPr>
        <w:rFonts w:hint="default" w:ascii="Times New Roman" w:hAnsi="Times New Roman" w:eastAsia="Times New Roman"/>
        <w:spacing w:val="-22"/>
        <w:w w:val="99"/>
        <w:sz w:val="24"/>
        <w:szCs w:val="24"/>
      </w:rPr>
    </w:lvl>
    <w:lvl w:ilvl="1">
      <w:start w:val="1"/>
      <w:numFmt w:val="bullet"/>
      <w:lvlText w:val="•"/>
      <w:lvlJc w:val="left"/>
      <w:pPr>
        <w:ind w:left="1102" w:hanging="360"/>
      </w:pPr>
      <w:rPr>
        <w:rFonts w:hint="default"/>
      </w:rPr>
    </w:lvl>
    <w:lvl w:ilvl="2">
      <w:start w:val="1"/>
      <w:numFmt w:val="bullet"/>
      <w:lvlText w:val="•"/>
      <w:lvlJc w:val="left"/>
      <w:pPr>
        <w:ind w:left="2044" w:hanging="360"/>
      </w:pPr>
      <w:rPr>
        <w:rFonts w:hint="default"/>
      </w:rPr>
    </w:lvl>
    <w:lvl w:ilvl="3">
      <w:start w:val="1"/>
      <w:numFmt w:val="bullet"/>
      <w:lvlText w:val="•"/>
      <w:lvlJc w:val="left"/>
      <w:pPr>
        <w:ind w:left="2986" w:hanging="360"/>
      </w:pPr>
      <w:rPr>
        <w:rFonts w:hint="default"/>
      </w:rPr>
    </w:lvl>
    <w:lvl w:ilvl="4">
      <w:start w:val="1"/>
      <w:numFmt w:val="bullet"/>
      <w:lvlText w:val="•"/>
      <w:lvlJc w:val="left"/>
      <w:pPr>
        <w:ind w:left="3928" w:hanging="360"/>
      </w:pPr>
      <w:rPr>
        <w:rFonts w:hint="default"/>
      </w:rPr>
    </w:lvl>
    <w:lvl w:ilvl="5">
      <w:start w:val="1"/>
      <w:numFmt w:val="bullet"/>
      <w:lvlText w:val="•"/>
      <w:lvlJc w:val="left"/>
      <w:pPr>
        <w:ind w:left="4870" w:hanging="360"/>
      </w:pPr>
      <w:rPr>
        <w:rFonts w:hint="default"/>
      </w:rPr>
    </w:lvl>
    <w:lvl w:ilvl="6">
      <w:start w:val="1"/>
      <w:numFmt w:val="bullet"/>
      <w:lvlText w:val="•"/>
      <w:lvlJc w:val="left"/>
      <w:pPr>
        <w:ind w:left="5812" w:hanging="360"/>
      </w:pPr>
      <w:rPr>
        <w:rFonts w:hint="default"/>
      </w:rPr>
    </w:lvl>
    <w:lvl w:ilvl="7">
      <w:start w:val="1"/>
      <w:numFmt w:val="bullet"/>
      <w:lvlText w:val="•"/>
      <w:lvlJc w:val="left"/>
      <w:pPr>
        <w:ind w:left="6754" w:hanging="360"/>
      </w:pPr>
      <w:rPr>
        <w:rFonts w:hint="default"/>
      </w:rPr>
    </w:lvl>
    <w:lvl w:ilvl="8">
      <w:start w:val="1"/>
      <w:numFmt w:val="bullet"/>
      <w:lvlText w:val="•"/>
      <w:lvlJc w:val="left"/>
      <w:pPr>
        <w:ind w:left="7696" w:hanging="360"/>
      </w:pPr>
      <w:rPr>
        <w:rFonts w:hint="default"/>
      </w:rPr>
    </w:lvl>
  </w:abstractNum>
  <w:abstractNum w:abstractNumId="6">
    <w:multiLevelType w:val="hybridMultilevel"/>
    <w:lvl w:ilvl="0">
      <w:start w:val="42"/>
      <w:numFmt w:val="decimal"/>
      <w:lvlText w:val="%1"/>
      <w:lvlJc w:val="left"/>
      <w:pPr>
        <w:ind w:left="160" w:hanging="826"/>
        <w:jc w:val="left"/>
      </w:pPr>
      <w:rPr>
        <w:rFonts w:hint="default"/>
      </w:rPr>
    </w:lvl>
    <w:lvl w:ilvl="1">
      <w:start w:val="325"/>
      <w:numFmt w:val="decimal"/>
      <w:lvlText w:val="%1.%2"/>
      <w:lvlJc w:val="left"/>
      <w:pPr>
        <w:ind w:left="160" w:hanging="826"/>
        <w:jc w:val="left"/>
      </w:pPr>
      <w:rPr>
        <w:rFonts w:hint="default" w:ascii="Times New Roman" w:hAnsi="Times New Roman" w:eastAsia="Times New Roman"/>
        <w:spacing w:val="-20"/>
        <w:w w:val="99"/>
        <w:sz w:val="24"/>
        <w:szCs w:val="24"/>
      </w:rPr>
    </w:lvl>
    <w:lvl w:ilvl="2">
      <w:start w:val="1"/>
      <w:numFmt w:val="bullet"/>
      <w:lvlText w:val="-"/>
      <w:lvlJc w:val="left"/>
      <w:pPr>
        <w:ind w:left="160" w:hanging="360"/>
      </w:pPr>
      <w:rPr>
        <w:rFonts w:hint="default" w:ascii="Times New Roman" w:hAnsi="Times New Roman" w:eastAsia="Times New Roman"/>
        <w:spacing w:val="-28"/>
        <w:w w:val="99"/>
        <w:sz w:val="24"/>
        <w:szCs w:val="24"/>
      </w:rPr>
    </w:lvl>
    <w:lvl w:ilvl="3">
      <w:start w:val="1"/>
      <w:numFmt w:val="bullet"/>
      <w:lvlText w:val="•"/>
      <w:lvlJc w:val="left"/>
      <w:pPr>
        <w:ind w:left="2986" w:hanging="360"/>
      </w:pPr>
      <w:rPr>
        <w:rFonts w:hint="default"/>
      </w:rPr>
    </w:lvl>
    <w:lvl w:ilvl="4">
      <w:start w:val="1"/>
      <w:numFmt w:val="bullet"/>
      <w:lvlText w:val="•"/>
      <w:lvlJc w:val="left"/>
      <w:pPr>
        <w:ind w:left="3928" w:hanging="360"/>
      </w:pPr>
      <w:rPr>
        <w:rFonts w:hint="default"/>
      </w:rPr>
    </w:lvl>
    <w:lvl w:ilvl="5">
      <w:start w:val="1"/>
      <w:numFmt w:val="bullet"/>
      <w:lvlText w:val="•"/>
      <w:lvlJc w:val="left"/>
      <w:pPr>
        <w:ind w:left="4870" w:hanging="360"/>
      </w:pPr>
      <w:rPr>
        <w:rFonts w:hint="default"/>
      </w:rPr>
    </w:lvl>
    <w:lvl w:ilvl="6">
      <w:start w:val="1"/>
      <w:numFmt w:val="bullet"/>
      <w:lvlText w:val="•"/>
      <w:lvlJc w:val="left"/>
      <w:pPr>
        <w:ind w:left="5812" w:hanging="360"/>
      </w:pPr>
      <w:rPr>
        <w:rFonts w:hint="default"/>
      </w:rPr>
    </w:lvl>
    <w:lvl w:ilvl="7">
      <w:start w:val="1"/>
      <w:numFmt w:val="bullet"/>
      <w:lvlText w:val="•"/>
      <w:lvlJc w:val="left"/>
      <w:pPr>
        <w:ind w:left="6754" w:hanging="360"/>
      </w:pPr>
      <w:rPr>
        <w:rFonts w:hint="default"/>
      </w:rPr>
    </w:lvl>
    <w:lvl w:ilvl="8">
      <w:start w:val="1"/>
      <w:numFmt w:val="bullet"/>
      <w:lvlText w:val="•"/>
      <w:lvlJc w:val="left"/>
      <w:pPr>
        <w:ind w:left="7696" w:hanging="360"/>
      </w:pPr>
      <w:rPr>
        <w:rFonts w:hint="default"/>
      </w:rPr>
    </w:lvl>
  </w:abstractNum>
  <w:abstractNum w:abstractNumId="5">
    <w:multiLevelType w:val="hybridMultilevel"/>
    <w:lvl w:ilvl="0">
      <w:start w:val="107"/>
      <w:numFmt w:val="decimal"/>
      <w:lvlText w:val="%1"/>
      <w:lvlJc w:val="left"/>
      <w:pPr>
        <w:ind w:left="160" w:hanging="871"/>
        <w:jc w:val="left"/>
      </w:pPr>
      <w:rPr>
        <w:rFonts w:hint="default"/>
      </w:rPr>
    </w:lvl>
    <w:lvl w:ilvl="1">
      <w:start w:val="42"/>
      <w:numFmt w:val="decimal"/>
      <w:lvlText w:val="%1.%2"/>
      <w:lvlJc w:val="left"/>
      <w:pPr>
        <w:ind w:left="160" w:hanging="871"/>
        <w:jc w:val="left"/>
      </w:pPr>
      <w:rPr>
        <w:rFonts w:hint="default" w:ascii="Times New Roman" w:hAnsi="Times New Roman" w:eastAsia="Times New Roman"/>
        <w:spacing w:val="-30"/>
        <w:w w:val="99"/>
        <w:sz w:val="24"/>
        <w:szCs w:val="24"/>
      </w:rPr>
    </w:lvl>
    <w:lvl w:ilvl="2">
      <w:start w:val="1"/>
      <w:numFmt w:val="bullet"/>
      <w:lvlText w:val="-"/>
      <w:lvlJc w:val="left"/>
      <w:pPr>
        <w:ind w:left="160" w:hanging="360"/>
      </w:pPr>
      <w:rPr>
        <w:rFonts w:hint="default" w:ascii="Times New Roman" w:hAnsi="Times New Roman" w:eastAsia="Times New Roman"/>
        <w:spacing w:val="-20"/>
        <w:w w:val="99"/>
        <w:sz w:val="24"/>
        <w:szCs w:val="24"/>
      </w:rPr>
    </w:lvl>
    <w:lvl w:ilvl="3">
      <w:start w:val="1"/>
      <w:numFmt w:val="bullet"/>
      <w:lvlText w:val="•"/>
      <w:lvlJc w:val="left"/>
      <w:pPr>
        <w:ind w:left="2986" w:hanging="360"/>
      </w:pPr>
      <w:rPr>
        <w:rFonts w:hint="default"/>
      </w:rPr>
    </w:lvl>
    <w:lvl w:ilvl="4">
      <w:start w:val="1"/>
      <w:numFmt w:val="bullet"/>
      <w:lvlText w:val="•"/>
      <w:lvlJc w:val="left"/>
      <w:pPr>
        <w:ind w:left="3928" w:hanging="360"/>
      </w:pPr>
      <w:rPr>
        <w:rFonts w:hint="default"/>
      </w:rPr>
    </w:lvl>
    <w:lvl w:ilvl="5">
      <w:start w:val="1"/>
      <w:numFmt w:val="bullet"/>
      <w:lvlText w:val="•"/>
      <w:lvlJc w:val="left"/>
      <w:pPr>
        <w:ind w:left="4870" w:hanging="360"/>
      </w:pPr>
      <w:rPr>
        <w:rFonts w:hint="default"/>
      </w:rPr>
    </w:lvl>
    <w:lvl w:ilvl="6">
      <w:start w:val="1"/>
      <w:numFmt w:val="bullet"/>
      <w:lvlText w:val="•"/>
      <w:lvlJc w:val="left"/>
      <w:pPr>
        <w:ind w:left="5812" w:hanging="360"/>
      </w:pPr>
      <w:rPr>
        <w:rFonts w:hint="default"/>
      </w:rPr>
    </w:lvl>
    <w:lvl w:ilvl="7">
      <w:start w:val="1"/>
      <w:numFmt w:val="bullet"/>
      <w:lvlText w:val="•"/>
      <w:lvlJc w:val="left"/>
      <w:pPr>
        <w:ind w:left="6754" w:hanging="360"/>
      </w:pPr>
      <w:rPr>
        <w:rFonts w:hint="default"/>
      </w:rPr>
    </w:lvl>
    <w:lvl w:ilvl="8">
      <w:start w:val="1"/>
      <w:numFmt w:val="bullet"/>
      <w:lvlText w:val="•"/>
      <w:lvlJc w:val="left"/>
      <w:pPr>
        <w:ind w:left="7696" w:hanging="360"/>
      </w:pPr>
      <w:rPr>
        <w:rFonts w:hint="default"/>
      </w:rPr>
    </w:lvl>
  </w:abstractNum>
  <w:abstractNum w:abstractNumId="4">
    <w:multiLevelType w:val="hybridMultilevel"/>
    <w:lvl w:ilvl="0">
      <w:start w:val="2"/>
      <w:numFmt w:val="decimal"/>
      <w:lvlText w:val="%1"/>
      <w:lvlJc w:val="left"/>
      <w:pPr>
        <w:ind w:left="160" w:hanging="615"/>
        <w:jc w:val="left"/>
      </w:pPr>
      <w:rPr>
        <w:rFonts w:hint="default"/>
      </w:rPr>
    </w:lvl>
    <w:lvl w:ilvl="1">
      <w:start w:val="284"/>
      <w:numFmt w:val="decimal"/>
      <w:lvlText w:val="%1.%2"/>
      <w:lvlJc w:val="left"/>
      <w:pPr>
        <w:ind w:left="160" w:hanging="615"/>
        <w:jc w:val="left"/>
      </w:pPr>
      <w:rPr>
        <w:rFonts w:hint="default" w:ascii="Times New Roman" w:hAnsi="Times New Roman" w:eastAsia="Times New Roman"/>
        <w:w w:val="100"/>
        <w:sz w:val="24"/>
        <w:szCs w:val="24"/>
      </w:rPr>
    </w:lvl>
    <w:lvl w:ilvl="2">
      <w:start w:val="1"/>
      <w:numFmt w:val="bullet"/>
      <w:lvlText w:val="-"/>
      <w:lvlJc w:val="left"/>
      <w:pPr>
        <w:ind w:left="160" w:hanging="360"/>
      </w:pPr>
      <w:rPr>
        <w:rFonts w:hint="default" w:ascii="Times New Roman" w:hAnsi="Times New Roman" w:eastAsia="Times New Roman"/>
        <w:spacing w:val="-30"/>
        <w:w w:val="99"/>
        <w:sz w:val="24"/>
        <w:szCs w:val="24"/>
      </w:rPr>
    </w:lvl>
    <w:lvl w:ilvl="3">
      <w:start w:val="1"/>
      <w:numFmt w:val="bullet"/>
      <w:lvlText w:val="•"/>
      <w:lvlJc w:val="left"/>
      <w:pPr>
        <w:ind w:left="2986" w:hanging="360"/>
      </w:pPr>
      <w:rPr>
        <w:rFonts w:hint="default"/>
      </w:rPr>
    </w:lvl>
    <w:lvl w:ilvl="4">
      <w:start w:val="1"/>
      <w:numFmt w:val="bullet"/>
      <w:lvlText w:val="•"/>
      <w:lvlJc w:val="left"/>
      <w:pPr>
        <w:ind w:left="3928" w:hanging="360"/>
      </w:pPr>
      <w:rPr>
        <w:rFonts w:hint="default"/>
      </w:rPr>
    </w:lvl>
    <w:lvl w:ilvl="5">
      <w:start w:val="1"/>
      <w:numFmt w:val="bullet"/>
      <w:lvlText w:val="•"/>
      <w:lvlJc w:val="left"/>
      <w:pPr>
        <w:ind w:left="4870" w:hanging="360"/>
      </w:pPr>
      <w:rPr>
        <w:rFonts w:hint="default"/>
      </w:rPr>
    </w:lvl>
    <w:lvl w:ilvl="6">
      <w:start w:val="1"/>
      <w:numFmt w:val="bullet"/>
      <w:lvlText w:val="•"/>
      <w:lvlJc w:val="left"/>
      <w:pPr>
        <w:ind w:left="5812" w:hanging="360"/>
      </w:pPr>
      <w:rPr>
        <w:rFonts w:hint="default"/>
      </w:rPr>
    </w:lvl>
    <w:lvl w:ilvl="7">
      <w:start w:val="1"/>
      <w:numFmt w:val="bullet"/>
      <w:lvlText w:val="•"/>
      <w:lvlJc w:val="left"/>
      <w:pPr>
        <w:ind w:left="6754" w:hanging="360"/>
      </w:pPr>
      <w:rPr>
        <w:rFonts w:hint="default"/>
      </w:rPr>
    </w:lvl>
    <w:lvl w:ilvl="8">
      <w:start w:val="1"/>
      <w:numFmt w:val="bullet"/>
      <w:lvlText w:val="•"/>
      <w:lvlJc w:val="left"/>
      <w:pPr>
        <w:ind w:left="7696" w:hanging="360"/>
      </w:pPr>
      <w:rPr>
        <w:rFonts w:hint="default"/>
      </w:rPr>
    </w:lvl>
  </w:abstractNum>
  <w:abstractNum w:abstractNumId="3">
    <w:multiLevelType w:val="hybridMultilevel"/>
    <w:lvl w:ilvl="0">
      <w:start w:val="1"/>
      <w:numFmt w:val="decimal"/>
      <w:lvlText w:val="%1."/>
      <w:lvlJc w:val="left"/>
      <w:pPr>
        <w:ind w:left="160" w:hanging="317"/>
        <w:jc w:val="left"/>
      </w:pPr>
      <w:rPr>
        <w:rFonts w:hint="default" w:ascii="Times New Roman" w:hAnsi="Times New Roman" w:eastAsia="Times New Roman"/>
        <w:spacing w:val="-5"/>
        <w:w w:val="99"/>
        <w:sz w:val="24"/>
        <w:szCs w:val="24"/>
      </w:rPr>
    </w:lvl>
    <w:lvl w:ilvl="1">
      <w:start w:val="1"/>
      <w:numFmt w:val="bullet"/>
      <w:lvlText w:val="•"/>
      <w:lvlJc w:val="left"/>
      <w:pPr>
        <w:ind w:left="1106" w:hanging="317"/>
      </w:pPr>
      <w:rPr>
        <w:rFonts w:hint="default"/>
      </w:rPr>
    </w:lvl>
    <w:lvl w:ilvl="2">
      <w:start w:val="1"/>
      <w:numFmt w:val="bullet"/>
      <w:lvlText w:val="•"/>
      <w:lvlJc w:val="left"/>
      <w:pPr>
        <w:ind w:left="2052" w:hanging="317"/>
      </w:pPr>
      <w:rPr>
        <w:rFonts w:hint="default"/>
      </w:rPr>
    </w:lvl>
    <w:lvl w:ilvl="3">
      <w:start w:val="1"/>
      <w:numFmt w:val="bullet"/>
      <w:lvlText w:val="•"/>
      <w:lvlJc w:val="left"/>
      <w:pPr>
        <w:ind w:left="2998" w:hanging="317"/>
      </w:pPr>
      <w:rPr>
        <w:rFonts w:hint="default"/>
      </w:rPr>
    </w:lvl>
    <w:lvl w:ilvl="4">
      <w:start w:val="1"/>
      <w:numFmt w:val="bullet"/>
      <w:lvlText w:val="•"/>
      <w:lvlJc w:val="left"/>
      <w:pPr>
        <w:ind w:left="3944" w:hanging="317"/>
      </w:pPr>
      <w:rPr>
        <w:rFonts w:hint="default"/>
      </w:rPr>
    </w:lvl>
    <w:lvl w:ilvl="5">
      <w:start w:val="1"/>
      <w:numFmt w:val="bullet"/>
      <w:lvlText w:val="•"/>
      <w:lvlJc w:val="left"/>
      <w:pPr>
        <w:ind w:left="4890" w:hanging="317"/>
      </w:pPr>
      <w:rPr>
        <w:rFonts w:hint="default"/>
      </w:rPr>
    </w:lvl>
    <w:lvl w:ilvl="6">
      <w:start w:val="1"/>
      <w:numFmt w:val="bullet"/>
      <w:lvlText w:val="•"/>
      <w:lvlJc w:val="left"/>
      <w:pPr>
        <w:ind w:left="5836" w:hanging="317"/>
      </w:pPr>
      <w:rPr>
        <w:rFonts w:hint="default"/>
      </w:rPr>
    </w:lvl>
    <w:lvl w:ilvl="7">
      <w:start w:val="1"/>
      <w:numFmt w:val="bullet"/>
      <w:lvlText w:val="•"/>
      <w:lvlJc w:val="left"/>
      <w:pPr>
        <w:ind w:left="6782" w:hanging="317"/>
      </w:pPr>
      <w:rPr>
        <w:rFonts w:hint="default"/>
      </w:rPr>
    </w:lvl>
    <w:lvl w:ilvl="8">
      <w:start w:val="1"/>
      <w:numFmt w:val="bullet"/>
      <w:lvlText w:val="•"/>
      <w:lvlJc w:val="left"/>
      <w:pPr>
        <w:ind w:left="7728" w:hanging="317"/>
      </w:pPr>
      <w:rPr>
        <w:rFonts w:hint="default"/>
      </w:rPr>
    </w:lvl>
  </w:abstractNum>
  <w:abstractNum w:abstractNumId="2">
    <w:multiLevelType w:val="hybridMultilevel"/>
    <w:lvl w:ilvl="0">
      <w:start w:val="1"/>
      <w:numFmt w:val="decimal"/>
      <w:lvlText w:val="%1."/>
      <w:lvlJc w:val="left"/>
      <w:pPr>
        <w:ind w:left="381" w:hanging="221"/>
        <w:jc w:val="left"/>
      </w:pPr>
      <w:rPr>
        <w:rFonts w:hint="default" w:ascii="Times New Roman" w:hAnsi="Times New Roman" w:eastAsia="Times New Roman"/>
        <w:w w:val="100"/>
        <w:sz w:val="22"/>
        <w:szCs w:val="22"/>
      </w:rPr>
    </w:lvl>
    <w:lvl w:ilvl="1">
      <w:start w:val="1"/>
      <w:numFmt w:val="decimal"/>
      <w:lvlText w:val="%2)"/>
      <w:lvlJc w:val="left"/>
      <w:pPr>
        <w:ind w:left="786" w:hanging="267"/>
        <w:jc w:val="right"/>
      </w:pPr>
      <w:rPr>
        <w:rFonts w:hint="default" w:ascii="Times New Roman" w:hAnsi="Times New Roman" w:eastAsia="Times New Roman"/>
        <w:b/>
        <w:bCs/>
        <w:w w:val="99"/>
        <w:sz w:val="24"/>
        <w:szCs w:val="24"/>
      </w:rPr>
    </w:lvl>
    <w:lvl w:ilvl="2">
      <w:start w:val="1"/>
      <w:numFmt w:val="decimal"/>
      <w:lvlText w:val="%3."/>
      <w:lvlJc w:val="left"/>
      <w:pPr>
        <w:ind w:left="160" w:hanging="274"/>
        <w:jc w:val="left"/>
      </w:pPr>
      <w:rPr>
        <w:rFonts w:hint="default" w:ascii="Times New Roman" w:hAnsi="Times New Roman" w:eastAsia="Times New Roman"/>
        <w:spacing w:val="-27"/>
        <w:w w:val="99"/>
        <w:sz w:val="24"/>
        <w:szCs w:val="24"/>
      </w:rPr>
    </w:lvl>
    <w:lvl w:ilvl="3">
      <w:start w:val="1"/>
      <w:numFmt w:val="bullet"/>
      <w:lvlText w:val="•"/>
      <w:lvlJc w:val="left"/>
      <w:pPr>
        <w:ind w:left="1880" w:hanging="274"/>
      </w:pPr>
      <w:rPr>
        <w:rFonts w:hint="default"/>
      </w:rPr>
    </w:lvl>
    <w:lvl w:ilvl="4">
      <w:start w:val="1"/>
      <w:numFmt w:val="bullet"/>
      <w:lvlText w:val="•"/>
      <w:lvlJc w:val="left"/>
      <w:pPr>
        <w:ind w:left="2980" w:hanging="274"/>
      </w:pPr>
      <w:rPr>
        <w:rFonts w:hint="default"/>
      </w:rPr>
    </w:lvl>
    <w:lvl w:ilvl="5">
      <w:start w:val="1"/>
      <w:numFmt w:val="bullet"/>
      <w:lvlText w:val="•"/>
      <w:lvlJc w:val="left"/>
      <w:pPr>
        <w:ind w:left="4080" w:hanging="274"/>
      </w:pPr>
      <w:rPr>
        <w:rFonts w:hint="default"/>
      </w:rPr>
    </w:lvl>
    <w:lvl w:ilvl="6">
      <w:start w:val="1"/>
      <w:numFmt w:val="bullet"/>
      <w:lvlText w:val="•"/>
      <w:lvlJc w:val="left"/>
      <w:pPr>
        <w:ind w:left="5180" w:hanging="274"/>
      </w:pPr>
      <w:rPr>
        <w:rFonts w:hint="default"/>
      </w:rPr>
    </w:lvl>
    <w:lvl w:ilvl="7">
      <w:start w:val="1"/>
      <w:numFmt w:val="bullet"/>
      <w:lvlText w:val="•"/>
      <w:lvlJc w:val="left"/>
      <w:pPr>
        <w:ind w:left="6280" w:hanging="274"/>
      </w:pPr>
      <w:rPr>
        <w:rFonts w:hint="default"/>
      </w:rPr>
    </w:lvl>
    <w:lvl w:ilvl="8">
      <w:start w:val="1"/>
      <w:numFmt w:val="bullet"/>
      <w:lvlText w:val="•"/>
      <w:lvlJc w:val="left"/>
      <w:pPr>
        <w:ind w:left="7380" w:hanging="274"/>
      </w:pPr>
      <w:rPr>
        <w:rFonts w:hint="default"/>
      </w:rPr>
    </w:lvl>
  </w:abstractNum>
  <w:abstractNum w:abstractNumId="1">
    <w:multiLevelType w:val="hybridMultilevel"/>
    <w:lvl w:ilvl="0">
      <w:start w:val="1"/>
      <w:numFmt w:val="bullet"/>
      <w:lvlText w:val="-"/>
      <w:lvlJc w:val="left"/>
      <w:pPr>
        <w:ind w:left="160" w:hanging="142"/>
      </w:pPr>
      <w:rPr>
        <w:rFonts w:hint="default" w:ascii="Times New Roman" w:hAnsi="Times New Roman" w:eastAsia="Times New Roman"/>
        <w:w w:val="99"/>
      </w:rPr>
    </w:lvl>
    <w:lvl w:ilvl="1">
      <w:start w:val="1"/>
      <w:numFmt w:val="bullet"/>
      <w:lvlText w:val="-"/>
      <w:lvlJc w:val="left"/>
      <w:pPr>
        <w:ind w:left="160" w:hanging="360"/>
      </w:pPr>
      <w:rPr>
        <w:rFonts w:hint="default" w:ascii="Times New Roman" w:hAnsi="Times New Roman" w:eastAsia="Times New Roman"/>
        <w:spacing w:val="-30"/>
        <w:w w:val="99"/>
        <w:sz w:val="24"/>
        <w:szCs w:val="24"/>
      </w:rPr>
    </w:lvl>
    <w:lvl w:ilvl="2">
      <w:start w:val="1"/>
      <w:numFmt w:val="bullet"/>
      <w:lvlText w:val="•"/>
      <w:lvlJc w:val="left"/>
      <w:pPr>
        <w:ind w:left="2044" w:hanging="360"/>
      </w:pPr>
      <w:rPr>
        <w:rFonts w:hint="default"/>
      </w:rPr>
    </w:lvl>
    <w:lvl w:ilvl="3">
      <w:start w:val="1"/>
      <w:numFmt w:val="bullet"/>
      <w:lvlText w:val="•"/>
      <w:lvlJc w:val="left"/>
      <w:pPr>
        <w:ind w:left="2986" w:hanging="360"/>
      </w:pPr>
      <w:rPr>
        <w:rFonts w:hint="default"/>
      </w:rPr>
    </w:lvl>
    <w:lvl w:ilvl="4">
      <w:start w:val="1"/>
      <w:numFmt w:val="bullet"/>
      <w:lvlText w:val="•"/>
      <w:lvlJc w:val="left"/>
      <w:pPr>
        <w:ind w:left="3928" w:hanging="360"/>
      </w:pPr>
      <w:rPr>
        <w:rFonts w:hint="default"/>
      </w:rPr>
    </w:lvl>
    <w:lvl w:ilvl="5">
      <w:start w:val="1"/>
      <w:numFmt w:val="bullet"/>
      <w:lvlText w:val="•"/>
      <w:lvlJc w:val="left"/>
      <w:pPr>
        <w:ind w:left="4870" w:hanging="360"/>
      </w:pPr>
      <w:rPr>
        <w:rFonts w:hint="default"/>
      </w:rPr>
    </w:lvl>
    <w:lvl w:ilvl="6">
      <w:start w:val="1"/>
      <w:numFmt w:val="bullet"/>
      <w:lvlText w:val="•"/>
      <w:lvlJc w:val="left"/>
      <w:pPr>
        <w:ind w:left="5812" w:hanging="360"/>
      </w:pPr>
      <w:rPr>
        <w:rFonts w:hint="default"/>
      </w:rPr>
    </w:lvl>
    <w:lvl w:ilvl="7">
      <w:start w:val="1"/>
      <w:numFmt w:val="bullet"/>
      <w:lvlText w:val="•"/>
      <w:lvlJc w:val="left"/>
      <w:pPr>
        <w:ind w:left="6754" w:hanging="360"/>
      </w:pPr>
      <w:rPr>
        <w:rFonts w:hint="default"/>
      </w:rPr>
    </w:lvl>
    <w:lvl w:ilvl="8">
      <w:start w:val="1"/>
      <w:numFmt w:val="bullet"/>
      <w:lvlText w:val="•"/>
      <w:lvlJc w:val="left"/>
      <w:pPr>
        <w:ind w:left="7696" w:hanging="360"/>
      </w:pPr>
      <w:rPr>
        <w:rFonts w:hint="default"/>
      </w:rPr>
    </w:lvl>
  </w:abstractNum>
  <w:abstractNum w:abstractNumId="0">
    <w:multiLevelType w:val="hybridMultilevel"/>
    <w:lvl w:ilvl="0">
      <w:start w:val="1"/>
      <w:numFmt w:val="decimal"/>
      <w:lvlText w:val="%1."/>
      <w:lvlJc w:val="left"/>
      <w:pPr>
        <w:ind w:left="381" w:hanging="221"/>
        <w:jc w:val="left"/>
      </w:pPr>
      <w:rPr>
        <w:rFonts w:hint="default" w:ascii="Times New Roman" w:hAnsi="Times New Roman" w:eastAsia="Times New Roman"/>
        <w:w w:val="100"/>
        <w:sz w:val="22"/>
        <w:szCs w:val="22"/>
      </w:rPr>
    </w:lvl>
    <w:lvl w:ilvl="1">
      <w:start w:val="1"/>
      <w:numFmt w:val="decimal"/>
      <w:lvlText w:val="%2."/>
      <w:lvlJc w:val="left"/>
      <w:pPr>
        <w:ind w:left="1012" w:hanging="286"/>
        <w:jc w:val="left"/>
      </w:pPr>
      <w:rPr>
        <w:rFonts w:hint="default" w:ascii="Times New Roman" w:hAnsi="Times New Roman" w:eastAsia="Times New Roman"/>
        <w:b/>
        <w:bCs/>
        <w:spacing w:val="-15"/>
        <w:w w:val="99"/>
        <w:sz w:val="24"/>
        <w:szCs w:val="24"/>
      </w:rPr>
    </w:lvl>
    <w:lvl w:ilvl="2">
      <w:start w:val="1"/>
      <w:numFmt w:val="bullet"/>
      <w:lvlText w:val="•"/>
      <w:lvlJc w:val="left"/>
      <w:pPr>
        <w:ind w:left="1984" w:hanging="286"/>
      </w:pPr>
      <w:rPr>
        <w:rFonts w:hint="default"/>
      </w:rPr>
    </w:lvl>
    <w:lvl w:ilvl="3">
      <w:start w:val="1"/>
      <w:numFmt w:val="bullet"/>
      <w:lvlText w:val="•"/>
      <w:lvlJc w:val="left"/>
      <w:pPr>
        <w:ind w:left="2948" w:hanging="286"/>
      </w:pPr>
      <w:rPr>
        <w:rFonts w:hint="default"/>
      </w:rPr>
    </w:lvl>
    <w:lvl w:ilvl="4">
      <w:start w:val="1"/>
      <w:numFmt w:val="bullet"/>
      <w:lvlText w:val="•"/>
      <w:lvlJc w:val="left"/>
      <w:pPr>
        <w:ind w:left="3913" w:hanging="286"/>
      </w:pPr>
      <w:rPr>
        <w:rFonts w:hint="default"/>
      </w:rPr>
    </w:lvl>
    <w:lvl w:ilvl="5">
      <w:start w:val="1"/>
      <w:numFmt w:val="bullet"/>
      <w:lvlText w:val="•"/>
      <w:lvlJc w:val="left"/>
      <w:pPr>
        <w:ind w:left="4877" w:hanging="286"/>
      </w:pPr>
      <w:rPr>
        <w:rFonts w:hint="default"/>
      </w:rPr>
    </w:lvl>
    <w:lvl w:ilvl="6">
      <w:start w:val="1"/>
      <w:numFmt w:val="bullet"/>
      <w:lvlText w:val="•"/>
      <w:lvlJc w:val="left"/>
      <w:pPr>
        <w:ind w:left="5842" w:hanging="286"/>
      </w:pPr>
      <w:rPr>
        <w:rFonts w:hint="default"/>
      </w:rPr>
    </w:lvl>
    <w:lvl w:ilvl="7">
      <w:start w:val="1"/>
      <w:numFmt w:val="bullet"/>
      <w:lvlText w:val="•"/>
      <w:lvlJc w:val="left"/>
      <w:pPr>
        <w:ind w:left="6806" w:hanging="286"/>
      </w:pPr>
      <w:rPr>
        <w:rFonts w:hint="default"/>
      </w:rPr>
    </w:lvl>
    <w:lvl w:ilvl="8">
      <w:start w:val="1"/>
      <w:numFmt w:val="bullet"/>
      <w:lvlText w:val="•"/>
      <w:lvlJc w:val="left"/>
      <w:pPr>
        <w:ind w:left="7771" w:hanging="286"/>
      </w:pPr>
      <w:rPr>
        <w:rFonts w:hint="default"/>
      </w:rPr>
    </w:lvl>
  </w:abstractNum>
  <w:num w:numId="98">
    <w:abstractNumId w:val="97"/>
  </w:num>
  <w:num w:numId="57">
    <w:abstractNumId w:val="56"/>
  </w:num>
  <w:num w:numId="37">
    <w:abstractNumId w:val="36"/>
  </w:num>
  <w:num w:numId="35">
    <w:abstractNumId w:val="34"/>
  </w:num>
  <w:num w:numId="33">
    <w:abstractNumId w:val="32"/>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6">
    <w:abstractNumId w:val="35"/>
  </w:num>
  <w:num w:numId="34">
    <w:abstractNumId w:val="33"/>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TOC1" w:type="paragraph">
    <w:name w:val="TOC 1"/>
    <w:basedOn w:val="Normal"/>
    <w:uiPriority w:val="1"/>
    <w:qFormat/>
    <w:pPr>
      <w:spacing w:before="323"/>
    </w:pPr>
    <w:rPr>
      <w:rFonts w:ascii="Calibri" w:hAnsi="Calibri" w:eastAsia="Calibri"/>
      <w:sz w:val="22"/>
      <w:szCs w:val="22"/>
    </w:rPr>
  </w:style>
  <w:style w:styleId="TOC2" w:type="paragraph">
    <w:name w:val="TOC 2"/>
    <w:basedOn w:val="Normal"/>
    <w:uiPriority w:val="1"/>
    <w:qFormat/>
    <w:pPr>
      <w:spacing w:before="34"/>
      <w:ind w:left="1012" w:hanging="852"/>
    </w:pPr>
    <w:rPr>
      <w:rFonts w:ascii="Times New Roman" w:hAnsi="Times New Roman" w:eastAsia="Times New Roman"/>
      <w:sz w:val="20"/>
      <w:szCs w:val="20"/>
    </w:rPr>
  </w:style>
  <w:style w:styleId="TOC3" w:type="paragraph">
    <w:name w:val="TOC 3"/>
    <w:basedOn w:val="Normal"/>
    <w:uiPriority w:val="1"/>
    <w:qFormat/>
    <w:pPr>
      <w:spacing w:before="34"/>
      <w:ind w:left="1012" w:hanging="852"/>
    </w:pPr>
    <w:rPr>
      <w:rFonts w:ascii="Times New Roman" w:hAnsi="Times New Roman" w:eastAsia="Times New Roman"/>
      <w:sz w:val="16"/>
      <w:szCs w:val="16"/>
    </w:rPr>
  </w:style>
  <w:style w:styleId="BodyText" w:type="paragraph">
    <w:name w:val="Body Text"/>
    <w:basedOn w:val="Normal"/>
    <w:uiPriority w:val="1"/>
    <w:qFormat/>
    <w:pPr>
      <w:ind w:left="160"/>
    </w:pPr>
    <w:rPr>
      <w:rFonts w:ascii="Times New Roman" w:hAnsi="Times New Roman" w:eastAsia="Times New Roman"/>
      <w:sz w:val="24"/>
      <w:szCs w:val="24"/>
    </w:rPr>
  </w:style>
  <w:style w:styleId="Heading1" w:type="paragraph">
    <w:name w:val="Heading 1"/>
    <w:basedOn w:val="Normal"/>
    <w:uiPriority w:val="1"/>
    <w:qFormat/>
    <w:pPr>
      <w:spacing w:before="5"/>
      <w:ind w:left="726"/>
      <w:outlineLvl w:val="1"/>
    </w:pPr>
    <w:rPr>
      <w:rFonts w:ascii="Times New Roman" w:hAnsi="Times New Roman" w:eastAsia="Times New Roman"/>
      <w:b/>
      <w:bCs/>
      <w:sz w:val="24"/>
      <w:szCs w:val="24"/>
    </w:rPr>
  </w:style>
  <w:style w:styleId="Heading2" w:type="paragraph">
    <w:name w:val="Heading 2"/>
    <w:basedOn w:val="Normal"/>
    <w:uiPriority w:val="1"/>
    <w:qFormat/>
    <w:pPr>
      <w:spacing w:before="5"/>
      <w:ind w:left="160" w:firstLine="566"/>
      <w:outlineLvl w:val="2"/>
    </w:pPr>
    <w:rPr>
      <w:rFonts w:ascii="Times New Roman" w:hAnsi="Times New Roman" w:eastAsia="Times New Roman"/>
      <w:b/>
      <w:bCs/>
      <w:i/>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header" Target="header3.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header" Target="header4.xml"/><Relationship Id="rId17" Type="http://schemas.openxmlformats.org/officeDocument/2006/relationships/footer" Target="footer8.xml"/><Relationship Id="rId18" Type="http://schemas.openxmlformats.org/officeDocument/2006/relationships/header" Target="header5.xml"/><Relationship Id="rId19" Type="http://schemas.openxmlformats.org/officeDocument/2006/relationships/footer" Target="footer9.xml"/><Relationship Id="rId20" Type="http://schemas.openxmlformats.org/officeDocument/2006/relationships/footer" Target="footer10.xml"/><Relationship Id="rId21" Type="http://schemas.openxmlformats.org/officeDocument/2006/relationships/hyperlink" Target="http://www.ni.rs/institucije/javna-preduzeca/#001" TargetMode="External"/><Relationship Id="rId22" Type="http://schemas.openxmlformats.org/officeDocument/2006/relationships/hyperlink" Target="http://www.ni.rs/institucije/javna-preduzeca/#002" TargetMode="External"/><Relationship Id="rId23" Type="http://schemas.openxmlformats.org/officeDocument/2006/relationships/hyperlink" Target="http://www.ni.rs/institucije/javna-preduzeca/#003" TargetMode="External"/><Relationship Id="rId24" Type="http://schemas.openxmlformats.org/officeDocument/2006/relationships/hyperlink" Target="http://www.ni.rs/institucije/javna-preduzeca/#004" TargetMode="External"/><Relationship Id="rId25" Type="http://schemas.openxmlformats.org/officeDocument/2006/relationships/hyperlink" Target="http://www.ni.rs/institucije/javna-preduzeca/#005" TargetMode="External"/><Relationship Id="rId26" Type="http://schemas.openxmlformats.org/officeDocument/2006/relationships/hyperlink" Target="http://www.ni.rs/institucije/javna-preduzeca/#006" TargetMode="External"/><Relationship Id="rId27" Type="http://schemas.openxmlformats.org/officeDocument/2006/relationships/hyperlink" Target="http://www.ni.rs/institucije/javna-preduzeca/#007" TargetMode="External"/><Relationship Id="rId28" Type="http://schemas.openxmlformats.org/officeDocument/2006/relationships/hyperlink" Target="http://www.ni.rs/institucije/javna-preduzeca/#008" TargetMode="External"/><Relationship Id="rId29" Type="http://schemas.openxmlformats.org/officeDocument/2006/relationships/hyperlink" Target="http://www.ni.rs/institucije/javna-preduzeca/#009" TargetMode="External"/><Relationship Id="rId30" Type="http://schemas.openxmlformats.org/officeDocument/2006/relationships/hyperlink" Target="http://www.ni.rs/institucije/javna-preduzeca/#012" TargetMode="External"/><Relationship Id="rId31" Type="http://schemas.openxmlformats.org/officeDocument/2006/relationships/hyperlink" Target="http://www.ni.rs/institucije/javna-preduzeca/#013" TargetMode="External"/><Relationship Id="rId32" Type="http://schemas.openxmlformats.org/officeDocument/2006/relationships/hyperlink" Target="http://www.ni.rs/institucije/javna-preduzeca/#015" TargetMode="External"/><Relationship Id="rId33" Type="http://schemas.openxmlformats.org/officeDocument/2006/relationships/footer" Target="footer11.xml"/><Relationship Id="rId34" Type="http://schemas.openxmlformats.org/officeDocument/2006/relationships/hyperlink" Target="http://www.ni.rs/projekti/strateska-dokumenta/strategija-razvoja-grada-nisa/" TargetMode="External"/><Relationship Id="rId35" Type="http://schemas.openxmlformats.org/officeDocument/2006/relationships/hyperlink" Target="http://www.ni.rs/projekti/strateska-dokumenta/strategija-bezbednosti-grada-nisa/" TargetMode="External"/><Relationship Id="rId36" Type="http://schemas.openxmlformats.org/officeDocument/2006/relationships/footer" Target="footer12.xml"/><Relationship Id="rId37" Type="http://schemas.openxmlformats.org/officeDocument/2006/relationships/hyperlink" Target="http://www.ni.rs/projekti/strateska-dokumenta/strategija-za-brigu-o-mladima-grada-nisa-2015-2020/" TargetMode="External"/><Relationship Id="rId38" Type="http://schemas.openxmlformats.org/officeDocument/2006/relationships/hyperlink" Target="http://www.ni.rs/projekti/strateska-dokumenta/strategija-bezbednosti-mladih-grada-nisa/" TargetMode="External"/><Relationship Id="rId39" Type="http://schemas.openxmlformats.org/officeDocument/2006/relationships/hyperlink" Target="http://www.ni.rs/projekti/strateska-dokumenta/lokalni-akcioni-plan-za-mlade-grada-nisa-2015-2020/" TargetMode="External"/><Relationship Id="rId40" Type="http://schemas.openxmlformats.org/officeDocument/2006/relationships/hyperlink" Target="http://www.ni.rs/projekti/strateska-dokumenta/lokalni-ekoloski-akcioni-plan-leap/" TargetMode="External"/><Relationship Id="rId41" Type="http://schemas.openxmlformats.org/officeDocument/2006/relationships/hyperlink" Target="http://www.ni.rs/projekti/strateska-dokumenta/akcioni-plan-odrzivog-energetskog-razvoja-sustainable-energy-action-plan-seap/" TargetMode="External"/><Relationship Id="rId42" Type="http://schemas.openxmlformats.org/officeDocument/2006/relationships/hyperlink" Target="http://www.ni.rs/projekti/strateska-dokumenta/lokalni-plan-akcije-za-decu-grada-nisa-nis-po-meri-dece/" TargetMode="External"/><Relationship Id="rId43" Type="http://schemas.openxmlformats.org/officeDocument/2006/relationships/footer" Target="footer13.xml"/><Relationship Id="rId44" Type="http://schemas.openxmlformats.org/officeDocument/2006/relationships/footer" Target="footer14.xml"/><Relationship Id="rId45" Type="http://schemas.openxmlformats.org/officeDocument/2006/relationships/footer" Target="footer15.xml"/><Relationship Id="rId46" Type="http://schemas.openxmlformats.org/officeDocument/2006/relationships/footer" Target="footer16.xml"/><Relationship Id="rId47" Type="http://schemas.openxmlformats.org/officeDocument/2006/relationships/footer" Target="footer17.xml"/><Relationship Id="rId48" Type="http://schemas.openxmlformats.org/officeDocument/2006/relationships/footer" Target="footer18.xml"/><Relationship Id="rId49" Type="http://schemas.openxmlformats.org/officeDocument/2006/relationships/footer" Target="footer19.xml"/><Relationship Id="rId50" Type="http://schemas.openxmlformats.org/officeDocument/2006/relationships/footer" Target="footer20.xml"/><Relationship Id="rId51" Type="http://schemas.openxmlformats.org/officeDocument/2006/relationships/footer" Target="footer21.xml"/><Relationship Id="rId52" Type="http://schemas.openxmlformats.org/officeDocument/2006/relationships/footer" Target="footer22.xml"/><Relationship Id="rId53" Type="http://schemas.openxmlformats.org/officeDocument/2006/relationships/footer" Target="footer23.xml"/><Relationship Id="rId54" Type="http://schemas.openxmlformats.org/officeDocument/2006/relationships/footer" Target="footer24.xml"/><Relationship Id="rId55" Type="http://schemas.openxmlformats.org/officeDocument/2006/relationships/footer" Target="footer25.xml"/><Relationship Id="rId56" Type="http://schemas.openxmlformats.org/officeDocument/2006/relationships/footer" Target="footer26.xml"/><Relationship Id="rId57" Type="http://schemas.openxmlformats.org/officeDocument/2006/relationships/footer" Target="footer27.xml"/><Relationship Id="rId58" Type="http://schemas.openxmlformats.org/officeDocument/2006/relationships/footer" Target="footer28.xml"/><Relationship Id="rId59" Type="http://schemas.openxmlformats.org/officeDocument/2006/relationships/footer" Target="footer29.xml"/><Relationship Id="rId60" Type="http://schemas.openxmlformats.org/officeDocument/2006/relationships/footer" Target="footer30.xml"/><Relationship Id="rId61" Type="http://schemas.openxmlformats.org/officeDocument/2006/relationships/footer" Target="footer31.xml"/><Relationship Id="rId62" Type="http://schemas.openxmlformats.org/officeDocument/2006/relationships/footer" Target="footer32.xml"/><Relationship Id="rId63" Type="http://schemas.openxmlformats.org/officeDocument/2006/relationships/footer" Target="footer33.xml"/><Relationship Id="rId64" Type="http://schemas.openxmlformats.org/officeDocument/2006/relationships/footer" Target="footer34.xml"/><Relationship Id="rId65" Type="http://schemas.openxmlformats.org/officeDocument/2006/relationships/footer" Target="footer35.xml"/><Relationship Id="rId66" Type="http://schemas.openxmlformats.org/officeDocument/2006/relationships/footer" Target="footer36.xml"/><Relationship Id="rId67" Type="http://schemas.openxmlformats.org/officeDocument/2006/relationships/footer" Target="footer37.xml"/><Relationship Id="rId68" Type="http://schemas.openxmlformats.org/officeDocument/2006/relationships/footer" Target="footer38.xml"/><Relationship Id="rId69" Type="http://schemas.openxmlformats.org/officeDocument/2006/relationships/footer" Target="footer39.xml"/><Relationship Id="rId70" Type="http://schemas.openxmlformats.org/officeDocument/2006/relationships/footer" Target="footer40.xml"/><Relationship Id="rId71" Type="http://schemas.openxmlformats.org/officeDocument/2006/relationships/footer" Target="footer41.xml"/><Relationship Id="rId72" Type="http://schemas.openxmlformats.org/officeDocument/2006/relationships/footer" Target="footer42.xml"/><Relationship Id="rId73" Type="http://schemas.openxmlformats.org/officeDocument/2006/relationships/footer" Target="footer43.xml"/><Relationship Id="rId74" Type="http://schemas.openxmlformats.org/officeDocument/2006/relationships/footer" Target="footer44.xml"/><Relationship Id="rId75" Type="http://schemas.openxmlformats.org/officeDocument/2006/relationships/footer" Target="footer45.xml"/><Relationship Id="rId76" Type="http://schemas.openxmlformats.org/officeDocument/2006/relationships/footer" Target="footer46.xml"/><Relationship Id="rId77" Type="http://schemas.openxmlformats.org/officeDocument/2006/relationships/footer" Target="footer47.xml"/><Relationship Id="rId78" Type="http://schemas.openxmlformats.org/officeDocument/2006/relationships/footer" Target="footer48.xml"/><Relationship Id="rId79" Type="http://schemas.openxmlformats.org/officeDocument/2006/relationships/footer" Target="footer49.xml"/><Relationship Id="rId80" Type="http://schemas.openxmlformats.org/officeDocument/2006/relationships/footer" Target="footer50.xml"/><Relationship Id="rId81" Type="http://schemas.openxmlformats.org/officeDocument/2006/relationships/footer" Target="footer51.xml"/><Relationship Id="rId82" Type="http://schemas.openxmlformats.org/officeDocument/2006/relationships/footer" Target="footer52.xml"/><Relationship Id="rId83" Type="http://schemas.openxmlformats.org/officeDocument/2006/relationships/footer" Target="footer53.xml"/><Relationship Id="rId84" Type="http://schemas.openxmlformats.org/officeDocument/2006/relationships/footer" Target="footer54.xml"/><Relationship Id="rId85" Type="http://schemas.openxmlformats.org/officeDocument/2006/relationships/footer" Target="footer55.xml"/><Relationship Id="rId86" Type="http://schemas.openxmlformats.org/officeDocument/2006/relationships/header" Target="header6.xml"/><Relationship Id="rId87" Type="http://schemas.openxmlformats.org/officeDocument/2006/relationships/header" Target="header7.xml"/><Relationship Id="rId88" Type="http://schemas.openxmlformats.org/officeDocument/2006/relationships/footer" Target="footer56.xml"/><Relationship Id="rId89" Type="http://schemas.openxmlformats.org/officeDocument/2006/relationships/footer" Target="footer57.xml"/><Relationship Id="rId90" Type="http://schemas.openxmlformats.org/officeDocument/2006/relationships/footer" Target="footer58.xml"/><Relationship Id="rId91" Type="http://schemas.openxmlformats.org/officeDocument/2006/relationships/footer" Target="footer59.xml"/><Relationship Id="rId92" Type="http://schemas.openxmlformats.org/officeDocument/2006/relationships/footer" Target="footer60.xml"/><Relationship Id="rId93" Type="http://schemas.openxmlformats.org/officeDocument/2006/relationships/footer" Target="footer61.xml"/><Relationship Id="rId94" Type="http://schemas.openxmlformats.org/officeDocument/2006/relationships/header" Target="header8.xml"/><Relationship Id="rId95" Type="http://schemas.openxmlformats.org/officeDocument/2006/relationships/footer" Target="footer62.xml"/><Relationship Id="rId96" Type="http://schemas.openxmlformats.org/officeDocument/2006/relationships/footer" Target="footer63.xml"/><Relationship Id="rId97" Type="http://schemas.openxmlformats.org/officeDocument/2006/relationships/header" Target="header9.xml"/><Relationship Id="rId98" Type="http://schemas.openxmlformats.org/officeDocument/2006/relationships/footer" Target="footer64.xml"/><Relationship Id="rId99" Type="http://schemas.openxmlformats.org/officeDocument/2006/relationships/footer" Target="footer65.xml"/><Relationship Id="rId100" Type="http://schemas.openxmlformats.org/officeDocument/2006/relationships/footer" Target="footer66.xml"/><Relationship Id="rId101" Type="http://schemas.openxmlformats.org/officeDocument/2006/relationships/header" Target="header10.xml"/><Relationship Id="rId102" Type="http://schemas.openxmlformats.org/officeDocument/2006/relationships/header" Target="header11.xml"/><Relationship Id="rId103" Type="http://schemas.openxmlformats.org/officeDocument/2006/relationships/footer" Target="footer67.xml"/><Relationship Id="rId104" Type="http://schemas.openxmlformats.org/officeDocument/2006/relationships/footer" Target="footer68.xml"/><Relationship Id="rId105" Type="http://schemas.openxmlformats.org/officeDocument/2006/relationships/footer" Target="footer69.xml"/><Relationship Id="rId106" Type="http://schemas.openxmlformats.org/officeDocument/2006/relationships/header" Target="header12.xml"/><Relationship Id="rId107" Type="http://schemas.openxmlformats.org/officeDocument/2006/relationships/footer" Target="footer70.xml"/><Relationship Id="rId108" Type="http://schemas.openxmlformats.org/officeDocument/2006/relationships/header" Target="header13.xml"/><Relationship Id="rId109" Type="http://schemas.openxmlformats.org/officeDocument/2006/relationships/footer" Target="footer71.xml"/><Relationship Id="rId110" Type="http://schemas.openxmlformats.org/officeDocument/2006/relationships/image" Target="media/image2.jpeg"/><Relationship Id="rId111" Type="http://schemas.openxmlformats.org/officeDocument/2006/relationships/image" Target="media/image3.jpeg"/><Relationship Id="rId112" Type="http://schemas.openxmlformats.org/officeDocument/2006/relationships/image" Target="media/image4.jpeg"/><Relationship Id="rId113" Type="http://schemas.openxmlformats.org/officeDocument/2006/relationships/image" Target="media/image5.jpeg"/><Relationship Id="rId114" Type="http://schemas.openxmlformats.org/officeDocument/2006/relationships/image" Target="media/image6.jpeg"/><Relationship Id="rId115" Type="http://schemas.openxmlformats.org/officeDocument/2006/relationships/image" Target="media/image7.jpeg"/><Relationship Id="rId116" Type="http://schemas.openxmlformats.org/officeDocument/2006/relationships/image" Target="media/image8.jpeg"/><Relationship Id="rId117" Type="http://schemas.openxmlformats.org/officeDocument/2006/relationships/image" Target="media/image9.jpeg"/><Relationship Id="rId118" Type="http://schemas.openxmlformats.org/officeDocument/2006/relationships/image" Target="media/image10.jpeg"/><Relationship Id="rId11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dragana rankovic</dc:creator>
  <dc:title>Извештај о ревизији консолидованих финансијских извештаја завршног рачуна буџета и правилности пословања града Ниша за 2014. годину</dc:title>
  <dcterms:created xsi:type="dcterms:W3CDTF">2016-01-11T14:19:59Z</dcterms:created>
  <dcterms:modified xsi:type="dcterms:W3CDTF">2016-01-11T14:19:59Z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2015-12-23T00:00:00Z</vt:filetime>
  </property>
  <property fmtid="{D5CDD505-2E9C-101B-9397-08002B2CF9AE}" pid="3" name="Creator">
    <vt:lpwstr>Microsoft® Word 2010</vt:lpwstr>
  </property>
  <property fmtid="{D5CDD505-2E9C-101B-9397-08002B2CF9AE}" pid="4" name="LastSaved">
    <vt:filetime>2016-01-11T00:00:00Z</vt:filetime>
  </property>
</Properties>
</file>